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1483" w:lineRule="exact"/>
        <w:ind w:left="42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31917" cy="94183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931917" cy="941831"/>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423" w:right="1399" w:firstLine="0"/>
        <w:jc w:val="center"/>
        <w:rPr>
          <w:rFonts w:ascii="宋体" w:hAnsi="宋体" w:cs="宋体" w:eastAsia="宋体" w:hint="default"/>
          <w:sz w:val="36"/>
          <w:szCs w:val="36"/>
        </w:rPr>
      </w:pPr>
      <w:r>
        <w:rPr>
          <w:rFonts w:ascii="宋体" w:hAnsi="宋体" w:cs="宋体" w:eastAsia="宋体" w:hint="default"/>
          <w:b/>
          <w:bCs/>
          <w:sz w:val="36"/>
          <w:szCs w:val="36"/>
        </w:rPr>
        <w:t>浙江华媒控股股份有限公司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23" w:right="1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423" w:right="1399" w:firstLine="0"/>
        <w:jc w:val="center"/>
        <w:rPr>
          <w:rFonts w:ascii="Times New Roman" w:hAnsi="Times New Roman" w:cs="Times New Roman" w:eastAsia="Times New Roman" w:hint="default"/>
          <w:sz w:val="22"/>
          <w:szCs w:val="22"/>
        </w:rPr>
      </w:pPr>
      <w:r>
        <w:rPr>
          <w:rFonts w:ascii="Times New Roman"/>
          <w:b/>
          <w:sz w:val="22"/>
        </w:rPr>
        <w:t>2020-009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423" w:right="1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0"/>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公司负责人董悦、主管会计工作负责人郭勤勇及会计机构负责人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王健声明：保证年度报告中财务报告的真实、准确、完整。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本年度报告内容涉及的未来计划、规划等前瞻性陈述，存在不确定性，不</w:t>
      </w:r>
      <w:r>
        <w:rPr>
          <w:rFonts w:ascii="宋体" w:hAnsi="宋体" w:cs="宋体" w:eastAsia="宋体" w:hint="default"/>
          <w:sz w:val="28"/>
          <w:szCs w:val="28"/>
        </w:rPr>
      </w:r>
    </w:p>
    <w:p>
      <w:pPr>
        <w:spacing w:line="475" w:lineRule="auto" w:before="0"/>
        <w:ind w:left="715" w:right="3724" w:hanging="562"/>
        <w:jc w:val="left"/>
        <w:rPr>
          <w:rFonts w:ascii="宋体" w:hAnsi="宋体" w:cs="宋体" w:eastAsia="宋体" w:hint="default"/>
          <w:sz w:val="28"/>
          <w:szCs w:val="28"/>
        </w:rPr>
      </w:pPr>
      <w:r>
        <w:rPr>
          <w:rFonts w:ascii="宋体" w:hAnsi="宋体" w:cs="宋体" w:eastAsia="宋体" w:hint="default"/>
          <w:b/>
          <w:bCs/>
          <w:sz w:val="28"/>
          <w:szCs w:val="28"/>
        </w:rPr>
        <w:t>构成公司对投资者的实质承诺。请投资者注意投资风险。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一、</w:t>
      </w:r>
      <w:r>
        <w:rPr>
          <w:rFonts w:ascii="宋体" w:hAnsi="宋体" w:cs="宋体" w:eastAsia="宋体" w:hint="default"/>
          <w:b/>
          <w:bCs/>
          <w:spacing w:val="-12"/>
          <w:sz w:val="28"/>
          <w:szCs w:val="28"/>
        </w:rPr>
        <w:t> </w:t>
      </w:r>
      <w:r>
        <w:rPr>
          <w:rFonts w:ascii="宋体" w:hAnsi="宋体" w:cs="宋体" w:eastAsia="宋体" w:hint="default"/>
          <w:b/>
          <w:bCs/>
          <w:sz w:val="28"/>
          <w:szCs w:val="28"/>
        </w:rPr>
        <w:t>采编与经营“两分开”的风险。</w:t>
      </w:r>
      <w:r>
        <w:rPr>
          <w:rFonts w:ascii="宋体" w:hAnsi="宋体" w:cs="宋体" w:eastAsia="宋体" w:hint="default"/>
          <w:sz w:val="28"/>
          <w:szCs w:val="28"/>
        </w:rPr>
      </w:r>
    </w:p>
    <w:p>
      <w:pPr>
        <w:spacing w:line="408" w:lineRule="auto" w:before="81"/>
        <w:ind w:left="154" w:right="1127" w:firstLine="550"/>
        <w:jc w:val="both"/>
        <w:rPr>
          <w:rFonts w:ascii="宋体" w:hAnsi="宋体" w:cs="宋体" w:eastAsia="宋体" w:hint="default"/>
          <w:sz w:val="28"/>
          <w:szCs w:val="28"/>
        </w:rPr>
      </w:pPr>
      <w:r>
        <w:rPr>
          <w:rFonts w:ascii="宋体" w:hAnsi="宋体" w:cs="宋体" w:eastAsia="宋体" w:hint="default"/>
          <w:b/>
          <w:bCs/>
          <w:spacing w:val="3"/>
          <w:w w:val="95"/>
          <w:sz w:val="28"/>
          <w:szCs w:val="28"/>
        </w:rPr>
        <w:t>根据报刊行业采编与经营“两分开”的政策，公司重组后收购的资产不包</w:t>
      </w:r>
      <w:r>
        <w:rPr>
          <w:rFonts w:ascii="宋体" w:hAnsi="宋体" w:cs="宋体" w:eastAsia="宋体" w:hint="default"/>
          <w:b/>
          <w:bCs/>
          <w:spacing w:val="4"/>
          <w:w w:val="99"/>
          <w:sz w:val="28"/>
          <w:szCs w:val="28"/>
        </w:rPr>
        <w:t> </w:t>
      </w:r>
      <w:r>
        <w:rPr>
          <w:rFonts w:ascii="宋体" w:hAnsi="宋体" w:cs="宋体" w:eastAsia="宋体" w:hint="default"/>
          <w:b/>
          <w:bCs/>
          <w:spacing w:val="-5"/>
          <w:w w:val="99"/>
          <w:sz w:val="28"/>
          <w:szCs w:val="28"/>
        </w:rPr>
        <w:t>括报纸采编类资产。《杭州日报》社及其他相关报社，与公司购买资产范围内各</w:t>
      </w:r>
      <w:r>
        <w:rPr>
          <w:rFonts w:ascii="宋体" w:hAnsi="宋体" w:cs="宋体" w:eastAsia="宋体" w:hint="default"/>
          <w:b/>
          <w:bCs/>
          <w:spacing w:val="-132"/>
          <w:w w:val="99"/>
          <w:sz w:val="28"/>
          <w:szCs w:val="28"/>
        </w:rPr>
        <w:t> </w:t>
      </w:r>
      <w:r>
        <w:rPr>
          <w:rFonts w:ascii="宋体" w:hAnsi="宋体" w:cs="宋体" w:eastAsia="宋体" w:hint="default"/>
          <w:b/>
          <w:bCs/>
          <w:spacing w:val="-132"/>
          <w:w w:val="99"/>
          <w:sz w:val="28"/>
          <w:szCs w:val="28"/>
        </w:rPr>
      </w:r>
      <w:r>
        <w:rPr>
          <w:rFonts w:ascii="宋体" w:hAnsi="宋体" w:cs="宋体" w:eastAsia="宋体" w:hint="default"/>
          <w:b/>
          <w:bCs/>
          <w:spacing w:val="3"/>
          <w:w w:val="95"/>
          <w:sz w:val="28"/>
          <w:szCs w:val="28"/>
        </w:rPr>
        <w:t>相关报刊经营公司签订了《授权经营协议》和《收入分成协议》及《收入分成</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5"/>
          <w:w w:val="99"/>
          <w:sz w:val="28"/>
          <w:szCs w:val="28"/>
        </w:rPr>
        <w:t>协议之补充协议》。上市公司负责传媒经营类业务，《杭州日报》社及其他相关</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报社负责新闻采编业务。各报刊经营公司与《杭州日报》社及其他相关报社存</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在持续的日常关联交易。新闻采编业务现阶段不在上市公司内运营，提请投资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者关注可能产生的对公司广告经营、报刊发行等业务发展带来的经营风险。</w:t>
      </w:r>
      <w:r>
        <w:rPr>
          <w:rFonts w:ascii="宋体" w:hAnsi="宋体" w:cs="宋体" w:eastAsia="宋体" w:hint="default"/>
          <w:sz w:val="28"/>
          <w:szCs w:val="28"/>
        </w:rPr>
      </w:r>
    </w:p>
    <w:p>
      <w:pPr>
        <w:spacing w:line="472" w:lineRule="auto" w:before="161"/>
        <w:ind w:left="704" w:right="0" w:firstLine="1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4"/>
          <w:sz w:val="28"/>
          <w:szCs w:val="28"/>
        </w:rPr>
        <w:t> </w:t>
      </w:r>
      <w:r>
        <w:rPr>
          <w:rFonts w:ascii="宋体" w:hAnsi="宋体" w:cs="宋体" w:eastAsia="宋体" w:hint="default"/>
          <w:b/>
          <w:bCs/>
          <w:sz w:val="28"/>
          <w:szCs w:val="28"/>
        </w:rPr>
        <w:t>经营业绩波动风险。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根据以往年度经营情况及行业惯例，公司的广告及策划、报刊及印刷等业</w:t>
      </w:r>
      <w:r>
        <w:rPr>
          <w:rFonts w:ascii="宋体" w:hAnsi="宋体" w:cs="宋体" w:eastAsia="宋体" w:hint="default"/>
          <w:sz w:val="28"/>
          <w:szCs w:val="28"/>
        </w:rPr>
      </w:r>
    </w:p>
    <w:p>
      <w:pPr>
        <w:spacing w:line="352"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务的营业收入存在波动现象；新媒体业务的收入占比有限，但易受互联网发展</w:t>
      </w:r>
      <w:r>
        <w:rPr>
          <w:rFonts w:ascii="宋体" w:hAnsi="宋体" w:cs="宋体" w:eastAsia="宋体" w:hint="default"/>
          <w:sz w:val="28"/>
          <w:szCs w:val="28"/>
        </w:rPr>
      </w:r>
    </w:p>
    <w:p>
      <w:pPr>
        <w:spacing w:after="0" w:line="352" w:lineRule="exact"/>
        <w:jc w:val="left"/>
        <w:rPr>
          <w:rFonts w:ascii="宋体" w:hAnsi="宋体" w:cs="宋体" w:eastAsia="宋体" w:hint="default"/>
          <w:sz w:val="28"/>
          <w:szCs w:val="28"/>
        </w:rPr>
        <w:sectPr>
          <w:footerReference w:type="default" r:id="rId8"/>
          <w:pgSz w:w="11910" w:h="16840"/>
          <w:pgMar w:footer="982" w:header="747" w:top="1060" w:bottom="11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3" w:right="112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进程和相关行业政策调控的影响，业务发展和盈利能力存在一定的不确定性；</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教育业务受招生情况的影响。同时，相关行业易受行业政策调控和阶段性区域</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经营环境变化的影响。此外，由于新冠疫情带来的延迟复工加大了会展策划、</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户外广告、教育培训和商务印刷等业务开展的难度，可能会对公司经营造成暂</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时性的不利影响。公司在做好疫情防控同时，全力保障复产复工，并积极与有</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关部门沟通，争取获得一定的政府补助，以缓解相关的负面影响。以上综合因</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素将导致公司的经营业绩较往年出现波动或下滑的可能性提高。</w:t>
      </w:r>
      <w:r>
        <w:rPr>
          <w:rFonts w:ascii="宋体" w:hAnsi="宋体" w:cs="宋体" w:eastAsia="宋体" w:hint="default"/>
          <w:sz w:val="28"/>
          <w:szCs w:val="28"/>
        </w:rPr>
      </w:r>
    </w:p>
    <w:p>
      <w:pPr>
        <w:spacing w:line="472" w:lineRule="auto" w:before="161"/>
        <w:ind w:left="704" w:right="0" w:firstLine="1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4"/>
          <w:sz w:val="28"/>
          <w:szCs w:val="28"/>
        </w:rPr>
        <w:t> </w:t>
      </w:r>
      <w:r>
        <w:rPr>
          <w:rFonts w:ascii="宋体" w:hAnsi="宋体" w:cs="宋体" w:eastAsia="宋体" w:hint="default"/>
          <w:b/>
          <w:bCs/>
          <w:sz w:val="28"/>
          <w:szCs w:val="28"/>
        </w:rPr>
        <w:t>商誉减值和长期股权投资减值风险。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公司部分收购和投资的项目受市场环境变化、行业政策调整和疫情管控等</w:t>
      </w:r>
      <w:r>
        <w:rPr>
          <w:rFonts w:ascii="宋体" w:hAnsi="宋体" w:cs="宋体" w:eastAsia="宋体" w:hint="default"/>
          <w:sz w:val="28"/>
          <w:szCs w:val="28"/>
        </w:rPr>
      </w:r>
    </w:p>
    <w:p>
      <w:pPr>
        <w:spacing w:line="410" w:lineRule="auto" w:before="0"/>
        <w:ind w:left="153" w:right="112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影响，业务发展存在较大不确定性，可能存在商誉减值或长期股权投资减值风  </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险。</w:t>
      </w:r>
      <w:r>
        <w:rPr>
          <w:rFonts w:ascii="宋体" w:hAnsi="宋体" w:cs="宋体" w:eastAsia="宋体" w:hint="default"/>
          <w:sz w:val="28"/>
          <w:szCs w:val="28"/>
        </w:rPr>
      </w:r>
    </w:p>
    <w:p>
      <w:pPr>
        <w:spacing w:line="472" w:lineRule="auto" w:before="158"/>
        <w:ind w:left="704" w:right="0" w:firstLine="1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b/>
          <w:bCs/>
          <w:spacing w:val="-4"/>
          <w:sz w:val="28"/>
          <w:szCs w:val="28"/>
        </w:rPr>
        <w:t> </w:t>
      </w:r>
      <w:r>
        <w:rPr>
          <w:rFonts w:ascii="宋体" w:hAnsi="宋体" w:cs="宋体" w:eastAsia="宋体" w:hint="default"/>
          <w:b/>
          <w:bCs/>
          <w:sz w:val="28"/>
          <w:szCs w:val="28"/>
        </w:rPr>
        <w:t>融资事项不确定性风险。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根据相关批文，公司在获批额度内发行了公司债和超短期融资券。受市场</w:t>
      </w:r>
      <w:r>
        <w:rPr>
          <w:rFonts w:ascii="宋体" w:hAnsi="宋体" w:cs="宋体" w:eastAsia="宋体" w:hint="default"/>
          <w:sz w:val="28"/>
          <w:szCs w:val="28"/>
        </w:rPr>
      </w:r>
    </w:p>
    <w:p>
      <w:pPr>
        <w:spacing w:line="408" w:lineRule="auto" w:before="0"/>
        <w:ind w:left="154" w:right="112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环境、行业政策、利率波动、募投项目等的影响，未来融资事项的发行规模、</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发行价格、债券期限、债券利率等存在不确定性。已发行债券的募投项目实施</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进程、实际收益能否达到预期存在不确定性。公司可能面临偿债压力。</w:t>
      </w:r>
      <w:r>
        <w:rPr>
          <w:rFonts w:ascii="宋体" w:hAnsi="宋体" w:cs="宋体" w:eastAsia="宋体" w:hint="default"/>
          <w:sz w:val="28"/>
          <w:szCs w:val="28"/>
        </w:rPr>
      </w:r>
    </w:p>
    <w:p>
      <w:pPr>
        <w:spacing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423" w:right="1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1278" w:val="left" w:leader="none"/>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w w:val="95"/>
              </w:rPr>
              <w:t>第一节</w:t>
              <w:tab/>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278" w:val="left" w:leader="none"/>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w w:val="95"/>
              </w:rPr>
              <w:t>第二节</w:t>
              <w:tab/>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10">
            <w:r>
              <w:rPr>
                <w:w w:val="95"/>
              </w:rPr>
              <w:t>第三节</w:t>
              <w:tab/>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第四节</w:t>
              <w:tab/>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第五节</w:t>
              <w:tab/>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7">
            <w:r>
              <w:rPr>
                <w:w w:val="95"/>
              </w:rPr>
              <w:t>第六节</w:t>
              <w:tab/>
            </w:r>
            <w:r>
              <w:rPr/>
              <w:t>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第七节</w:t>
              <w:tab/>
            </w:r>
            <w:r>
              <w:rPr/>
              <w:t>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第八节</w:t>
              <w:tab/>
            </w:r>
            <w:r>
              <w:rPr/>
              <w:t>可转换公司债券相关情况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4">
            <w:r>
              <w:rPr>
                <w:w w:val="95"/>
              </w:rPr>
              <w:t>第九节</w:t>
              <w:tab/>
            </w:r>
            <w:r>
              <w:rPr/>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278" w:val="left" w:leader="none"/>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第十节</w:t>
              <w:tab/>
            </w:r>
            <w:r>
              <w:rPr/>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559" w:val="left" w:leader="none"/>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第十一节</w:t>
              <w:tab/>
            </w:r>
            <w:r>
              <w:rPr/>
              <w:t>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559" w:val="left" w:leader="none"/>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1">
            <w:r>
              <w:rPr>
                <w:w w:val="95"/>
              </w:rPr>
              <w:t>第十二节</w:t>
              <w:tab/>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559" w:val="left" w:leader="none"/>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第十三节</w:t>
              <w:tab/>
            </w:r>
            <w:r>
              <w:rPr/>
              <w:t>备查文件目录</w:t>
            </w:r>
            <w:r>
              <w:rPr>
                <w:rFonts w:ascii="Times New Roman" w:hAnsi="Times New Roman" w:cs="Times New Roman" w:eastAsia="Times New Roman" w:hint="default"/>
              </w:rPr>
              <w:tab/>
              <w:t>199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0"/>
        </w:sectPr>
      </w:pPr>
    </w:p>
    <w:p>
      <w:pPr>
        <w:spacing w:before="946"/>
        <w:ind w:left="423" w:right="1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5"/>
        <w:gridCol w:w="598"/>
        <w:gridCol w:w="5435"/>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杭报集团有限公司、杭报集团公司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都快控股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杭州网络传媒、杭州网</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萧山日报传媒有限公司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晨报传媒、余杭晨报</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每日送、每日送电子商务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盛元印务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风盛公司、风盛股份</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都市周报传媒、周报传媒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快房网</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华媒投资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华媒科创园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华媒传播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中教未来、中教国际</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萧文置业</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华媒智谷</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浙江华媒智谷商业运营管理有限公司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火鸟财经</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24" w:right="0"/>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42"/>
        <w:gridCol w:w="2167"/>
        <w:gridCol w:w="2176"/>
      </w:tblGrid>
      <w:tr>
        <w:trPr>
          <w:trHeight w:val="403" w:hRule="exact"/>
        </w:trPr>
        <w:tc>
          <w:tcPr>
            <w:tcW w:w="2284"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4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c>
          <w:tcPr>
            <w:tcW w:w="2167" w:type="dxa"/>
            <w:tcBorders>
              <w:top w:val="single" w:sz="4" w:space="0" w:color="000000"/>
              <w:left w:val="single" w:sz="9" w:space="0" w:color="C7EDCC"/>
              <w:bottom w:val="single" w:sz="4" w:space="0" w:color="000000"/>
              <w:right w:val="single" w:sz="13" w:space="0" w:color="C7EDCC"/>
            </w:tcBorders>
            <w:shd w:val="clear" w:color="auto" w:fill="D3D3D3"/>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000607</w:t>
            </w:r>
          </w:p>
        </w:tc>
      </w:tr>
      <w:tr>
        <w:trPr>
          <w:trHeight w:val="401" w:hRule="exact"/>
        </w:trPr>
        <w:tc>
          <w:tcPr>
            <w:tcW w:w="2284"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Zhejiang Huamei Holding CO.,</w:t>
            </w:r>
            <w:r>
              <w:rPr>
                <w:rFonts w:ascii="Times New Roman"/>
                <w:spacing w:val="-20"/>
                <w:sz w:val="18"/>
              </w:rPr>
              <w:t> </w:t>
            </w:r>
            <w:r>
              <w:rPr>
                <w:rFonts w:ascii="Times New Roman"/>
                <w:spacing w:val="-5"/>
                <w:sz w:val="18"/>
              </w:rPr>
              <w:t>LTD.</w:t>
            </w:r>
            <w:r>
              <w:rPr>
                <w:rFonts w:ascii="Times New Roman"/>
                <w:sz w:val="18"/>
              </w:rPr>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HUAMEI</w:t>
            </w:r>
            <w:r>
              <w:rPr>
                <w:rFonts w:ascii="Times New Roman"/>
                <w:spacing w:val="-10"/>
                <w:sz w:val="18"/>
              </w:rPr>
              <w:t> </w:t>
            </w:r>
            <w:r>
              <w:rPr>
                <w:rFonts w:ascii="Times New Roman"/>
                <w:sz w:val="18"/>
              </w:rPr>
              <w:t>HOLDING</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杭州市上城区体育场路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杭州市萧山区市心北路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1929 </w:t>
            </w:r>
            <w:r>
              <w:rPr>
                <w:rFonts w:ascii="宋体" w:hAnsi="宋体" w:cs="宋体" w:eastAsia="宋体" w:hint="default"/>
                <w:sz w:val="18"/>
                <w:szCs w:val="18"/>
              </w:rPr>
              <w:t>号万和国际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幢</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311200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http://www.000607.cn/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0"/>
        <w:gridCol w:w="3980"/>
        <w:gridCol w:w="3757"/>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3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张江瑾</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杭州市萧山区市心北路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1929 </w:t>
            </w:r>
            <w:r>
              <w:rPr>
                <w:rFonts w:ascii="宋体" w:hAnsi="宋体" w:cs="宋体" w:eastAsia="宋体" w:hint="default"/>
                <w:sz w:val="18"/>
                <w:szCs w:val="18"/>
              </w:rPr>
              <w:t>号万和国际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幢</w:t>
            </w:r>
          </w:p>
        </w:tc>
        <w:tc>
          <w:tcPr>
            <w:tcW w:w="3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杭州市萧山区市心北路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1929 </w:t>
            </w:r>
            <w:r>
              <w:rPr>
                <w:rFonts w:ascii="宋体" w:hAnsi="宋体" w:cs="宋体" w:eastAsia="宋体" w:hint="default"/>
                <w:sz w:val="18"/>
                <w:szCs w:val="18"/>
              </w:rPr>
              <w:t>号万和国际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幢</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c>
          <w:tcPr>
            <w:tcW w:w="3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0571-85098807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c>
          <w:tcPr>
            <w:tcW w:w="3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0571-85155005-8807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c>
          <w:tcPr>
            <w:tcW w:w="3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6024"/>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0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0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除公司重组后收购的传媒经营类业务外，新增教育培训为主营业务。</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0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1"/>
        <w:gridCol w:w="6917"/>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中国浙江省杭州市钱江新城新业路 </w:t>
            </w:r>
            <w:r>
              <w:rPr>
                <w:rFonts w:ascii="Times New Roman" w:hAnsi="Times New Roman" w:cs="Times New Roman" w:eastAsia="Times New Roman" w:hint="default"/>
                <w:sz w:val="18"/>
                <w:szCs w:val="18"/>
              </w:rPr>
              <w:t>8  </w:t>
            </w:r>
            <w:r>
              <w:rPr>
                <w:rFonts w:ascii="宋体" w:hAnsi="宋体" w:cs="宋体" w:eastAsia="宋体" w:hint="default"/>
                <w:sz w:val="18"/>
                <w:szCs w:val="18"/>
              </w:rPr>
              <w:t>号 </w:t>
            </w:r>
            <w:r>
              <w:rPr>
                <w:rFonts w:ascii="Times New Roman" w:hAnsi="Times New Roman" w:cs="Times New Roman" w:eastAsia="Times New Roman" w:hint="default"/>
                <w:sz w:val="18"/>
                <w:szCs w:val="18"/>
              </w:rPr>
              <w:t>UDC  </w:t>
            </w:r>
            <w:r>
              <w:rPr>
                <w:rFonts w:ascii="宋体" w:hAnsi="宋体" w:cs="宋体" w:eastAsia="宋体" w:hint="default"/>
                <w:sz w:val="18"/>
                <w:szCs w:val="18"/>
              </w:rPr>
              <w:t>时代大厦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层</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洪烨、孙俊</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6"/>
        <w:ind w:right="9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同一控制下企业合并</w:t>
      </w:r>
    </w:p>
    <w:tbl>
      <w:tblPr>
        <w:tblW w:w="0" w:type="auto"/>
        <w:jc w:val="left"/>
        <w:tblInd w:w="133" w:type="dxa"/>
        <w:tblLayout w:type="fixed"/>
        <w:tblCellMar>
          <w:top w:w="0" w:type="dxa"/>
          <w:left w:w="0" w:type="dxa"/>
          <w:bottom w:w="0" w:type="dxa"/>
          <w:right w:w="0" w:type="dxa"/>
        </w:tblCellMar>
        <w:tblLook w:val="01E0"/>
      </w:tblPr>
      <w:tblGrid>
        <w:gridCol w:w="2012"/>
        <w:gridCol w:w="1315"/>
        <w:gridCol w:w="1316"/>
        <w:gridCol w:w="1316"/>
        <w:gridCol w:w="1091"/>
        <w:gridCol w:w="1315"/>
        <w:gridCol w:w="1316"/>
      </w:tblGrid>
      <w:tr>
        <w:trPr>
          <w:trHeight w:val="125" w:hRule="exact"/>
        </w:trPr>
        <w:tc>
          <w:tcPr>
            <w:tcW w:w="2012"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359" w:right="8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 w:hRule="exact"/>
        </w:trPr>
        <w:tc>
          <w:tcPr>
            <w:tcW w:w="201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63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9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80" w:hRule="exact"/>
        </w:trPr>
        <w:tc>
          <w:tcPr>
            <w:tcW w:w="2012" w:type="dxa"/>
            <w:tcBorders>
              <w:top w:val="nil" w:sz="6" w:space="0" w:color="auto"/>
              <w:left w:val="single" w:sz="4" w:space="0" w:color="000000"/>
              <w:bottom w:val="nil" w:sz="6" w:space="0" w:color="auto"/>
              <w:right w:val="single" w:sz="4" w:space="0" w:color="000000"/>
            </w:tcBorders>
            <w:shd w:val="clear" w:color="auto" w:fill="D3D3D3"/>
          </w:tcPr>
          <w:p>
            <w:pPr/>
          </w:p>
        </w:tc>
        <w:tc>
          <w:tcPr>
            <w:tcW w:w="13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vMerge/>
            <w:tcBorders>
              <w:left w:val="single" w:sz="4" w:space="0" w:color="000000"/>
              <w:bottom w:val="single" w:sz="4" w:space="0" w:color="000000"/>
              <w:right w:val="single" w:sz="4" w:space="0" w:color="000000"/>
            </w:tcBorders>
            <w:shd w:val="clear" w:color="auto" w:fill="D3D3D3"/>
          </w:tcPr>
          <w:p>
            <w:pPr/>
          </w:p>
        </w:tc>
      </w:tr>
      <w:tr>
        <w:trPr>
          <w:trHeight w:val="311" w:hRule="exact"/>
        </w:trPr>
        <w:tc>
          <w:tcPr>
            <w:tcW w:w="20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6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1,822,062,332.55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1,749,518,996.88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1,749,493,401.78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1,832,268,001.47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1,832,268,001.47</w:t>
            </w: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88"/>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18,904,455.37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105,180,270.19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103,889,816.40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-81.80%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146,809,823.33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146,809,823.33</w:t>
            </w:r>
          </w:p>
        </w:tc>
      </w:tr>
      <w:tr>
        <w:trPr>
          <w:trHeight w:val="731"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88"/>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-43,678,646.00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76,490,901.07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75,200,447.28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80,289,597.66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80,289,597.66</w:t>
            </w: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88"/>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219,253,227.62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263,810,621.42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264,279,404.86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-17.04%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185,245,508.64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185,245,508.64</w:t>
            </w:r>
          </w:p>
        </w:tc>
      </w:tr>
      <w:tr>
        <w:trPr>
          <w:trHeight w:val="250"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-80.00%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0.14</w:t>
            </w:r>
          </w:p>
        </w:tc>
      </w:tr>
      <w:tr>
        <w:trPr>
          <w:trHeight w:val="251"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-80.00%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0.14</w:t>
            </w:r>
          </w:p>
        </w:tc>
      </w:tr>
      <w:tr>
        <w:trPr>
          <w:trHeight w:val="250"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1.14%</w:t>
            </w:r>
          </w:p>
        </w:tc>
        <w:tc>
          <w:tcPr>
            <w:tcW w:w="1316" w:type="dxa"/>
            <w:tcBorders>
              <w:top w:val="single" w:sz="4" w:space="0" w:color="000000"/>
              <w:left w:val="single" w:sz="4" w:space="0" w:color="000000"/>
              <w:bottom w:val="single" w:sz="52" w:space="0" w:color="D3D3D3"/>
              <w:right w:val="single" w:sz="4" w:space="0" w:color="000000"/>
            </w:tcBorders>
          </w:tcPr>
          <w:p>
            <w:pPr>
              <w:pStyle w:val="TableParagraph"/>
              <w:spacing w:line="196" w:lineRule="exact" w:before="24"/>
              <w:ind w:right="20"/>
              <w:jc w:val="right"/>
              <w:rPr>
                <w:rFonts w:ascii="Times New Roman" w:hAnsi="Times New Roman" w:cs="Times New Roman" w:eastAsia="Times New Roman" w:hint="default"/>
                <w:sz w:val="18"/>
                <w:szCs w:val="18"/>
              </w:rPr>
            </w:pPr>
            <w:r>
              <w:rPr>
                <w:rFonts w:ascii="Times New Roman"/>
                <w:sz w:val="18"/>
              </w:rPr>
              <w:t>5.71%</w:t>
            </w:r>
          </w:p>
        </w:tc>
        <w:tc>
          <w:tcPr>
            <w:tcW w:w="1316" w:type="dxa"/>
            <w:tcBorders>
              <w:top w:val="single" w:sz="4" w:space="0" w:color="000000"/>
              <w:left w:val="single" w:sz="4" w:space="0" w:color="000000"/>
              <w:bottom w:val="single" w:sz="52" w:space="0" w:color="D3D3D3"/>
              <w:right w:val="single" w:sz="4" w:space="0" w:color="000000"/>
            </w:tcBorders>
          </w:tcPr>
          <w:p>
            <w:pPr>
              <w:pStyle w:val="TableParagraph"/>
              <w:spacing w:line="196" w:lineRule="exact" w:before="24"/>
              <w:ind w:right="20"/>
              <w:jc w:val="right"/>
              <w:rPr>
                <w:rFonts w:ascii="Times New Roman" w:hAnsi="Times New Roman" w:cs="Times New Roman" w:eastAsia="Times New Roman" w:hint="default"/>
                <w:sz w:val="18"/>
                <w:szCs w:val="18"/>
              </w:rPr>
            </w:pPr>
            <w:r>
              <w:rPr>
                <w:rFonts w:ascii="Times New Roman"/>
                <w:sz w:val="18"/>
              </w:rPr>
              <w:t>5.64%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-4.50%</w:t>
            </w:r>
          </w:p>
        </w:tc>
        <w:tc>
          <w:tcPr>
            <w:tcW w:w="1315" w:type="dxa"/>
            <w:tcBorders>
              <w:top w:val="single" w:sz="4" w:space="0" w:color="000000"/>
              <w:left w:val="single" w:sz="4" w:space="0" w:color="000000"/>
              <w:bottom w:val="single" w:sz="52" w:space="0" w:color="D3D3D3"/>
              <w:right w:val="single" w:sz="4" w:space="0" w:color="000000"/>
            </w:tcBorders>
          </w:tcPr>
          <w:p>
            <w:pPr>
              <w:pStyle w:val="TableParagraph"/>
              <w:spacing w:line="196" w:lineRule="exact" w:before="24"/>
              <w:ind w:right="19"/>
              <w:jc w:val="right"/>
              <w:rPr>
                <w:rFonts w:ascii="Times New Roman" w:hAnsi="Times New Roman" w:cs="Times New Roman" w:eastAsia="Times New Roman" w:hint="default"/>
                <w:sz w:val="18"/>
                <w:szCs w:val="18"/>
              </w:rPr>
            </w:pPr>
            <w:r>
              <w:rPr>
                <w:rFonts w:ascii="Times New Roman"/>
                <w:sz w:val="18"/>
              </w:rPr>
              <w:t>8.04%</w:t>
            </w:r>
          </w:p>
        </w:tc>
        <w:tc>
          <w:tcPr>
            <w:tcW w:w="1316" w:type="dxa"/>
            <w:tcBorders>
              <w:top w:val="single" w:sz="4" w:space="0" w:color="000000"/>
              <w:left w:val="single" w:sz="4" w:space="0" w:color="000000"/>
              <w:bottom w:val="single" w:sz="52" w:space="0" w:color="D3D3D3"/>
              <w:right w:val="single" w:sz="4" w:space="0" w:color="000000"/>
            </w:tcBorders>
          </w:tcPr>
          <w:p>
            <w:pPr>
              <w:pStyle w:val="TableParagraph"/>
              <w:spacing w:line="196" w:lineRule="exact" w:before="24"/>
              <w:ind w:right="19"/>
              <w:jc w:val="right"/>
              <w:rPr>
                <w:rFonts w:ascii="Times New Roman" w:hAnsi="Times New Roman" w:cs="Times New Roman" w:eastAsia="Times New Roman" w:hint="default"/>
                <w:sz w:val="18"/>
                <w:szCs w:val="18"/>
              </w:rPr>
            </w:pPr>
            <w:r>
              <w:rPr>
                <w:rFonts w:ascii="Times New Roman"/>
                <w:sz w:val="18"/>
              </w:rPr>
              <w:t>8.04%</w:t>
            </w:r>
          </w:p>
        </w:tc>
      </w:tr>
      <w:tr>
        <w:trPr>
          <w:trHeight w:val="125" w:hRule="exact"/>
        </w:trPr>
        <w:tc>
          <w:tcPr>
            <w:tcW w:w="2012"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179" w:right="8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 w:hRule="exact"/>
        </w:trPr>
        <w:tc>
          <w:tcPr>
            <w:tcW w:w="201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63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9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80" w:hRule="exact"/>
        </w:trPr>
        <w:tc>
          <w:tcPr>
            <w:tcW w:w="2012" w:type="dxa"/>
            <w:tcBorders>
              <w:top w:val="nil" w:sz="6" w:space="0" w:color="auto"/>
              <w:left w:val="single" w:sz="4" w:space="0" w:color="000000"/>
              <w:bottom w:val="nil" w:sz="6" w:space="0" w:color="auto"/>
              <w:right w:val="single" w:sz="4" w:space="0" w:color="000000"/>
            </w:tcBorders>
            <w:shd w:val="clear" w:color="auto" w:fill="D3D3D3"/>
          </w:tcPr>
          <w:p>
            <w:pPr/>
          </w:p>
        </w:tc>
        <w:tc>
          <w:tcPr>
            <w:tcW w:w="13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vMerge/>
            <w:tcBorders>
              <w:left w:val="single" w:sz="4" w:space="0" w:color="000000"/>
              <w:bottom w:val="single" w:sz="4" w:space="0" w:color="000000"/>
              <w:right w:val="single" w:sz="4" w:space="0" w:color="000000"/>
            </w:tcBorders>
            <w:shd w:val="clear" w:color="auto" w:fill="D3D3D3"/>
          </w:tcPr>
          <w:p>
            <w:pPr/>
          </w:p>
        </w:tc>
      </w:tr>
      <w:tr>
        <w:trPr>
          <w:trHeight w:val="311" w:hRule="exact"/>
        </w:trPr>
        <w:tc>
          <w:tcPr>
            <w:tcW w:w="20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6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3,562,695,936.46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3,248,604,010.44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3,492,914,189.38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3,200,604,342.28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3,200,604,342.28</w:t>
            </w:r>
          </w:p>
        </w:tc>
      </w:tr>
      <w:tr>
        <w:trPr>
          <w:trHeight w:val="491" w:hRule="exact"/>
        </w:trPr>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88"/>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1,660,816,747.08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1,890,548,489.59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1,974,193,008.00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1,800,160,138.37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1,800,160,138.37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356,636,813.43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474,684,982.27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437,852,255.84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552,888,281.01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-9,950,502.56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52,915,699.13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27,602,142.12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-51,662,883.32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-12,576,350.32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46,902,169.88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15,797,264.04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-93,801,729.60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-143,364,655.19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61,963,919.53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-56,281,812.72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356,935,776.00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117"/>
        <w:gridCol w:w="404"/>
        <w:gridCol w:w="1169"/>
        <w:gridCol w:w="1416"/>
        <w:gridCol w:w="1420"/>
        <w:gridCol w:w="1157"/>
      </w:tblGrid>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7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11"/>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销部分）</w:t>
            </w:r>
          </w:p>
        </w:tc>
        <w:tc>
          <w:tcPr>
            <w:tcW w:w="1573"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1,620,474.35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4,460,237.49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2,864,346.65</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8"/>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照国家统一标准定额或定量享受的政府补助除外）</w:t>
            </w:r>
          </w:p>
        </w:tc>
        <w:tc>
          <w:tcPr>
            <w:tcW w:w="1573"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34,619,011.38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11,041,751.95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11,744,389.08</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411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w:t>
            </w:r>
          </w:p>
        </w:tc>
        <w:tc>
          <w:tcPr>
            <w:tcW w:w="1573" w:type="dxa"/>
            <w:gridSpan w:val="2"/>
            <w:vMerge w:val="restart"/>
            <w:tcBorders>
              <w:top w:val="single" w:sz="4" w:space="0" w:color="000000"/>
              <w:left w:val="single" w:sz="10" w:space="0" w:color="D3D3D3"/>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20" w:type="dxa"/>
            <w:vMerge w:val="restart"/>
            <w:tcBorders>
              <w:top w:val="single" w:sz="4" w:space="0" w:color="000000"/>
              <w:left w:val="single" w:sz="4" w:space="0" w:color="000000"/>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r>
      <w:tr>
        <w:trPr>
          <w:trHeight w:val="245" w:hRule="exact"/>
        </w:trPr>
        <w:tc>
          <w:tcPr>
            <w:tcW w:w="4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z w:val="18"/>
                <w:szCs w:val="18"/>
              </w:rPr>
              <w:t>于取得投资时应享有被投资单位可辨认净资产公允</w:t>
            </w:r>
          </w:p>
        </w:tc>
        <w:tc>
          <w:tcPr>
            <w:tcW w:w="1573" w:type="dxa"/>
            <w:gridSpan w:val="2"/>
            <w:vMerge/>
            <w:tcBorders>
              <w:left w:val="single" w:sz="10" w:space="0" w:color="D3D3D3"/>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14,350.80</w:t>
            </w:r>
          </w:p>
        </w:tc>
        <w:tc>
          <w:tcPr>
            <w:tcW w:w="1420" w:type="dxa"/>
            <w:vMerge/>
            <w:tcBorders>
              <w:left w:val="single" w:sz="4" w:space="0" w:color="000000"/>
              <w:right w:val="single" w:sz="4" w:space="0" w:color="000000"/>
            </w:tcBorders>
          </w:tcPr>
          <w:p>
            <w:pPr/>
          </w:p>
        </w:tc>
        <w:tc>
          <w:tcPr>
            <w:tcW w:w="1157" w:type="dxa"/>
            <w:vMerge/>
            <w:tcBorders>
              <w:left w:val="single" w:sz="4" w:space="0" w:color="000000"/>
              <w:right w:val="single" w:sz="4" w:space="0" w:color="000000"/>
            </w:tcBorders>
          </w:tcPr>
          <w:p>
            <w:pPr/>
          </w:p>
        </w:tc>
      </w:tr>
      <w:tr>
        <w:trPr>
          <w:trHeight w:val="273" w:hRule="exact"/>
        </w:trPr>
        <w:tc>
          <w:tcPr>
            <w:tcW w:w="411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价值产生的收益</w:t>
            </w:r>
          </w:p>
        </w:tc>
        <w:tc>
          <w:tcPr>
            <w:tcW w:w="1573" w:type="dxa"/>
            <w:gridSpan w:val="2"/>
            <w:vMerge/>
            <w:tcBorders>
              <w:left w:val="single" w:sz="10" w:space="0" w:color="D3D3D3"/>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r>
        <w:trPr>
          <w:trHeight w:val="33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73"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63"/>
              <w:ind w:left="497" w:right="0"/>
              <w:jc w:val="left"/>
              <w:rPr>
                <w:rFonts w:ascii="Times New Roman" w:hAnsi="Times New Roman" w:cs="Times New Roman" w:eastAsia="Times New Roman" w:hint="default"/>
                <w:sz w:val="18"/>
                <w:szCs w:val="18"/>
              </w:rPr>
            </w:pPr>
            <w:r>
              <w:rPr>
                <w:rFonts w:ascii="Times New Roman"/>
                <w:sz w:val="18"/>
              </w:rPr>
              <w:t>15,223,144.68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9,249,014.47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3,150,291.09</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13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 当期净损益</w:t>
            </w:r>
          </w:p>
        </w:tc>
        <w:tc>
          <w:tcPr>
            <w:tcW w:w="1573" w:type="dxa"/>
            <w:gridSpan w:val="2"/>
            <w:tcBorders>
              <w:top w:val="single" w:sz="4" w:space="0" w:color="000000"/>
              <w:left w:val="single" w:sz="10" w:space="0" w:color="D3D3D3"/>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1,911,929.63</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411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w:t>
            </w:r>
          </w:p>
        </w:tc>
        <w:tc>
          <w:tcPr>
            <w:tcW w:w="404" w:type="dxa"/>
            <w:tcBorders>
              <w:top w:val="single" w:sz="4" w:space="0" w:color="000000"/>
              <w:left w:val="single" w:sz="10" w:space="0" w:color="D3D3D3"/>
              <w:bottom w:val="nil" w:sz="6" w:space="0" w:color="auto"/>
              <w:right w:val="nil" w:sz="6" w:space="0" w:color="auto"/>
            </w:tcBorders>
          </w:tcPr>
          <w:p>
            <w:pPr>
              <w:pStyle w:val="TableParagraph"/>
              <w:spacing w:line="240" w:lineRule="auto" w:before="21"/>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169" w:type="dxa"/>
            <w:tcBorders>
              <w:top w:val="single" w:sz="4" w:space="0" w:color="000000"/>
              <w:left w:val="nil" w:sz="6" w:space="0" w:color="auto"/>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r>
      <w:tr>
        <w:trPr>
          <w:trHeight w:val="241" w:hRule="exact"/>
        </w:trPr>
        <w:tc>
          <w:tcPr>
            <w:tcW w:w="4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pacing w:val="-3"/>
                <w:sz w:val="18"/>
                <w:szCs w:val="18"/>
              </w:rPr>
              <w:t>持有交易性金融资产、衍生金融资产、交易性金融负</w:t>
            </w:r>
          </w:p>
        </w:tc>
        <w:tc>
          <w:tcPr>
            <w:tcW w:w="404" w:type="dxa"/>
            <w:tcBorders>
              <w:top w:val="nil" w:sz="6" w:space="0" w:color="auto"/>
              <w:left w:val="single" w:sz="10" w:space="0" w:color="D3D3D3"/>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157" w:type="dxa"/>
            <w:vMerge/>
            <w:tcBorders>
              <w:left w:val="single" w:sz="4" w:space="0" w:color="000000"/>
              <w:right w:val="single" w:sz="4" w:space="0" w:color="000000"/>
            </w:tcBorders>
          </w:tcPr>
          <w:p>
            <w:pPr/>
          </w:p>
        </w:tc>
      </w:tr>
      <w:tr>
        <w:trPr>
          <w:trHeight w:val="244" w:hRule="exact"/>
        </w:trPr>
        <w:tc>
          <w:tcPr>
            <w:tcW w:w="4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spacing w:val="-3"/>
                <w:sz w:val="18"/>
                <w:szCs w:val="18"/>
              </w:rPr>
              <w:t>债、衍生金融负债产生的公允价值变动损益，以及处</w:t>
            </w:r>
          </w:p>
        </w:tc>
        <w:tc>
          <w:tcPr>
            <w:tcW w:w="404" w:type="dxa"/>
            <w:tcBorders>
              <w:top w:val="nil" w:sz="6" w:space="0" w:color="auto"/>
              <w:left w:val="single" w:sz="10" w:space="0" w:color="D3D3D3"/>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330" w:right="0"/>
              <w:jc w:val="left"/>
              <w:rPr>
                <w:rFonts w:ascii="Times New Roman" w:hAnsi="Times New Roman" w:cs="Times New Roman" w:eastAsia="Times New Roman" w:hint="default"/>
                <w:sz w:val="18"/>
                <w:szCs w:val="18"/>
              </w:rPr>
            </w:pPr>
            <w:r>
              <w:rPr>
                <w:rFonts w:ascii="Times New Roman"/>
                <w:sz w:val="18"/>
              </w:rPr>
              <w:t>681,275.86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11,267.77</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144,458.11</w:t>
            </w:r>
          </w:p>
        </w:tc>
        <w:tc>
          <w:tcPr>
            <w:tcW w:w="1157" w:type="dxa"/>
            <w:vMerge/>
            <w:tcBorders>
              <w:left w:val="single" w:sz="4" w:space="0" w:color="000000"/>
              <w:right w:val="single" w:sz="4" w:space="0" w:color="000000"/>
            </w:tcBorders>
          </w:tcPr>
          <w:p>
            <w:pPr/>
          </w:p>
        </w:tc>
      </w:tr>
      <w:tr>
        <w:trPr>
          <w:trHeight w:val="236" w:hRule="exact"/>
        </w:trPr>
        <w:tc>
          <w:tcPr>
            <w:tcW w:w="4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置交易性金融资产</w:t>
            </w:r>
            <w:r>
              <w:rPr>
                <w:rFonts w:ascii="宋体" w:hAnsi="宋体" w:cs="宋体" w:eastAsia="宋体" w:hint="default"/>
                <w:spacing w:val="-74"/>
                <w:sz w:val="18"/>
                <w:szCs w:val="18"/>
              </w:rPr>
              <w:t>、</w:t>
            </w:r>
            <w:r>
              <w:rPr>
                <w:rFonts w:ascii="宋体" w:hAnsi="宋体" w:cs="宋体" w:eastAsia="宋体" w:hint="default"/>
                <w:sz w:val="18"/>
                <w:szCs w:val="18"/>
              </w:rPr>
              <w:t>衍生金融资产</w:t>
            </w:r>
            <w:r>
              <w:rPr>
                <w:rFonts w:ascii="宋体" w:hAnsi="宋体" w:cs="宋体" w:eastAsia="宋体" w:hint="default"/>
                <w:spacing w:val="-74"/>
                <w:sz w:val="18"/>
                <w:szCs w:val="18"/>
              </w:rPr>
              <w:t>、</w:t>
            </w:r>
            <w:r>
              <w:rPr>
                <w:rFonts w:ascii="宋体" w:hAnsi="宋体" w:cs="宋体" w:eastAsia="宋体" w:hint="default"/>
                <w:sz w:val="18"/>
                <w:szCs w:val="18"/>
              </w:rPr>
              <w:t>交易性金融负债</w:t>
            </w:r>
          </w:p>
        </w:tc>
        <w:tc>
          <w:tcPr>
            <w:tcW w:w="404" w:type="dxa"/>
            <w:tcBorders>
              <w:top w:val="nil" w:sz="6" w:space="0" w:color="auto"/>
              <w:left w:val="single" w:sz="10" w:space="0" w:color="D3D3D3"/>
              <w:bottom w:val="nil" w:sz="6" w:space="0" w:color="auto"/>
              <w:right w:val="nil" w:sz="6" w:space="0" w:color="auto"/>
            </w:tcBorders>
          </w:tcPr>
          <w:p>
            <w:pPr>
              <w:pStyle w:val="TableParagraph"/>
              <w:spacing w:line="206"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169" w:type="dxa"/>
            <w:tcBorders>
              <w:top w:val="nil" w:sz="6" w:space="0" w:color="auto"/>
              <w:left w:val="nil" w:sz="6" w:space="0" w:color="auto"/>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c>
          <w:tcPr>
            <w:tcW w:w="1157" w:type="dxa"/>
            <w:vMerge/>
            <w:tcBorders>
              <w:left w:val="single" w:sz="4" w:space="0" w:color="000000"/>
              <w:right w:val="single" w:sz="4" w:space="0" w:color="000000"/>
            </w:tcBorders>
          </w:tcPr>
          <w:p>
            <w:pPr/>
          </w:p>
        </w:tc>
      </w:tr>
      <w:tr>
        <w:trPr>
          <w:trHeight w:val="277" w:hRule="exact"/>
        </w:trPr>
        <w:tc>
          <w:tcPr>
            <w:tcW w:w="411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11" w:right="0"/>
              <w:jc w:val="left"/>
              <w:rPr>
                <w:rFonts w:ascii="宋体" w:hAnsi="宋体" w:cs="宋体" w:eastAsia="宋体" w:hint="default"/>
                <w:sz w:val="18"/>
                <w:szCs w:val="18"/>
              </w:rPr>
            </w:pPr>
            <w:r>
              <w:rPr>
                <w:rFonts w:ascii="宋体" w:hAnsi="宋体" w:cs="宋体" w:eastAsia="宋体" w:hint="default"/>
                <w:sz w:val="18"/>
                <w:szCs w:val="18"/>
              </w:rPr>
              <w:t>衍生金融负债和其他债权投资取得的投资收益</w:t>
            </w:r>
          </w:p>
        </w:tc>
        <w:tc>
          <w:tcPr>
            <w:tcW w:w="404" w:type="dxa"/>
            <w:tcBorders>
              <w:top w:val="nil" w:sz="6" w:space="0" w:color="auto"/>
              <w:left w:val="single" w:sz="10" w:space="0" w:color="D3D3D3"/>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140"/>
        <w:gridCol w:w="1561"/>
        <w:gridCol w:w="1416"/>
        <w:gridCol w:w="1420"/>
        <w:gridCol w:w="1157"/>
      </w:tblGrid>
      <w:tr>
        <w:trPr>
          <w:trHeight w:val="57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单独进行减值测试的应收款项、合同资产减值准备转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16,963.20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9,350,724.70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389,622.52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-2,005,986.35</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6,391,993.15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6,910,515.31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49,714,019.43</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116,410.17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348,425.06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222,851.41</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5,204,075.78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3,038,966.13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780,370.56</w:t>
            </w: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62,583,101.37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28,689,369.12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66,520,225.67</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7" w:right="0"/>
        <w:jc w:val="left"/>
        <w:rPr>
          <w:b w:val="0"/>
          <w:bCs w:val="0"/>
        </w:rPr>
      </w:pPr>
      <w:bookmarkStart w:name="_TOC_250010" w:id="3"/>
      <w:r>
        <w:rPr/>
        <w:t>第三节公司业务概要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52" w:lineRule="auto" w:before="0"/>
        <w:ind w:left="573" w:right="1117" w:firstLine="0"/>
        <w:jc w:val="left"/>
        <w:rPr>
          <w:rFonts w:ascii="宋体" w:hAnsi="宋体" w:cs="宋体" w:eastAsia="宋体" w:hint="default"/>
          <w:sz w:val="18"/>
          <w:szCs w:val="18"/>
        </w:rPr>
      </w:pPr>
      <w:r>
        <w:rPr>
          <w:rFonts w:ascii="宋体" w:hAnsi="宋体" w:cs="宋体" w:eastAsia="宋体" w:hint="default"/>
          <w:b/>
          <w:bCs/>
          <w:sz w:val="18"/>
          <w:szCs w:val="18"/>
        </w:rPr>
        <w:t>（一）报告期内公司所从事的主要业务、主要产品及用途、经营模式、主要的业绩驱动因素</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、公司所从事的主要业务</w:t>
      </w:r>
      <w:r>
        <w:rPr>
          <w:rFonts w:ascii="宋体" w:hAnsi="宋体" w:cs="宋体" w:eastAsia="宋体" w:hint="default"/>
          <w:b/>
          <w:bCs/>
          <w:spacing w:val="1"/>
          <w:w w:val="99"/>
          <w:sz w:val="18"/>
          <w:szCs w:val="18"/>
        </w:rPr>
        <w:t> </w:t>
      </w:r>
      <w:r>
        <w:rPr>
          <w:rFonts w:ascii="宋体" w:hAnsi="宋体" w:cs="宋体" w:eastAsia="宋体" w:hint="default"/>
          <w:sz w:val="18"/>
          <w:szCs w:val="18"/>
        </w:rPr>
        <w:t>公司经营范围为：设计制作代理发布各类广告；新媒体技术开发；实业投资；会展服务和进出口业务经营。 报告期内，公司主要从事广告策划发布、报刊发行与印刷、教育等业务，涵盖平面媒体、网络媒体、移动新媒体、户</w:t>
      </w:r>
    </w:p>
    <w:p>
      <w:pPr>
        <w:pStyle w:val="BodyText"/>
        <w:spacing w:line="319" w:lineRule="auto"/>
        <w:ind w:right="1131"/>
        <w:jc w:val="both"/>
      </w:pPr>
      <w:r>
        <w:rPr>
          <w:spacing w:val="-2"/>
        </w:rPr>
        <w:t>外媒体包括地铁媒体的广告承揽发布、企事业单位宣传公关的全案策划和实施，各种会展和活动的策划承办；报刊发行与印</w:t>
      </w:r>
      <w:r>
        <w:rPr>
          <w:spacing w:val="-66"/>
        </w:rPr>
        <w:t> </w:t>
      </w:r>
      <w:r>
        <w:rPr>
          <w:spacing w:val="-66"/>
        </w:rPr>
      </w:r>
      <w:r>
        <w:rPr>
          <w:spacing w:val="-2"/>
        </w:rPr>
        <w:t>刷、包装和书籍印刷；覆盖多个省区与多个大专院校合作举办职业教育、成人教育、在线教育，以及教育信息咨询服务和技</w:t>
      </w:r>
      <w:r>
        <w:rPr>
          <w:spacing w:val="-66"/>
        </w:rPr>
        <w:t> </w:t>
      </w:r>
      <w:r>
        <w:rPr>
          <w:spacing w:val="-66"/>
        </w:rPr>
      </w:r>
      <w:r>
        <w:rPr/>
        <w:t>能培训等。</w:t>
      </w:r>
    </w:p>
    <w:p>
      <w:pPr>
        <w:spacing w:line="338" w:lineRule="auto" w:before="58"/>
        <w:ind w:left="573" w:right="11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、公司的主要产品、用途和经营模式</w:t>
      </w:r>
      <w:r>
        <w:rPr>
          <w:rFonts w:ascii="宋体" w:hAnsi="宋体" w:cs="宋体" w:eastAsia="宋体" w:hint="default"/>
          <w:b/>
          <w:bCs/>
          <w:w w:val="99"/>
          <w:sz w:val="18"/>
          <w:szCs w:val="18"/>
        </w:rPr>
        <w:t> </w:t>
      </w:r>
      <w:r>
        <w:rPr>
          <w:rFonts w:ascii="宋体" w:hAnsi="宋体" w:cs="宋体" w:eastAsia="宋体" w:hint="default"/>
          <w:spacing w:val="-1"/>
          <w:sz w:val="18"/>
          <w:szCs w:val="18"/>
        </w:rPr>
        <w:t>广告及策划：</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）报纸广告、网络广告、户外广告（含地铁站内、车厢和围挡广告）、电台广播等多种形式的广告。企</w:t>
      </w:r>
    </w:p>
    <w:p>
      <w:pPr>
        <w:pStyle w:val="BodyText"/>
        <w:spacing w:line="218" w:lineRule="exact"/>
        <w:ind w:right="0"/>
        <w:jc w:val="both"/>
      </w:pPr>
      <w:r>
        <w:rPr/>
        <w:t>事业单位根据自身宣传需要，可以购买公司各类广告服务用以达到扩大影响、增加销售等目的。</w:t>
      </w:r>
    </w:p>
    <w:p>
      <w:pPr>
        <w:pStyle w:val="BodyText"/>
        <w:spacing w:line="302" w:lineRule="auto" w:before="115"/>
        <w:ind w:right="0" w:firstLine="420"/>
        <w:jc w:val="left"/>
      </w:pPr>
      <w:r>
        <w:rPr>
          <w:rFonts w:ascii="Times New Roman" w:hAnsi="Times New Roman" w:cs="Times New Roman" w:eastAsia="Times New Roman" w:hint="default"/>
          <w:spacing w:val="-1"/>
        </w:rPr>
        <w:t>2</w:t>
      </w:r>
      <w:r>
        <w:rPr>
          <w:spacing w:val="-1"/>
        </w:rPr>
        <w:t>）移动新媒体自建自营和代为维护。公司移动新媒体涵盖微信公众号、微博官方账号、手机</w:t>
      </w:r>
      <w:r>
        <w:rPr>
          <w:rFonts w:ascii="Times New Roman" w:hAnsi="Times New Roman" w:cs="Times New Roman" w:eastAsia="Times New Roman" w:hint="default"/>
          <w:spacing w:val="-1"/>
        </w:rPr>
        <w:t>APP</w:t>
      </w:r>
      <w:r>
        <w:rPr>
          <w:spacing w:val="-1"/>
        </w:rPr>
        <w:t>等，为扩大媒体影响</w:t>
      </w:r>
      <w:r>
        <w:rPr/>
        <w:t> 力建设了系列新媒体产品，既可以为公司自身的宣传和营销活动造势，也为其他企事业单位提供新媒体平台服务。</w:t>
      </w:r>
    </w:p>
    <w:p>
      <w:pPr>
        <w:pStyle w:val="BodyText"/>
        <w:spacing w:line="240" w:lineRule="auto" w:before="69"/>
        <w:ind w:left="573" w:right="0"/>
        <w:jc w:val="left"/>
      </w:pPr>
      <w:r>
        <w:rPr>
          <w:rFonts w:ascii="Times New Roman" w:hAnsi="Times New Roman" w:cs="Times New Roman" w:eastAsia="Times New Roman" w:hint="default"/>
        </w:rPr>
        <w:t>3</w:t>
      </w:r>
      <w:r>
        <w:rPr/>
        <w:t>）可供移动端发布的视频信息、彩信手机报等。用以提供给电信运营商，满足手机使用者对于文字和音视频信息的需</w:t>
      </w:r>
    </w:p>
    <w:p>
      <w:pPr>
        <w:pStyle w:val="BodyText"/>
        <w:spacing w:line="240" w:lineRule="auto" w:before="64"/>
        <w:ind w:right="0"/>
        <w:jc w:val="left"/>
      </w:pPr>
      <w:r>
        <w:rPr/>
        <w:t>求。</w:t>
      </w:r>
    </w:p>
    <w:p>
      <w:pPr>
        <w:pStyle w:val="BodyText"/>
        <w:spacing w:line="240" w:lineRule="auto" w:before="115"/>
        <w:ind w:left="573" w:right="0"/>
        <w:jc w:val="left"/>
      </w:pPr>
      <w:r>
        <w:rPr>
          <w:rFonts w:ascii="Times New Roman" w:hAnsi="Times New Roman" w:cs="Times New Roman" w:eastAsia="Times New Roman" w:hint="default"/>
        </w:rPr>
        <w:t>4</w:t>
      </w:r>
      <w:r>
        <w:rPr/>
        <w:t>）主办和承办的各种大型会展和营销活动。承接地方政府和有关部门委托的大型会展，全程负责场地租用、招商和参</w:t>
      </w:r>
    </w:p>
    <w:p>
      <w:pPr>
        <w:pStyle w:val="BodyText"/>
        <w:spacing w:line="357" w:lineRule="auto" w:before="64"/>
        <w:ind w:left="573" w:right="0" w:hanging="420"/>
        <w:jc w:val="left"/>
      </w:pPr>
      <w:r>
        <w:rPr/>
        <w:t>展厂商的宣传、参观或消费客户的组织和管理，服务地方经济，兼顾社会效益和经济效益。 报刊发行及印刷：报刊印刷和商业包装印刷、报刊投递。为杭报集团出版的报纸和杂志提供印刷服务，承接其他机关</w:t>
      </w:r>
    </w:p>
    <w:p>
      <w:pPr>
        <w:pStyle w:val="BodyText"/>
        <w:spacing w:line="357" w:lineRule="auto"/>
        <w:ind w:left="573" w:right="0" w:hanging="420"/>
        <w:jc w:val="left"/>
      </w:pPr>
      <w:r>
        <w:rPr/>
        <w:t>企事业单位书报刊和包装用品的印刷业务。 教育：主要包括成人教育、职业教育、互联网在线教育、教育信息咨询服务和技能培训等。经教育部门批准，与大专</w:t>
      </w:r>
    </w:p>
    <w:p>
      <w:pPr>
        <w:pStyle w:val="BodyText"/>
        <w:spacing w:line="357" w:lineRule="auto"/>
        <w:ind w:left="573" w:right="3311" w:hanging="420"/>
        <w:jc w:val="left"/>
      </w:pPr>
      <w:r>
        <w:rPr/>
        <w:t>院校合办或参与管理、面向全国符合要求的生源招生，提供大专或大学培训教育服务。 其他：主要包括杭州市轻物流配送服务，包括为网络销售平台提供货物投送入户服务等。</w:t>
      </w:r>
    </w:p>
    <w:p>
      <w:pPr>
        <w:pStyle w:val="Heading4"/>
        <w:spacing w:line="240" w:lineRule="auto" w:before="28"/>
        <w:ind w:left="573" w:right="0"/>
        <w:jc w:val="left"/>
        <w:rPr>
          <w:b w:val="0"/>
          <w:bCs w:val="0"/>
        </w:rPr>
      </w:pPr>
      <w:r>
        <w:rPr/>
        <w:t>（二）报告期内公司所属行业的发展阶段、周期性特点以及公司所处的行业地位</w:t>
      </w:r>
      <w:r>
        <w:rPr>
          <w:b w:val="0"/>
          <w:bCs w:val="0"/>
        </w:rPr>
      </w:r>
    </w:p>
    <w:p>
      <w:pPr>
        <w:pStyle w:val="BodyText"/>
        <w:spacing w:line="338" w:lineRule="auto" w:before="117"/>
        <w:ind w:left="574" w:right="1117"/>
        <w:jc w:val="left"/>
      </w:pPr>
      <w:r>
        <w:rPr>
          <w:rFonts w:ascii="Times New Roman" w:hAnsi="Times New Roman" w:cs="Times New Roman" w:eastAsia="Times New Roman" w:hint="default"/>
          <w:b/>
          <w:bCs/>
        </w:rPr>
        <w:t>1</w:t>
      </w:r>
      <w:r>
        <w:rPr>
          <w:rFonts w:ascii="宋体" w:hAnsi="宋体" w:cs="宋体" w:eastAsia="宋体" w:hint="default"/>
          <w:b/>
          <w:bCs/>
        </w:rPr>
        <w:t>、广告及策划</w:t>
      </w:r>
      <w:r>
        <w:rPr>
          <w:rFonts w:ascii="宋体" w:hAnsi="宋体" w:cs="宋体" w:eastAsia="宋体" w:hint="default"/>
          <w:b/>
          <w:bCs/>
          <w:w w:val="99"/>
        </w:rPr>
        <w:t> </w:t>
      </w:r>
      <w:r>
        <w:rPr/>
        <w:t>报告期内，公司依靠品牌效应，持续推动广告及策划业务现有资源的有效整合，以平台思维运作媒体，依托集报刊、</w:t>
      </w:r>
    </w:p>
    <w:p>
      <w:pPr>
        <w:pStyle w:val="BodyText"/>
        <w:spacing w:line="312" w:lineRule="auto" w:before="2"/>
        <w:ind w:right="1030"/>
        <w:jc w:val="left"/>
      </w:pPr>
      <w:r>
        <w:rPr>
          <w:spacing w:val="-3"/>
        </w:rPr>
        <w:t>网站、微博、微信、</w:t>
      </w:r>
      <w:r>
        <w:rPr>
          <w:rFonts w:ascii="Times New Roman" w:hAnsi="Times New Roman" w:cs="Times New Roman" w:eastAsia="Times New Roman" w:hint="default"/>
          <w:spacing w:val="-3"/>
        </w:rPr>
        <w:t>APP</w:t>
      </w:r>
      <w:r>
        <w:rPr>
          <w:spacing w:val="-3"/>
        </w:rPr>
        <w:t>、户外媒体、会展平台等协同驱动的</w:t>
      </w:r>
      <w:r>
        <w:rPr>
          <w:rFonts w:ascii="Times New Roman" w:hAnsi="Times New Roman" w:cs="Times New Roman" w:eastAsia="Times New Roman" w:hint="default"/>
          <w:spacing w:val="-3"/>
        </w:rPr>
        <w:t>“</w:t>
      </w:r>
      <w:r>
        <w:rPr>
          <w:spacing w:val="-3"/>
        </w:rPr>
        <w:t>报网端屏楼</w:t>
      </w:r>
      <w:r>
        <w:rPr>
          <w:rFonts w:ascii="Times New Roman" w:hAnsi="Times New Roman" w:cs="Times New Roman" w:eastAsia="Times New Roman" w:hint="default"/>
          <w:spacing w:val="-3"/>
        </w:rPr>
        <w:t>”</w:t>
      </w:r>
      <w:r>
        <w:rPr>
          <w:spacing w:val="-3"/>
        </w:rPr>
        <w:t>全媒体矩阵，实现媒体深度互融，有效支持纸端、</w:t>
      </w:r>
      <w:r>
        <w:rPr>
          <w:spacing w:val="-45"/>
        </w:rPr>
        <w:t> </w:t>
      </w:r>
      <w:r>
        <w:rPr>
          <w:spacing w:val="-45"/>
        </w:rPr>
      </w:r>
      <w:r>
        <w:rPr>
          <w:spacing w:val="-2"/>
        </w:rPr>
        <w:t>网端、手机端和户外端在重大主题、重要活动的联动配合，充分发挥各业务的综合协同效应，确保广告和会展活动策划业务</w:t>
      </w:r>
      <w:r>
        <w:rPr>
          <w:spacing w:val="-66"/>
        </w:rPr>
        <w:t> </w:t>
      </w:r>
      <w:r>
        <w:rPr>
          <w:spacing w:val="-66"/>
        </w:rPr>
      </w:r>
      <w:r>
        <w:rPr/>
        <w:t>整体保持平稳。杭州日报继续稳居全省市域党报龙头、全国省会城市和副省级城市党报前列地位。都市快报的市场影响力、 市场占有份额等方面，继续名列全省主流媒体前茅。</w:t>
      </w:r>
    </w:p>
    <w:p>
      <w:pPr>
        <w:pStyle w:val="BodyText"/>
        <w:spacing w:line="312" w:lineRule="auto" w:before="61"/>
        <w:ind w:right="1127" w:firstLine="420"/>
        <w:jc w:val="both"/>
      </w:pPr>
      <w:r>
        <w:rPr/>
        <w:t>根据</w:t>
      </w:r>
      <w:r>
        <w:rPr>
          <w:rFonts w:ascii="Times New Roman" w:hAnsi="Times New Roman" w:cs="Times New Roman" w:eastAsia="Times New Roman" w:hint="default"/>
        </w:rPr>
        <w:t>CTR</w:t>
      </w:r>
      <w:r>
        <w:rPr/>
        <w:t>媒介智讯的研究显示，疫情发生后，各媒体的广告投放均呈现下滑，下滑主要源于两方面，一是广告主避险</w:t>
      </w:r>
      <w:r>
        <w:rPr>
          <w:spacing w:val="1"/>
        </w:rPr>
        <w:t> </w:t>
      </w:r>
      <w:r>
        <w:rPr>
          <w:spacing w:val="-2"/>
        </w:rPr>
        <w:t>需求提高，疫情期间消费者需求减少。二是媒体资源量有所减少，从纸媒的角度看，新闻采编、印刷投递等等都受到疫情封</w:t>
      </w:r>
      <w:r>
        <w:rPr>
          <w:spacing w:val="-66"/>
        </w:rPr>
        <w:t> </w:t>
      </w:r>
      <w:r>
        <w:rPr>
          <w:spacing w:val="-66"/>
        </w:rPr>
      </w:r>
      <w:r>
        <w:rPr>
          <w:spacing w:val="-2"/>
        </w:rPr>
        <w:t>路或停工等因素，对整体纸媒的广告资源量有所影响，户外媒体也因出行受阻等因素导致投放量减少。本公司的广告与策划</w:t>
      </w:r>
      <w:r>
        <w:rPr>
          <w:spacing w:val="-66"/>
        </w:rPr>
        <w:t> </w:t>
      </w:r>
      <w:r>
        <w:rPr>
          <w:spacing w:val="-66"/>
        </w:rPr>
      </w:r>
      <w:r>
        <w:rPr/>
        <w:t>业务也受到不利影响。</w:t>
      </w:r>
    </w:p>
    <w:p>
      <w:pPr>
        <w:pStyle w:val="BodyText"/>
        <w:spacing w:line="338" w:lineRule="auto" w:before="62"/>
        <w:ind w:left="574" w:right="0"/>
        <w:jc w:val="left"/>
      </w:pPr>
      <w:r>
        <w:rPr>
          <w:rFonts w:ascii="Times New Roman" w:hAnsi="Times New Roman" w:cs="Times New Roman" w:eastAsia="Times New Roman" w:hint="default"/>
          <w:b/>
          <w:bCs/>
        </w:rPr>
        <w:t>2</w:t>
      </w:r>
      <w:r>
        <w:rPr>
          <w:rFonts w:ascii="宋体" w:hAnsi="宋体" w:cs="宋体" w:eastAsia="宋体" w:hint="default"/>
          <w:b/>
          <w:bCs/>
        </w:rPr>
        <w:t>、报刊发行及印刷</w:t>
      </w:r>
      <w:r>
        <w:rPr>
          <w:rFonts w:ascii="宋体" w:hAnsi="宋体" w:cs="宋体" w:eastAsia="宋体" w:hint="default"/>
          <w:b/>
          <w:bCs/>
          <w:w w:val="99"/>
        </w:rPr>
        <w:t> </w:t>
      </w:r>
      <w:r>
        <w:rPr>
          <w:spacing w:val="-1"/>
        </w:rPr>
        <w:t>根据中国报业协会发布的数据显示，</w:t>
      </w:r>
      <w:r>
        <w:rPr>
          <w:rFonts w:ascii="Times New Roman" w:hAnsi="Times New Roman" w:cs="Times New Roman" w:eastAsia="Times New Roman" w:hint="default"/>
          <w:spacing w:val="-1"/>
        </w:rPr>
        <w:t>2019</w:t>
      </w:r>
      <w:r>
        <w:rPr>
          <w:spacing w:val="-1"/>
        </w:rPr>
        <w:t>年国内新闻纸与进口新闻纸总供应量约为</w:t>
      </w:r>
      <w:r>
        <w:rPr>
          <w:rFonts w:ascii="Times New Roman" w:hAnsi="Times New Roman" w:cs="Times New Roman" w:eastAsia="Times New Roman" w:hint="default"/>
          <w:spacing w:val="-1"/>
        </w:rPr>
        <w:t>170</w:t>
      </w:r>
      <w:r>
        <w:rPr>
          <w:spacing w:val="-1"/>
        </w:rPr>
        <w:t>万吨，需求总量约为</w:t>
      </w:r>
      <w:r>
        <w:rPr>
          <w:rFonts w:ascii="Times New Roman" w:hAnsi="Times New Roman" w:cs="Times New Roman" w:eastAsia="Times New Roman" w:hint="default"/>
          <w:spacing w:val="-1"/>
        </w:rPr>
        <w:t>149.8</w:t>
      </w:r>
      <w:r>
        <w:rPr>
          <w:spacing w:val="-1"/>
        </w:rPr>
        <w:t>万吨，</w:t>
      </w:r>
    </w:p>
    <w:p>
      <w:pPr>
        <w:pStyle w:val="BodyText"/>
        <w:spacing w:line="230" w:lineRule="exact"/>
        <w:ind w:right="0"/>
        <w:jc w:val="left"/>
      </w:pPr>
      <w:r>
        <w:rPr/>
        <w:t>供大于求。预测</w:t>
      </w:r>
      <w:r>
        <w:rPr>
          <w:rFonts w:ascii="Times New Roman" w:hAnsi="Times New Roman" w:cs="Times New Roman" w:eastAsia="Times New Roman" w:hint="default"/>
        </w:rPr>
        <w:t>2020</w:t>
      </w:r>
      <w:r>
        <w:rPr/>
        <w:t>年国产新闻纸总供应量约为</w:t>
      </w:r>
      <w:r>
        <w:rPr>
          <w:rFonts w:ascii="Times New Roman" w:hAnsi="Times New Roman" w:cs="Times New Roman" w:eastAsia="Times New Roman" w:hint="default"/>
        </w:rPr>
        <w:t>173</w:t>
      </w:r>
      <w:r>
        <w:rPr/>
        <w:t>万吨，全国报业总需求量约为</w:t>
      </w:r>
      <w:r>
        <w:rPr>
          <w:rFonts w:ascii="Times New Roman" w:hAnsi="Times New Roman" w:cs="Times New Roman" w:eastAsia="Times New Roman" w:hint="default"/>
        </w:rPr>
        <w:t>147.3</w:t>
      </w:r>
      <w:r>
        <w:rPr/>
        <w:t>万吨，新闻纸市场仍将供大于求。公</w:t>
      </w:r>
    </w:p>
    <w:p>
      <w:pPr>
        <w:pStyle w:val="BodyText"/>
        <w:spacing w:line="240" w:lineRule="auto" w:before="64"/>
        <w:ind w:right="0"/>
        <w:jc w:val="left"/>
      </w:pPr>
      <w:r>
        <w:rPr/>
        <w:t>司的印刷业务受益于新闻纸价格、税率调整、成本管控和市场拓展等因素的影响，毛利率有所提高。</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420"/>
        <w:jc w:val="left"/>
      </w:pPr>
      <w:r>
        <w:rPr>
          <w:spacing w:val="-2"/>
        </w:rPr>
        <w:t>报告期内，公司在承担集团内部报纸、杂志的印刷任务的同时，积极拓展商业印刷，已成为家乐福、欧尚、华润万家、</w:t>
      </w:r>
      <w:r>
        <w:rPr/>
        <w:t> </w:t>
      </w:r>
      <w:r>
        <w:rPr>
          <w:spacing w:val="-2"/>
        </w:rPr>
        <w:t>复旦大学出版社和华东师范大学出版社等多家大型企事业的合作伙伴。通过适当提高部分报纸订阅价格，积极拓展征订数量</w:t>
      </w:r>
      <w:r>
        <w:rPr>
          <w:spacing w:val="-64"/>
        </w:rPr>
        <w:t> </w:t>
      </w:r>
      <w:r>
        <w:rPr>
          <w:spacing w:val="-64"/>
        </w:rPr>
      </w:r>
      <w:r>
        <w:rPr/>
        <w:t>等措施，报刊发行业务收入同比有所增长。</w:t>
      </w:r>
    </w:p>
    <w:p>
      <w:pPr>
        <w:pStyle w:val="Heading4"/>
        <w:spacing w:line="240" w:lineRule="auto" w:before="56"/>
        <w:ind w:left="574" w:right="0"/>
        <w:jc w:val="left"/>
        <w:rPr>
          <w:b w:val="0"/>
          <w:bCs w:val="0"/>
        </w:rPr>
      </w:pPr>
      <w:r>
        <w:rPr>
          <w:rFonts w:ascii="Times New Roman" w:hAnsi="Times New Roman" w:cs="Times New Roman" w:eastAsia="Times New Roman" w:hint="default"/>
        </w:rPr>
        <w:t>3</w:t>
      </w:r>
      <w:r>
        <w:rPr/>
        <w:t>、教育</w:t>
      </w:r>
      <w:r>
        <w:rPr>
          <w:b w:val="0"/>
          <w:bCs w:val="0"/>
        </w:rPr>
      </w:r>
    </w:p>
    <w:p>
      <w:pPr>
        <w:pStyle w:val="BodyText"/>
        <w:spacing w:line="300" w:lineRule="auto" w:before="102"/>
        <w:ind w:right="1078" w:firstLine="420"/>
        <w:jc w:val="both"/>
      </w:pPr>
      <w:r>
        <w:rPr>
          <w:rFonts w:ascii="Times New Roman" w:hAnsi="Times New Roman" w:cs="Times New Roman" w:eastAsia="Times New Roman" w:hint="default"/>
        </w:rPr>
        <w:t>2005</w:t>
      </w:r>
      <w:r>
        <w:rPr/>
        <w:t>年以来，职业教育政策持续利好。一是职业教育的定位不断强化提升，二是鼓励社会力量参与职业教育办学的主</w:t>
      </w:r>
      <w:r>
        <w:rPr>
          <w:spacing w:val="1"/>
        </w:rPr>
        <w:t> </w:t>
      </w:r>
      <w:r>
        <w:rPr/>
        <w:t>基调不断明确。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月出台《国家职业教育改革实施方案》，再次强调建设多元办学格局，着力激发企业参与和举办职</w:t>
      </w:r>
      <w:r>
        <w:rPr>
          <w:spacing w:val="-83"/>
        </w:rPr>
        <w:t> </w:t>
      </w:r>
      <w:r>
        <w:rPr>
          <w:spacing w:val="-83"/>
        </w:rPr>
      </w:r>
      <w:r>
        <w:rPr/>
        <w:t>业教育的内生动力，经过</w:t>
      </w:r>
      <w:r>
        <w:rPr>
          <w:rFonts w:ascii="Times New Roman" w:hAnsi="Times New Roman" w:cs="Times New Roman" w:eastAsia="Times New Roman" w:hint="default"/>
        </w:rPr>
        <w:t>5-10</w:t>
      </w:r>
      <w:r>
        <w:rPr/>
        <w:t>年左右时间，职业教育基本完成由政府举办为主向政府统筹管理、社会多元办学的格局转变。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日，中共中央、国务院印发《加快推进教育现代化实施方案（</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2022</w:t>
      </w:r>
      <w:r>
        <w:rPr/>
        <w:t>年）》和《中国教育现代化</w:t>
      </w:r>
      <w:r>
        <w:rPr>
          <w:rFonts w:ascii="Times New Roman" w:hAnsi="Times New Roman" w:cs="Times New Roman" w:eastAsia="Times New Roman" w:hint="default"/>
        </w:rPr>
        <w:t>2035</w:t>
      </w:r>
      <w:r>
        <w:rPr/>
        <w:t>》重</w:t>
      </w:r>
      <w:r>
        <w:rPr>
          <w:spacing w:val="-85"/>
        </w:rPr>
        <w:t> </w:t>
      </w:r>
      <w:r>
        <w:rPr/>
        <w:t>点强调</w:t>
      </w:r>
      <w:r>
        <w:rPr>
          <w:rFonts w:ascii="Times New Roman" w:hAnsi="Times New Roman" w:cs="Times New Roman" w:eastAsia="Times New Roman" w:hint="default"/>
        </w:rPr>
        <w:t>“</w:t>
      </w:r>
      <w:r>
        <w:rPr/>
        <w:t>完善职业教育体系、健全行业制度标准</w:t>
      </w:r>
      <w:r>
        <w:rPr>
          <w:rFonts w:ascii="Times New Roman" w:hAnsi="Times New Roman" w:cs="Times New Roman" w:eastAsia="Times New Roman" w:hint="default"/>
        </w:rPr>
        <w:t>”</w:t>
      </w:r>
      <w:r>
        <w:rPr/>
        <w:t>等。</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月李克强总理政府工作报告也再次明确：支持企业和社会力量</w:t>
      </w:r>
      <w:r>
        <w:rPr>
          <w:spacing w:val="-69"/>
        </w:rPr>
        <w:t> </w:t>
      </w:r>
      <w:r>
        <w:rPr>
          <w:spacing w:val="-69"/>
        </w:rPr>
      </w:r>
      <w:r>
        <w:rPr/>
        <w:t>兴办职业教育。</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月《中华人民共和国职业教育法修订草案（征求意见稿）》进一步落实职业教育</w:t>
      </w:r>
      <w:r>
        <w:rPr>
          <w:rFonts w:ascii="Times New Roman" w:hAnsi="Times New Roman" w:cs="Times New Roman" w:eastAsia="Times New Roman" w:hint="default"/>
        </w:rPr>
        <w:t>“</w:t>
      </w:r>
      <w:r>
        <w:rPr/>
        <w:t>由政府举办为主</w:t>
      </w:r>
      <w:r>
        <w:rPr>
          <w:spacing w:val="-76"/>
        </w:rPr>
        <w:t> </w:t>
      </w:r>
      <w:r>
        <w:rPr>
          <w:spacing w:val="-76"/>
        </w:rPr>
      </w:r>
      <w:r>
        <w:rPr/>
        <w:t>向政府统筹管理、社会多元办学的格局转变</w:t>
      </w:r>
      <w:r>
        <w:rPr>
          <w:rFonts w:ascii="Times New Roman" w:hAnsi="Times New Roman" w:cs="Times New Roman" w:eastAsia="Times New Roman" w:hint="default"/>
        </w:rPr>
        <w:t>”</w:t>
      </w:r>
      <w:r>
        <w:rPr/>
        <w:t>的要求。</w:t>
      </w:r>
    </w:p>
    <w:p>
      <w:pPr>
        <w:pStyle w:val="BodyText"/>
        <w:spacing w:line="302" w:lineRule="auto" w:before="51"/>
        <w:ind w:right="1128" w:firstLine="420"/>
        <w:jc w:val="both"/>
      </w:pPr>
      <w:r>
        <w:rPr/>
        <w:t>根据艾瑞咨询数据，</w:t>
      </w:r>
      <w:r>
        <w:rPr>
          <w:rFonts w:ascii="Times New Roman" w:hAnsi="Times New Roman" w:cs="Times New Roman" w:eastAsia="Times New Roman" w:hint="default"/>
        </w:rPr>
        <w:t>2019</w:t>
      </w:r>
      <w:r>
        <w:rPr/>
        <w:t>年中国在线职业教育（包含执业资格考试及部分职业技能）规模为</w:t>
      </w:r>
      <w:r>
        <w:rPr>
          <w:rFonts w:ascii="Times New Roman" w:hAnsi="Times New Roman" w:cs="Times New Roman" w:eastAsia="Times New Roman" w:hint="default"/>
        </w:rPr>
        <w:t>393</w:t>
      </w:r>
      <w:r>
        <w:rPr/>
        <w:t>亿元，</w:t>
      </w:r>
      <w:r>
        <w:rPr>
          <w:rFonts w:ascii="Times New Roman" w:hAnsi="Times New Roman" w:cs="Times New Roman" w:eastAsia="Times New Roman" w:hint="default"/>
        </w:rPr>
        <w:t>2012-2019</w:t>
      </w:r>
      <w:r>
        <w:rPr/>
        <w:t>年复 合增速为</w:t>
      </w:r>
      <w:r>
        <w:rPr>
          <w:rFonts w:ascii="Times New Roman" w:hAnsi="Times New Roman" w:cs="Times New Roman" w:eastAsia="Times New Roman" w:hint="default"/>
        </w:rPr>
        <w:t>22%</w:t>
      </w:r>
      <w:r>
        <w:rPr/>
        <w:t>，预计未来</w:t>
      </w:r>
      <w:r>
        <w:rPr>
          <w:rFonts w:ascii="Times New Roman" w:hAnsi="Times New Roman" w:cs="Times New Roman" w:eastAsia="Times New Roman" w:hint="default"/>
        </w:rPr>
        <w:t>3</w:t>
      </w:r>
      <w:r>
        <w:rPr/>
        <w:t>年仍将保持</w:t>
      </w:r>
      <w:r>
        <w:rPr>
          <w:rFonts w:ascii="Times New Roman" w:hAnsi="Times New Roman" w:cs="Times New Roman" w:eastAsia="Times New Roman" w:hint="default"/>
        </w:rPr>
        <w:t>20%</w:t>
      </w:r>
      <w:r>
        <w:rPr/>
        <w:t>左右的增长。</w:t>
      </w:r>
    </w:p>
    <w:p>
      <w:pPr>
        <w:pStyle w:val="BodyText"/>
        <w:spacing w:line="312" w:lineRule="auto" w:before="49"/>
        <w:ind w:right="1126" w:firstLine="420"/>
        <w:jc w:val="both"/>
      </w:pPr>
      <w:r>
        <w:rPr/>
        <w:t>职业教育大发展是经济结构调整、产业升级背景下的必然趋势。公司所属北京中教未来公司依托于以北京为中心的全</w:t>
      </w:r>
      <w:r>
        <w:rPr>
          <w:spacing w:val="1"/>
        </w:rPr>
        <w:t> </w:t>
      </w:r>
      <w:r>
        <w:rPr>
          <w:spacing w:val="-2"/>
        </w:rPr>
        <w:t>国运营和教学管理中心，对布点校区和项目提供专业化运营和管理支持，涵盖职业、国际、</w:t>
      </w:r>
      <w:r>
        <w:rPr>
          <w:rFonts w:ascii="Times New Roman" w:hAnsi="Times New Roman" w:cs="Times New Roman" w:eastAsia="Times New Roman" w:hint="default"/>
          <w:spacing w:val="-2"/>
        </w:rPr>
        <w:t>IT</w:t>
      </w:r>
      <w:r>
        <w:rPr>
          <w:spacing w:val="-2"/>
        </w:rPr>
        <w:t>、艺术、在线、基础六大教育</w:t>
      </w:r>
      <w:r>
        <w:rPr>
          <w:spacing w:val="-55"/>
        </w:rPr>
        <w:t> </w:t>
      </w:r>
      <w:r>
        <w:rPr>
          <w:spacing w:val="-55"/>
        </w:rPr>
      </w:r>
      <w:r>
        <w:rPr>
          <w:spacing w:val="-2"/>
        </w:rPr>
        <w:t>板块，已形成立足北京，辐射全国的华北、华南、西南、华东、华中、东北、西北七大业务区域。同时，公司积极拓展浙江</w:t>
      </w:r>
      <w:r>
        <w:rPr>
          <w:spacing w:val="-71"/>
        </w:rPr>
        <w:t> </w:t>
      </w:r>
      <w:r>
        <w:rPr>
          <w:spacing w:val="-71"/>
        </w:rPr>
      </w:r>
      <w:r>
        <w:rPr/>
        <w:t>本地教育培训业务。</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60"/>
        <w:gridCol w:w="7985"/>
      </w:tblGrid>
      <w:tr>
        <w:trPr>
          <w:trHeight w:val="187"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60"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98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98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98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560" w:type="dxa"/>
            <w:tcBorders>
              <w:top w:val="single" w:sz="4" w:space="0" w:color="000000"/>
              <w:left w:val="single" w:sz="4" w:space="0" w:color="000000"/>
              <w:bottom w:val="nil" w:sz="6" w:space="0" w:color="auto"/>
              <w:right w:val="single" w:sz="13" w:space="0" w:color="C7EDCC"/>
            </w:tcBorders>
            <w:shd w:val="clear" w:color="auto" w:fill="D3D3D3"/>
          </w:tcPr>
          <w:p>
            <w:pPr/>
          </w:p>
        </w:tc>
        <w:tc>
          <w:tcPr>
            <w:tcW w:w="7985"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年末在建工程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314,694,227.66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32.65%</w:t>
            </w:r>
            <w:r>
              <w:rPr>
                <w:rFonts w:ascii="宋体" w:hAnsi="宋体" w:cs="宋体" w:eastAsia="宋体" w:hint="default"/>
                <w:sz w:val="18"/>
                <w:szCs w:val="18"/>
              </w:rPr>
              <w:t>，系萧文置业文创大厦尚在建设中，</w:t>
            </w:r>
          </w:p>
        </w:tc>
      </w:tr>
      <w:tr>
        <w:trPr>
          <w:trHeight w:val="202" w:hRule="exact"/>
        </w:trPr>
        <w:tc>
          <w:tcPr>
            <w:tcW w:w="1560" w:type="dxa"/>
            <w:vMerge w:val="restart"/>
            <w:tcBorders>
              <w:top w:val="nil" w:sz="6" w:space="0" w:color="auto"/>
              <w:left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985" w:type="dxa"/>
            <w:vMerge/>
            <w:tcBorders>
              <w:left w:val="single" w:sz="9" w:space="0" w:color="D3D3D3"/>
              <w:bottom w:val="nil" w:sz="6" w:space="0" w:color="auto"/>
              <w:right w:val="single" w:sz="4" w:space="0" w:color="000000"/>
            </w:tcBorders>
            <w:shd w:val="clear" w:color="auto" w:fill="C7EDCC"/>
          </w:tcPr>
          <w:p>
            <w:pPr/>
          </w:p>
        </w:tc>
      </w:tr>
      <w:tr>
        <w:trPr>
          <w:trHeight w:val="190" w:hRule="exact"/>
        </w:trPr>
        <w:tc>
          <w:tcPr>
            <w:tcW w:w="1560" w:type="dxa"/>
            <w:vMerge/>
            <w:tcBorders>
              <w:left w:val="single" w:sz="4" w:space="0" w:color="000000"/>
              <w:bottom w:val="nil" w:sz="6" w:space="0" w:color="auto"/>
              <w:right w:val="single" w:sz="13" w:space="0" w:color="C7EDCC"/>
            </w:tcBorders>
            <w:shd w:val="clear" w:color="auto" w:fill="D3D3D3"/>
          </w:tcPr>
          <w:p>
            <w:pPr/>
          </w:p>
        </w:tc>
        <w:tc>
          <w:tcPr>
            <w:tcW w:w="7985" w:type="dxa"/>
            <w:vMerge w:val="restart"/>
            <w:tcBorders>
              <w:top w:val="nil" w:sz="6" w:space="0" w:color="auto"/>
              <w:left w:val="single" w:sz="9" w:space="0" w:color="D3D3D3"/>
              <w:right w:val="single" w:sz="4" w:space="0" w:color="000000"/>
            </w:tcBorders>
            <w:shd w:val="clear" w:color="auto" w:fill="C7EDCC"/>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由此导致在建工程较上期增加。</w:t>
            </w:r>
          </w:p>
        </w:tc>
      </w:tr>
      <w:tr>
        <w:trPr>
          <w:trHeight w:val="161" w:hRule="exact"/>
        </w:trPr>
        <w:tc>
          <w:tcPr>
            <w:tcW w:w="1560" w:type="dxa"/>
            <w:tcBorders>
              <w:top w:val="nil" w:sz="6" w:space="0" w:color="auto"/>
              <w:left w:val="single" w:sz="4" w:space="0" w:color="000000"/>
              <w:bottom w:val="single" w:sz="4" w:space="0" w:color="000000"/>
              <w:right w:val="single" w:sz="13" w:space="0" w:color="C7EDCC"/>
            </w:tcBorders>
            <w:shd w:val="clear" w:color="auto" w:fill="D3D3D3"/>
          </w:tcPr>
          <w:p>
            <w:pPr/>
          </w:p>
        </w:tc>
        <w:tc>
          <w:tcPr>
            <w:tcW w:w="7985" w:type="dxa"/>
            <w:vMerge/>
            <w:tcBorders>
              <w:left w:val="single" w:sz="9" w:space="0" w:color="D3D3D3"/>
              <w:bottom w:val="single" w:sz="4" w:space="0" w:color="000000"/>
              <w:right w:val="single" w:sz="4" w:space="0" w:color="000000"/>
            </w:tcBorders>
            <w:shd w:val="clear" w:color="auto" w:fill="C7EDCC"/>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年末应收款项融资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19,114,852.91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165.34%</w:t>
            </w:r>
            <w:r>
              <w:rPr>
                <w:rFonts w:ascii="宋体" w:hAnsi="宋体" w:cs="宋体" w:eastAsia="宋体" w:hint="default"/>
                <w:sz w:val="18"/>
                <w:szCs w:val="18"/>
              </w:rPr>
              <w:t>，系盛元印务用银行承兑汇票代</w:t>
            </w: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7985" w:type="dxa"/>
            <w:vMerge/>
            <w:tcBorders>
              <w:left w:val="single" w:sz="4" w:space="0" w:color="000000"/>
              <w:bottom w:val="nil" w:sz="6" w:space="0" w:color="auto"/>
              <w:right w:val="single" w:sz="4" w:space="0" w:color="000000"/>
            </w:tcBorders>
            <w:shd w:val="clear" w:color="auto" w:fill="C7EDCC"/>
          </w:tcPr>
          <w:p>
            <w:pPr/>
          </w:p>
        </w:tc>
      </w:tr>
      <w:tr>
        <w:trPr>
          <w:trHeight w:val="190" w:hRule="exact"/>
        </w:trPr>
        <w:tc>
          <w:tcPr>
            <w:tcW w:w="1560" w:type="dxa"/>
            <w:vMerge/>
            <w:tcBorders>
              <w:left w:val="single" w:sz="4" w:space="0" w:color="000000"/>
              <w:bottom w:val="nil" w:sz="6" w:space="0" w:color="auto"/>
              <w:right w:val="single" w:sz="4" w:space="0" w:color="000000"/>
            </w:tcBorders>
            <w:shd w:val="clear" w:color="auto" w:fill="C7EDCC"/>
          </w:tcPr>
          <w:p>
            <w:pPr/>
          </w:p>
        </w:tc>
        <w:tc>
          <w:tcPr>
            <w:tcW w:w="7985"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替现金回款。</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5"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年末存货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27,040,166.52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35.49%</w:t>
            </w: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年纸张采购成本处于上涨趋</w:t>
            </w: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985" w:type="dxa"/>
            <w:vMerge/>
            <w:tcBorders>
              <w:left w:val="single" w:sz="4" w:space="0" w:color="000000"/>
              <w:bottom w:val="nil" w:sz="6" w:space="0" w:color="auto"/>
              <w:right w:val="single" w:sz="4" w:space="0" w:color="000000"/>
            </w:tcBorders>
            <w:shd w:val="clear" w:color="auto" w:fill="C7EDCC"/>
          </w:tcPr>
          <w:p>
            <w:pPr/>
          </w:p>
        </w:tc>
      </w:tr>
      <w:tr>
        <w:trPr>
          <w:trHeight w:val="190" w:hRule="exact"/>
        </w:trPr>
        <w:tc>
          <w:tcPr>
            <w:tcW w:w="1560" w:type="dxa"/>
            <w:vMerge/>
            <w:tcBorders>
              <w:left w:val="single" w:sz="4" w:space="0" w:color="000000"/>
              <w:bottom w:val="nil" w:sz="6" w:space="0" w:color="auto"/>
              <w:right w:val="single" w:sz="4" w:space="0" w:color="000000"/>
            </w:tcBorders>
            <w:shd w:val="clear" w:color="auto" w:fill="C7EDCC"/>
          </w:tcPr>
          <w:p>
            <w:pPr/>
          </w:p>
        </w:tc>
        <w:tc>
          <w:tcPr>
            <w:tcW w:w="7985"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6"/>
              <w:ind w:left="11" w:right="-1"/>
              <w:jc w:val="left"/>
              <w:rPr>
                <w:rFonts w:ascii="宋体" w:hAnsi="宋体" w:cs="宋体" w:eastAsia="宋体" w:hint="default"/>
                <w:sz w:val="18"/>
                <w:szCs w:val="18"/>
              </w:rPr>
            </w:pPr>
            <w:r>
              <w:rPr>
                <w:rFonts w:ascii="宋体" w:hAnsi="宋体" w:cs="宋体" w:eastAsia="宋体" w:hint="default"/>
                <w:sz w:val="18"/>
                <w:szCs w:val="18"/>
              </w:rPr>
              <w:t>势，公司为了稳定纸张价格而提前备货较多，</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年纸张采购成本处于下降趋势，公司不再大量备货。</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5"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年末其他权益工具投资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134,950,686.64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57.68%</w:t>
            </w:r>
            <w:r>
              <w:rPr>
                <w:rFonts w:ascii="宋体" w:hAnsi="宋体" w:cs="宋体" w:eastAsia="宋体" w:hint="default"/>
                <w:sz w:val="18"/>
                <w:szCs w:val="18"/>
              </w:rPr>
              <w:t>，系新增投资</w:t>
            </w:r>
            <w:r>
              <w:rPr>
                <w:rFonts w:ascii="Times New Roman" w:hAnsi="Times New Roman" w:cs="Times New Roman" w:eastAsia="Times New Roman" w:hint="default"/>
                <w:sz w:val="18"/>
                <w:szCs w:val="18"/>
              </w:rPr>
              <w:t>“</w:t>
            </w:r>
            <w:r>
              <w:rPr>
                <w:rFonts w:ascii="宋体" w:hAnsi="宋体" w:cs="宋体" w:eastAsia="宋体" w:hint="default"/>
                <w:sz w:val="18"/>
                <w:szCs w:val="18"/>
              </w:rPr>
              <w:t>嘉兴城镜股权</w:t>
            </w: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7985" w:type="dxa"/>
            <w:vMerge/>
            <w:tcBorders>
              <w:left w:val="single" w:sz="4" w:space="0" w:color="000000"/>
              <w:bottom w:val="nil" w:sz="6" w:space="0" w:color="auto"/>
              <w:right w:val="single" w:sz="4" w:space="0" w:color="000000"/>
            </w:tcBorders>
            <w:shd w:val="clear" w:color="auto" w:fill="C7EDCC"/>
          </w:tcPr>
          <w:p>
            <w:pPr/>
          </w:p>
        </w:tc>
      </w:tr>
      <w:tr>
        <w:trPr>
          <w:trHeight w:val="190" w:hRule="exact"/>
        </w:trPr>
        <w:tc>
          <w:tcPr>
            <w:tcW w:w="1560" w:type="dxa"/>
            <w:vMerge/>
            <w:tcBorders>
              <w:left w:val="single" w:sz="4" w:space="0" w:color="000000"/>
              <w:bottom w:val="nil" w:sz="6" w:space="0" w:color="auto"/>
              <w:right w:val="single" w:sz="4" w:space="0" w:color="000000"/>
            </w:tcBorders>
            <w:shd w:val="clear" w:color="auto" w:fill="C7EDCC"/>
          </w:tcPr>
          <w:p>
            <w:pPr/>
          </w:p>
        </w:tc>
        <w:tc>
          <w:tcPr>
            <w:tcW w:w="7985"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投资合伙企业（有限合伙）</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5"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年末投资性房地产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24,445,233.99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40.87%</w:t>
            </w:r>
            <w:r>
              <w:rPr>
                <w:rFonts w:ascii="宋体" w:hAnsi="宋体" w:cs="宋体" w:eastAsia="宋体" w:hint="default"/>
                <w:sz w:val="18"/>
                <w:szCs w:val="18"/>
              </w:rPr>
              <w:t>，系子公司日报传媒、快报控股将</w:t>
            </w: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985" w:type="dxa"/>
            <w:vMerge/>
            <w:tcBorders>
              <w:left w:val="single" w:sz="4" w:space="0" w:color="000000"/>
              <w:bottom w:val="nil" w:sz="6" w:space="0" w:color="auto"/>
              <w:right w:val="single" w:sz="4" w:space="0" w:color="000000"/>
            </w:tcBorders>
            <w:shd w:val="clear" w:color="auto" w:fill="C7EDCC"/>
          </w:tcPr>
          <w:p>
            <w:pPr/>
          </w:p>
        </w:tc>
      </w:tr>
      <w:tr>
        <w:trPr>
          <w:trHeight w:val="190" w:hRule="exact"/>
        </w:trPr>
        <w:tc>
          <w:tcPr>
            <w:tcW w:w="1560" w:type="dxa"/>
            <w:vMerge/>
            <w:tcBorders>
              <w:left w:val="single" w:sz="4" w:space="0" w:color="000000"/>
              <w:bottom w:val="nil" w:sz="6" w:space="0" w:color="auto"/>
              <w:right w:val="single" w:sz="4" w:space="0" w:color="000000"/>
            </w:tcBorders>
            <w:shd w:val="clear" w:color="auto" w:fill="C7EDCC"/>
          </w:tcPr>
          <w:p>
            <w:pPr/>
          </w:p>
        </w:tc>
        <w:tc>
          <w:tcPr>
            <w:tcW w:w="7985"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本年开始出租房屋由固定资产转至投资性房地产。</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5" w:type="dxa"/>
            <w:vMerge/>
            <w:tcBorders>
              <w:left w:val="single" w:sz="4" w:space="0" w:color="000000"/>
              <w:bottom w:val="single" w:sz="4" w:space="0" w:color="000000"/>
              <w:right w:val="single" w:sz="4" w:space="0" w:color="000000"/>
            </w:tcBorders>
            <w:shd w:val="clear" w:color="auto" w:fill="C7EDCC"/>
          </w:tcPr>
          <w:p>
            <w:pPr/>
          </w:p>
        </w:tc>
      </w:tr>
      <w:tr>
        <w:trPr>
          <w:trHeight w:val="317" w:hRule="exact"/>
        </w:trPr>
        <w:tc>
          <w:tcPr>
            <w:tcW w:w="1560"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年末长期待摊费用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52,438,342.79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57.93%</w:t>
            </w:r>
            <w:r>
              <w:rPr>
                <w:rFonts w:ascii="宋体" w:hAnsi="宋体" w:cs="宋体" w:eastAsia="宋体" w:hint="default"/>
                <w:sz w:val="18"/>
                <w:szCs w:val="18"/>
              </w:rPr>
              <w:t>，系本期新增万和国际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号楼装修</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费、华媒维翰幼儿园装修费、中教装修费、风盛子公司智骊新增杭报工程外墙改造费、风盛新增上海</w:t>
            </w:r>
          </w:p>
        </w:tc>
      </w:tr>
      <w:tr>
        <w:trPr>
          <w:trHeight w:val="317" w:hRule="exact"/>
        </w:trPr>
        <w:tc>
          <w:tcPr>
            <w:tcW w:w="1560"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2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屏改造费。</w:t>
            </w:r>
          </w:p>
        </w:tc>
      </w:tr>
    </w:tbl>
    <w:p>
      <w:pPr>
        <w:spacing w:after="0" w:line="222" w:lineRule="exact"/>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8008"/>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年末递延所得税资产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3,842,576.58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49.80%</w:t>
            </w:r>
            <w:r>
              <w:rPr>
                <w:rFonts w:ascii="宋体" w:hAnsi="宋体" w:cs="宋体" w:eastAsia="宋体" w:hint="default"/>
                <w:sz w:val="18"/>
                <w:szCs w:val="18"/>
              </w:rPr>
              <w:t>，系广州正索等公司亏损计提的 递延影响。</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0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年末其他非流动资产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33,532,742.94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30.83%</w:t>
            </w:r>
            <w:r>
              <w:rPr>
                <w:rFonts w:ascii="宋体" w:hAnsi="宋体" w:cs="宋体" w:eastAsia="宋体" w:hint="default"/>
                <w:sz w:val="18"/>
                <w:szCs w:val="18"/>
              </w:rPr>
              <w:t>，系都市快报文化事业单位转制 前进项税留抵税额，</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年由于新税收政策的执行而使用进项税留抵税额导致其减少。</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63" w:firstLine="424"/>
        <w:jc w:val="both"/>
      </w:pPr>
      <w:r>
        <w:rPr/>
        <w:t>作为中国报业集团第一方阵的一员，公司实际控制人杭报集团努力推进媒体融合发展，着力于区域领先优势的构建和 确立，借助资本市场做强做大党报媒体产业，以确保公司通过转型升级加快发展。</w:t>
      </w:r>
    </w:p>
    <w:p>
      <w:pPr>
        <w:pStyle w:val="Heading4"/>
        <w:spacing w:line="240" w:lineRule="auto"/>
        <w:ind w:left="578" w:right="0"/>
        <w:jc w:val="left"/>
        <w:rPr>
          <w:b w:val="0"/>
          <w:bCs w:val="0"/>
        </w:rPr>
      </w:pPr>
      <w:r>
        <w:rPr/>
        <w:t>1、权威公信力优势</w:t>
      </w:r>
      <w:r>
        <w:rPr>
          <w:b w:val="0"/>
          <w:bCs w:val="0"/>
        </w:rPr>
      </w:r>
    </w:p>
    <w:p>
      <w:pPr>
        <w:pStyle w:val="BodyText"/>
        <w:spacing w:line="316" w:lineRule="auto" w:before="76"/>
        <w:ind w:left="153" w:right="1128" w:firstLine="424"/>
        <w:jc w:val="both"/>
      </w:pPr>
      <w:r>
        <w:rPr>
          <w:spacing w:val="-3"/>
        </w:rPr>
        <w:t>《杭州日报》是中共杭州市委机关报，以本地区不可替代的权威性、公信力和影响力成为杭州市域第一主流媒体。《都</w:t>
      </w:r>
      <w:r>
        <w:rPr>
          <w:spacing w:val="1"/>
        </w:rPr>
        <w:t> </w:t>
      </w:r>
      <w:r>
        <w:rPr/>
        <w:t>市快报》在媒体影响力和市场份额方面，继续居于省内都市报领先地位。其“杭＋新闻”APP强化“新闻+政务+特定服务”</w:t>
      </w:r>
      <w:r>
        <w:rPr/>
        <w:t> </w:t>
      </w:r>
      <w:r>
        <w:rPr>
          <w:spacing w:val="-2"/>
        </w:rPr>
        <w:t>核心功能；根据《2019全国党报融合传播指数报告》，杭州日报在全国党报微信公众号传播力中排名第十，在全国党报微博</w:t>
      </w:r>
      <w:r>
        <w:rPr>
          <w:spacing w:val="-62"/>
        </w:rPr>
        <w:t> </w:t>
      </w:r>
      <w:r>
        <w:rPr>
          <w:spacing w:val="-62"/>
        </w:rPr>
      </w:r>
      <w:r>
        <w:rPr>
          <w:spacing w:val="-2"/>
        </w:rPr>
        <w:t>文章平均阅读量中排名第七；杭州网积极履行主流网络媒体社会责任，在全国党报网站渠道传播力排名第六，在全国城市党</w:t>
      </w:r>
      <w:r>
        <w:rPr>
          <w:spacing w:val="-66"/>
        </w:rPr>
        <w:t> </w:t>
      </w:r>
      <w:r>
        <w:rPr>
          <w:spacing w:val="-66"/>
        </w:rPr>
      </w:r>
      <w:r>
        <w:rPr>
          <w:spacing w:val="-2"/>
        </w:rPr>
        <w:t>网中排名第一，“民意直通车·杭网议事厅”荣获全国“网聚‘政’能量，共筑同心圆”网上群众路线典型案例（平台栏目</w:t>
      </w:r>
      <w:r>
        <w:rPr>
          <w:spacing w:val="-70"/>
        </w:rPr>
        <w:t> </w:t>
      </w:r>
      <w:r>
        <w:rPr>
          <w:spacing w:val="-70"/>
        </w:rPr>
      </w:r>
      <w:r>
        <w:rPr/>
        <w:t>类）。</w:t>
      </w:r>
    </w:p>
    <w:p>
      <w:pPr>
        <w:pStyle w:val="BodyText"/>
        <w:spacing w:line="316" w:lineRule="auto" w:before="19"/>
        <w:ind w:left="153" w:right="1131" w:firstLine="424"/>
        <w:jc w:val="both"/>
      </w:pPr>
      <w:r>
        <w:rPr/>
        <w:t>公司负责运营的《杭州日报》《都市快报》《每日商报》《萧山日报》《余杭晨报》《富阳日报》和《休闲》杂志等 </w:t>
      </w:r>
      <w:r>
        <w:rPr>
          <w:spacing w:val="-2"/>
        </w:rPr>
        <w:t>报刊，均属于区域、行业强势媒体或处于独家重要地位。萧山日报、余杭晨报和富阳日报，均为所在区域党报性质的权威报</w:t>
      </w:r>
      <w:r>
        <w:rPr>
          <w:spacing w:val="-66"/>
        </w:rPr>
        <w:t> </w:t>
      </w:r>
      <w:r>
        <w:rPr>
          <w:spacing w:val="-66"/>
        </w:rPr>
      </w:r>
      <w:r>
        <w:rPr/>
        <w:t>纸。</w:t>
      </w:r>
    </w:p>
    <w:p>
      <w:pPr>
        <w:spacing w:line="316" w:lineRule="auto" w:before="19"/>
        <w:ind w:left="578" w:right="1146" w:firstLine="0"/>
        <w:jc w:val="left"/>
        <w:rPr>
          <w:rFonts w:ascii="宋体" w:hAnsi="宋体" w:cs="宋体" w:eastAsia="宋体" w:hint="default"/>
          <w:sz w:val="18"/>
          <w:szCs w:val="18"/>
        </w:rPr>
      </w:pPr>
      <w:r>
        <w:rPr>
          <w:rFonts w:ascii="宋体" w:hAnsi="宋体" w:cs="宋体" w:eastAsia="宋体" w:hint="default"/>
          <w:b/>
          <w:bCs/>
          <w:sz w:val="18"/>
          <w:szCs w:val="18"/>
        </w:rPr>
        <w:t>2、政府资源和公共关系优势</w:t>
      </w:r>
      <w:r>
        <w:rPr>
          <w:rFonts w:ascii="宋体" w:hAnsi="宋体" w:cs="宋体" w:eastAsia="宋体" w:hint="default"/>
          <w:b/>
          <w:bCs/>
          <w:w w:val="99"/>
          <w:sz w:val="18"/>
          <w:szCs w:val="18"/>
        </w:rPr>
        <w:t> </w:t>
      </w:r>
      <w:r>
        <w:rPr>
          <w:rFonts w:ascii="宋体" w:hAnsi="宋体" w:cs="宋体" w:eastAsia="宋体" w:hint="default"/>
          <w:sz w:val="18"/>
          <w:szCs w:val="18"/>
        </w:rPr>
        <w:t>作为国有文化企业集团，公司拥有良好的政府资源和公共关系资源优势。杭报集团得到各级政府的高度重视和大力支</w:t>
      </w:r>
    </w:p>
    <w:p>
      <w:pPr>
        <w:pStyle w:val="BodyText"/>
        <w:spacing w:line="316" w:lineRule="auto" w:before="19"/>
        <w:ind w:left="153" w:right="1131"/>
        <w:jc w:val="both"/>
      </w:pPr>
      <w:r>
        <w:rPr>
          <w:spacing w:val="-2"/>
        </w:rPr>
        <w:t>持，在文化体制改革中得以享受政策优惠。报告期内，公司举办了“2019年全国大众创业万众创新活动周”、第十五届“振</w:t>
      </w:r>
      <w:r>
        <w:rPr>
          <w:spacing w:val="-61"/>
        </w:rPr>
        <w:t> </w:t>
      </w:r>
      <w:r>
        <w:rPr>
          <w:spacing w:val="-61"/>
        </w:rPr>
      </w:r>
      <w:r>
        <w:rPr>
          <w:spacing w:val="-2"/>
        </w:rPr>
        <w:t>兴杯”全国青年职业技能大赛（学生组）决赛、未来生活节、万物生长大会、浙江国际进口博览会、世界浙商大会数字经济</w:t>
      </w:r>
      <w:r>
        <w:rPr>
          <w:spacing w:val="-65"/>
        </w:rPr>
        <w:t> </w:t>
      </w:r>
      <w:r>
        <w:rPr>
          <w:spacing w:val="-65"/>
        </w:rPr>
      </w:r>
      <w:r>
        <w:rPr>
          <w:spacing w:val="-2"/>
        </w:rPr>
        <w:t>成果展和项目推介会、西湖音乐节、艺博会、武林洋淘节、寻味亚洲影像展、工美展、婚博会、家博会、老博会、收藏品交</w:t>
      </w:r>
      <w:r>
        <w:rPr>
          <w:spacing w:val="-69"/>
        </w:rPr>
        <w:t> </w:t>
      </w:r>
      <w:r>
        <w:rPr>
          <w:spacing w:val="-69"/>
        </w:rPr>
      </w:r>
      <w:r>
        <w:rPr/>
        <w:t>易会等现象级会展，进一步提升会展“专业化、品牌化、产业化”水平，进一步扩大了会展品牌的影响力。</w:t>
      </w:r>
    </w:p>
    <w:p>
      <w:pPr>
        <w:pStyle w:val="Heading4"/>
        <w:spacing w:line="240" w:lineRule="auto"/>
        <w:ind w:left="578" w:right="0"/>
        <w:jc w:val="left"/>
        <w:rPr>
          <w:b w:val="0"/>
          <w:bCs w:val="0"/>
        </w:rPr>
      </w:pPr>
      <w:r>
        <w:rPr/>
        <w:t>3、用户平台集聚优势</w:t>
      </w:r>
      <w:r>
        <w:rPr>
          <w:b w:val="0"/>
          <w:bCs w:val="0"/>
        </w:rPr>
      </w:r>
    </w:p>
    <w:p>
      <w:pPr>
        <w:spacing w:line="316" w:lineRule="auto" w:before="76"/>
        <w:ind w:left="578" w:right="1146" w:firstLine="0"/>
        <w:jc w:val="left"/>
        <w:rPr>
          <w:rFonts w:ascii="宋体" w:hAnsi="宋体" w:cs="宋体" w:eastAsia="宋体" w:hint="default"/>
          <w:sz w:val="18"/>
          <w:szCs w:val="18"/>
        </w:rPr>
      </w:pPr>
      <w:r>
        <w:rPr>
          <w:rFonts w:ascii="宋体" w:hAnsi="宋体" w:cs="宋体" w:eastAsia="宋体" w:hint="default"/>
          <w:b/>
          <w:bCs/>
          <w:sz w:val="18"/>
          <w:szCs w:val="18"/>
        </w:rPr>
        <w:t>（1）主流新媒体集合矩阵</w:t>
      </w:r>
      <w:r>
        <w:rPr>
          <w:rFonts w:ascii="宋体" w:hAnsi="宋体" w:cs="宋体" w:eastAsia="宋体" w:hint="default"/>
          <w:b/>
          <w:bCs/>
          <w:spacing w:val="1"/>
          <w:w w:val="99"/>
          <w:sz w:val="18"/>
          <w:szCs w:val="18"/>
        </w:rPr>
        <w:t> </w:t>
      </w:r>
      <w:r>
        <w:rPr>
          <w:rFonts w:ascii="宋体" w:hAnsi="宋体" w:cs="宋体" w:eastAsia="宋体" w:hint="default"/>
          <w:sz w:val="18"/>
          <w:szCs w:val="18"/>
        </w:rPr>
        <w:t>公司运营的报刊媒体、互联网站点和移动互联网产品，共同构成平台坚实基础。平台拥有庞大的用户群，控股股东承</w:t>
      </w:r>
    </w:p>
    <w:p>
      <w:pPr>
        <w:pStyle w:val="BodyText"/>
        <w:spacing w:line="316" w:lineRule="auto" w:before="19"/>
        <w:ind w:left="578" w:right="1146" w:hanging="425"/>
        <w:jc w:val="left"/>
      </w:pPr>
      <w:r>
        <w:rPr/>
        <w:t>担主流媒体舆论引导和文化服务双重责任，公司负责全部运营事务。 杭州网系国家一类新闻网站、杭州市属唯一新闻门户网站，综合传播力名列国内同类网站前茅，旗下支站覆盖全地区</w:t>
      </w:r>
    </w:p>
    <w:p>
      <w:pPr>
        <w:pStyle w:val="BodyText"/>
        <w:spacing w:line="316" w:lineRule="auto" w:before="19"/>
        <w:ind w:left="153" w:right="1031"/>
        <w:jc w:val="left"/>
      </w:pPr>
      <w:r>
        <w:rPr/>
        <w:t>各个县（市、区），借助G20杭州峰会官网建设和运维的声誉，杭州网进一步发挥内容和技术团队的优势，顺利中标2022年 </w:t>
      </w:r>
      <w:r>
        <w:rPr>
          <w:spacing w:val="-2"/>
        </w:rPr>
        <w:t>第十九届亚运会组委会官网采购项目。目前亚运官网已正式上线，顺利通过三级等级保护测评工作；快房网为行业大型垂直</w:t>
      </w:r>
      <w:r>
        <w:rPr>
          <w:spacing w:val="-66"/>
        </w:rPr>
        <w:t> </w:t>
      </w:r>
      <w:r>
        <w:rPr>
          <w:spacing w:val="-66"/>
        </w:rPr>
      </w:r>
      <w:r>
        <w:rPr>
          <w:spacing w:val="-2"/>
        </w:rPr>
        <w:t>门户网站，在省内居于房产专业网站前列；萧山网、余杭新闻网和富阳新闻网为所在区域互联网主流媒体网站，媒体公信力</w:t>
      </w:r>
      <w:r>
        <w:rPr>
          <w:spacing w:val="-66"/>
        </w:rPr>
        <w:t> </w:t>
      </w:r>
      <w:r>
        <w:rPr>
          <w:spacing w:val="-66"/>
        </w:rPr>
      </w:r>
      <w:r>
        <w:rPr/>
        <w:t>和影响力领先，三网作为市辖区（县、市）域门户网站，居于同类型网站全国或全省领先地位。公司参股的社区网站19楼， 为本地用户提供优质的生活交流服务。</w:t>
      </w:r>
    </w:p>
    <w:p>
      <w:pPr>
        <w:pStyle w:val="BodyText"/>
        <w:spacing w:line="316" w:lineRule="auto" w:before="19"/>
        <w:ind w:left="153" w:right="1131" w:firstLine="424"/>
        <w:jc w:val="both"/>
      </w:pPr>
      <w:r>
        <w:rPr>
          <w:spacing w:val="-2"/>
        </w:rPr>
        <w:t>公司平面媒体订阅户近百万，同时拥有各类新媒体产品包括手机APP、微信公众号、移动视频产品、官方微博号和互联</w:t>
      </w:r>
      <w:r>
        <w:rPr/>
        <w:t> </w:t>
      </w:r>
      <w:r>
        <w:rPr>
          <w:spacing w:val="-2"/>
        </w:rPr>
        <w:t>网社区等，共有各类网站31家，手机APP13个，微信公众号108个，微博官微23个，手机报产品6个，数字报产品5个，音视频</w:t>
      </w:r>
      <w:r>
        <w:rPr>
          <w:spacing w:val="-51"/>
        </w:rPr>
        <w:t> </w:t>
      </w:r>
      <w:r>
        <w:rPr>
          <w:spacing w:val="-51"/>
        </w:rPr>
      </w:r>
      <w:r>
        <w:rPr>
          <w:spacing w:val="-2"/>
        </w:rPr>
        <w:t>产品6个，共有用户数（含APP活跃用户、微信订阅数、微博粉丝数、社区注册ID、移动视频订阅户等）2.07亿，为报业集团</w:t>
      </w:r>
      <w:r>
        <w:rPr>
          <w:spacing w:val="-57"/>
        </w:rPr>
        <w:t> </w:t>
      </w:r>
      <w:r>
        <w:rPr>
          <w:spacing w:val="-57"/>
        </w:rPr>
      </w:r>
      <w:r>
        <w:rPr/>
        <w:t>媒体公信力和公司经营的市场影响力打下了扎实的用户基础。</w:t>
      </w:r>
    </w:p>
    <w:p>
      <w:pPr>
        <w:pStyle w:val="BodyText"/>
        <w:spacing w:line="240" w:lineRule="auto" w:before="19"/>
        <w:ind w:left="578" w:right="0"/>
        <w:jc w:val="left"/>
      </w:pPr>
      <w:r>
        <w:rPr/>
        <w:t>公司已取得杭州地铁1 号线全线平面广告、列车广告，杭州地铁1、2、4、5号线语音广告、导向广告，厦门市轨道交</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28"/>
        <w:jc w:val="both"/>
      </w:pPr>
      <w:r>
        <w:rPr>
          <w:spacing w:val="-2"/>
        </w:rPr>
        <w:t>通1、2、3号线工程及BRT站点广告，福州地铁1、2号线语音广告、导向广告等各类地铁媒体资源，以及杭州钱江新城灯光秀</w:t>
      </w:r>
      <w:r>
        <w:rPr>
          <w:spacing w:val="-60"/>
        </w:rPr>
        <w:t> </w:t>
      </w:r>
      <w:r>
        <w:rPr>
          <w:spacing w:val="-60"/>
        </w:rPr>
      </w:r>
      <w:r>
        <w:rPr>
          <w:spacing w:val="-2"/>
        </w:rPr>
        <w:t>广告（环球天幕），杭州武林广场地标媒体国大城市广场LED屏（大笨屏），上海、深圳等国内主要城市商圈LED屏和各类阅</w:t>
      </w:r>
      <w:r>
        <w:rPr>
          <w:spacing w:val="-59"/>
        </w:rPr>
        <w:t> </w:t>
      </w:r>
      <w:r>
        <w:rPr>
          <w:spacing w:val="-59"/>
        </w:rPr>
      </w:r>
      <w:r>
        <w:rPr/>
        <w:t>报栏、公交站牌广告资源等。</w:t>
      </w:r>
    </w:p>
    <w:p>
      <w:pPr>
        <w:pStyle w:val="BodyText"/>
        <w:spacing w:line="316" w:lineRule="auto" w:before="19"/>
        <w:ind w:left="578" w:right="1146"/>
        <w:jc w:val="left"/>
      </w:pPr>
      <w:r>
        <w:rPr>
          <w:rFonts w:ascii="宋体" w:hAnsi="宋体" w:cs="宋体" w:eastAsia="宋体" w:hint="default"/>
          <w:b/>
          <w:bCs/>
        </w:rPr>
        <w:t>（2）职业教育平台</w:t>
      </w:r>
      <w:r>
        <w:rPr>
          <w:rFonts w:ascii="宋体" w:hAnsi="宋体" w:cs="宋体" w:eastAsia="宋体" w:hint="default"/>
          <w:b/>
          <w:bCs/>
          <w:spacing w:val="1"/>
          <w:w w:val="99"/>
        </w:rPr>
        <w:t> </w:t>
      </w:r>
      <w:r>
        <w:rPr/>
        <w:t>公司的教育业务已经涵盖职业教育、国际教育、IT教育、艺术教育、在线教育、基础教育和假期培训等板块。其中职</w:t>
      </w:r>
    </w:p>
    <w:p>
      <w:pPr>
        <w:pStyle w:val="BodyText"/>
        <w:spacing w:line="316" w:lineRule="auto" w:before="19"/>
        <w:ind w:left="153" w:right="1131"/>
        <w:jc w:val="both"/>
      </w:pPr>
      <w:r>
        <w:rPr>
          <w:spacing w:val="-2"/>
        </w:rPr>
        <w:t>业教育继续维持在区域范围内的领先优势。各板块布局完整、发展顺利。中教未来业务范围覆盖包括北京、杭州、广州等在</w:t>
      </w:r>
      <w:r>
        <w:rPr>
          <w:spacing w:val="-66"/>
        </w:rPr>
        <w:t> </w:t>
      </w:r>
      <w:r>
        <w:rPr>
          <w:spacing w:val="-66"/>
        </w:rPr>
      </w:r>
      <w:r>
        <w:rPr/>
        <w:t>内的大中城市，已与这些城市所在的众多高校建立了长期合作关系。</w:t>
      </w:r>
    </w:p>
    <w:p>
      <w:pPr>
        <w:pStyle w:val="BodyText"/>
        <w:spacing w:line="316" w:lineRule="auto" w:before="19"/>
        <w:ind w:left="578" w:right="1146"/>
        <w:jc w:val="left"/>
      </w:pPr>
      <w:r>
        <w:rPr>
          <w:rFonts w:ascii="宋体" w:hAnsi="宋体" w:cs="宋体" w:eastAsia="宋体" w:hint="default"/>
          <w:b/>
          <w:bCs/>
        </w:rPr>
        <w:t>（3）发行及印刷平台</w:t>
      </w:r>
      <w:r>
        <w:rPr>
          <w:rFonts w:ascii="宋体" w:hAnsi="宋体" w:cs="宋体" w:eastAsia="宋体" w:hint="default"/>
          <w:b/>
          <w:bCs/>
          <w:spacing w:val="1"/>
          <w:w w:val="99"/>
        </w:rPr>
        <w:t> </w:t>
      </w:r>
      <w:r>
        <w:rPr/>
        <w:t>本平台以报刊发行投递和电商物流配送、报刊印刷、包装印刷、互联网桌面轻印刷等构成，以服务带动开拓，赢得了</w:t>
      </w:r>
    </w:p>
    <w:p>
      <w:pPr>
        <w:pStyle w:val="BodyText"/>
        <w:spacing w:line="316" w:lineRule="auto" w:before="19"/>
        <w:ind w:left="153" w:right="1129"/>
        <w:jc w:val="both"/>
      </w:pPr>
      <w:r>
        <w:rPr>
          <w:spacing w:val="-2"/>
        </w:rPr>
        <w:t>市场。公司所属每日送公司在杭州地区具有成熟的发行网络、专业的投递队伍和完善的内部控制体系，报刊自办发行在全国</w:t>
      </w:r>
      <w:r>
        <w:rPr>
          <w:spacing w:val="-66"/>
        </w:rPr>
        <w:t> </w:t>
      </w:r>
      <w:r>
        <w:rPr>
          <w:spacing w:val="-66"/>
        </w:rPr>
      </w:r>
      <w:r>
        <w:rPr>
          <w:spacing w:val="-2"/>
        </w:rPr>
        <w:t>城市党报业内享有较高知名度。2019年，每日送公司蝉联“全国报纸自办发行先进集体”，荣获中国电商物流平台创新企业</w:t>
      </w:r>
      <w:r>
        <w:rPr>
          <w:spacing w:val="-61"/>
        </w:rPr>
        <w:t> </w:t>
      </w:r>
      <w:r>
        <w:rPr>
          <w:spacing w:val="-61"/>
        </w:rPr>
      </w:r>
      <w:r>
        <w:rPr/>
        <w:t>奖、全国“智慧物流服务品牌企业”、全国AAA级信用企业。</w:t>
      </w:r>
    </w:p>
    <w:p>
      <w:pPr>
        <w:pStyle w:val="BodyText"/>
        <w:spacing w:line="316" w:lineRule="auto" w:before="19"/>
        <w:ind w:left="153" w:right="1031" w:firstLine="424"/>
        <w:jc w:val="left"/>
      </w:pPr>
      <w:r>
        <w:rPr/>
        <w:t>公司所属盛元印务在确保报业印刷前提下，不断拓展商务印刷，通过价格合理的印刷，品质优良的管理，安全可靠的 网络平台以及即时送达的售后服务体系，积累了众多一线品牌客户。报告期内，盛元印务顺利通过国家绿色印刷认证企业、 G7国际质量认证、ISO9000、ISO14000、OHS18000认证、FSC森林认证等国际级的年审认证，完成印企生产经营标准化建设； 荣获中国印刷及设备器材工业协会科学技术奖三等奖；连续十四年位列“中国印刷包装 企业百强”；连续十二年被中国报 </w:t>
      </w:r>
      <w:r>
        <w:rPr>
          <w:spacing w:val="-2"/>
        </w:rPr>
        <w:t>业协会授予的“精品级报纸”；《百面杭钢》摄影集荣获浙江省印刷协会第二届之江印艺大奖金奖、首届长三角区域印艺精</w:t>
      </w:r>
      <w:r>
        <w:rPr>
          <w:spacing w:val="-67"/>
        </w:rPr>
        <w:t> </w:t>
      </w:r>
      <w:r>
        <w:rPr>
          <w:spacing w:val="-67"/>
        </w:rPr>
      </w:r>
      <w:r>
        <w:rPr>
          <w:spacing w:val="-2"/>
        </w:rPr>
        <w:t>品奖银奖；《汉字图解字典》荣获第七届中华印制大奖铜奖；参与国家印刷标准化技术委员会主办的《数字印刷系统的使用</w:t>
      </w:r>
      <w:r>
        <w:rPr>
          <w:spacing w:val="-66"/>
        </w:rPr>
        <w:t> </w:t>
      </w:r>
      <w:r>
        <w:rPr>
          <w:spacing w:val="-66"/>
        </w:rPr>
      </w:r>
      <w:r>
        <w:rPr/>
        <w:t>要求及检验方法》国家标准制定工作。</w:t>
      </w:r>
    </w:p>
    <w:p>
      <w:pPr>
        <w:pStyle w:val="BodyText"/>
        <w:spacing w:line="316" w:lineRule="auto" w:before="19"/>
        <w:ind w:left="578" w:right="1035"/>
        <w:jc w:val="left"/>
      </w:pPr>
      <w:r>
        <w:rPr>
          <w:rFonts w:ascii="宋体" w:hAnsi="宋体" w:cs="宋体" w:eastAsia="宋体" w:hint="default"/>
          <w:b/>
          <w:bCs/>
        </w:rPr>
        <w:t>（4）文创产业平台</w:t>
      </w:r>
      <w:r>
        <w:rPr>
          <w:rFonts w:ascii="宋体" w:hAnsi="宋体" w:cs="宋体" w:eastAsia="宋体" w:hint="default"/>
          <w:b/>
          <w:bCs/>
          <w:spacing w:val="1"/>
          <w:w w:val="99"/>
        </w:rPr>
        <w:t> </w:t>
      </w:r>
      <w:r>
        <w:rPr>
          <w:spacing w:val="-3"/>
        </w:rPr>
        <w:t>公司逐步把万和国际中心7幢打造成“华媒智谷”文创综合基地，整合、开发公司内部资源，不断完善文化生态圈布局，</w:t>
      </w:r>
    </w:p>
    <w:p>
      <w:pPr>
        <w:pStyle w:val="BodyText"/>
        <w:spacing w:line="316" w:lineRule="auto" w:before="19"/>
        <w:ind w:left="578" w:right="0" w:hanging="425"/>
        <w:jc w:val="left"/>
      </w:pPr>
      <w:r>
        <w:rPr/>
        <w:t>打造综合性文化产业平台。 </w:t>
      </w:r>
      <w:r>
        <w:rPr>
          <w:spacing w:val="-2"/>
        </w:rPr>
        <w:t>公司参股的杭州华创全媒科创园区管理有限公司运作的华媒科创园，旨在打造成为“科技创新、互联网+”创新创业产</w:t>
      </w:r>
    </w:p>
    <w:p>
      <w:pPr>
        <w:pStyle w:val="BodyText"/>
        <w:spacing w:line="316" w:lineRule="auto" w:before="19"/>
        <w:ind w:left="153" w:right="1131"/>
        <w:jc w:val="both"/>
      </w:pPr>
      <w:r>
        <w:rPr>
          <w:spacing w:val="-2"/>
        </w:rPr>
        <w:t>业园，重点招引电子商务、文化创意、智能硬件项目，以园区为载体，以创新服务为支撑，汇聚产业链上下游企业，形成产</w:t>
      </w:r>
      <w:r>
        <w:rPr>
          <w:spacing w:val="-65"/>
        </w:rPr>
        <w:t> </w:t>
      </w:r>
      <w:r>
        <w:rPr>
          <w:spacing w:val="-65"/>
        </w:rPr>
      </w:r>
      <w:r>
        <w:rPr/>
        <w:t>业生态。</w:t>
      </w:r>
    </w:p>
    <w:p>
      <w:pPr>
        <w:pStyle w:val="BodyText"/>
        <w:spacing w:line="316" w:lineRule="auto" w:before="19"/>
        <w:ind w:left="153" w:right="0" w:firstLine="424"/>
        <w:jc w:val="left"/>
      </w:pPr>
      <w:r>
        <w:rPr/>
        <w:t>公司运营的杭州市文化产权交易所是阿里巴巴旗下资产处置平台全国首批授权服务机构，能为国有、非国有法人及个 </w:t>
      </w:r>
      <w:r>
        <w:rPr>
          <w:spacing w:val="-4"/>
        </w:rPr>
        <w:t>人提供一站式全方位产权交易服务。同时，杭州市文化产权交易所也是淘宝拍卖平台全国少数拥有全品类交易资质的服务商。</w:t>
      </w:r>
    </w:p>
    <w:p>
      <w:pPr>
        <w:spacing w:after="0" w:line="316"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6" w:right="0"/>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4"/>
        <w:rPr>
          <w:rFonts w:ascii="宋体" w:hAnsi="宋体" w:cs="宋体" w:eastAsia="宋体" w:hint="default"/>
          <w:b/>
          <w:bCs/>
          <w:sz w:val="28"/>
          <w:szCs w:val="28"/>
        </w:rPr>
      </w:pPr>
    </w:p>
    <w:p>
      <w:pPr>
        <w:pStyle w:val="BodyText"/>
        <w:spacing w:line="364" w:lineRule="auto"/>
        <w:ind w:right="1128" w:firstLine="420"/>
        <w:jc w:val="both"/>
      </w:pPr>
      <w:r>
        <w:rPr/>
        <w:t>报告期内，华媒控股按照杭报集团按照“谋五拼三”总体方略和“123456”工作部署，主动践行“以文化人”和“以</w:t>
      </w:r>
      <w:r>
        <w:rPr>
          <w:spacing w:val="1"/>
        </w:rPr>
        <w:t> </w:t>
      </w:r>
      <w:r>
        <w:rPr>
          <w:spacing w:val="-2"/>
        </w:rPr>
        <w:t>文兴业”两大责任使命，以“一体转型、两翼做大”为目标，坚持变革创新、持续发展，进一步优化“大文创产业生态运营</w:t>
      </w:r>
      <w:r>
        <w:rPr>
          <w:spacing w:val="-69"/>
        </w:rPr>
        <w:t> </w:t>
      </w:r>
      <w:r>
        <w:rPr>
          <w:spacing w:val="-69"/>
        </w:rPr>
      </w:r>
      <w:r>
        <w:rPr/>
        <w:t>商”战略。</w:t>
      </w:r>
    </w:p>
    <w:p>
      <w:pPr>
        <w:pStyle w:val="BodyText"/>
        <w:spacing w:line="364" w:lineRule="auto" w:before="29"/>
        <w:ind w:right="1078" w:firstLine="420"/>
        <w:jc w:val="both"/>
      </w:pPr>
      <w:r>
        <w:rPr/>
        <w:t>公司实现营业收入182,206.23万元，同比增长4.15%，归属上市公司股东的净利润为1,890.45万元，同比下降81.80%， 主要系参股公司快点传播和子公司中教未来存在减值迹象，分别计提长期股权投资减值5,941.48万元，商誉减值2,302.72</w:t>
      </w:r>
      <w:r>
        <w:rPr>
          <w:spacing w:val="-9"/>
        </w:rPr>
        <w:t> </w:t>
      </w:r>
      <w:r>
        <w:rPr>
          <w:spacing w:val="-9"/>
        </w:rPr>
      </w:r>
      <w:r>
        <w:rPr>
          <w:spacing w:val="-2"/>
        </w:rPr>
        <w:t>万元，导致全年业绩下滑幅度较大。剔除减值因素，2019年度归属于上市公司股东的净利润与2018年度基本持平。扣除非经</w:t>
      </w:r>
      <w:r>
        <w:rPr>
          <w:spacing w:val="-58"/>
        </w:rPr>
        <w:t> </w:t>
      </w:r>
      <w:r>
        <w:rPr>
          <w:spacing w:val="-58"/>
        </w:rPr>
      </w:r>
      <w:r>
        <w:rPr>
          <w:spacing w:val="-2"/>
        </w:rPr>
        <w:t>常性损益后的归属于上市公司股东的净利润为-4,367.86万元，同比下降158.08%，非经营性损益主要为新增无偿取得万和国</w:t>
      </w:r>
      <w:r>
        <w:rPr>
          <w:spacing w:val="-48"/>
        </w:rPr>
        <w:t> </w:t>
      </w:r>
      <w:r>
        <w:rPr>
          <w:spacing w:val="-48"/>
        </w:rPr>
      </w:r>
      <w:r>
        <w:rPr/>
        <w:t>际的房租、政府补助、委托理财收益增加、子公司中教未来收到赔偿款、权益法核算单位非经营收益等。</w:t>
      </w:r>
    </w:p>
    <w:p>
      <w:pPr>
        <w:spacing w:line="364" w:lineRule="auto" w:before="29"/>
        <w:ind w:left="574" w:right="0" w:firstLine="0"/>
        <w:jc w:val="left"/>
        <w:rPr>
          <w:rFonts w:ascii="宋体" w:hAnsi="宋体" w:cs="宋体" w:eastAsia="宋体" w:hint="default"/>
          <w:sz w:val="18"/>
          <w:szCs w:val="18"/>
        </w:rPr>
      </w:pPr>
      <w:r>
        <w:rPr>
          <w:rFonts w:ascii="宋体" w:hAnsi="宋体" w:cs="宋体" w:eastAsia="宋体" w:hint="default"/>
          <w:b/>
          <w:bCs/>
          <w:sz w:val="18"/>
          <w:szCs w:val="18"/>
        </w:rPr>
        <w:t>（一）广告及策划业协同发展</w:t>
      </w:r>
      <w:r>
        <w:rPr>
          <w:rFonts w:ascii="宋体" w:hAnsi="宋体" w:cs="宋体" w:eastAsia="宋体" w:hint="default"/>
          <w:b/>
          <w:bCs/>
          <w:w w:val="99"/>
          <w:sz w:val="18"/>
          <w:szCs w:val="18"/>
        </w:rPr>
        <w:t> </w:t>
      </w:r>
      <w:r>
        <w:rPr>
          <w:rFonts w:ascii="宋体" w:hAnsi="宋体" w:cs="宋体" w:eastAsia="宋体" w:hint="default"/>
          <w:sz w:val="18"/>
          <w:szCs w:val="18"/>
        </w:rPr>
        <w:t>公司2014年12月实施完成重大资产重组时，重组后的收购资产不包括报纸采编类资产。根据报刊行业采编与经营“两</w:t>
      </w:r>
    </w:p>
    <w:p>
      <w:pPr>
        <w:pStyle w:val="BodyText"/>
        <w:spacing w:line="364" w:lineRule="auto" w:before="29"/>
        <w:ind w:right="1131"/>
        <w:jc w:val="both"/>
      </w:pPr>
      <w:r>
        <w:rPr>
          <w:spacing w:val="-4"/>
        </w:rPr>
        <w:t>分开”的政策，杭州日报社及其他相关7家报社，与公司购买资产范围内各相关报刊经营公司签订了《授权经营协议》和《收</w:t>
      </w:r>
      <w:r>
        <w:rPr>
          <w:spacing w:val="-44"/>
        </w:rPr>
        <w:t> </w:t>
      </w:r>
      <w:r>
        <w:rPr>
          <w:spacing w:val="-44"/>
        </w:rPr>
      </w:r>
      <w:r>
        <w:rPr>
          <w:spacing w:val="-2"/>
        </w:rPr>
        <w:t>入分成协议》，上市公司负责传媒经营类业务。根据协议及补充协议，上市公司每年需支付固定采编费用20,741万元，为公</w:t>
      </w:r>
      <w:r>
        <w:rPr>
          <w:spacing w:val="-60"/>
        </w:rPr>
        <w:t> </w:t>
      </w:r>
      <w:r>
        <w:rPr>
          <w:spacing w:val="-60"/>
        </w:rPr>
      </w:r>
      <w:r>
        <w:rPr/>
        <w:t>司所属各传媒公司主要成本项目。</w:t>
      </w:r>
    </w:p>
    <w:p>
      <w:pPr>
        <w:pStyle w:val="BodyText"/>
        <w:spacing w:line="364" w:lineRule="auto" w:before="29"/>
        <w:ind w:right="1030" w:firstLine="420"/>
        <w:jc w:val="left"/>
      </w:pPr>
      <w:r>
        <w:rPr>
          <w:spacing w:val="-2"/>
        </w:rPr>
        <w:t>报告期内，公司强化统筹协调，优化资源配置和有效整合，进一步推动存量部分转型升级，巩固集报刊、网站、微博、</w:t>
      </w:r>
      <w:r>
        <w:rPr/>
        <w:t> 微信、APP、户外媒体、会展平台等协同驱动的“报网端屏楼”全媒体矩阵，有效支持纸端、网端、手机端和户外端在重大</w:t>
      </w:r>
      <w:r>
        <w:rPr>
          <w:spacing w:val="-83"/>
        </w:rPr>
        <w:t> </w:t>
      </w:r>
      <w:r>
        <w:rPr>
          <w:spacing w:val="-83"/>
        </w:rPr>
      </w:r>
      <w:r>
        <w:rPr/>
        <w:t>主题、重要活动的联动配合，充分发挥各业务的综合协同效应。各传媒公司依托牌照优势，丰富内容建设，不断提升平台、 </w:t>
      </w:r>
      <w:r>
        <w:rPr>
          <w:spacing w:val="-2"/>
        </w:rPr>
        <w:t>渠道、技术等方面的建设，根据市场需求创新产品、服务模式，深化个性化服务，不断开发市场需求，吸引广告投放和活动</w:t>
      </w:r>
      <w:r>
        <w:rPr>
          <w:spacing w:val="-68"/>
        </w:rPr>
        <w:t> </w:t>
      </w:r>
      <w:r>
        <w:rPr>
          <w:spacing w:val="-68"/>
        </w:rPr>
      </w:r>
      <w:r>
        <w:rPr>
          <w:spacing w:val="-2"/>
        </w:rPr>
        <w:t>策划，整体上保持平稳发展，其中新媒体业务由于受到行业政策因素的影响，部分子公司优化调整经营模式，使得新媒体业</w:t>
      </w:r>
      <w:r>
        <w:rPr>
          <w:spacing w:val="-66"/>
        </w:rPr>
        <w:t> </w:t>
      </w:r>
      <w:r>
        <w:rPr>
          <w:spacing w:val="-66"/>
        </w:rPr>
      </w:r>
      <w:r>
        <w:rPr/>
        <w:t>务的收入和成本有一定程度的下滑。户外广告业务由于积极的市场拓展，相应的收入和成本都有小幅增长。</w:t>
      </w:r>
    </w:p>
    <w:p>
      <w:pPr>
        <w:pStyle w:val="BodyText"/>
        <w:spacing w:line="364" w:lineRule="auto" w:before="29"/>
        <w:ind w:right="1025" w:firstLine="420"/>
        <w:jc w:val="left"/>
      </w:pPr>
      <w:r>
        <w:rPr>
          <w:spacing w:val="-1"/>
        </w:rPr>
        <w:t>报告期内，杭报传媒拓展视频业务，开拓学习强国视频业务和抖音代运营市场。都快控股代理91.8电台、19楼房产等，</w:t>
      </w:r>
      <w:r>
        <w:rPr/>
        <w:t> </w:t>
      </w:r>
      <w:r>
        <w:rPr>
          <w:spacing w:val="-2"/>
        </w:rPr>
        <w:t>拓展各类活动，以视频、新媒体宣传等为补充，完善客户内容供给，通过多媒体经营弥补报媒投放下滑风险。每日传媒精心</w:t>
      </w:r>
      <w:r>
        <w:rPr>
          <w:spacing w:val="-66"/>
        </w:rPr>
        <w:t> </w:t>
      </w:r>
      <w:r>
        <w:rPr>
          <w:spacing w:val="-66"/>
        </w:rPr>
      </w:r>
      <w:r>
        <w:rPr>
          <w:spacing w:val="-4"/>
        </w:rPr>
        <w:t>运营“杭商、小记者、老年”三大圈层，活动数量和质量都稳步提升。杭州网积极打造原创内容精品，加强全媒体策划报道，</w:t>
      </w:r>
      <w:r>
        <w:rPr>
          <w:spacing w:val="-47"/>
        </w:rPr>
        <w:t> </w:t>
      </w:r>
      <w:r>
        <w:rPr>
          <w:spacing w:val="-47"/>
        </w:rPr>
      </w:r>
      <w:r>
        <w:rPr>
          <w:spacing w:val="-2"/>
        </w:rPr>
        <w:t>推出新中国成立70周年、全国双创周、良渚申遗、“知味杭州”亚洲美食节、杭州数字经济第一城等重大报道，2019年完成</w:t>
      </w:r>
      <w:r>
        <w:rPr>
          <w:spacing w:val="-59"/>
        </w:rPr>
        <w:t> </w:t>
      </w:r>
      <w:r>
        <w:rPr>
          <w:spacing w:val="-59"/>
        </w:rPr>
      </w:r>
      <w:r>
        <w:rPr>
          <w:spacing w:val="-2"/>
        </w:rPr>
        <w:t>各类视频直（录）播、宣传片、短视频节目500多部（场次）；进一步深耕政务新媒体服务，代建代维网站、微信、微博等，</w:t>
      </w:r>
      <w:r>
        <w:rPr>
          <w:spacing w:val="-67"/>
        </w:rPr>
        <w:t> </w:t>
      </w:r>
      <w:r>
        <w:rPr>
          <w:spacing w:val="-67"/>
        </w:rPr>
      </w:r>
      <w:r>
        <w:rPr>
          <w:spacing w:val="-2"/>
        </w:rPr>
        <w:t>运营杭州亚组委官网、双微，全国双创周官网等，积极拓展舆情大数据业务，建立了集舆情监测、分析、研判、建议、培训</w:t>
      </w:r>
      <w:r>
        <w:rPr>
          <w:spacing w:val="-68"/>
        </w:rPr>
        <w:t> </w:t>
      </w:r>
      <w:r>
        <w:rPr>
          <w:spacing w:val="-68"/>
        </w:rPr>
      </w:r>
      <w:r>
        <w:rPr>
          <w:spacing w:val="-2"/>
        </w:rPr>
        <w:t>等一条龙服务。快房网做好微信代维业务，延展异地代维业务，目前异地代维已达15个；开拓广告全案业务；发起微特刊形</w:t>
      </w:r>
      <w:r>
        <w:rPr>
          <w:spacing w:val="-64"/>
        </w:rPr>
        <w:t> </w:t>
      </w:r>
      <w:r>
        <w:rPr>
          <w:spacing w:val="-64"/>
        </w:rPr>
      </w:r>
      <w:r>
        <w:rPr/>
        <w:t>式的营销活动8场；为客户生产VLOG产品；开发房产类自有视频IP ---《快房房探》；自主开发小程序、摇号登记系统，如</w:t>
      </w:r>
      <w:r>
        <w:rPr>
          <w:spacing w:val="-83"/>
        </w:rPr>
        <w:t> </w:t>
      </w:r>
      <w:r>
        <w:rPr>
          <w:spacing w:val="-83"/>
        </w:rPr>
      </w:r>
      <w:r>
        <w:rPr>
          <w:spacing w:val="-4"/>
        </w:rPr>
        <w:t>业主自治积分系统、绿城衍生产品售卖系统等；延伸线下活动，丰富品牌服务类型。萧报传媒做精主题策划，拓展增量客户，</w:t>
      </w:r>
      <w:r>
        <w:rPr>
          <w:spacing w:val="-44"/>
        </w:rPr>
        <w:t> </w:t>
      </w:r>
      <w:r>
        <w:rPr>
          <w:spacing w:val="-44"/>
        </w:rPr>
      </w:r>
      <w:r>
        <w:rPr/>
        <w:t>提供精准化服务；打造微信公众号“逅嘻HOUXI”，主打优质广告内容输入和优质商品产品推荐；做强代维业务，承揽相关</w:t>
      </w:r>
      <w:r>
        <w:rPr>
          <w:spacing w:val="-83"/>
        </w:rPr>
        <w:t> </w:t>
      </w:r>
      <w:r>
        <w:rPr>
          <w:spacing w:val="-83"/>
        </w:rPr>
      </w:r>
      <w:r>
        <w:rPr>
          <w:spacing w:val="-2"/>
        </w:rPr>
        <w:t>单位的微信、微博公众号代运营工作；积极满足客户对抖音短视频的拍摄需求。晨报传媒积极做好主题活动策划，成立了品</w:t>
      </w:r>
      <w:r>
        <w:rPr>
          <w:spacing w:val="-66"/>
        </w:rPr>
        <w:t> </w:t>
      </w:r>
      <w:r>
        <w:rPr>
          <w:spacing w:val="-66"/>
        </w:rPr>
      </w:r>
      <w:r>
        <w:rPr/>
        <w:t>牌活动策划中心，专攻各类活动的策划实施。</w:t>
      </w:r>
    </w:p>
    <w:p>
      <w:pPr>
        <w:pStyle w:val="BodyText"/>
        <w:spacing w:line="364" w:lineRule="auto" w:before="29"/>
        <w:ind w:right="0" w:firstLine="420"/>
        <w:jc w:val="left"/>
      </w:pPr>
      <w:r>
        <w:rPr/>
        <w:t>报告期内，公司大力培育自有会展IP，积极承办国家级重点会展项目，不断提高会展服务质量，逐步建立健全会展活</w:t>
      </w:r>
      <w:r>
        <w:rPr>
          <w:spacing w:val="1"/>
        </w:rPr>
        <w:t> </w:t>
      </w:r>
      <w:r>
        <w:rPr>
          <w:spacing w:val="-2"/>
        </w:rPr>
        <w:t>动供应商库，设计推出集团会展LOGO，提升会展“专业化、品牌化、产业化”水平。报告期内，公司旗下各公司举办会展项</w:t>
      </w:r>
    </w:p>
    <w:p>
      <w:pPr>
        <w:spacing w:after="0" w:line="364" w:lineRule="auto"/>
        <w:jc w:val="left"/>
        <w:sectPr>
          <w:pgSz w:w="11910" w:h="16840"/>
          <w:pgMar w:header="747" w:footer="982" w:top="1060" w:bottom="1180" w:left="980" w:right="0"/>
        </w:sectPr>
      </w:pPr>
    </w:p>
    <w:p>
      <w:pPr>
        <w:spacing w:line="240" w:lineRule="auto" w:before="8"/>
        <w:rPr>
          <w:rFonts w:ascii="宋体" w:hAnsi="宋体" w:cs="宋体" w:eastAsia="宋体" w:hint="default"/>
          <w:sz w:val="27"/>
          <w:szCs w:val="27"/>
        </w:rPr>
      </w:pPr>
    </w:p>
    <w:p>
      <w:pPr>
        <w:pStyle w:val="BodyText"/>
        <w:spacing w:line="364" w:lineRule="auto" w:before="44"/>
        <w:ind w:left="153" w:right="1048"/>
        <w:jc w:val="left"/>
      </w:pPr>
      <w:r>
        <w:rPr/>
        <w:t>目75个：其中展览33个；会议17个，千人以上会议2个；活动25个，千人以上活动13个。包括“2019年全国大众创业万众创</w:t>
      </w:r>
      <w:r>
        <w:rPr>
          <w:spacing w:val="-83"/>
        </w:rPr>
        <w:t> </w:t>
      </w:r>
      <w:r>
        <w:rPr>
          <w:spacing w:val="-83"/>
        </w:rPr>
      </w:r>
      <w:r>
        <w:rPr>
          <w:spacing w:val="-2"/>
        </w:rPr>
        <w:t>新活动周”、第十五届“振兴杯”全国青年职业技能大赛（学生组）决赛、未来生活节、万物生长大会、浙江国际进口博览</w:t>
      </w:r>
      <w:r>
        <w:rPr>
          <w:spacing w:val="-69"/>
        </w:rPr>
        <w:t> </w:t>
      </w:r>
      <w:r>
        <w:rPr>
          <w:spacing w:val="-69"/>
        </w:rPr>
      </w:r>
      <w:r>
        <w:rPr/>
        <w:t>会、世界浙商大会数字经济成果展和项目推介会、西湖音乐节、艺博会、武林洋淘节、寻味亚洲影像展、工美展、婚博会、 </w:t>
      </w:r>
      <w:r>
        <w:rPr>
          <w:spacing w:val="-2"/>
        </w:rPr>
        <w:t>家博会、老博会、收藏品交易会等一批现象级会展产品，充分历练了策划执行大型活动的能力，有效发挥了全媒体矩阵的协</w:t>
      </w:r>
      <w:r>
        <w:rPr>
          <w:spacing w:val="-66"/>
        </w:rPr>
        <w:t> </w:t>
      </w:r>
      <w:r>
        <w:rPr>
          <w:spacing w:val="-66"/>
        </w:rPr>
      </w:r>
      <w:r>
        <w:rPr/>
        <w:t>同作用，进一步提升了杭报会展品牌和影响力。2019年5月，杭报传媒策划执行的中国城市规划年会，获得中国会展产业大</w:t>
      </w:r>
      <w:r>
        <w:rPr>
          <w:spacing w:val="-83"/>
        </w:rPr>
        <w:t> </w:t>
      </w:r>
      <w:r>
        <w:rPr>
          <w:spacing w:val="-83"/>
        </w:rPr>
      </w:r>
      <w:r>
        <w:rPr/>
        <w:t>会组委会颁发的会展业品牌大奖——“2018-2019年度中国最具行业影响力展览会”。</w:t>
      </w:r>
    </w:p>
    <w:p>
      <w:pPr>
        <w:pStyle w:val="BodyText"/>
        <w:spacing w:line="364" w:lineRule="auto" w:before="29"/>
        <w:ind w:left="153" w:right="1030" w:firstLine="420"/>
        <w:jc w:val="left"/>
      </w:pPr>
      <w:r>
        <w:rPr/>
        <w:t>公司户外广告由孙公司风盛股份（证券代码：838071）经营。报告期内，风盛股份持续整合旗下地铁媒体、城市LED </w:t>
      </w:r>
      <w:r>
        <w:rPr>
          <w:spacing w:val="-4"/>
        </w:rPr>
        <w:t>媒体、地标建筑灯光秀媒体、路面灯箱媒体四大资源平台，根据客户需求提供户外媒体广告传播服务以及媒体创意策划方案，</w:t>
      </w:r>
      <w:r>
        <w:rPr>
          <w:spacing w:val="-44"/>
        </w:rPr>
        <w:t> </w:t>
      </w:r>
      <w:r>
        <w:rPr>
          <w:spacing w:val="-44"/>
        </w:rPr>
      </w:r>
      <w:r>
        <w:rPr>
          <w:spacing w:val="-2"/>
        </w:rPr>
        <w:t>全面呈现多元化的户外广告传播。通过几年来的积极拓展，已在杭州、福州、厦门的地铁广告市场占有较大份额。经营的杭</w:t>
      </w:r>
      <w:r>
        <w:rPr>
          <w:spacing w:val="-66"/>
        </w:rPr>
        <w:t> </w:t>
      </w:r>
      <w:r>
        <w:rPr>
          <w:spacing w:val="-66"/>
        </w:rPr>
      </w:r>
      <w:r>
        <w:rPr/>
        <w:t>州国大城市广场LED</w:t>
      </w:r>
      <w:r>
        <w:rPr>
          <w:spacing w:val="-41"/>
        </w:rPr>
        <w:t> </w:t>
      </w:r>
      <w:r>
        <w:rPr/>
        <w:t>屏（大笨屏）项目位于杭州核心商圈武林广场，及钱江新城的灯光秀（环球天幕）项目均系“杭州地标</w:t>
      </w:r>
      <w:r>
        <w:rPr/>
        <w:t> </w:t>
      </w:r>
      <w:r>
        <w:rPr>
          <w:spacing w:val="-5"/>
        </w:rPr>
        <w:t>媒体”。通过各板块的优化发展和媒体结构的多元丰富，报告期内，户外广告实现营业收入31,455.12万元，同比上升18.49%。</w:t>
      </w:r>
      <w:r>
        <w:rPr>
          <w:spacing w:val="-39"/>
        </w:rPr>
        <w:t> </w:t>
      </w:r>
      <w:r>
        <w:rPr>
          <w:spacing w:val="-39"/>
        </w:rPr>
      </w:r>
      <w:r>
        <w:rPr>
          <w:spacing w:val="-2"/>
        </w:rPr>
        <w:t>同时，受宏观经济环境影响及外采项目前期收入不达预期及资源成本、人工成本等出现一定幅度的增长，相应的毛利同比有</w:t>
      </w:r>
      <w:r>
        <w:rPr>
          <w:spacing w:val="-66"/>
        </w:rPr>
        <w:t> </w:t>
      </w:r>
      <w:r>
        <w:rPr>
          <w:spacing w:val="-66"/>
        </w:rPr>
      </w:r>
      <w:r>
        <w:rPr/>
        <w:t>小幅下降。</w:t>
      </w:r>
    </w:p>
    <w:p>
      <w:pPr>
        <w:pStyle w:val="BodyText"/>
        <w:spacing w:line="240" w:lineRule="auto" w:before="29"/>
        <w:ind w:left="574" w:right="0"/>
        <w:jc w:val="left"/>
      </w:pPr>
      <w:r>
        <w:rPr/>
        <w:t>报告期内，广告及策划业务实现营业收入90,317.26万元，同比基本持平，占营业总收入的49.57%。</w:t>
      </w:r>
    </w:p>
    <w:p>
      <w:pPr>
        <w:spacing w:line="364" w:lineRule="auto" w:before="123"/>
        <w:ind w:left="574" w:right="0" w:firstLine="0"/>
        <w:jc w:val="left"/>
        <w:rPr>
          <w:rFonts w:ascii="宋体" w:hAnsi="宋体" w:cs="宋体" w:eastAsia="宋体" w:hint="default"/>
          <w:sz w:val="18"/>
          <w:szCs w:val="18"/>
        </w:rPr>
      </w:pPr>
      <w:r>
        <w:rPr>
          <w:rFonts w:ascii="宋体" w:hAnsi="宋体" w:cs="宋体" w:eastAsia="宋体" w:hint="default"/>
          <w:b/>
          <w:bCs/>
          <w:sz w:val="18"/>
          <w:szCs w:val="18"/>
        </w:rPr>
        <w:t>（二）报刊发行及印刷业持续改善</w:t>
      </w:r>
      <w:r>
        <w:rPr>
          <w:rFonts w:ascii="宋体" w:hAnsi="宋体" w:cs="宋体" w:eastAsia="宋体" w:hint="default"/>
          <w:b/>
          <w:bCs/>
          <w:spacing w:val="1"/>
          <w:w w:val="99"/>
          <w:sz w:val="18"/>
          <w:szCs w:val="18"/>
        </w:rPr>
        <w:t> </w:t>
      </w:r>
      <w:r>
        <w:rPr>
          <w:rFonts w:ascii="宋体" w:hAnsi="宋体" w:cs="宋体" w:eastAsia="宋体" w:hint="default"/>
          <w:sz w:val="18"/>
          <w:szCs w:val="18"/>
        </w:rPr>
        <w:t>报告期内，公司所属每日送公司认真做好《杭州日报》、《都市快报》、《每日商报》等集团报刊的发行与投递，通</w:t>
      </w:r>
    </w:p>
    <w:p>
      <w:pPr>
        <w:pStyle w:val="BodyText"/>
        <w:spacing w:line="364" w:lineRule="auto" w:before="29"/>
        <w:ind w:right="0"/>
        <w:jc w:val="left"/>
      </w:pPr>
      <w:r>
        <w:rPr/>
        <w:t>过加强出版流程协调，科学调配人力运力，提高投递时效和服务质量，成本同比下降8.55%。同时，持续优化网点布局，盘</w:t>
      </w:r>
      <w:r>
        <w:rPr>
          <w:spacing w:val="-83"/>
        </w:rPr>
        <w:t> </w:t>
      </w:r>
      <w:r>
        <w:rPr>
          <w:spacing w:val="-83"/>
        </w:rPr>
      </w:r>
      <w:r>
        <w:rPr>
          <w:spacing w:val="-4"/>
        </w:rPr>
        <w:t>活站房资源、车辆场地资源。公司旗下各传媒公司深耕本土资源，推进“党员订党报”工作，通过对部分报刊的提价、保量、</w:t>
      </w:r>
      <w:r>
        <w:rPr>
          <w:spacing w:val="-46"/>
        </w:rPr>
        <w:t> </w:t>
      </w:r>
      <w:r>
        <w:rPr>
          <w:spacing w:val="-46"/>
        </w:rPr>
      </w:r>
      <w:r>
        <w:rPr/>
        <w:t>扩面，发行收入同比上升7.51%。</w:t>
      </w:r>
    </w:p>
    <w:p>
      <w:pPr>
        <w:pStyle w:val="BodyText"/>
        <w:spacing w:line="364" w:lineRule="auto" w:before="29"/>
        <w:ind w:right="1030" w:firstLine="420"/>
        <w:jc w:val="left"/>
      </w:pPr>
      <w:r>
        <w:rPr/>
        <w:t>报告期内，公司所属盛元印务公司进一步提高工艺水平和生产效率，优化收入结构。通过不断优化原始图片数据参数</w:t>
      </w:r>
      <w:r>
        <w:rPr>
          <w:spacing w:val="1"/>
        </w:rPr>
        <w:t> </w:t>
      </w:r>
      <w:r>
        <w:rPr/>
        <w:t>印刷适性，提升报纸图片彩色数据的合理性，提高报纸图片还原度，确保《杭州日报》、《都市快报》等报刊的印刷质量。</w:t>
      </w:r>
      <w:r>
        <w:rPr/>
        <w:t> </w:t>
      </w:r>
      <w:r>
        <w:rPr>
          <w:spacing w:val="-2"/>
        </w:rPr>
        <w:t>不断强化绿色环保改造工作，通过采用袋装油墨供墨系统、引入智能显影废液固化处理系统等方式实现环保排放。加大工艺</w:t>
      </w:r>
      <w:r>
        <w:rPr>
          <w:spacing w:val="-66"/>
        </w:rPr>
        <w:t> </w:t>
      </w:r>
      <w:r>
        <w:rPr>
          <w:spacing w:val="-66"/>
        </w:rPr>
      </w:r>
      <w:r>
        <w:rPr/>
        <w:t>创新力度，加强产品研制实力，报告期内完成9项工艺创新改造项目。报告期内，实现非报业收入占印刷总收入的66.91%，</w:t>
      </w:r>
      <w:r>
        <w:rPr>
          <w:spacing w:val="-83"/>
        </w:rPr>
        <w:t> </w:t>
      </w:r>
      <w:r>
        <w:rPr>
          <w:spacing w:val="-83"/>
        </w:rPr>
      </w:r>
      <w:r>
        <w:rPr/>
        <w:t>进一步优化了收入结构。公司对外商业印刷收入为19,713.87万元，同比上升9.07%，占营业总收入的10.82%。</w:t>
      </w:r>
    </w:p>
    <w:p>
      <w:pPr>
        <w:pStyle w:val="BodyText"/>
        <w:spacing w:line="240" w:lineRule="auto" w:before="29"/>
        <w:ind w:left="574" w:right="0"/>
        <w:jc w:val="left"/>
      </w:pPr>
      <w:r>
        <w:rPr/>
        <w:t>报告期内，报刊发行及印刷业实现营业收入48,612.92万元，同比增长8.14%。</w:t>
      </w:r>
    </w:p>
    <w:p>
      <w:pPr>
        <w:pStyle w:val="BodyText"/>
        <w:spacing w:line="364" w:lineRule="auto" w:before="123"/>
        <w:ind w:left="574" w:right="0"/>
        <w:jc w:val="left"/>
      </w:pPr>
      <w:r>
        <w:rPr>
          <w:rFonts w:ascii="宋体" w:hAnsi="宋体" w:cs="宋体" w:eastAsia="宋体" w:hint="default"/>
          <w:b/>
          <w:bCs/>
        </w:rPr>
        <w:t>（三）教育业务不断拓展</w:t>
      </w:r>
      <w:r>
        <w:rPr>
          <w:rFonts w:ascii="宋体" w:hAnsi="宋体" w:cs="宋体" w:eastAsia="宋体" w:hint="default"/>
          <w:b/>
          <w:bCs/>
          <w:spacing w:val="1"/>
          <w:w w:val="99"/>
        </w:rPr>
        <w:t> </w:t>
      </w:r>
      <w:r>
        <w:rPr/>
        <w:t>公司持续推动教育板块相关业务的发展，继续加快职业教育的全国布局，发展职业、国际、IT、艺术、在线、基础六</w:t>
      </w:r>
    </w:p>
    <w:p>
      <w:pPr>
        <w:pStyle w:val="BodyText"/>
        <w:spacing w:line="364" w:lineRule="auto" w:before="29"/>
        <w:ind w:right="1128"/>
        <w:jc w:val="both"/>
      </w:pPr>
      <w:r>
        <w:rPr/>
        <w:t>大教育板块，扩大与全国高校合作办学领域。报告期内，职业教育项目新增8个，共计22个；国际教育项目新增10个，共计</w:t>
      </w:r>
      <w:r>
        <w:rPr>
          <w:spacing w:val="-83"/>
        </w:rPr>
        <w:t> </w:t>
      </w:r>
      <w:r>
        <w:rPr>
          <w:spacing w:val="-83"/>
        </w:rPr>
      </w:r>
      <w:r>
        <w:rPr>
          <w:spacing w:val="-2"/>
        </w:rPr>
        <w:t>21个；IT教育项目新增17个，共与42所院校达成合作；在线教育项目中标/签约项目数量共计45个；艺术教育项目共有8个校</w:t>
      </w:r>
      <w:r>
        <w:rPr>
          <w:spacing w:val="-54"/>
        </w:rPr>
        <w:t> </w:t>
      </w:r>
      <w:r>
        <w:rPr>
          <w:spacing w:val="-54"/>
        </w:rPr>
      </w:r>
      <w:r>
        <w:rPr/>
        <w:t>区；基础教育共有直营布朗幼儿园15所、布朗小学1所、公办托管小学1所。2019年1月，中教未来协办“第十二届中国产学</w:t>
      </w:r>
      <w:r>
        <w:rPr>
          <w:spacing w:val="-83"/>
        </w:rPr>
        <w:t> </w:t>
      </w:r>
      <w:r>
        <w:rPr>
          <w:spacing w:val="-83"/>
        </w:rPr>
      </w:r>
      <w:r>
        <w:rPr/>
        <w:t>研合作促进会年会”，反响良好。但由于中教未来发生减值迹象，公司对相应商誉计提减值2,302.72万元。</w:t>
      </w:r>
    </w:p>
    <w:p>
      <w:pPr>
        <w:pStyle w:val="BodyText"/>
        <w:spacing w:line="364" w:lineRule="auto" w:before="29"/>
        <w:ind w:right="1129" w:firstLine="420"/>
        <w:jc w:val="both"/>
      </w:pPr>
      <w:r>
        <w:rPr>
          <w:spacing w:val="-2"/>
        </w:rPr>
        <w:t>除职业教育外，公司旗下每日传媒持续做好教育圈层，开展了500多场特色实践活动。萧报传媒不断优化萧报学堂、小</w:t>
      </w:r>
      <w:r>
        <w:rPr/>
        <w:t> </w:t>
      </w:r>
      <w:r>
        <w:rPr>
          <w:spacing w:val="-2"/>
        </w:rPr>
        <w:t>记者等活动，开展小记者活动升级和小记者精品课程研发；都快控股举办特色夏令营等，不断做大教育培训活动。华媒优培</w:t>
      </w:r>
      <w:r>
        <w:rPr>
          <w:spacing w:val="-66"/>
        </w:rPr>
        <w:t> </w:t>
      </w:r>
      <w:r>
        <w:rPr>
          <w:spacing w:val="-66"/>
        </w:rPr>
      </w:r>
      <w:r>
        <w:rPr>
          <w:spacing w:val="-2"/>
        </w:rPr>
        <w:t>的幼教项目华媒维翰运河园和华媒维翰托育中心已正式开园。余杭晨报拓展教育培训业务，线下做好乔司教育综合体，线上</w:t>
      </w:r>
      <w:r>
        <w:rPr>
          <w:spacing w:val="-66"/>
        </w:rPr>
        <w:t> </w:t>
      </w:r>
      <w:r>
        <w:rPr>
          <w:spacing w:val="-66"/>
        </w:rPr>
      </w:r>
      <w:r>
        <w:rPr/>
        <w:t>打造“晨报有课”，为家长提供各类教育信息，推荐限量优质好课。</w:t>
      </w:r>
    </w:p>
    <w:p>
      <w:pPr>
        <w:pStyle w:val="BodyText"/>
        <w:spacing w:line="364" w:lineRule="auto" w:before="29"/>
        <w:ind w:left="153" w:right="0" w:firstLine="420"/>
        <w:jc w:val="left"/>
      </w:pPr>
      <w:r>
        <w:rPr/>
        <w:t>报告期内，公司的教育业务实现营业收入26,433.59万元，同比上升1.07%，营业成本同比上升24.11%，主要系中教未</w:t>
      </w:r>
      <w:r>
        <w:rPr>
          <w:spacing w:val="1"/>
        </w:rPr>
        <w:t> </w:t>
      </w:r>
      <w:r>
        <w:rPr/>
        <w:t>来启动的新项目前期投入较高。</w:t>
      </w:r>
    </w:p>
    <w:p>
      <w:pPr>
        <w:pStyle w:val="BodyText"/>
        <w:spacing w:line="364" w:lineRule="auto" w:before="29"/>
        <w:ind w:left="573" w:right="0"/>
        <w:jc w:val="left"/>
      </w:pPr>
      <w:r>
        <w:rPr>
          <w:rFonts w:ascii="宋体" w:hAnsi="宋体" w:cs="宋体" w:eastAsia="宋体" w:hint="default"/>
          <w:b/>
          <w:bCs/>
        </w:rPr>
        <w:t>（四）其他业务继续发展</w:t>
      </w:r>
      <w:r>
        <w:rPr>
          <w:rFonts w:ascii="宋体" w:hAnsi="宋体" w:cs="宋体" w:eastAsia="宋体" w:hint="default"/>
          <w:b/>
          <w:bCs/>
          <w:spacing w:val="1"/>
          <w:w w:val="99"/>
        </w:rPr>
        <w:t> </w:t>
      </w:r>
      <w:r>
        <w:rPr/>
        <w:t>报告期内，公司积极推动物流业务转型发展，继续打造文化产权平台、文创园区平台，搭建文创金融平台，拓展多元</w:t>
      </w:r>
    </w:p>
    <w:p>
      <w:pPr>
        <w:spacing w:after="0" w:line="364" w:lineRule="auto"/>
        <w:jc w:val="left"/>
        <w:sectPr>
          <w:pgSz w:w="11910" w:h="16840"/>
          <w:pgMar w:header="747" w:footer="982" w:top="1060" w:bottom="1180" w:left="980" w:right="0"/>
        </w:sectPr>
      </w:pPr>
    </w:p>
    <w:p>
      <w:pPr>
        <w:spacing w:line="240" w:lineRule="auto" w:before="8"/>
        <w:rPr>
          <w:rFonts w:ascii="宋体" w:hAnsi="宋体" w:cs="宋体" w:eastAsia="宋体" w:hint="default"/>
          <w:sz w:val="27"/>
          <w:szCs w:val="27"/>
        </w:rPr>
      </w:pPr>
    </w:p>
    <w:p>
      <w:pPr>
        <w:pStyle w:val="BodyText"/>
        <w:spacing w:line="240" w:lineRule="auto" w:before="44"/>
        <w:ind w:left="153" w:right="0"/>
        <w:jc w:val="left"/>
      </w:pPr>
      <w:r>
        <w:rPr/>
        <w:t>融资渠道。</w:t>
      </w:r>
    </w:p>
    <w:p>
      <w:pPr>
        <w:pStyle w:val="BodyText"/>
        <w:spacing w:line="364" w:lineRule="auto" w:before="123"/>
        <w:ind w:left="153" w:right="0" w:firstLine="420"/>
        <w:jc w:val="left"/>
      </w:pPr>
      <w:r>
        <w:rPr/>
        <w:t>物流业务转型发展。报告期内，每日送公司在做好集团报刊投递的基础上，有效协同信息物流、电商物流、生活物流</w:t>
      </w:r>
      <w:r>
        <w:rPr>
          <w:spacing w:val="1"/>
        </w:rPr>
        <w:t> </w:t>
      </w:r>
      <w:r>
        <w:rPr>
          <w:spacing w:val="-9"/>
        </w:rPr>
        <w:t>发展。信息物流中城区报、行业报、DM广告业务发展良好；电商物流与京东、宅急送合作，全年配送191万单，“6.18”“11.11”</w:t>
      </w:r>
      <w:r>
        <w:rPr>
          <w:spacing w:val="-48"/>
        </w:rPr>
        <w:t> </w:t>
      </w:r>
      <w:r>
        <w:rPr>
          <w:spacing w:val="-48"/>
        </w:rPr>
      </w:r>
      <w:r>
        <w:rPr/>
        <w:t>平稳度峰；生活物流拓展鲜花、生鲜等业务，全年配送53万单。</w:t>
      </w:r>
    </w:p>
    <w:p>
      <w:pPr>
        <w:pStyle w:val="BodyText"/>
        <w:spacing w:line="362" w:lineRule="auto" w:before="29"/>
        <w:ind w:right="1030" w:firstLine="420"/>
        <w:jc w:val="left"/>
      </w:pPr>
      <w:r>
        <w:rPr/>
        <w:t>文化产权平台稳步推进。报告期内，参股公司杭州文化产权交易所继续深入做好转型和发展两篇文章，围绕打造文化</w:t>
      </w:r>
      <w:r>
        <w:rPr>
          <w:spacing w:val="1"/>
        </w:rPr>
        <w:t> </w:t>
      </w:r>
      <w:r>
        <w:rPr/>
        <w:t>艺术品全产业链这一目标，努力做大做强产权服务、质押融资、新零售业务，积极拓展艺术品、版权等确权、确证、交易、</w:t>
      </w:r>
      <w:r>
        <w:rPr/>
        <w:t> </w:t>
      </w:r>
      <w:r>
        <w:rPr>
          <w:spacing w:val="-2"/>
        </w:rPr>
        <w:t>融资、产业扶持平台建设和新项目落地，在争取效益的同时，努力完善产业生态圈建设，为后续发展谋好篇、布好局。参股</w:t>
      </w:r>
      <w:r>
        <w:rPr>
          <w:spacing w:val="-68"/>
        </w:rPr>
        <w:t> </w:t>
      </w:r>
      <w:r>
        <w:rPr>
          <w:spacing w:val="-68"/>
        </w:rPr>
      </w:r>
      <w:r>
        <w:rPr/>
        <w:t>成立的火鸟公司坚持以原创内容为抓手，多角度、多层次诠释区块链产业的发展，构建起包括公众号、官网、APP、微博的</w:t>
      </w:r>
      <w:r>
        <w:rPr>
          <w:spacing w:val="-83"/>
        </w:rPr>
        <w:t> </w:t>
      </w:r>
      <w:r>
        <w:rPr>
          <w:spacing w:val="-83"/>
        </w:rPr>
      </w:r>
      <w:r>
        <w:rPr>
          <w:spacing w:val="-2"/>
        </w:rPr>
        <w:t>自有内容分发渠道矩阵，获评全国和省级科技型中小企业和杭州市“雏鹰计划”企业；执行第三届中国区块链开发大赛，举</w:t>
      </w:r>
      <w:r>
        <w:rPr>
          <w:spacing w:val="-66"/>
        </w:rPr>
        <w:t> </w:t>
      </w:r>
      <w:r>
        <w:rPr>
          <w:spacing w:val="-66"/>
        </w:rPr>
      </w:r>
      <w:r>
        <w:rPr/>
        <w:t>办6期“创见未来”区块链沙龙、浙江省区块链信息服务备案技术交流会、2019杭州产业区块链论坛、区块链技术沙龙</w:t>
      </w:r>
      <w:r>
        <w:rPr>
          <w:rFonts w:ascii="Times New Roman" w:hAnsi="Times New Roman" w:cs="Times New Roman" w:eastAsia="Times New Roman" w:hint="default"/>
        </w:rPr>
        <w:t>•</w:t>
      </w:r>
      <w:r>
        <w:rPr/>
        <w:t>杭州 站、杭报集团区块链短训班一期等线下活动。</w:t>
      </w:r>
    </w:p>
    <w:p>
      <w:pPr>
        <w:pStyle w:val="BodyText"/>
        <w:spacing w:line="364" w:lineRule="auto" w:before="31"/>
        <w:ind w:right="0" w:firstLine="420"/>
        <w:jc w:val="left"/>
      </w:pPr>
      <w:r>
        <w:rPr/>
        <w:t>文化园区平台稳步推进。报告期内，华媒控股与钱江世纪城管委会签署了相关协议并获得万和国际中心7幢的运营权， </w:t>
      </w:r>
      <w:r>
        <w:rPr>
          <w:spacing w:val="-2"/>
        </w:rPr>
        <w:t>公司将其作为华媒智谷项目一期予以打造并负责楼宇整体装修以及根据管委会的限定条件进行招商引资。经过四个多月装修</w:t>
      </w:r>
      <w:r>
        <w:rPr>
          <w:spacing w:val="-64"/>
        </w:rPr>
        <w:t> </w:t>
      </w:r>
      <w:r>
        <w:rPr>
          <w:spacing w:val="-64"/>
        </w:rPr>
      </w:r>
      <w:r>
        <w:rPr/>
        <w:t>期，自2019年6月份开始，华媒控股总部以及旗下5家一级子公司开始陆续搬迁至万和国际7幢办公，同步启动招商工作。截</w:t>
      </w:r>
      <w:r>
        <w:rPr>
          <w:spacing w:val="-83"/>
        </w:rPr>
        <w:t> </w:t>
      </w:r>
      <w:r>
        <w:rPr>
          <w:spacing w:val="-83"/>
        </w:rPr>
      </w:r>
      <w:r>
        <w:rPr/>
        <w:t>至目前，华媒智谷一期万和国际项目已引入市文创基地、高格创新中心、大叔影业、酷德教育等企业，招商率达到75%，并</w:t>
      </w:r>
      <w:r>
        <w:rPr>
          <w:spacing w:val="-83"/>
        </w:rPr>
        <w:t> </w:t>
      </w:r>
      <w:r>
        <w:rPr>
          <w:spacing w:val="-83"/>
        </w:rPr>
      </w:r>
      <w:r>
        <w:rPr>
          <w:spacing w:val="-2"/>
        </w:rPr>
        <w:t>推出自主运营众创空间品牌“筑谷寺”，该运营项目已为公司报告期贡献利润200余万元；二期萧文置业项目完成主体结顶，</w:t>
      </w:r>
      <w:r>
        <w:rPr>
          <w:spacing w:val="-62"/>
        </w:rPr>
        <w:t> </w:t>
      </w:r>
      <w:r>
        <w:rPr>
          <w:spacing w:val="-62"/>
        </w:rPr>
      </w:r>
      <w:r>
        <w:rPr>
          <w:spacing w:val="-2"/>
        </w:rPr>
        <w:t>目前正在积极推进后续工作。华媒科创园招租率约92%，目前园区内有国家高新技术企业2家，市级高新技术企业十余家，入</w:t>
      </w:r>
      <w:r>
        <w:rPr>
          <w:spacing w:val="-62"/>
        </w:rPr>
        <w:t> </w:t>
      </w:r>
      <w:r>
        <w:rPr>
          <w:spacing w:val="-62"/>
        </w:rPr>
      </w:r>
      <w:r>
        <w:rPr/>
        <w:t>选省级科技孵化器、首批省小微企业园。华媒数创园初步形成“年轻+潮玩”园区业态。九堡项目完成项目公司杭州华媒文</w:t>
      </w:r>
      <w:r>
        <w:rPr>
          <w:spacing w:val="-83"/>
        </w:rPr>
        <w:t> </w:t>
      </w:r>
      <w:r>
        <w:rPr>
          <w:spacing w:val="-83"/>
        </w:rPr>
      </w:r>
      <w:r>
        <w:rPr>
          <w:spacing w:val="-2"/>
        </w:rPr>
        <w:t>化发展有限公司的工商注册工作，深入研究土地性质调整和项目开发方案。大江东融媒体智造集群总部基地项目完成设计方</w:t>
      </w:r>
      <w:r>
        <w:rPr>
          <w:spacing w:val="-64"/>
        </w:rPr>
        <w:t> </w:t>
      </w:r>
      <w:r>
        <w:rPr>
          <w:spacing w:val="-64"/>
        </w:rPr>
      </w:r>
      <w:r>
        <w:rPr/>
        <w:t>案的深化调整工作，取得规划许可证，完成临电开通等开工配套工作，完成EPC招标，推进施工图设计和审批等相关工作。</w:t>
      </w:r>
      <w:r>
        <w:rPr>
          <w:spacing w:val="-83"/>
        </w:rPr>
        <w:t> </w:t>
      </w:r>
      <w:r>
        <w:rPr>
          <w:spacing w:val="-83"/>
        </w:rPr>
      </w:r>
      <w:r>
        <w:rPr>
          <w:spacing w:val="-2"/>
        </w:rPr>
        <w:t>但受疫情影响，园区招租率在2020年一季度呈现下滑趋势，对此，公司根据政府要求，兑现针对入驻企业的免租补贴，帮助</w:t>
      </w:r>
      <w:r>
        <w:rPr>
          <w:spacing w:val="-62"/>
        </w:rPr>
        <w:t> </w:t>
      </w:r>
      <w:r>
        <w:rPr>
          <w:spacing w:val="-62"/>
        </w:rPr>
      </w:r>
      <w:r>
        <w:rPr/>
        <w:t>现有企业渡过难关，稳定现有出租比例；同时，加大拓展招商渠道，在免租期等方面给予新入驻企业一定的优惠政策。</w:t>
      </w:r>
    </w:p>
    <w:p>
      <w:pPr>
        <w:pStyle w:val="BodyText"/>
        <w:spacing w:line="364" w:lineRule="auto" w:before="29"/>
        <w:ind w:right="1126" w:firstLine="420"/>
        <w:jc w:val="both"/>
      </w:pPr>
      <w:r>
        <w:rPr/>
        <w:t>文创金融平台顺利运营。报告期内，公司与杭实基金共同成立的杭州杭实华媒投资管理合伙企业（有限合伙）运营正</w:t>
      </w:r>
      <w:r>
        <w:rPr>
          <w:spacing w:val="1"/>
        </w:rPr>
        <w:t> </w:t>
      </w:r>
      <w:r>
        <w:rPr/>
        <w:t>常。公司发行了2019年度第一期、第二期、第三期超短期融资券，向合格投资者公开发行公司债券，合计募集资金7亿元，</w:t>
      </w:r>
      <w:r>
        <w:rPr>
          <w:spacing w:val="-85"/>
        </w:rPr>
        <w:t> </w:t>
      </w:r>
      <w:r>
        <w:rPr>
          <w:spacing w:val="-85"/>
        </w:rPr>
      </w:r>
      <w:r>
        <w:rPr/>
        <w:t>为公司后续发展提供资金支持。公司参与发起成立的杭州市企业上市与并购促进会（简称“海马会”）顺利运作。</w:t>
      </w:r>
    </w:p>
    <w:p>
      <w:pPr>
        <w:pStyle w:val="BodyText"/>
        <w:spacing w:line="364" w:lineRule="auto" w:before="29"/>
        <w:ind w:left="574" w:right="1126"/>
        <w:jc w:val="left"/>
      </w:pPr>
      <w:r>
        <w:rPr>
          <w:rFonts w:ascii="宋体" w:hAnsi="宋体" w:cs="宋体" w:eastAsia="宋体" w:hint="default"/>
          <w:b/>
          <w:bCs/>
        </w:rPr>
        <w:t>（五）党建工作全面完善</w:t>
      </w:r>
      <w:r>
        <w:rPr>
          <w:rFonts w:ascii="宋体" w:hAnsi="宋体" w:cs="宋体" w:eastAsia="宋体" w:hint="default"/>
          <w:b/>
          <w:bCs/>
          <w:spacing w:val="1"/>
          <w:w w:val="99"/>
        </w:rPr>
        <w:t> </w:t>
      </w:r>
      <w:r>
        <w:rPr>
          <w:spacing w:val="-3"/>
        </w:rPr>
        <w:t>公司巩固拓展“不忘初心、牢记使命”主题教育成果，切实增强党员干部“四个意识”，坚定“四个自信”、做到“两</w:t>
      </w:r>
    </w:p>
    <w:p>
      <w:pPr>
        <w:pStyle w:val="BodyText"/>
        <w:spacing w:line="364" w:lineRule="auto" w:before="29"/>
        <w:ind w:right="0"/>
        <w:jc w:val="left"/>
      </w:pPr>
      <w:r>
        <w:rPr>
          <w:spacing w:val="-2"/>
        </w:rPr>
        <w:t>个维护”。以“六问六稳”为主线，以“六年六力”为主抓手，进一步强“根”铸“魂”，为建成“全国一流现代文化传媒</w:t>
      </w:r>
      <w:r>
        <w:rPr>
          <w:spacing w:val="-65"/>
        </w:rPr>
        <w:t> </w:t>
      </w:r>
      <w:r>
        <w:rPr>
          <w:spacing w:val="-65"/>
        </w:rPr>
      </w:r>
      <w:r>
        <w:rPr/>
        <w:t>集团”奋斗目标提供坚强保证。</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1"/>
        <w:gridCol w:w="1598"/>
      </w:tblGrid>
      <w:tr>
        <w:trPr>
          <w:trHeight w:val="171"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9"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3188" w:type="dxa"/>
            <w:gridSpan w:val="2"/>
            <w:vMerge/>
            <w:tcBorders>
              <w:left w:val="single" w:sz="4" w:space="0" w:color="000000"/>
              <w:bottom w:val="single" w:sz="4" w:space="0" w:color="000000"/>
              <w:right w:val="single" w:sz="4" w:space="0" w:color="000000"/>
            </w:tcBorders>
            <w:shd w:val="clear" w:color="auto" w:fill="D3D3D3"/>
          </w:tcPr>
          <w:p>
            <w:pPr/>
          </w:p>
        </w:tc>
        <w:tc>
          <w:tcPr>
            <w:tcW w:w="3185" w:type="dxa"/>
            <w:gridSpan w:val="2"/>
            <w:vMerge/>
            <w:tcBorders>
              <w:left w:val="single" w:sz="4" w:space="0" w:color="000000"/>
              <w:bottom w:val="single" w:sz="4" w:space="0" w:color="000000"/>
              <w:right w:val="single" w:sz="4" w:space="0" w:color="000000"/>
            </w:tcBorders>
            <w:shd w:val="clear" w:color="auto" w:fill="D3D3D3"/>
          </w:tcPr>
          <w:p>
            <w:pPr/>
          </w:p>
        </w:tc>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1"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2"/>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3D3D3"/>
          </w:tcPr>
          <w:p>
            <w:pPr/>
          </w:p>
        </w:tc>
      </w:tr>
      <w:tr>
        <w:trPr>
          <w:trHeight w:val="169"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1" w:type="dxa"/>
            <w:vMerge/>
            <w:tcBorders>
              <w:left w:val="single" w:sz="4" w:space="0" w:color="000000"/>
              <w:bottom w:val="single" w:sz="4" w:space="0" w:color="000000"/>
              <w:right w:val="single" w:sz="4" w:space="0" w:color="000000"/>
            </w:tcBorders>
            <w:shd w:val="clear" w:color="auto" w:fill="D3D3D3"/>
          </w:tcPr>
          <w:p>
            <w:pPr/>
          </w:p>
        </w:tc>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4"/>
              <w:ind w:right="9"/>
              <w:jc w:val="right"/>
              <w:rPr>
                <w:rFonts w:ascii="Times New Roman" w:hAnsi="Times New Roman" w:cs="Times New Roman" w:eastAsia="Times New Roman" w:hint="default"/>
                <w:sz w:val="18"/>
                <w:szCs w:val="18"/>
              </w:rPr>
            </w:pPr>
            <w:r>
              <w:rPr>
                <w:rFonts w:ascii="Times New Roman"/>
                <w:spacing w:val="-1"/>
                <w:sz w:val="18"/>
              </w:rPr>
              <w:t>1,822,062,332.55</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4"/>
              <w:ind w:right="9"/>
              <w:jc w:val="right"/>
              <w:rPr>
                <w:rFonts w:ascii="Times New Roman" w:hAnsi="Times New Roman" w:cs="Times New Roman" w:eastAsia="Times New Roman" w:hint="default"/>
                <w:sz w:val="18"/>
                <w:szCs w:val="18"/>
              </w:rPr>
            </w:pPr>
            <w:r>
              <w:rPr>
                <w:rFonts w:ascii="Times New Roman"/>
                <w:spacing w:val="-1"/>
                <w:sz w:val="18"/>
              </w:rPr>
              <w:t>1,749,493,401.78</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right="17"/>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4.15%</w:t>
            </w:r>
          </w:p>
        </w:tc>
      </w:tr>
      <w:tr>
        <w:trPr>
          <w:trHeight w:val="329"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903,172,553.30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905,486,162.80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51.75%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-0.26%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报刊及印刷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486,129,203.39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449,549,356.74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25.70%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8.14%</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264,335,900.64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261,544,772.47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14.95%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1.07%</w:t>
            </w: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168,424,675.22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132,913,109.77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7.60%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26.72%</w:t>
            </w:r>
          </w:p>
        </w:tc>
      </w:tr>
      <w:tr>
        <w:trPr>
          <w:trHeight w:val="329"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511,749,802.62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541,328,374.70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30.94%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-5.46%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76,871,513.72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98,694,028.68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5.64%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2"/>
                <w:sz w:val="18"/>
              </w:rPr>
              <w:t>-22.11%</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314,551,236.96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265,463,759.42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15.17%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18.49%</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288,990,476.00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268,797,665.24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15.36%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7.51%</w:t>
            </w:r>
          </w:p>
        </w:tc>
      </w:tr>
      <w:tr>
        <w:trPr>
          <w:trHeight w:val="57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121"/>
              <w:jc w:val="left"/>
              <w:rPr>
                <w:rFonts w:ascii="宋体" w:hAnsi="宋体" w:cs="宋体" w:eastAsia="宋体" w:hint="default"/>
                <w:sz w:val="18"/>
                <w:szCs w:val="18"/>
              </w:rPr>
            </w:pPr>
            <w:r>
              <w:rPr>
                <w:rFonts w:ascii="宋体" w:hAnsi="宋体" w:cs="宋体" w:eastAsia="宋体" w:hint="default"/>
                <w:sz w:val="18"/>
                <w:szCs w:val="18"/>
              </w:rPr>
              <w:t>教育培训及技术服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264,335,900.64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261,544,772.47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197,138,727.39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180,751,691.50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10.33%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9.07%</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64,636,194.56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78,666,977.09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4.50%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-17.84%</w:t>
            </w: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103,788,480.66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54,246,132.68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2"/>
                <w:sz w:val="18"/>
              </w:rPr>
              <w:t>3.11%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91.33%</w:t>
            </w:r>
          </w:p>
        </w:tc>
      </w:tr>
      <w:tr>
        <w:trPr>
          <w:trHeight w:val="329"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1,822,062,332.55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1,749,493,401.78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903,172,553.30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702,132,332.48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486,129,203.39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385,291,341.99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264,335,900.64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134,971,420.46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511,749,802.62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410,750,003.84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314,551,236.96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246,981,202.25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288,990,476.00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181,315,183.08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教育培训及技术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264,335,900.64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134,971,420.46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24.11%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1,822,062,332.55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1,351,738,575.97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702,132,332.48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674,576,335.49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报刊及印刷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385,291,341.99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390,762,222.48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134,971,420.46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108,748,809.61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24.11%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129,343,481.04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92,838,406.04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39.32%</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410,750,003.84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407,240,039.50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44,401,126.39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63,136,398.70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户外广告</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246,981,202.25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204,199,897.29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181,315,183.08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198,276,094.87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教育培训及技术 服务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134,971,420.46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108,748,809.61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24.11%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203,976,158.91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192,486,127.61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51,349,142.77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78,358,830.54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77,994,338.27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14,479,575.50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7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一、同一控制下企业合并</w:t>
      </w:r>
    </w:p>
    <w:p>
      <w:pPr>
        <w:pStyle w:val="BodyText"/>
        <w:spacing w:line="300" w:lineRule="auto" w:before="2"/>
        <w:ind w:left="153" w:right="1127" w:firstLine="420"/>
        <w:jc w:val="both"/>
      </w:pPr>
      <w:r>
        <w:rPr>
          <w:spacing w:val="-1"/>
        </w:rPr>
        <w:t>根据本公司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日召开的第九届董事会第五次会议审议通过的《关于收购杭州萧文置业有限公司</w:t>
      </w:r>
      <w:r>
        <w:rPr>
          <w:rFonts w:ascii="Times New Roman" w:hAnsi="Times New Roman" w:cs="Times New Roman" w:eastAsia="Times New Roman" w:hint="default"/>
          <w:spacing w:val="-1"/>
        </w:rPr>
        <w:t>55%</w:t>
      </w:r>
      <w:r>
        <w:rPr>
          <w:spacing w:val="-1"/>
        </w:rPr>
        <w:t>股权暨关</w:t>
      </w:r>
      <w:r>
        <w:rPr/>
        <w:t> </w:t>
      </w:r>
      <w:r>
        <w:rPr>
          <w:spacing w:val="-2"/>
        </w:rPr>
        <w:t>联交易的议案》，本公司以</w:t>
      </w:r>
      <w:r>
        <w:rPr>
          <w:rFonts w:ascii="Times New Roman" w:hAnsi="Times New Roman" w:cs="Times New Roman" w:eastAsia="Times New Roman" w:hint="default"/>
          <w:spacing w:val="-2"/>
        </w:rPr>
        <w:t>30,817.33</w:t>
      </w:r>
      <w:r>
        <w:rPr>
          <w:spacing w:val="-2"/>
        </w:rPr>
        <w:t>万元受让杭州日报报业集团有限公司（以下简称：杭报集团公司）持有的杭州萧文置业</w:t>
      </w:r>
      <w:r>
        <w:rPr>
          <w:spacing w:val="-57"/>
        </w:rPr>
        <w:t> </w:t>
      </w:r>
      <w:r>
        <w:rPr>
          <w:spacing w:val="-57"/>
        </w:rPr>
      </w:r>
      <w:r>
        <w:rPr>
          <w:spacing w:val="-1"/>
        </w:rPr>
        <w:t>有限公司（以下简称：萧文置业）</w:t>
      </w:r>
      <w:r>
        <w:rPr>
          <w:rFonts w:ascii="Times New Roman" w:hAnsi="Times New Roman" w:cs="Times New Roman" w:eastAsia="Times New Roman" w:hint="default"/>
          <w:spacing w:val="-1"/>
        </w:rPr>
        <w:t>55%</w:t>
      </w:r>
      <w:r>
        <w:rPr>
          <w:spacing w:val="-1"/>
        </w:rPr>
        <w:t>股权。由于本公司和萧文置业同受杭报集团公司最终控制且该项控制是非暂时的，故</w:t>
      </w:r>
      <w:r>
        <w:rPr/>
        <w:t> 该项合并为同一控制下的企业合并。上述股权转让事宜萧文置业已于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日办妥工商变更登记手续，截至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31</w:t>
      </w:r>
      <w:r>
        <w:rPr/>
        <w:t>日，本公司已支付</w:t>
      </w:r>
      <w:r>
        <w:rPr>
          <w:rFonts w:ascii="Times New Roman" w:hAnsi="Times New Roman" w:cs="Times New Roman" w:eastAsia="Times New Roman" w:hint="default"/>
        </w:rPr>
        <w:t>21,572.13</w:t>
      </w:r>
      <w:r>
        <w:rPr/>
        <w:t>万元的股权转让价款，已拥有该公司的实质控制权，故将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日确定为合并日，将</w:t>
      </w:r>
      <w:r>
        <w:rPr>
          <w:spacing w:val="-85"/>
        </w:rPr>
        <w:t> </w:t>
      </w:r>
      <w:r>
        <w:rPr>
          <w:spacing w:val="-85"/>
        </w:rPr>
      </w:r>
      <w:r>
        <w:rPr/>
        <w:t>其纳入合并财务报表范围。本期，本公司将其纳入合并财务报表范围，并依据《企业会计准则第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w:t>
      </w:r>
      <w:r>
        <w:rPr>
          <w:spacing w:val="-58"/>
        </w:rPr>
        <w:t> </w:t>
      </w:r>
      <w:r>
        <w:rPr>
          <w:spacing w:val="-58"/>
        </w:rPr>
      </w:r>
      <w:r>
        <w:rPr/>
        <w:t>相应调整了合并财务报表的比较数据。</w:t>
      </w:r>
    </w:p>
    <w:p>
      <w:pPr>
        <w:pStyle w:val="BodyText"/>
        <w:spacing w:line="240" w:lineRule="auto" w:before="31"/>
        <w:ind w:right="0"/>
        <w:jc w:val="left"/>
      </w:pPr>
      <w:r>
        <w:rPr/>
        <w:t>二、其他原因引起的合并范围的变动</w:t>
      </w:r>
    </w:p>
    <w:p>
      <w:pPr>
        <w:pStyle w:val="BodyText"/>
        <w:spacing w:line="240" w:lineRule="auto" w:before="76"/>
        <w:ind w:left="444" w:right="0"/>
        <w:jc w:val="left"/>
      </w:pPr>
      <w:r>
        <w:rPr>
          <w:rFonts w:ascii="Times New Roman" w:hAnsi="Times New Roman" w:cs="Times New Roman" w:eastAsia="Times New Roman" w:hint="default"/>
        </w:rPr>
        <w:t>1.</w:t>
      </w:r>
      <w:r>
        <w:rPr/>
        <w:t>以直接设立或投资等方式增加的子公司</w:t>
      </w:r>
    </w:p>
    <w:p>
      <w:pPr>
        <w:pStyle w:val="BodyText"/>
        <w:spacing w:line="300" w:lineRule="auto" w:before="63"/>
        <w:ind w:right="1128"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月，子公司中教未来国际教育科技（北京）有限公司与跞文教育科技（北京）有限公司共同出资设立中教京安</w:t>
      </w:r>
      <w:r>
        <w:rPr/>
        <w:t> </w:t>
      </w:r>
      <w:r>
        <w:rPr>
          <w:spacing w:val="-2"/>
        </w:rPr>
        <w:t>教育科技（北京）有限公司。该公司于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日完成工商设立登记，注册资本为人民币</w:t>
      </w:r>
      <w:r>
        <w:rPr>
          <w:rFonts w:ascii="Times New Roman" w:hAnsi="Times New Roman" w:cs="Times New Roman" w:eastAsia="Times New Roman" w:hint="default"/>
          <w:spacing w:val="-2"/>
        </w:rPr>
        <w:t>100</w:t>
      </w:r>
      <w:r>
        <w:rPr>
          <w:spacing w:val="-2"/>
        </w:rPr>
        <w:t>万元，其中中教未来国际教</w:t>
      </w:r>
      <w:r>
        <w:rPr>
          <w:spacing w:val="-56"/>
        </w:rPr>
        <w:t> </w:t>
      </w:r>
      <w:r>
        <w:rPr>
          <w:spacing w:val="-56"/>
        </w:rPr>
      </w:r>
      <w:r>
        <w:rPr>
          <w:spacing w:val="-1"/>
        </w:rPr>
        <w:t>育科技（北京）有限公司出资人民币</w:t>
      </w:r>
      <w:r>
        <w:rPr>
          <w:rFonts w:ascii="Times New Roman" w:hAnsi="Times New Roman" w:cs="Times New Roman" w:eastAsia="Times New Roman" w:hint="default"/>
          <w:spacing w:val="-1"/>
        </w:rPr>
        <w:t>60</w:t>
      </w:r>
      <w:r>
        <w:rPr>
          <w:spacing w:val="-1"/>
        </w:rPr>
        <w:t>万元，占其注册资本的</w:t>
      </w:r>
      <w:r>
        <w:rPr>
          <w:rFonts w:ascii="Times New Roman" w:hAnsi="Times New Roman" w:cs="Times New Roman" w:eastAsia="Times New Roman" w:hint="default"/>
          <w:spacing w:val="-1"/>
        </w:rPr>
        <w:t>60%</w:t>
      </w:r>
      <w:r>
        <w:rPr>
          <w:spacing w:val="-1"/>
        </w:rPr>
        <w:t>，拥有对其的实质控制权，故自该公司成立之日起，将其</w:t>
      </w:r>
      <w:r>
        <w:rPr>
          <w:spacing w:val="-88"/>
        </w:rPr>
        <w:t> </w:t>
      </w:r>
      <w:r>
        <w:rPr>
          <w:spacing w:val="-88"/>
        </w:rPr>
      </w:r>
      <w:r>
        <w:rPr/>
        <w:t>纳入合并财务报表范围。截止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日，中教京安教育科技（北京）有限公司的净资产为</w:t>
      </w:r>
      <w:r>
        <w:rPr>
          <w:rFonts w:ascii="Times New Roman" w:hAnsi="Times New Roman" w:cs="Times New Roman" w:eastAsia="Times New Roman" w:hint="default"/>
        </w:rPr>
        <w:t>134,002.52</w:t>
      </w:r>
      <w:r>
        <w:rPr/>
        <w:t>元，成立日至期</w:t>
      </w:r>
      <w:r>
        <w:rPr>
          <w:spacing w:val="-85"/>
        </w:rPr>
        <w:t> </w:t>
      </w:r>
      <w:r>
        <w:rPr/>
        <w:t>末的净利润为</w:t>
      </w:r>
      <w:r>
        <w:rPr>
          <w:rFonts w:ascii="Times New Roman" w:hAnsi="Times New Roman" w:cs="Times New Roman" w:eastAsia="Times New Roman" w:hint="default"/>
        </w:rPr>
        <w:t>-345,997.48</w:t>
      </w:r>
      <w:r>
        <w:rPr/>
        <w:t>元。</w:t>
      </w:r>
    </w:p>
    <w:p>
      <w:pPr>
        <w:pStyle w:val="BodyText"/>
        <w:spacing w:line="300" w:lineRule="auto" w:before="13"/>
        <w:ind w:left="153" w:right="1127"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月，本公司出资设立浙江华媒智谷商业运营管理有限公司，该公司于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日完成工商设立登记，注册</w:t>
      </w:r>
      <w:r>
        <w:rPr>
          <w:spacing w:val="1"/>
        </w:rPr>
        <w:t> </w:t>
      </w:r>
      <w:r>
        <w:rPr>
          <w:spacing w:val="-1"/>
        </w:rPr>
        <w:t>资本为人民币</w:t>
      </w:r>
      <w:r>
        <w:rPr>
          <w:rFonts w:ascii="Times New Roman" w:hAnsi="Times New Roman" w:cs="Times New Roman" w:eastAsia="Times New Roman" w:hint="default"/>
          <w:spacing w:val="-1"/>
        </w:rPr>
        <w:t>3,000</w:t>
      </w:r>
      <w:r>
        <w:rPr>
          <w:spacing w:val="-1"/>
        </w:rPr>
        <w:t>万元，其中本公司出资人民币</w:t>
      </w:r>
      <w:r>
        <w:rPr>
          <w:rFonts w:ascii="Times New Roman" w:hAnsi="Times New Roman" w:cs="Times New Roman" w:eastAsia="Times New Roman" w:hint="default"/>
          <w:spacing w:val="-1"/>
        </w:rPr>
        <w:t>3,000</w:t>
      </w:r>
      <w:r>
        <w:rPr>
          <w:spacing w:val="-1"/>
        </w:rPr>
        <w:t>万元，占其注册资本的</w:t>
      </w:r>
      <w:r>
        <w:rPr>
          <w:rFonts w:ascii="Times New Roman" w:hAnsi="Times New Roman" w:cs="Times New Roman" w:eastAsia="Times New Roman" w:hint="default"/>
          <w:spacing w:val="-1"/>
        </w:rPr>
        <w:t>100%</w:t>
      </w:r>
      <w:r>
        <w:rPr>
          <w:spacing w:val="-1"/>
        </w:rPr>
        <w:t>，拥有对其的实质控制权，故自该公司成</w:t>
      </w:r>
      <w:r>
        <w:rPr/>
        <w:t> </w:t>
      </w:r>
      <w:r>
        <w:rPr>
          <w:spacing w:val="-2"/>
        </w:rPr>
        <w:t>立之日起，将其纳入合并财务报表范围。截止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日，浙江华媒智谷商业运营管理有限公司的净资产为</w:t>
      </w:r>
      <w:r>
        <w:rPr>
          <w:rFonts w:ascii="Times New Roman" w:hAnsi="Times New Roman" w:cs="Times New Roman" w:eastAsia="Times New Roman" w:hint="default"/>
          <w:spacing w:val="-2"/>
        </w:rPr>
        <w:t>5,023,520.22</w:t>
      </w:r>
      <w:r>
        <w:rPr>
          <w:rFonts w:ascii="Times New Roman" w:hAnsi="Times New Roman" w:cs="Times New Roman" w:eastAsia="Times New Roman" w:hint="default"/>
          <w:spacing w:val="-41"/>
        </w:rPr>
        <w:t> </w:t>
      </w:r>
      <w:r>
        <w:rPr/>
        <w:t>元，成立日至期末的净利润为</w:t>
      </w:r>
      <w:r>
        <w:rPr>
          <w:rFonts w:ascii="Times New Roman" w:hAnsi="Times New Roman" w:cs="Times New Roman" w:eastAsia="Times New Roman" w:hint="default"/>
        </w:rPr>
        <w:t>23,520.22</w:t>
      </w:r>
      <w:r>
        <w:rPr/>
        <w:t>元。</w:t>
      </w:r>
    </w:p>
    <w:p>
      <w:pPr>
        <w:pStyle w:val="BodyText"/>
        <w:spacing w:line="300" w:lineRule="auto" w:before="13"/>
        <w:ind w:left="153" w:right="104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月，本公司出资设立杭州华媒文化发展有限公司，该公司于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日完成工商设立登记，注册资本为人民 </w:t>
      </w:r>
      <w:r>
        <w:rPr>
          <w:spacing w:val="-3"/>
        </w:rPr>
        <w:t>币</w:t>
      </w:r>
      <w:r>
        <w:rPr>
          <w:rFonts w:ascii="Times New Roman" w:hAnsi="Times New Roman" w:cs="Times New Roman" w:eastAsia="Times New Roman" w:hint="default"/>
          <w:spacing w:val="-3"/>
        </w:rPr>
        <w:t>10,000</w:t>
      </w:r>
      <w:r>
        <w:rPr>
          <w:spacing w:val="-3"/>
        </w:rPr>
        <w:t>万元，其中本公司出资人民币</w:t>
      </w:r>
      <w:r>
        <w:rPr>
          <w:rFonts w:ascii="Times New Roman" w:hAnsi="Times New Roman" w:cs="Times New Roman" w:eastAsia="Times New Roman" w:hint="default"/>
          <w:spacing w:val="-3"/>
        </w:rPr>
        <w:t>10,000</w:t>
      </w:r>
      <w:r>
        <w:rPr>
          <w:spacing w:val="-3"/>
        </w:rPr>
        <w:t>万元，占其注册资本的</w:t>
      </w:r>
      <w:r>
        <w:rPr>
          <w:rFonts w:ascii="Times New Roman" w:hAnsi="Times New Roman" w:cs="Times New Roman" w:eastAsia="Times New Roman" w:hint="default"/>
          <w:spacing w:val="-3"/>
        </w:rPr>
        <w:t>100%</w:t>
      </w:r>
      <w:r>
        <w:rPr>
          <w:spacing w:val="-3"/>
        </w:rPr>
        <w:t>，拥有对其的实质控制权，故自该公司成立之日起，</w:t>
      </w:r>
      <w:r>
        <w:rPr>
          <w:spacing w:val="-46"/>
        </w:rPr>
        <w:t> </w:t>
      </w:r>
      <w:r>
        <w:rPr>
          <w:spacing w:val="-46"/>
        </w:rPr>
      </w:r>
      <w:r>
        <w:rPr/>
        <w:t>将其纳入合并财务报表范围。截止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日，杭州华媒文化发展有限公司的净资产为</w:t>
      </w:r>
      <w:r>
        <w:rPr>
          <w:rFonts w:ascii="Times New Roman" w:hAnsi="Times New Roman" w:cs="Times New Roman" w:eastAsia="Times New Roman" w:hint="default"/>
        </w:rPr>
        <w:t>99,990,165.06</w:t>
      </w:r>
      <w:r>
        <w:rPr/>
        <w:t>元，成立日至期末 的净利润为</w:t>
      </w:r>
      <w:r>
        <w:rPr>
          <w:rFonts w:ascii="Times New Roman" w:hAnsi="Times New Roman" w:cs="Times New Roman" w:eastAsia="Times New Roman" w:hint="default"/>
        </w:rPr>
        <w:t>-9,834.94</w:t>
      </w:r>
      <w:r>
        <w:rPr/>
        <w:t>元。</w:t>
      </w:r>
    </w:p>
    <w:p>
      <w:pPr>
        <w:pStyle w:val="BodyText"/>
        <w:spacing w:line="300" w:lineRule="auto" w:before="13"/>
        <w:ind w:left="153" w:right="104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月，子公司北京未来大业教育科技有限公司与北京天合互联信息技术有限公司共同出资设立北京大业未来教育 </w:t>
      </w:r>
      <w:r>
        <w:rPr>
          <w:spacing w:val="-2"/>
        </w:rPr>
        <w:t>科技有限公司。该公司于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日完成工商设立登记，注册资本为人民币</w:t>
      </w:r>
      <w:r>
        <w:rPr>
          <w:rFonts w:ascii="Times New Roman" w:hAnsi="Times New Roman" w:cs="Times New Roman" w:eastAsia="Times New Roman" w:hint="default"/>
          <w:spacing w:val="-2"/>
        </w:rPr>
        <w:t>100</w:t>
      </w:r>
      <w:r>
        <w:rPr>
          <w:spacing w:val="-2"/>
        </w:rPr>
        <w:t>万元，其中北京未来大业教育科技有限公</w:t>
      </w:r>
      <w:r>
        <w:rPr>
          <w:spacing w:val="-56"/>
        </w:rPr>
        <w:t> </w:t>
      </w:r>
      <w:r>
        <w:rPr>
          <w:spacing w:val="-56"/>
        </w:rPr>
      </w:r>
      <w:r>
        <w:rPr>
          <w:spacing w:val="-3"/>
        </w:rPr>
        <w:t>司出资人民币</w:t>
      </w:r>
      <w:r>
        <w:rPr>
          <w:rFonts w:ascii="Times New Roman" w:hAnsi="Times New Roman" w:cs="Times New Roman" w:eastAsia="Times New Roman" w:hint="default"/>
          <w:spacing w:val="-3"/>
        </w:rPr>
        <w:t>60</w:t>
      </w:r>
      <w:r>
        <w:rPr>
          <w:spacing w:val="-3"/>
        </w:rPr>
        <w:t>万元，占其注册资本的</w:t>
      </w:r>
      <w:r>
        <w:rPr>
          <w:rFonts w:ascii="Times New Roman" w:hAnsi="Times New Roman" w:cs="Times New Roman" w:eastAsia="Times New Roman" w:hint="default"/>
          <w:spacing w:val="-3"/>
        </w:rPr>
        <w:t>60%</w:t>
      </w:r>
      <w:r>
        <w:rPr>
          <w:spacing w:val="-3"/>
        </w:rPr>
        <w:t>，拥有对其的实质控制权，故自该公司成立之日起，将其纳入合并财务报表范围。</w:t>
      </w:r>
      <w:r>
        <w:rPr>
          <w:spacing w:val="-62"/>
        </w:rPr>
        <w:t> </w:t>
      </w:r>
      <w:r>
        <w:rPr>
          <w:spacing w:val="-62"/>
        </w:rPr>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日，北京大业未来教育科技有限公司的净资产为</w:t>
      </w:r>
      <w:r>
        <w:rPr>
          <w:rFonts w:ascii="Times New Roman" w:hAnsi="Times New Roman" w:cs="Times New Roman" w:eastAsia="Times New Roman" w:hint="default"/>
        </w:rPr>
        <w:t>50,705.88</w:t>
      </w:r>
      <w:r>
        <w:rPr/>
        <w:t>元，成立日至期末的净利润为</w:t>
      </w:r>
      <w:r>
        <w:rPr>
          <w:rFonts w:ascii="Times New Roman" w:hAnsi="Times New Roman" w:cs="Times New Roman" w:eastAsia="Times New Roman" w:hint="default"/>
        </w:rPr>
        <w:t>-49,294.12</w:t>
      </w:r>
      <w:r>
        <w:rPr/>
        <w:t>元。</w:t>
      </w:r>
    </w:p>
    <w:p>
      <w:pPr>
        <w:pStyle w:val="BodyText"/>
        <w:spacing w:line="240" w:lineRule="auto" w:before="13"/>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因其他原因减少子公司的情况</w:t>
      </w:r>
      <w:r>
        <w:rPr>
          <w:rFonts w:ascii="Times New Roman" w:hAnsi="Times New Roman" w:cs="Times New Roman" w:eastAsia="Times New Roman" w:hint="default"/>
        </w:rPr>
        <w:t>(</w:t>
      </w:r>
      <w:r>
        <w:rPr/>
        <w:t>指因破产、歇业、到期解散等原因而注销减少的子公司</w:t>
      </w:r>
      <w:r>
        <w:rPr>
          <w:rFonts w:ascii="Times New Roman" w:hAnsi="Times New Roman" w:cs="Times New Roman" w:eastAsia="Times New Roman" w:hint="default"/>
        </w:rPr>
        <w:t>)</w:t>
      </w:r>
    </w:p>
    <w:p>
      <w:pPr>
        <w:pStyle w:val="BodyText"/>
        <w:spacing w:line="300" w:lineRule="auto" w:before="63"/>
        <w:ind w:left="153" w:right="1040" w:firstLine="420"/>
        <w:jc w:val="both"/>
      </w:pPr>
      <w:r>
        <w:rPr>
          <w:spacing w:val="-3"/>
        </w:rPr>
        <w:t>霍尔果斯东昂信息科技有限公司由于项目开发停滞，该公司董事会决议公司解散。该公司已于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日清算完毕，</w:t>
      </w:r>
      <w:r>
        <w:rPr/>
        <w:t> 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日办妥注销手续。故自该公司注销时起，不再将其纳入合并财务报表范围。</w:t>
      </w:r>
    </w:p>
    <w:p>
      <w:pPr>
        <w:pStyle w:val="BodyText"/>
        <w:spacing w:line="300" w:lineRule="auto" w:before="13"/>
        <w:ind w:right="1128" w:firstLine="419"/>
        <w:jc w:val="both"/>
      </w:pPr>
      <w:r>
        <w:rPr/>
        <w:t>浙江融艺典当有限公司由于行业市场萎缩，公司为及时终止业务推进，该公司董事会决议公司解散。该公司已于</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日清算完毕，并于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日办妥注销手续。故自该公司注销时起，不再将其纳入合并财务报表范围。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096;top:14;width:2;height:393" coordorigin="5096,14" coordsize="2,393">
              <v:shape style="position:absolute;left:5096;top:14;width:2;height:393" coordorigin="5096,14" coordsize="0,393" path="m5096,14l5096,407e" filled="false" stroked="true" strokeweight="1.140pt" strokecolor="#d3d3d3">
                <v:path arrowok="t"/>
              </v:shape>
            </v:group>
            <v:group style="position:absolute;left:37;top:14;width:5048;height:393" coordorigin="37,14" coordsize="5048,393">
              <v:shape style="position:absolute;left:37;top:14;width:5048;height:393" coordorigin="37,14" coordsize="5048,393" path="m37,407l5084,407,5084,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104;height:2" coordorigin="5,412" coordsize="5104,2">
              <v:shape style="position:absolute;left:5;top:412;width:5104;height:2" coordorigin="5,412" coordsize="5104,0" path="m5,412l5108,412e" filled="false" stroked="true" strokeweight=".47998pt" strokecolor="#000000">
                <v:path arrowok="t"/>
              </v:shape>
            </v:group>
            <v:group style="position:absolute;left:5113;top:14;width:2;height:402" coordorigin="5113,14" coordsize="2,402">
              <v:shape style="position:absolute;left:5113;top:14;width:2;height:402" coordorigin="5113,14" coordsize="0,402" path="m5113,14l5113,416e" filled="false" stroked="true" strokeweight=".47998pt" strokecolor="#000000">
                <v:path arrowok="t"/>
              </v:shape>
            </v:group>
            <v:group style="position:absolute;left:5118;top:412;width:4455;height:2" coordorigin="5118,412" coordsize="4455,2">
              <v:shape style="position:absolute;left:5118;top:412;width:4455;height:2" coordorigin="5118,412" coordsize="4455,0" path="m511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5103;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xbxContent>
                </v:textbox>
                <w10:wrap type="none"/>
              </v:shape>
              <v:shape style="position:absolute;left:5113;top:10;width:4465;height:402"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152,716,213.12</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103"/>
        <w:gridCol w:w="446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2"/>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56,369,242.12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23,027,187.48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28,556,298.05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22,020,575.90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22,742,909.57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152,716,213.12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r>
    </w:tbl>
    <w:p>
      <w:pPr>
        <w:pStyle w:val="BodyText"/>
        <w:spacing w:line="240" w:lineRule="auto" w:before="51"/>
        <w:ind w:right="0"/>
        <w:jc w:val="left"/>
      </w:pPr>
      <w:r>
        <w:rPr/>
        <w:t>主要客户其他情况说明</w:t>
      </w:r>
    </w:p>
    <w:p>
      <w:pPr>
        <w:pStyle w:val="BodyText"/>
        <w:spacing w:line="338" w:lineRule="auto" w:before="117"/>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245"/>
        <w:gridCol w:w="4322"/>
      </w:tblGrid>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225,802,932.18</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w:t>
            </w:r>
          </w:p>
        </w:tc>
      </w:tr>
      <w:tr>
        <w:trPr>
          <w:trHeight w:val="402" w:hRule="exact"/>
        </w:trPr>
        <w:tc>
          <w:tcPr>
            <w:tcW w:w="5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124,424,245.80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30,178,947.59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25,877,068.99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22,379,224.27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22,943,445.53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225,802,932.18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w:t>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49"/>
        <w:gridCol w:w="1417"/>
        <w:gridCol w:w="1559"/>
        <w:gridCol w:w="1134"/>
        <w:gridCol w:w="3996"/>
      </w:tblGrid>
      <w:tr>
        <w:trPr>
          <w:trHeight w:val="330" w:hRule="exact"/>
        </w:trPr>
        <w:tc>
          <w:tcPr>
            <w:tcW w:w="15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30" w:hRule="exact"/>
        </w:trPr>
        <w:tc>
          <w:tcPr>
            <w:tcW w:w="1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134,968,523.95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131,802,895.47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2.40%</w:t>
            </w:r>
          </w:p>
        </w:tc>
        <w:tc>
          <w:tcPr>
            <w:tcW w:w="39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本期变动不大。</w:t>
            </w:r>
          </w:p>
        </w:tc>
      </w:tr>
      <w:tr>
        <w:trPr>
          <w:trHeight w:val="125" w:hRule="exact"/>
        </w:trPr>
        <w:tc>
          <w:tcPr>
            <w:tcW w:w="15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13" w:space="0" w:color="D3D3D3"/>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199,257,914.87</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173,195,696.01</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15.05%</w:t>
            </w:r>
          </w:p>
        </w:tc>
        <w:tc>
          <w:tcPr>
            <w:tcW w:w="3996" w:type="dxa"/>
            <w:vMerge w:val="restart"/>
            <w:tcBorders>
              <w:top w:val="single" w:sz="4" w:space="0" w:color="000000"/>
              <w:left w:val="single" w:sz="4" w:space="0" w:color="000000"/>
              <w:right w:val="single" w:sz="4" w:space="0" w:color="000000"/>
            </w:tcBorders>
            <w:shd w:val="clear" w:color="auto" w:fill="C7EDCC"/>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无偿使用政府单位租赁的万和国际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号楼，根据公</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允价值计算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年应计入管理费用租金。</w:t>
            </w:r>
          </w:p>
        </w:tc>
      </w:tr>
      <w:tr>
        <w:trPr>
          <w:trHeight w:val="445" w:hRule="exact"/>
        </w:trPr>
        <w:tc>
          <w:tcPr>
            <w:tcW w:w="154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7" w:type="dxa"/>
            <w:vMerge/>
            <w:tcBorders>
              <w:left w:val="single" w:sz="13" w:space="0" w:color="D3D3D3"/>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996" w:type="dxa"/>
            <w:vMerge/>
            <w:tcBorders>
              <w:left w:val="single" w:sz="4" w:space="0" w:color="000000"/>
              <w:bottom w:val="single" w:sz="4" w:space="0" w:color="000000"/>
              <w:right w:val="single" w:sz="4" w:space="0" w:color="000000"/>
            </w:tcBorders>
            <w:shd w:val="clear" w:color="auto" w:fill="C7EDCC"/>
          </w:tcPr>
          <w:p>
            <w:pPr/>
          </w:p>
        </w:tc>
      </w:tr>
      <w:tr>
        <w:trPr>
          <w:trHeight w:val="330" w:hRule="exact"/>
        </w:trPr>
        <w:tc>
          <w:tcPr>
            <w:tcW w:w="1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14,634,732.67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11,409,752.57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28.27%</w:t>
            </w:r>
          </w:p>
        </w:tc>
        <w:tc>
          <w:tcPr>
            <w:tcW w:w="39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应付债券利息增加，超短融利息费用增加。</w:t>
            </w:r>
          </w:p>
        </w:tc>
      </w:tr>
      <w:tr>
        <w:trPr>
          <w:trHeight w:val="266" w:hRule="exact"/>
        </w:trPr>
        <w:tc>
          <w:tcPr>
            <w:tcW w:w="15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9" w:space="0" w:color="D3D3D3"/>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14,847,838.93</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10,612,874.73</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39.90%</w:t>
            </w:r>
          </w:p>
        </w:tc>
        <w:tc>
          <w:tcPr>
            <w:tcW w:w="3996" w:type="dxa"/>
            <w:vMerge w:val="restart"/>
            <w:tcBorders>
              <w:top w:val="single" w:sz="4" w:space="0" w:color="000000"/>
              <w:left w:val="single" w:sz="4" w:space="0" w:color="000000"/>
              <w:right w:val="single" w:sz="4" w:space="0" w:color="000000"/>
            </w:tcBorders>
            <w:shd w:val="clear" w:color="auto" w:fill="C7EDCC"/>
          </w:tcPr>
          <w:p>
            <w:pPr>
              <w:pStyle w:val="TableParagraph"/>
              <w:spacing w:line="244" w:lineRule="auto" w:before="161"/>
              <w:ind w:left="22" w:right="23"/>
              <w:jc w:val="left"/>
              <w:rPr>
                <w:rFonts w:ascii="宋体" w:hAnsi="宋体" w:cs="宋体" w:eastAsia="宋体" w:hint="default"/>
                <w:sz w:val="18"/>
                <w:szCs w:val="18"/>
              </w:rPr>
            </w:pPr>
            <w:r>
              <w:rPr>
                <w:rFonts w:ascii="宋体" w:hAnsi="宋体" w:cs="宋体" w:eastAsia="宋体" w:hint="default"/>
                <w:spacing w:val="-1"/>
                <w:sz w:val="18"/>
                <w:szCs w:val="18"/>
              </w:rPr>
              <w:t>中教未来本期增加研发团队外包服务费，华泰一媒</w:t>
            </w:r>
            <w:r>
              <w:rPr>
                <w:rFonts w:ascii="宋体" w:hAnsi="宋体" w:cs="宋体" w:eastAsia="宋体" w:hint="default"/>
                <w:sz w:val="18"/>
                <w:szCs w:val="18"/>
              </w:rPr>
              <w:t> 研发人员增加导致薪酬增加。</w:t>
            </w:r>
          </w:p>
        </w:tc>
      </w:tr>
      <w:tr>
        <w:trPr>
          <w:trHeight w:val="320" w:hRule="exact"/>
        </w:trPr>
        <w:tc>
          <w:tcPr>
            <w:tcW w:w="15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7" w:type="dxa"/>
            <w:vMerge/>
            <w:tcBorders>
              <w:left w:val="single" w:sz="9" w:space="0" w:color="D3D3D3"/>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996" w:type="dxa"/>
            <w:vMerge/>
            <w:tcBorders>
              <w:left w:val="single" w:sz="4" w:space="0" w:color="000000"/>
              <w:right w:val="single" w:sz="4" w:space="0" w:color="000000"/>
            </w:tcBorders>
            <w:shd w:val="clear" w:color="auto" w:fill="C7EDCC"/>
          </w:tcPr>
          <w:p>
            <w:pPr/>
          </w:p>
        </w:tc>
      </w:tr>
      <w:tr>
        <w:trPr>
          <w:trHeight w:val="266" w:hRule="exact"/>
        </w:trPr>
        <w:tc>
          <w:tcPr>
            <w:tcW w:w="15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9" w:space="0" w:color="D3D3D3"/>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996"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559"/>
        <w:gridCol w:w="1134"/>
        <w:gridCol w:w="3985"/>
      </w:tblGrid>
      <w:tr>
        <w:trPr>
          <w:trHeight w:val="81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34,096,012.23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10,968,146.32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210.86%</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0"/>
              <w:jc w:val="both"/>
              <w:rPr>
                <w:rFonts w:ascii="宋体" w:hAnsi="宋体" w:cs="宋体" w:eastAsia="宋体" w:hint="default"/>
                <w:sz w:val="18"/>
                <w:szCs w:val="18"/>
              </w:rPr>
            </w:pPr>
            <w:r>
              <w:rPr>
                <w:rFonts w:ascii="宋体" w:hAnsi="宋体" w:cs="宋体" w:eastAsia="宋体" w:hint="default"/>
                <w:spacing w:val="-1"/>
                <w:sz w:val="18"/>
                <w:szCs w:val="18"/>
              </w:rPr>
              <w:t>本年新增无偿使用政府承租的房屋，公益免费广告</w:t>
            </w:r>
            <w:r>
              <w:rPr>
                <w:rFonts w:ascii="宋体" w:hAnsi="宋体" w:cs="宋体" w:eastAsia="宋体" w:hint="default"/>
                <w:sz w:val="18"/>
                <w:szCs w:val="18"/>
              </w:rPr>
              <w:t> </w:t>
            </w:r>
            <w:r>
              <w:rPr>
                <w:rFonts w:ascii="宋体" w:hAnsi="宋体" w:cs="宋体" w:eastAsia="宋体" w:hint="default"/>
                <w:spacing w:val="-2"/>
                <w:sz w:val="18"/>
                <w:szCs w:val="18"/>
              </w:rPr>
              <w:t>补助，进项税加计扣除，华媒智谷运营补贴，文博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会一带一路。</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681,275.86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11,267.77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5,946.24%</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0"/>
              <w:jc w:val="left"/>
              <w:rPr>
                <w:rFonts w:ascii="宋体" w:hAnsi="宋体" w:cs="宋体" w:eastAsia="宋体" w:hint="default"/>
                <w:sz w:val="18"/>
                <w:szCs w:val="18"/>
              </w:rPr>
            </w:pPr>
            <w:r>
              <w:rPr>
                <w:rFonts w:ascii="宋体" w:hAnsi="宋体" w:cs="宋体" w:eastAsia="宋体" w:hint="default"/>
                <w:spacing w:val="-1"/>
                <w:sz w:val="18"/>
                <w:szCs w:val="18"/>
              </w:rPr>
              <w:t>余杭晨报本期发生结构性存款，根据利率调整其公</w:t>
            </w:r>
            <w:r>
              <w:rPr>
                <w:rFonts w:ascii="宋体" w:hAnsi="宋体" w:cs="宋体" w:eastAsia="宋体" w:hint="default"/>
                <w:sz w:val="18"/>
                <w:szCs w:val="18"/>
              </w:rPr>
              <w:t> 允价值损益。</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-28,538,461.37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9"/>
              <w:jc w:val="left"/>
              <w:rPr>
                <w:rFonts w:ascii="宋体" w:hAnsi="宋体" w:cs="宋体" w:eastAsia="宋体" w:hint="default"/>
                <w:sz w:val="18"/>
                <w:szCs w:val="18"/>
              </w:rPr>
            </w:pPr>
            <w:r>
              <w:rPr>
                <w:rFonts w:ascii="宋体" w:hAnsi="宋体" w:cs="宋体" w:eastAsia="宋体" w:hint="default"/>
                <w:spacing w:val="-1"/>
                <w:sz w:val="18"/>
                <w:szCs w:val="18"/>
              </w:rPr>
              <w:t>本期新增科目，根据新金融工具准则规定，本期计</w:t>
            </w:r>
            <w:r>
              <w:rPr>
                <w:rFonts w:ascii="宋体" w:hAnsi="宋体" w:cs="宋体" w:eastAsia="宋体" w:hint="default"/>
                <w:sz w:val="18"/>
                <w:szCs w:val="18"/>
              </w:rPr>
              <w:t> 提应收款项坏账准备，计入信用减值损失。</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-83,978,931.29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-29,171,149.46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-187.88%</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0"/>
              <w:jc w:val="left"/>
              <w:rPr>
                <w:rFonts w:ascii="宋体" w:hAnsi="宋体" w:cs="宋体" w:eastAsia="宋体" w:hint="default"/>
                <w:sz w:val="18"/>
                <w:szCs w:val="18"/>
              </w:rPr>
            </w:pPr>
            <w:r>
              <w:rPr>
                <w:rFonts w:ascii="宋体" w:hAnsi="宋体" w:cs="宋体" w:eastAsia="宋体" w:hint="default"/>
                <w:spacing w:val="-1"/>
                <w:sz w:val="18"/>
                <w:szCs w:val="18"/>
              </w:rPr>
              <w:t>本期确认中教未来商誉减值损失，确认快点文化长</w:t>
            </w:r>
            <w:r>
              <w:rPr>
                <w:rFonts w:ascii="宋体" w:hAnsi="宋体" w:cs="宋体" w:eastAsia="宋体" w:hint="default"/>
                <w:sz w:val="18"/>
                <w:szCs w:val="18"/>
              </w:rPr>
              <w:t> 投减值。</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398,411.56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-233,295.06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270.78%</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70"/>
              <w:jc w:val="left"/>
              <w:rPr>
                <w:rFonts w:ascii="宋体" w:hAnsi="宋体" w:cs="宋体" w:eastAsia="宋体" w:hint="default"/>
                <w:sz w:val="18"/>
                <w:szCs w:val="18"/>
              </w:rPr>
            </w:pPr>
            <w:r>
              <w:rPr>
                <w:rFonts w:ascii="宋体" w:hAnsi="宋体" w:cs="宋体" w:eastAsia="宋体" w:hint="default"/>
                <w:sz w:val="18"/>
                <w:szCs w:val="18"/>
              </w:rPr>
              <w:t>主要系盛元印务和都市快报本期处置固定资产产 生。</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10,485,600.40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1,486,889.53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605.20%</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9"/>
              <w:jc w:val="left"/>
              <w:rPr>
                <w:rFonts w:ascii="宋体" w:hAnsi="宋体" w:cs="宋体" w:eastAsia="宋体" w:hint="default"/>
                <w:sz w:val="18"/>
                <w:szCs w:val="18"/>
              </w:rPr>
            </w:pPr>
            <w:r>
              <w:rPr>
                <w:rFonts w:ascii="宋体" w:hAnsi="宋体" w:cs="宋体" w:eastAsia="宋体" w:hint="default"/>
                <w:spacing w:val="-1"/>
                <w:sz w:val="18"/>
                <w:szCs w:val="18"/>
              </w:rPr>
              <w:t>系中教未来本期或有对价（布朗赔偿款）确认营业</w:t>
            </w:r>
            <w:r>
              <w:rPr>
                <w:rFonts w:ascii="宋体" w:hAnsi="宋体" w:cs="宋体" w:eastAsia="宋体" w:hint="default"/>
                <w:sz w:val="18"/>
                <w:szCs w:val="18"/>
              </w:rPr>
              <w:t> 外收入。</w:t>
            </w:r>
          </w:p>
        </w:tc>
      </w:tr>
      <w:tr>
        <w:trPr>
          <w:trHeight w:val="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554,459.41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1,561,430.99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-64.49%</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主要系盛元印务和中教未来报废一批固定资产。</w:t>
            </w:r>
          </w:p>
        </w:tc>
      </w:tr>
      <w:tr>
        <w:trPr>
          <w:trHeight w:val="810"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6,864,056.77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15,192,776.10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-54.82%</w:t>
            </w:r>
          </w:p>
        </w:tc>
        <w:tc>
          <w:tcPr>
            <w:tcW w:w="3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9"/>
              <w:jc w:val="left"/>
              <w:rPr>
                <w:rFonts w:ascii="宋体" w:hAnsi="宋体" w:cs="宋体" w:eastAsia="宋体" w:hint="default"/>
                <w:sz w:val="18"/>
                <w:szCs w:val="18"/>
              </w:rPr>
            </w:pPr>
            <w:r>
              <w:rPr>
                <w:rFonts w:ascii="宋体" w:hAnsi="宋体" w:cs="宋体" w:eastAsia="宋体" w:hint="default"/>
                <w:sz w:val="18"/>
                <w:szCs w:val="18"/>
              </w:rPr>
              <w:t>主要系下属多家子公司今年被认定为小型微利企 </w:t>
            </w:r>
            <w:r>
              <w:rPr>
                <w:rFonts w:ascii="宋体" w:hAnsi="宋体" w:cs="宋体" w:eastAsia="宋体" w:hint="default"/>
                <w:spacing w:val="-1"/>
                <w:sz w:val="18"/>
                <w:szCs w:val="18"/>
              </w:rPr>
              <w:t>业，享受所得税税收优惠政策，因此今年所得税较</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年减少。</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firstLine="360"/>
        <w:jc w:val="both"/>
      </w:pPr>
      <w:r>
        <w:rPr>
          <w:rFonts w:ascii="Times New Roman" w:hAnsi="Times New Roman" w:cs="Times New Roman" w:eastAsia="Times New Roman" w:hint="default"/>
          <w:spacing w:val="-2"/>
        </w:rPr>
        <w:t>2019</w:t>
      </w:r>
      <w:r>
        <w:rPr>
          <w:spacing w:val="-2"/>
        </w:rPr>
        <w:t>年，中教未来及其所属公司研发了</w:t>
      </w:r>
      <w:r>
        <w:rPr>
          <w:rFonts w:ascii="Times New Roman" w:hAnsi="Times New Roman" w:cs="Times New Roman" w:eastAsia="Times New Roman" w:hint="default"/>
          <w:spacing w:val="-2"/>
        </w:rPr>
        <w:t>4</w:t>
      </w:r>
      <w:r>
        <w:rPr>
          <w:spacing w:val="-2"/>
        </w:rPr>
        <w:t>个项目，分别涉及：中教未来高考信息服务平台、中教未来在线客服系统、</w:t>
      </w:r>
      <w:r>
        <w:rPr>
          <w:rFonts w:ascii="Times New Roman" w:hAnsi="Times New Roman" w:cs="Times New Roman" w:eastAsia="Times New Roman" w:hint="default"/>
          <w:spacing w:val="-2"/>
        </w:rPr>
        <w:t>“</w:t>
      </w:r>
      <w:r>
        <w:rPr>
          <w:spacing w:val="-2"/>
        </w:rPr>
        <w:t>全</w:t>
      </w:r>
      <w:r>
        <w:rPr/>
        <w:t> 国教师培训网</w:t>
      </w:r>
      <w:r>
        <w:rPr>
          <w:rFonts w:ascii="Times New Roman" w:hAnsi="Times New Roman" w:cs="Times New Roman" w:eastAsia="Times New Roman" w:hint="default"/>
        </w:rPr>
        <w:t>”</w:t>
      </w:r>
      <w:r>
        <w:rPr/>
        <w:t>校区服务平台建设、北京市快递协会学习平台。截至报告日，上述项目均已研发完毕。上述项目的研发有助 于提升公司教学软实力，加强信息化管理，推动教学全面电子化进程。提升教学工作效率，突破区域限制等。</w:t>
      </w:r>
    </w:p>
    <w:p>
      <w:pPr>
        <w:pStyle w:val="BodyText"/>
        <w:spacing w:line="240" w:lineRule="auto" w:before="72"/>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1677"/>
        <w:gridCol w:w="2392"/>
        <w:gridCol w:w="2392"/>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6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6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6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16,363,719.11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14,658,244.21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6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6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1,515,880.18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4,045,369.48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-62.53%</w:t>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6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-18.34%</w:t>
            </w:r>
          </w:p>
        </w:tc>
      </w:tr>
    </w:tbl>
    <w:p>
      <w:pPr>
        <w:pStyle w:val="BodyText"/>
        <w:spacing w:line="240" w:lineRule="auto" w:before="51"/>
        <w:ind w:right="0"/>
        <w:jc w:val="left"/>
      </w:pPr>
      <w:r>
        <w:rPr/>
        <w:t>研发投入总额占营业收入的比重较上年发生显著变化的原因</w:t>
      </w:r>
    </w:p>
    <w:p>
      <w:pPr>
        <w:pStyle w:val="BodyText"/>
        <w:spacing w:line="340" w:lineRule="auto" w:before="116"/>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4"/>
        <w:gridCol w:w="1949"/>
        <w:gridCol w:w="2392"/>
        <w:gridCol w:w="2380"/>
      </w:tblGrid>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643" w:right="0"/>
              <w:jc w:val="left"/>
              <w:rPr>
                <w:rFonts w:ascii="Times New Roman" w:hAnsi="Times New Roman" w:cs="Times New Roman" w:eastAsia="Times New Roman" w:hint="default"/>
                <w:sz w:val="18"/>
                <w:szCs w:val="18"/>
              </w:rPr>
            </w:pPr>
            <w:r>
              <w:rPr>
                <w:rFonts w:ascii="Times New Roman"/>
                <w:sz w:val="18"/>
              </w:rPr>
              <w:t>1,947,355,458.91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9" w:right="0"/>
              <w:jc w:val="left"/>
              <w:rPr>
                <w:rFonts w:ascii="Times New Roman" w:hAnsi="Times New Roman" w:cs="Times New Roman" w:eastAsia="Times New Roman" w:hint="default"/>
                <w:sz w:val="18"/>
                <w:szCs w:val="18"/>
              </w:rPr>
            </w:pPr>
            <w:r>
              <w:rPr>
                <w:rFonts w:ascii="Times New Roman"/>
                <w:sz w:val="18"/>
              </w:rPr>
              <w:t>1,941,672,656.71</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1949"/>
        <w:gridCol w:w="2392"/>
        <w:gridCol w:w="2392"/>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1,728,102,231.29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1,677,393,251.85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219,253,227.62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264,279,404.86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949,033,971.06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493,919,653.94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1,059,323,817.74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585,668,210.97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-110,289,846.68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-91,748,557.03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837,709,998.40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393,450,023.75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112.91%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917,416,427.92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549,907,641.93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-79,706,429.52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-156,457,618.18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29,257,197.53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16,074,633.16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82.01%</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4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8"/>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559"/>
        <w:gridCol w:w="1702"/>
        <w:gridCol w:w="3680"/>
        <w:gridCol w:w="1165"/>
      </w:tblGrid>
      <w:tr>
        <w:trPr>
          <w:trHeight w:val="449"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1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是否具有可持</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续性</w:t>
            </w:r>
          </w:p>
        </w:tc>
      </w:tr>
      <w:tr>
        <w:trPr>
          <w:trHeight w:val="186"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vMerge w:val="restart"/>
            <w:tcBorders>
              <w:top w:val="single" w:sz="52" w:space="0" w:color="D3D3D3"/>
              <w:left w:val="single" w:sz="9" w:space="0" w:color="D3D3D3"/>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44,394,163.61</w:t>
            </w:r>
          </w:p>
        </w:tc>
        <w:tc>
          <w:tcPr>
            <w:tcW w:w="1702" w:type="dxa"/>
            <w:vMerge w:val="restart"/>
            <w:tcBorders>
              <w:top w:val="single" w:sz="52" w:space="0" w:color="D3D3D3"/>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68.56%</w:t>
            </w:r>
          </w:p>
        </w:tc>
        <w:tc>
          <w:tcPr>
            <w:tcW w:w="3680" w:type="dxa"/>
            <w:vMerge w:val="restart"/>
            <w:tcBorders>
              <w:top w:val="single" w:sz="52" w:space="0" w:color="D3D3D3"/>
              <w:left w:val="single" w:sz="4" w:space="0" w:color="000000"/>
              <w:right w:val="single" w:sz="9" w:space="0" w:color="D3D3D3"/>
            </w:tcBorders>
            <w:shd w:val="clear" w:color="auto" w:fill="C7EDCC"/>
          </w:tcPr>
          <w:p>
            <w:pPr>
              <w:pStyle w:val="TableParagraph"/>
              <w:spacing w:line="244" w:lineRule="auto" w:before="22"/>
              <w:ind w:left="22" w:right="39"/>
              <w:jc w:val="left"/>
              <w:rPr>
                <w:rFonts w:ascii="宋体" w:hAnsi="宋体" w:cs="宋体" w:eastAsia="宋体" w:hint="default"/>
                <w:sz w:val="18"/>
                <w:szCs w:val="18"/>
              </w:rPr>
            </w:pPr>
            <w:r>
              <w:rPr>
                <w:rFonts w:ascii="宋体" w:hAnsi="宋体" w:cs="宋体" w:eastAsia="宋体" w:hint="default"/>
                <w:sz w:val="18"/>
                <w:szCs w:val="18"/>
              </w:rPr>
              <w:t>主要系联营企业和合营企业的投资收益，因此 具有可持续性。</w:t>
            </w:r>
          </w:p>
        </w:tc>
        <w:tc>
          <w:tcPr>
            <w:tcW w:w="1165" w:type="dxa"/>
            <w:vMerge w:val="restart"/>
            <w:tcBorders>
              <w:top w:val="single" w:sz="4" w:space="0" w:color="000000"/>
              <w:left w:val="single" w:sz="9" w:space="0" w:color="D3D3D3"/>
              <w:right w:val="single" w:sz="9" w:space="0" w:color="D3D3D3"/>
            </w:tcBorders>
            <w:shd w:val="clear" w:color="auto" w:fill="C7ED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44"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59" w:type="dxa"/>
            <w:vMerge/>
            <w:tcBorders>
              <w:left w:val="single" w:sz="9" w:space="0" w:color="D3D3D3"/>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680" w:type="dxa"/>
            <w:vMerge/>
            <w:tcBorders>
              <w:left w:val="single" w:sz="4" w:space="0" w:color="000000"/>
              <w:bottom w:val="single" w:sz="4" w:space="0" w:color="000000"/>
              <w:right w:val="single" w:sz="9" w:space="0" w:color="D3D3D3"/>
            </w:tcBorders>
            <w:shd w:val="clear" w:color="auto" w:fill="C7EDCC"/>
          </w:tcPr>
          <w:p>
            <w:pPr/>
          </w:p>
        </w:tc>
        <w:tc>
          <w:tcPr>
            <w:tcW w:w="1165" w:type="dxa"/>
            <w:vMerge/>
            <w:tcBorders>
              <w:left w:val="single" w:sz="9" w:space="0" w:color="D3D3D3"/>
              <w:bottom w:val="single" w:sz="4" w:space="0" w:color="000000"/>
              <w:right w:val="single" w:sz="9" w:space="0" w:color="D3D3D3"/>
            </w:tcBorders>
            <w:shd w:val="clear" w:color="auto" w:fill="C7EDCC"/>
          </w:tcPr>
          <w:p>
            <w:pPr/>
          </w:p>
        </w:tc>
      </w:tr>
      <w:tr>
        <w:trPr>
          <w:trHeight w:val="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681,275.86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1.05%</w:t>
            </w:r>
          </w:p>
        </w:tc>
        <w:tc>
          <w:tcPr>
            <w:tcW w:w="36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vMerge w:val="restart"/>
            <w:tcBorders>
              <w:top w:val="single" w:sz="4" w:space="0" w:color="000000"/>
              <w:left w:val="single" w:sz="13" w:space="0" w:color="D3D3D3"/>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-112,517,392.66</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63" w:right="0"/>
              <w:jc w:val="left"/>
              <w:rPr>
                <w:rFonts w:ascii="Times New Roman" w:hAnsi="Times New Roman" w:cs="Times New Roman" w:eastAsia="Times New Roman" w:hint="default"/>
                <w:sz w:val="18"/>
                <w:szCs w:val="18"/>
              </w:rPr>
            </w:pPr>
            <w:r>
              <w:rPr>
                <w:rFonts w:ascii="Times New Roman"/>
                <w:sz w:val="18"/>
              </w:rPr>
              <w:t>-173.76%</w:t>
            </w:r>
          </w:p>
        </w:tc>
        <w:tc>
          <w:tcPr>
            <w:tcW w:w="3680" w:type="dxa"/>
            <w:vMerge w:val="restart"/>
            <w:tcBorders>
              <w:top w:val="single" w:sz="4" w:space="0" w:color="000000"/>
              <w:left w:val="single" w:sz="4" w:space="0" w:color="000000"/>
              <w:right w:val="single" w:sz="4" w:space="0" w:color="000000"/>
            </w:tcBorders>
            <w:shd w:val="clear" w:color="auto" w:fill="C7EDCC"/>
          </w:tcPr>
          <w:p>
            <w:pPr>
              <w:pStyle w:val="TableParagraph"/>
              <w:spacing w:line="244" w:lineRule="auto" w:before="22"/>
              <w:ind w:left="22" w:right="47"/>
              <w:jc w:val="left"/>
              <w:rPr>
                <w:rFonts w:ascii="宋体" w:hAnsi="宋体" w:cs="宋体" w:eastAsia="宋体" w:hint="default"/>
                <w:sz w:val="18"/>
                <w:szCs w:val="18"/>
              </w:rPr>
            </w:pPr>
            <w:r>
              <w:rPr>
                <w:rFonts w:ascii="宋体" w:hAnsi="宋体" w:cs="宋体" w:eastAsia="宋体" w:hint="default"/>
                <w:sz w:val="18"/>
                <w:szCs w:val="18"/>
              </w:rPr>
              <w:t>主要系应收款项坏账损失、可供出售金融资产 减值损失、长期股权投资减值损失。</w:t>
            </w:r>
          </w:p>
        </w:tc>
        <w:tc>
          <w:tcPr>
            <w:tcW w:w="116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4"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59" w:type="dxa"/>
            <w:vMerge/>
            <w:tcBorders>
              <w:left w:val="single" w:sz="13" w:space="0" w:color="D3D3D3"/>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680" w:type="dxa"/>
            <w:vMerge/>
            <w:tcBorders>
              <w:left w:val="single" w:sz="4" w:space="0" w:color="000000"/>
              <w:bottom w:val="single" w:sz="4" w:space="0" w:color="000000"/>
              <w:right w:val="single" w:sz="4" w:space="0" w:color="000000"/>
            </w:tcBorders>
            <w:shd w:val="clear" w:color="auto" w:fill="C7EDCC"/>
          </w:tcPr>
          <w:p>
            <w:pPr/>
          </w:p>
        </w:tc>
        <w:tc>
          <w:tcPr>
            <w:tcW w:w="1165" w:type="dxa"/>
            <w:vMerge/>
            <w:tcBorders>
              <w:left w:val="single" w:sz="4" w:space="0" w:color="000000"/>
              <w:bottom w:val="single" w:sz="4" w:space="0" w:color="000000"/>
              <w:right w:val="single" w:sz="4" w:space="0" w:color="000000"/>
            </w:tcBorders>
            <w:shd w:val="clear" w:color="auto" w:fill="C7EDCC"/>
          </w:tcPr>
          <w:p>
            <w:pPr/>
          </w:p>
        </w:tc>
      </w:tr>
      <w:tr>
        <w:trPr>
          <w:trHeight w:val="126"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vMerge w:val="restart"/>
            <w:tcBorders>
              <w:top w:val="single" w:sz="4" w:space="0" w:color="000000"/>
              <w:left w:val="single" w:sz="13" w:space="0" w:color="D3D3D3"/>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10,485,600.40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16.19%</w:t>
            </w:r>
          </w:p>
        </w:tc>
        <w:tc>
          <w:tcPr>
            <w:tcW w:w="3680" w:type="dxa"/>
            <w:vMerge w:val="restart"/>
            <w:tcBorders>
              <w:top w:val="single" w:sz="4" w:space="0" w:color="000000"/>
              <w:left w:val="single" w:sz="4" w:space="0" w:color="000000"/>
              <w:right w:val="single" w:sz="4" w:space="0" w:color="000000"/>
            </w:tcBorders>
            <w:shd w:val="clear" w:color="auto" w:fill="C7EDCC"/>
          </w:tcPr>
          <w:p>
            <w:pPr>
              <w:pStyle w:val="TableParagraph"/>
              <w:spacing w:line="244" w:lineRule="auto" w:before="22"/>
              <w:ind w:left="22" w:right="47"/>
              <w:jc w:val="left"/>
              <w:rPr>
                <w:rFonts w:ascii="宋体" w:hAnsi="宋体" w:cs="宋体" w:eastAsia="宋体" w:hint="default"/>
                <w:sz w:val="18"/>
                <w:szCs w:val="18"/>
              </w:rPr>
            </w:pPr>
            <w:r>
              <w:rPr>
                <w:rFonts w:ascii="宋体" w:hAnsi="宋体" w:cs="宋体" w:eastAsia="宋体" w:hint="default"/>
                <w:sz w:val="18"/>
                <w:szCs w:val="18"/>
              </w:rPr>
              <w:t>系中教未来本期或有对价（布朗赔偿款）确认 营业外收入。</w:t>
            </w:r>
          </w:p>
        </w:tc>
        <w:tc>
          <w:tcPr>
            <w:tcW w:w="116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4"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9" w:type="dxa"/>
            <w:vMerge/>
            <w:tcBorders>
              <w:left w:val="single" w:sz="13" w:space="0" w:color="D3D3D3"/>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3680" w:type="dxa"/>
            <w:vMerge/>
            <w:tcBorders>
              <w:left w:val="single" w:sz="4" w:space="0" w:color="000000"/>
              <w:bottom w:val="single" w:sz="4" w:space="0" w:color="000000"/>
              <w:right w:val="single" w:sz="4" w:space="0" w:color="000000"/>
            </w:tcBorders>
            <w:shd w:val="clear" w:color="auto" w:fill="C7EDCC"/>
          </w:tcPr>
          <w:p>
            <w:pPr/>
          </w:p>
        </w:tc>
        <w:tc>
          <w:tcPr>
            <w:tcW w:w="1165" w:type="dxa"/>
            <w:vMerge/>
            <w:tcBorders>
              <w:left w:val="single" w:sz="4" w:space="0" w:color="000000"/>
              <w:bottom w:val="single" w:sz="4" w:space="0" w:color="000000"/>
              <w:right w:val="single" w:sz="4" w:space="0" w:color="000000"/>
            </w:tcBorders>
            <w:shd w:val="clear" w:color="auto" w:fill="C7EDCC"/>
          </w:tcPr>
          <w:p>
            <w:pPr/>
          </w:p>
        </w:tc>
      </w:tr>
      <w:tr>
        <w:trPr>
          <w:trHeight w:val="331"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554,459.41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0.86%</w:t>
            </w:r>
          </w:p>
        </w:tc>
        <w:tc>
          <w:tcPr>
            <w:tcW w:w="36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18"/>
        <w:jc w:val="left"/>
      </w:pPr>
      <w:r>
        <w:rPr/>
        <w:t>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2"/>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8525" w:space="394"/>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3"/>
        <w:gridCol w:w="1181"/>
        <w:gridCol w:w="977"/>
        <w:gridCol w:w="1193"/>
        <w:gridCol w:w="976"/>
        <w:gridCol w:w="722"/>
        <w:gridCol w:w="3712"/>
      </w:tblGrid>
      <w:tr>
        <w:trPr>
          <w:trHeight w:val="207" w:hRule="exact"/>
        </w:trPr>
        <w:tc>
          <w:tcPr>
            <w:tcW w:w="883" w:type="dxa"/>
            <w:vMerge w:val="restart"/>
            <w:tcBorders>
              <w:top w:val="single" w:sz="4" w:space="0" w:color="000000"/>
              <w:left w:val="single" w:sz="4" w:space="0" w:color="000000"/>
              <w:right w:val="single" w:sz="4" w:space="0" w:color="000000"/>
            </w:tcBorders>
            <w:shd w:val="clear" w:color="auto" w:fill="D3D3D3"/>
          </w:tcPr>
          <w:p>
            <w:pPr/>
          </w:p>
        </w:tc>
        <w:tc>
          <w:tcPr>
            <w:tcW w:w="21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2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2"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883" w:type="dxa"/>
            <w:vMerge/>
            <w:tcBorders>
              <w:left w:val="single" w:sz="4" w:space="0" w:color="000000"/>
              <w:bottom w:val="nil" w:sz="6" w:space="0" w:color="auto"/>
              <w:right w:val="single" w:sz="4" w:space="0" w:color="000000"/>
            </w:tcBorders>
            <w:shd w:val="clear" w:color="auto" w:fill="D3D3D3"/>
          </w:tcPr>
          <w:p>
            <w:pPr/>
          </w:p>
        </w:tc>
        <w:tc>
          <w:tcPr>
            <w:tcW w:w="2158" w:type="dxa"/>
            <w:gridSpan w:val="2"/>
            <w:vMerge/>
            <w:tcBorders>
              <w:left w:val="single" w:sz="4" w:space="0" w:color="000000"/>
              <w:bottom w:val="single" w:sz="4" w:space="0" w:color="000000"/>
              <w:right w:val="single" w:sz="4" w:space="0" w:color="000000"/>
            </w:tcBorders>
            <w:shd w:val="clear" w:color="auto" w:fill="D3D3D3"/>
          </w:tcPr>
          <w:p>
            <w:pPr/>
          </w:p>
        </w:tc>
        <w:tc>
          <w:tcPr>
            <w:tcW w:w="2168" w:type="dxa"/>
            <w:gridSpan w:val="2"/>
            <w:vMerge/>
            <w:tcBorders>
              <w:left w:val="single" w:sz="4" w:space="0" w:color="000000"/>
              <w:bottom w:val="single" w:sz="4" w:space="0" w:color="000000"/>
              <w:right w:val="single" w:sz="4" w:space="0" w:color="000000"/>
            </w:tcBorders>
            <w:shd w:val="clear" w:color="auto" w:fill="D3D3D3"/>
          </w:tcPr>
          <w:p>
            <w:pPr/>
          </w:p>
        </w:tc>
        <w:tc>
          <w:tcPr>
            <w:tcW w:w="72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712"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883" w:type="dxa"/>
            <w:vMerge w:val="restart"/>
            <w:tcBorders>
              <w:top w:val="nil" w:sz="6" w:space="0" w:color="auto"/>
              <w:left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9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387"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9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387" w:right="3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22" w:type="dxa"/>
            <w:vMerge/>
            <w:tcBorders>
              <w:left w:val="single" w:sz="4" w:space="0" w:color="000000"/>
              <w:right w:val="single" w:sz="4" w:space="0" w:color="000000"/>
            </w:tcBorders>
            <w:shd w:val="clear" w:color="auto" w:fill="D3D3D3"/>
          </w:tcPr>
          <w:p>
            <w:pPr/>
          </w:p>
        </w:tc>
        <w:tc>
          <w:tcPr>
            <w:tcW w:w="37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10"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883"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金额</w:t>
            </w:r>
          </w:p>
        </w:tc>
        <w:tc>
          <w:tcPr>
            <w:tcW w:w="977" w:type="dxa"/>
            <w:vMerge/>
            <w:tcBorders>
              <w:left w:val="single" w:sz="4" w:space="0" w:color="000000"/>
              <w:right w:val="single" w:sz="4" w:space="0" w:color="000000"/>
            </w:tcBorders>
            <w:shd w:val="clear" w:color="auto" w:fill="D3D3D3"/>
          </w:tcPr>
          <w:p>
            <w:pPr/>
          </w:p>
        </w:tc>
        <w:tc>
          <w:tcPr>
            <w:tcW w:w="11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976"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3712" w:type="dxa"/>
            <w:vMerge/>
            <w:tcBorders>
              <w:left w:val="single" w:sz="4" w:space="0" w:color="000000"/>
              <w:bottom w:val="nil" w:sz="6" w:space="0" w:color="auto"/>
              <w:right w:val="single" w:sz="4" w:space="0" w:color="000000"/>
            </w:tcBorders>
            <w:shd w:val="clear" w:color="auto" w:fill="D3D3D3"/>
          </w:tcPr>
          <w:p>
            <w:pPr/>
          </w:p>
        </w:tc>
      </w:tr>
      <w:tr>
        <w:trPr>
          <w:trHeight w:val="179" w:hRule="exact"/>
        </w:trPr>
        <w:tc>
          <w:tcPr>
            <w:tcW w:w="883"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977" w:type="dxa"/>
            <w:vMerge/>
            <w:tcBorders>
              <w:left w:val="single" w:sz="4" w:space="0" w:color="000000"/>
              <w:right w:val="single" w:sz="4" w:space="0" w:color="000000"/>
            </w:tcBorders>
            <w:shd w:val="clear" w:color="auto" w:fill="D3D3D3"/>
          </w:tcPr>
          <w:p>
            <w:pPr/>
          </w:p>
        </w:tc>
        <w:tc>
          <w:tcPr>
            <w:tcW w:w="1193" w:type="dxa"/>
            <w:vMerge/>
            <w:tcBorders>
              <w:left w:val="single" w:sz="4" w:space="0" w:color="000000"/>
              <w:bottom w:val="nil" w:sz="6" w:space="0" w:color="auto"/>
              <w:right w:val="single" w:sz="4" w:space="0" w:color="000000"/>
            </w:tcBorders>
            <w:shd w:val="clear" w:color="auto" w:fill="D3D3D3"/>
          </w:tcPr>
          <w:p>
            <w:pPr/>
          </w:p>
        </w:tc>
        <w:tc>
          <w:tcPr>
            <w:tcW w:w="976" w:type="dxa"/>
            <w:vMerge/>
            <w:tcBorders>
              <w:left w:val="single" w:sz="4" w:space="0" w:color="000000"/>
              <w:right w:val="single" w:sz="4" w:space="0" w:color="000000"/>
            </w:tcBorders>
            <w:shd w:val="clear" w:color="auto" w:fill="D3D3D3"/>
          </w:tcPr>
          <w:p>
            <w:pPr/>
          </w:p>
        </w:tc>
        <w:tc>
          <w:tcPr>
            <w:tcW w:w="722" w:type="dxa"/>
            <w:vMerge/>
            <w:tcBorders>
              <w:left w:val="single" w:sz="4" w:space="0" w:color="000000"/>
              <w:bottom w:val="nil" w:sz="6" w:space="0" w:color="auto"/>
              <w:right w:val="single" w:sz="4" w:space="0" w:color="000000"/>
            </w:tcBorders>
            <w:shd w:val="clear" w:color="auto" w:fill="D3D3D3"/>
          </w:tcPr>
          <w:p>
            <w:pPr/>
          </w:p>
        </w:tc>
        <w:tc>
          <w:tcPr>
            <w:tcW w:w="3712"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883"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977"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single" w:sz="4" w:space="0" w:color="000000"/>
              <w:right w:val="single" w:sz="4" w:space="0" w:color="000000"/>
            </w:tcBorders>
            <w:shd w:val="clear" w:color="auto" w:fill="D3D3D3"/>
          </w:tcPr>
          <w:p>
            <w:pPr/>
          </w:p>
        </w:tc>
        <w:tc>
          <w:tcPr>
            <w:tcW w:w="722" w:type="dxa"/>
            <w:tcBorders>
              <w:top w:val="nil" w:sz="6" w:space="0" w:color="auto"/>
              <w:left w:val="single" w:sz="4" w:space="0" w:color="000000"/>
              <w:bottom w:val="single" w:sz="4" w:space="0" w:color="000000"/>
              <w:right w:val="single" w:sz="4" w:space="0" w:color="000000"/>
            </w:tcBorders>
            <w:shd w:val="clear" w:color="auto" w:fill="D3D3D3"/>
          </w:tcPr>
          <w:p>
            <w:pPr/>
          </w:p>
        </w:tc>
        <w:tc>
          <w:tcPr>
            <w:tcW w:w="371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0"/>
              <w:jc w:val="left"/>
              <w:rPr>
                <w:rFonts w:ascii="Times New Roman" w:hAnsi="Times New Roman" w:cs="Times New Roman" w:eastAsia="Times New Roman" w:hint="default"/>
                <w:sz w:val="18"/>
                <w:szCs w:val="18"/>
              </w:rPr>
            </w:pPr>
            <w:r>
              <w:rPr>
                <w:rFonts w:ascii="Times New Roman"/>
                <w:sz w:val="18"/>
              </w:rPr>
              <w:t>800,225,004.17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22.46%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824,104,918.75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23.66%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-1.20%</w:t>
            </w:r>
          </w:p>
        </w:tc>
        <w:tc>
          <w:tcPr>
            <w:tcW w:w="37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主要系各子公司库存现金及银行存款。</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83"/>
        <w:gridCol w:w="1181"/>
        <w:gridCol w:w="988"/>
        <w:gridCol w:w="1182"/>
        <w:gridCol w:w="988"/>
        <w:gridCol w:w="721"/>
        <w:gridCol w:w="3724"/>
      </w:tblGrid>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381,229,929.90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364,186,888.09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27,040,166.52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41,915,530.99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24,445,233.99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17,353,491.43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603,055,430.62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649,780,455.57</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系本期确认快点长投减值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5,941.48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171,508,899.41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192,256,636.44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系子公司固定资产中出租房屋转让投资性房地 产。</w:t>
            </w:r>
          </w:p>
        </w:tc>
      </w:tr>
      <w:tr>
        <w:trPr>
          <w:trHeight w:val="714"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314,694,227.66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237,237,966.42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系萧文置业文创大厦尚在建设中，导致在建工 程较上期增加。</w:t>
            </w:r>
          </w:p>
        </w:tc>
      </w:tr>
      <w:tr>
        <w:trPr>
          <w:trHeight w:val="714"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44,009,613.13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216,773,003.21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系华媒控股、萧山日报传媒、中教未来本期归 还借款。</w:t>
            </w: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30,380,023.75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37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系中教本期归还长期借款。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47"/>
        <w:gridCol w:w="1198"/>
        <w:gridCol w:w="1351"/>
        <w:gridCol w:w="1040"/>
        <w:gridCol w:w="632"/>
        <w:gridCol w:w="1188"/>
        <w:gridCol w:w="1186"/>
        <w:gridCol w:w="425"/>
        <w:gridCol w:w="1187"/>
      </w:tblGrid>
      <w:tr>
        <w:trPr>
          <w:trHeight w:val="160" w:hRule="exact"/>
        </w:trPr>
        <w:tc>
          <w:tcPr>
            <w:tcW w:w="1447"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
        </w:tc>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4" w:right="6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6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3" w:right="36"/>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88" w:type="dxa"/>
            <w:vMerge w:val="restart"/>
            <w:tcBorders>
              <w:top w:val="single" w:sz="4" w:space="0" w:color="000000"/>
              <w:left w:val="single" w:sz="4" w:space="0" w:color="000000"/>
              <w:right w:val="single" w:sz="4" w:space="0" w:color="000000"/>
            </w:tcBorders>
            <w:shd w:val="clear" w:color="auto" w:fill="D3D3D3"/>
          </w:tcPr>
          <w:p>
            <w:pPr/>
          </w:p>
        </w:tc>
        <w:tc>
          <w:tcPr>
            <w:tcW w:w="1186" w:type="dxa"/>
            <w:vMerge w:val="restart"/>
            <w:tcBorders>
              <w:top w:val="single" w:sz="4" w:space="0" w:color="000000"/>
              <w:left w:val="single" w:sz="4" w:space="0" w:color="000000"/>
              <w:right w:val="single" w:sz="4" w:space="0" w:color="000000"/>
            </w:tcBorders>
            <w:shd w:val="clear" w:color="auto" w:fill="D3D3D3"/>
          </w:tcPr>
          <w:p>
            <w:pPr/>
          </w:p>
        </w:tc>
        <w:tc>
          <w:tcPr>
            <w:tcW w:w="4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7"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447" w:type="dxa"/>
            <w:vMerge/>
            <w:tcBorders>
              <w:left w:val="single" w:sz="4" w:space="0" w:color="000000"/>
              <w:bottom w:val="nil" w:sz="6" w:space="0" w:color="auto"/>
              <w:right w:val="single" w:sz="4" w:space="0" w:color="000000"/>
            </w:tcBorders>
            <w:shd w:val="clear" w:color="auto" w:fill="D3D3D3"/>
          </w:tcPr>
          <w:p>
            <w:pPr/>
          </w:p>
        </w:tc>
        <w:tc>
          <w:tcPr>
            <w:tcW w:w="1198" w:type="dxa"/>
            <w:vMerge/>
            <w:tcBorders>
              <w:left w:val="single" w:sz="4" w:space="0" w:color="000000"/>
              <w:bottom w:val="nil" w:sz="6" w:space="0" w:color="auto"/>
              <w:right w:val="single" w:sz="4" w:space="0" w:color="000000"/>
            </w:tcBorders>
            <w:shd w:val="clear" w:color="auto" w:fill="D3D3D3"/>
          </w:tcPr>
          <w:p>
            <w:pPr/>
          </w:p>
        </w:tc>
        <w:tc>
          <w:tcPr>
            <w:tcW w:w="1351"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97" w:right="42"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040" w:type="dxa"/>
            <w:vMerge/>
            <w:tcBorders>
              <w:left w:val="single" w:sz="4" w:space="0" w:color="000000"/>
              <w:right w:val="single" w:sz="4" w:space="0" w:color="000000"/>
            </w:tcBorders>
            <w:shd w:val="clear" w:color="auto" w:fill="D3D3D3"/>
          </w:tcPr>
          <w:p>
            <w:pPr/>
          </w:p>
        </w:tc>
        <w:tc>
          <w:tcPr>
            <w:tcW w:w="632" w:type="dxa"/>
            <w:vMerge/>
            <w:tcBorders>
              <w:left w:val="single" w:sz="4" w:space="0" w:color="000000"/>
              <w:right w:val="single" w:sz="4" w:space="0" w:color="000000"/>
            </w:tcBorders>
            <w:shd w:val="clear" w:color="auto" w:fill="D3D3D3"/>
          </w:tcPr>
          <w:p>
            <w:pPr/>
          </w:p>
        </w:tc>
        <w:tc>
          <w:tcPr>
            <w:tcW w:w="1188" w:type="dxa"/>
            <w:vMerge/>
            <w:tcBorders>
              <w:left w:val="single" w:sz="4" w:space="0" w:color="000000"/>
              <w:bottom w:val="nil" w:sz="6" w:space="0" w:color="auto"/>
              <w:right w:val="single" w:sz="4" w:space="0" w:color="000000"/>
            </w:tcBorders>
            <w:shd w:val="clear" w:color="auto" w:fill="D3D3D3"/>
          </w:tcPr>
          <w:p>
            <w:pPr/>
          </w:p>
        </w:tc>
        <w:tc>
          <w:tcPr>
            <w:tcW w:w="1186" w:type="dxa"/>
            <w:vMerge/>
            <w:tcBorders>
              <w:left w:val="single" w:sz="4" w:space="0" w:color="000000"/>
              <w:bottom w:val="nil" w:sz="6" w:space="0" w:color="auto"/>
              <w:right w:val="single" w:sz="4" w:space="0" w:color="000000"/>
            </w:tcBorders>
            <w:shd w:val="clear" w:color="auto" w:fill="D3D3D3"/>
          </w:tcPr>
          <w:p>
            <w:pPr/>
          </w:p>
        </w:tc>
        <w:tc>
          <w:tcPr>
            <w:tcW w:w="42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7" w:right="25"/>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87" w:type="dxa"/>
            <w:vMerge/>
            <w:tcBorders>
              <w:left w:val="single" w:sz="4" w:space="0" w:color="000000"/>
              <w:bottom w:val="nil" w:sz="6" w:space="0" w:color="auto"/>
              <w:right w:val="single" w:sz="4" w:space="0" w:color="000000"/>
            </w:tcBorders>
            <w:shd w:val="clear" w:color="auto" w:fill="D3D3D3"/>
          </w:tcPr>
          <w:p>
            <w:pPr/>
          </w:p>
        </w:tc>
      </w:tr>
      <w:tr>
        <w:trPr>
          <w:trHeight w:val="394" w:hRule="exact"/>
        </w:trPr>
        <w:tc>
          <w:tcPr>
            <w:tcW w:w="14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51" w:type="dxa"/>
            <w:vMerge/>
            <w:tcBorders>
              <w:left w:val="single" w:sz="4" w:space="0" w:color="000000"/>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632" w:type="dxa"/>
            <w:vMerge/>
            <w:tcBorders>
              <w:left w:val="single" w:sz="4" w:space="0" w:color="000000"/>
              <w:right w:val="single" w:sz="4" w:space="0" w:color="000000"/>
            </w:tcBorders>
            <w:shd w:val="clear" w:color="auto" w:fill="D3D3D3"/>
          </w:tcPr>
          <w:p>
            <w:pPr/>
          </w:p>
        </w:tc>
        <w:tc>
          <w:tcPr>
            <w:tcW w:w="1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425" w:type="dxa"/>
            <w:vMerge/>
            <w:tcBorders>
              <w:left w:val="single" w:sz="4" w:space="0" w:color="000000"/>
              <w:right w:val="single" w:sz="4" w:space="0" w:color="000000"/>
            </w:tcBorders>
            <w:shd w:val="clear" w:color="auto" w:fill="D3D3D3"/>
          </w:tcPr>
          <w:p>
            <w:pPr/>
          </w:p>
        </w:tc>
        <w:tc>
          <w:tcPr>
            <w:tcW w:w="11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47" w:type="dxa"/>
            <w:vMerge w:val="restart"/>
            <w:tcBorders>
              <w:top w:val="nil" w:sz="6" w:space="0" w:color="auto"/>
              <w:left w:val="single" w:sz="4" w:space="0" w:color="000000"/>
              <w:right w:val="single" w:sz="4" w:space="0" w:color="000000"/>
            </w:tcBorders>
            <w:shd w:val="clear" w:color="auto" w:fill="D3D3D3"/>
          </w:tcPr>
          <w:p>
            <w:pPr/>
          </w:p>
        </w:tc>
        <w:tc>
          <w:tcPr>
            <w:tcW w:w="1198" w:type="dxa"/>
            <w:vMerge w:val="restart"/>
            <w:tcBorders>
              <w:top w:val="nil" w:sz="6" w:space="0" w:color="auto"/>
              <w:left w:val="single" w:sz="4" w:space="0" w:color="000000"/>
              <w:right w:val="single" w:sz="4" w:space="0" w:color="000000"/>
            </w:tcBorders>
            <w:shd w:val="clear" w:color="auto" w:fill="D3D3D3"/>
          </w:tcPr>
          <w:p>
            <w:pPr/>
          </w:p>
        </w:tc>
        <w:tc>
          <w:tcPr>
            <w:tcW w:w="1351"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632" w:type="dxa"/>
            <w:vMerge/>
            <w:tcBorders>
              <w:left w:val="single" w:sz="4" w:space="0" w:color="000000"/>
              <w:right w:val="single" w:sz="4" w:space="0" w:color="000000"/>
            </w:tcBorders>
            <w:shd w:val="clear" w:color="auto" w:fill="D3D3D3"/>
          </w:tcPr>
          <w:p>
            <w:pPr/>
          </w:p>
        </w:tc>
        <w:tc>
          <w:tcPr>
            <w:tcW w:w="1188" w:type="dxa"/>
            <w:vMerge w:val="restart"/>
            <w:tcBorders>
              <w:top w:val="nil" w:sz="6" w:space="0" w:color="auto"/>
              <w:left w:val="single" w:sz="4" w:space="0" w:color="000000"/>
              <w:right w:val="single" w:sz="4" w:space="0" w:color="000000"/>
            </w:tcBorders>
            <w:shd w:val="clear" w:color="auto" w:fill="D3D3D3"/>
          </w:tcPr>
          <w:p>
            <w:pPr/>
          </w:p>
        </w:tc>
        <w:tc>
          <w:tcPr>
            <w:tcW w:w="1186" w:type="dxa"/>
            <w:vMerge w:val="restart"/>
            <w:tcBorders>
              <w:top w:val="nil" w:sz="6" w:space="0" w:color="auto"/>
              <w:left w:val="single" w:sz="4" w:space="0" w:color="000000"/>
              <w:right w:val="single" w:sz="4" w:space="0" w:color="000000"/>
            </w:tcBorders>
            <w:shd w:val="clear" w:color="auto" w:fill="D3D3D3"/>
          </w:tcPr>
          <w:p>
            <w:pPr/>
          </w:p>
        </w:tc>
        <w:tc>
          <w:tcPr>
            <w:tcW w:w="425" w:type="dxa"/>
            <w:vMerge/>
            <w:tcBorders>
              <w:left w:val="single" w:sz="4" w:space="0" w:color="000000"/>
              <w:bottom w:val="nil" w:sz="6" w:space="0" w:color="auto"/>
              <w:right w:val="single" w:sz="4" w:space="0" w:color="000000"/>
            </w:tcBorders>
            <w:shd w:val="clear" w:color="auto" w:fill="D3D3D3"/>
          </w:tcPr>
          <w:p>
            <w:pPr/>
          </w:p>
        </w:tc>
        <w:tc>
          <w:tcPr>
            <w:tcW w:w="1187"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447"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632" w:type="dxa"/>
            <w:vMerge/>
            <w:tcBorders>
              <w:left w:val="single" w:sz="4" w:space="0" w:color="000000"/>
              <w:bottom w:val="single" w:sz="4" w:space="0" w:color="000000"/>
              <w:right w:val="single" w:sz="4" w:space="0" w:color="000000"/>
            </w:tcBorders>
            <w:shd w:val="clear" w:color="auto" w:fill="D3D3D3"/>
          </w:tcPr>
          <w:p>
            <w:pPr/>
          </w:p>
        </w:tc>
        <w:tc>
          <w:tcPr>
            <w:tcW w:w="1188" w:type="dxa"/>
            <w:vMerge/>
            <w:tcBorders>
              <w:left w:val="single" w:sz="4" w:space="0" w:color="000000"/>
              <w:bottom w:val="single" w:sz="4" w:space="0" w:color="000000"/>
              <w:right w:val="single" w:sz="4" w:space="0" w:color="000000"/>
            </w:tcBorders>
            <w:shd w:val="clear" w:color="auto" w:fill="D3D3D3"/>
          </w:tcPr>
          <w:p>
            <w:pPr/>
          </w:p>
        </w:tc>
        <w:tc>
          <w:tcPr>
            <w:tcW w:w="1186" w:type="dxa"/>
            <w:vMerge/>
            <w:tcBorders>
              <w:left w:val="single" w:sz="4" w:space="0" w:color="000000"/>
              <w:bottom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207" w:type="dxa"/>
            <w:gridSpan w:val="8"/>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p>
            <w:pPr>
              <w:pStyle w:val="TableParagraph"/>
              <w:spacing w:line="319" w:lineRule="auto" w:before="63"/>
              <w:ind w:left="11" w:right="164"/>
              <w:jc w:val="left"/>
              <w:rPr>
                <w:rFonts w:ascii="宋体" w:hAnsi="宋体" w:cs="宋体" w:eastAsia="宋体" w:hint="default"/>
                <w:sz w:val="18"/>
                <w:szCs w:val="18"/>
              </w:rPr>
            </w:pPr>
            <w:r>
              <w:rPr>
                <w:rFonts w:ascii="宋体" w:hAnsi="宋体" w:cs="宋体" w:eastAsia="宋体" w:hint="default"/>
                <w:sz w:val="18"/>
                <w:szCs w:val="18"/>
              </w:rPr>
              <w:t>（不含衍生金融 资产）</w:t>
            </w:r>
          </w:p>
        </w:tc>
        <w:tc>
          <w:tcPr>
            <w:tcW w:w="11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159,011,267.77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681,275.86</w:t>
            </w:r>
          </w:p>
        </w:tc>
        <w:tc>
          <w:tcPr>
            <w:tcW w:w="104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675,485,323.05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652,728,949.77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182,448,916.91</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 资</w:t>
            </w:r>
          </w:p>
        </w:tc>
        <w:tc>
          <w:tcPr>
            <w:tcW w:w="11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85,585,686.64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50,720,000.00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134,950,686.64</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244,596,954.41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-673,724.14</w:t>
            </w:r>
          </w:p>
        </w:tc>
        <w:tc>
          <w:tcPr>
            <w:tcW w:w="104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726,205,323.05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652,728,949.77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317,399,603.55</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244,596,954.41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-673,724.14</w:t>
            </w:r>
          </w:p>
        </w:tc>
        <w:tc>
          <w:tcPr>
            <w:tcW w:w="104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726,205,323.05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652,728,949.77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317,399,603.55</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6790"/>
        <w:jc w:val="left"/>
      </w:pPr>
      <w:r>
        <w:rPr/>
        <w:t>其他变动的内容 报告期内公司主要资产计量属性是否发生重大变化</w:t>
      </w:r>
    </w:p>
    <w:p>
      <w:pPr>
        <w:pStyle w:val="BodyText"/>
        <w:spacing w:line="240" w:lineRule="auto" w:before="2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08" w:firstLine="419"/>
        <w:jc w:val="both"/>
      </w:pPr>
      <w:r>
        <w:rPr/>
        <w:t>子公司中教未来国际教育科技（北京）有限公司于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日与杭州银行股份有限公司北京中关村支行签订了编号</w:t>
      </w:r>
      <w:r>
        <w:rPr>
          <w:spacing w:val="1"/>
        </w:rPr>
        <w:t> </w:t>
      </w:r>
      <w:r>
        <w:rPr>
          <w:spacing w:val="-1"/>
        </w:rPr>
        <w:t>为</w:t>
      </w:r>
      <w:r>
        <w:rPr>
          <w:rFonts w:ascii="Times New Roman" w:hAnsi="Times New Roman" w:cs="Times New Roman" w:eastAsia="Times New Roman" w:hint="default"/>
          <w:spacing w:val="-1"/>
        </w:rPr>
        <w:t>129C215201700001</w:t>
      </w:r>
      <w:r>
        <w:rPr>
          <w:spacing w:val="-1"/>
        </w:rPr>
        <w:t>的借款合同，借款金额人民币</w:t>
      </w:r>
      <w:r>
        <w:rPr>
          <w:rFonts w:ascii="Times New Roman" w:hAnsi="Times New Roman" w:cs="Times New Roman" w:eastAsia="Times New Roman" w:hint="default"/>
          <w:spacing w:val="-1"/>
        </w:rPr>
        <w:t>2,100.00</w:t>
      </w:r>
      <w:r>
        <w:rPr>
          <w:spacing w:val="-1"/>
        </w:rPr>
        <w:t>万元，借款期限自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8</w:t>
      </w:r>
      <w:r>
        <w:rPr>
          <w:spacing w:val="-1"/>
        </w:rPr>
        <w:t>日止。中教未来国</w:t>
      </w:r>
      <w:r>
        <w:rPr>
          <w:spacing w:val="-44"/>
        </w:rPr>
        <w:t> </w:t>
      </w:r>
      <w:r>
        <w:rPr>
          <w:spacing w:val="-44"/>
        </w:rPr>
      </w:r>
      <w:r>
        <w:rPr/>
        <w:t>际教育科技（北京）有限公司同时与杭州银行股份有限公司北京中关村支行签订了编号为</w:t>
      </w:r>
      <w:r>
        <w:rPr>
          <w:rFonts w:ascii="Times New Roman" w:hAnsi="Times New Roman" w:cs="Times New Roman" w:eastAsia="Times New Roman" w:hint="default"/>
        </w:rPr>
        <w:t>129C2152017000011</w:t>
      </w:r>
      <w:r>
        <w:rPr/>
        <w:t>的质押合同，</w:t>
      </w:r>
    </w:p>
    <w:p>
      <w:pPr>
        <w:spacing w:after="0" w:line="300"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079"/>
        <w:jc w:val="both"/>
      </w:pPr>
      <w:r>
        <w:rPr/>
        <w:t>质押担保的主债权金额金额为人民币</w:t>
      </w:r>
      <w:r>
        <w:rPr>
          <w:rFonts w:ascii="Times New Roman" w:hAnsi="Times New Roman" w:cs="Times New Roman" w:eastAsia="Times New Roman" w:hint="default"/>
        </w:rPr>
        <w:t>2,100.00</w:t>
      </w:r>
      <w:r>
        <w:rPr/>
        <w:t>万元，质押权利清单：中教未来国际教育科技（北京）有限公司持有的智明远</w:t>
      </w:r>
      <w:r>
        <w:rPr>
          <w:spacing w:val="-84"/>
        </w:rPr>
        <w:t> </w:t>
      </w:r>
      <w:r>
        <w:rPr>
          <w:spacing w:val="-84"/>
        </w:rPr>
      </w:r>
      <w:r>
        <w:rPr/>
        <w:t>扬国际教育科技（北京）有限公司</w:t>
      </w:r>
      <w:r>
        <w:rPr>
          <w:rFonts w:ascii="Times New Roman" w:hAnsi="Times New Roman" w:cs="Times New Roman" w:eastAsia="Times New Roman" w:hint="default"/>
        </w:rPr>
        <w:t>100%</w:t>
      </w:r>
      <w:r>
        <w:rPr/>
        <w:t>的股权（质押股权协商认定评估价为人民币</w:t>
      </w:r>
      <w:r>
        <w:rPr>
          <w:rFonts w:ascii="Times New Roman" w:hAnsi="Times New Roman" w:cs="Times New Roman" w:eastAsia="Times New Roman" w:hint="default"/>
        </w:rPr>
        <w:t>5,531.00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该借款合同尚未归还的借款余额为人民币</w:t>
      </w:r>
      <w:r>
        <w:rPr>
          <w:rFonts w:ascii="Times New Roman" w:hAnsi="Times New Roman" w:cs="Times New Roman" w:eastAsia="Times New Roman" w:hint="default"/>
        </w:rPr>
        <w:t>7,850,000.00</w:t>
      </w:r>
      <w:r>
        <w:rPr/>
        <w:t>元。</w:t>
      </w:r>
    </w:p>
    <w:p>
      <w:pPr>
        <w:pStyle w:val="BodyText"/>
        <w:spacing w:line="300" w:lineRule="auto" w:before="13"/>
        <w:ind w:left="153" w:right="1127" w:firstLine="289"/>
        <w:jc w:val="both"/>
      </w:pPr>
      <w:r>
        <w:rPr/>
        <w:t>中教未来国际教育科技（北京）有限公司与杭州银行股份有限公司北京中关村支行签订了编号为</w:t>
      </w:r>
      <w:r>
        <w:rPr>
          <w:rFonts w:ascii="Times New Roman" w:hAnsi="Times New Roman" w:cs="Times New Roman" w:eastAsia="Times New Roman" w:hint="default"/>
        </w:rPr>
        <w:t>129C2152017000065</w:t>
      </w:r>
      <w:r>
        <w:rPr/>
        <w:t>的 质押合同，质押担保的主债权金额为人民币</w:t>
      </w:r>
      <w:r>
        <w:rPr>
          <w:rFonts w:ascii="Times New Roman" w:hAnsi="Times New Roman" w:cs="Times New Roman" w:eastAsia="Times New Roman" w:hint="default"/>
        </w:rPr>
        <w:t>7,500.00</w:t>
      </w:r>
      <w:r>
        <w:rPr/>
        <w:t>万元，质押权利清单：中教未来国际教育科技（北京）有限公司持有的</w:t>
      </w:r>
      <w:r>
        <w:rPr>
          <w:spacing w:val="-85"/>
        </w:rPr>
        <w:t> </w:t>
      </w:r>
      <w:r>
        <w:rPr>
          <w:spacing w:val="-85"/>
        </w:rPr>
      </w:r>
      <w:r>
        <w:rPr/>
        <w:t>布朗睿智（北京）国际教育科技有限公司</w:t>
      </w:r>
      <w:r>
        <w:rPr>
          <w:rFonts w:ascii="Times New Roman" w:hAnsi="Times New Roman" w:cs="Times New Roman" w:eastAsia="Times New Roman" w:hint="default"/>
        </w:rPr>
        <w:t>30%</w:t>
      </w:r>
      <w:r>
        <w:rPr/>
        <w:t>的股权（质押股权协商认定评估价为人民币</w:t>
      </w:r>
      <w:r>
        <w:rPr>
          <w:rFonts w:ascii="Times New Roman" w:hAnsi="Times New Roman" w:cs="Times New Roman" w:eastAsia="Times New Roman" w:hint="default"/>
        </w:rPr>
        <w:t>104,929,600.00</w:t>
      </w:r>
      <w:r>
        <w:rPr/>
        <w:t>元）、中教未来国</w:t>
      </w:r>
      <w:r>
        <w:rPr>
          <w:spacing w:val="-24"/>
        </w:rPr>
        <w:t> </w:t>
      </w:r>
      <w:r>
        <w:rPr>
          <w:spacing w:val="-24"/>
        </w:rPr>
      </w:r>
      <w:r>
        <w:rPr/>
        <w:t>际教育科技（北京）有限公司持有的布朗时代（北京）教育投资有限公司</w:t>
      </w:r>
      <w:r>
        <w:rPr>
          <w:rFonts w:ascii="Times New Roman" w:hAnsi="Times New Roman" w:cs="Times New Roman" w:eastAsia="Times New Roman" w:hint="default"/>
        </w:rPr>
        <w:t>30%</w:t>
      </w:r>
      <w:r>
        <w:rPr/>
        <w:t>的股权（质押股权协商认定评估价为人民币</w:t>
      </w:r>
      <w:r>
        <w:rPr>
          <w:spacing w:val="17"/>
        </w:rPr>
        <w:t> </w:t>
      </w:r>
      <w:r>
        <w:rPr>
          <w:spacing w:val="17"/>
        </w:rPr>
      </w:r>
      <w:r>
        <w:rPr>
          <w:rFonts w:ascii="Times New Roman" w:hAnsi="Times New Roman" w:cs="Times New Roman" w:eastAsia="Times New Roman" w:hint="default"/>
        </w:rPr>
        <w:t>45,070,400.00</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日，该借款合同尚未归还的借款余额为人民币</w:t>
      </w:r>
      <w:r>
        <w:rPr>
          <w:rFonts w:ascii="Times New Roman" w:hAnsi="Times New Roman" w:cs="Times New Roman" w:eastAsia="Times New Roman" w:hint="default"/>
        </w:rPr>
        <w:t>22,530,023.75</w:t>
      </w:r>
      <w:r>
        <w:rPr/>
        <w:t>元。</w:t>
      </w:r>
    </w:p>
    <w:p>
      <w:pPr>
        <w:pStyle w:val="BodyText"/>
        <w:spacing w:line="300" w:lineRule="auto" w:before="13"/>
        <w:ind w:left="153" w:right="1151" w:firstLine="420"/>
        <w:jc w:val="left"/>
      </w:pPr>
      <w:r>
        <w:rPr/>
        <w:t>其他货币资金年末余额中</w:t>
      </w:r>
      <w:r>
        <w:rPr>
          <w:rFonts w:ascii="Times New Roman" w:hAnsi="Times New Roman" w:cs="Times New Roman" w:eastAsia="Times New Roman" w:hint="default"/>
        </w:rPr>
        <w:t>15,022,824.46</w:t>
      </w:r>
      <w:r>
        <w:rPr/>
        <w:t>元系银行承兑汇票保证金存款，</w:t>
      </w:r>
      <w:r>
        <w:rPr>
          <w:rFonts w:ascii="Times New Roman" w:hAnsi="Times New Roman" w:cs="Times New Roman" w:eastAsia="Times New Roman" w:hint="default"/>
        </w:rPr>
        <w:t>3,237,603.00</w:t>
      </w:r>
      <w:r>
        <w:rPr/>
        <w:t>元系保函保证金，使用受限。银行 存款年末余额中</w:t>
      </w:r>
      <w:r>
        <w:rPr>
          <w:rFonts w:ascii="Times New Roman" w:hAnsi="Times New Roman" w:cs="Times New Roman" w:eastAsia="Times New Roman" w:hint="default"/>
        </w:rPr>
        <w:t>2,496,371.23</w:t>
      </w:r>
      <w:r>
        <w:rPr/>
        <w:t>元系因合同纠纷被冻结，使用受限。</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308,173,300.00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164,230,346.15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9"/>
        <w:gridCol w:w="632"/>
        <w:gridCol w:w="342"/>
        <w:gridCol w:w="1182"/>
        <w:gridCol w:w="643"/>
        <w:gridCol w:w="343"/>
        <w:gridCol w:w="630"/>
        <w:gridCol w:w="343"/>
        <w:gridCol w:w="343"/>
        <w:gridCol w:w="666"/>
        <w:gridCol w:w="1061"/>
        <w:gridCol w:w="1076"/>
        <w:gridCol w:w="342"/>
        <w:gridCol w:w="641"/>
        <w:gridCol w:w="862"/>
      </w:tblGrid>
      <w:tr>
        <w:trPr>
          <w:trHeight w:val="1210" w:hRule="exact"/>
        </w:trPr>
        <w:tc>
          <w:tcPr>
            <w:tcW w:w="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93" w:right="95"/>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75" w:right="74"/>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6" w:right="4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75" w:right="7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75" w:right="77"/>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75" w:right="77"/>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57" w:right="56"/>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42" w:right="83"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75" w:right="74"/>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10" w:hRule="exact"/>
        </w:trPr>
        <w:tc>
          <w:tcPr>
            <w:tcW w:w="5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64"/>
              <w:jc w:val="both"/>
              <w:rPr>
                <w:rFonts w:ascii="宋体" w:hAnsi="宋体" w:cs="宋体" w:eastAsia="宋体" w:hint="default"/>
                <w:sz w:val="18"/>
                <w:szCs w:val="18"/>
              </w:rPr>
            </w:pPr>
            <w:r>
              <w:rPr>
                <w:rFonts w:ascii="宋体" w:hAnsi="宋体" w:cs="宋体" w:eastAsia="宋体" w:hint="default"/>
                <w:sz w:val="18"/>
                <w:szCs w:val="18"/>
              </w:rPr>
              <w:t>杭州 萧文 置业 有限 公司</w:t>
            </w:r>
          </w:p>
        </w:tc>
        <w:tc>
          <w:tcPr>
            <w:tcW w:w="6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59"/>
              <w:jc w:val="both"/>
              <w:rPr>
                <w:rFonts w:ascii="宋体" w:hAnsi="宋体" w:cs="宋体" w:eastAsia="宋体" w:hint="default"/>
                <w:sz w:val="18"/>
                <w:szCs w:val="18"/>
              </w:rPr>
            </w:pPr>
            <w:r>
              <w:rPr>
                <w:rFonts w:ascii="宋体" w:hAnsi="宋体" w:cs="宋体" w:eastAsia="宋体" w:hint="default"/>
                <w:sz w:val="18"/>
                <w:szCs w:val="18"/>
              </w:rPr>
              <w:t>房地产 开发、 经营</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127"/>
              <w:jc w:val="left"/>
              <w:rPr>
                <w:rFonts w:ascii="宋体" w:hAnsi="宋体" w:cs="宋体" w:eastAsia="宋体" w:hint="default"/>
                <w:sz w:val="18"/>
                <w:szCs w:val="18"/>
              </w:rPr>
            </w:pPr>
            <w:r>
              <w:rPr>
                <w:rFonts w:ascii="宋体" w:hAnsi="宋体" w:cs="宋体" w:eastAsia="宋体" w:hint="default"/>
                <w:sz w:val="18"/>
                <w:szCs w:val="18"/>
              </w:rPr>
              <w:t>收 购</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308,173,300.00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55.00%</w:t>
            </w:r>
          </w:p>
        </w:tc>
        <w:tc>
          <w:tcPr>
            <w:tcW w:w="3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128"/>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55"/>
              <w:jc w:val="both"/>
              <w:rPr>
                <w:rFonts w:ascii="宋体" w:hAnsi="宋体" w:cs="宋体" w:eastAsia="宋体" w:hint="default"/>
                <w:sz w:val="18"/>
                <w:szCs w:val="18"/>
              </w:rPr>
            </w:pPr>
            <w:r>
              <w:rPr>
                <w:rFonts w:ascii="宋体" w:hAnsi="宋体" w:cs="宋体" w:eastAsia="宋体" w:hint="default"/>
                <w:sz w:val="18"/>
                <w:szCs w:val="18"/>
              </w:rPr>
              <w:t>杭州日 报报业 集团有 限公司</w:t>
            </w:r>
          </w:p>
        </w:tc>
        <w:tc>
          <w:tcPr>
            <w:tcW w:w="3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48"/>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3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28"/>
              <w:jc w:val="both"/>
              <w:rPr>
                <w:rFonts w:ascii="宋体" w:hAnsi="宋体" w:cs="宋体" w:eastAsia="宋体" w:hint="default"/>
                <w:sz w:val="18"/>
                <w:szCs w:val="18"/>
              </w:rPr>
            </w:pPr>
            <w:r>
              <w:rPr>
                <w:rFonts w:ascii="宋体" w:hAnsi="宋体" w:cs="宋体" w:eastAsia="宋体" w:hint="default"/>
                <w:sz w:val="18"/>
                <w:szCs w:val="18"/>
              </w:rPr>
              <w:t>房 地 产</w:t>
            </w:r>
          </w:p>
        </w:tc>
        <w:tc>
          <w:tcPr>
            <w:tcW w:w="6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91"/>
              <w:jc w:val="left"/>
              <w:rPr>
                <w:rFonts w:ascii="宋体" w:hAnsi="宋体" w:cs="宋体" w:eastAsia="宋体" w:hint="default"/>
                <w:sz w:val="18"/>
                <w:szCs w:val="18"/>
              </w:rPr>
            </w:pPr>
            <w:r>
              <w:rPr>
                <w:rFonts w:ascii="宋体" w:hAnsi="宋体" w:cs="宋体" w:eastAsia="宋体" w:hint="default"/>
                <w:sz w:val="18"/>
                <w:szCs w:val="18"/>
              </w:rPr>
              <w:t>已交割 完毕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-1,021,824.85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-1,021,824.85</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48"/>
              <w:ind w:left="22" w:right="0"/>
              <w:jc w:val="left"/>
              <w:rPr>
                <w:rFonts w:ascii="Times New Roman" w:hAnsi="Times New Roman" w:cs="Times New Roman" w:eastAsia="Times New Roman" w:hint="default"/>
                <w:sz w:val="18"/>
                <w:szCs w:val="18"/>
              </w:rPr>
            </w:pPr>
            <w:r>
              <w:rPr>
                <w:rFonts w:ascii="Times New Roman"/>
                <w:sz w:val="18"/>
              </w:rPr>
              <w:t>2018-055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251" w:hRule="exact"/>
        </w:trPr>
        <w:tc>
          <w:tcPr>
            <w:tcW w:w="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5" w:right="0"/>
              <w:jc w:val="left"/>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Times New Roman" w:hAnsi="Times New Roman" w:cs="Times New Roman" w:eastAsia="Times New Roman" w:hint="default"/>
                <w:sz w:val="18"/>
                <w:szCs w:val="18"/>
              </w:rPr>
            </w:pPr>
            <w:r>
              <w:rPr>
                <w:rFonts w:ascii="Times New Roman"/>
                <w:sz w:val="18"/>
              </w:rPr>
              <w:t>308,173,300.00</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5" w:right="0"/>
              <w:jc w:val="left"/>
              <w:rPr>
                <w:rFonts w:ascii="Times New Roman" w:hAnsi="Times New Roman" w:cs="Times New Roman" w:eastAsia="Times New Roman" w:hint="default"/>
                <w:sz w:val="18"/>
                <w:szCs w:val="18"/>
              </w:rPr>
            </w:pPr>
            <w:r>
              <w:rPr>
                <w:rFonts w:ascii="Times New Roman"/>
                <w:sz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5" w:right="0"/>
              <w:jc w:val="left"/>
              <w:rPr>
                <w:rFonts w:ascii="Times New Roman" w:hAnsi="Times New Roman" w:cs="Times New Roman" w:eastAsia="Times New Roman" w:hint="default"/>
                <w:sz w:val="18"/>
                <w:szCs w:val="18"/>
              </w:rPr>
            </w:pPr>
            <w:r>
              <w:rPr>
                <w:rFonts w:ascii="Times New Roman"/>
                <w:sz w:val="18"/>
              </w:rPr>
              <w:t>--</w:t>
            </w:r>
          </w:p>
        </w:tc>
        <w:tc>
          <w:tcPr>
            <w:tcW w:w="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left="105" w:right="0"/>
              <w:jc w:val="left"/>
              <w:rPr>
                <w:rFonts w:ascii="Times New Roman" w:hAnsi="Times New Roman" w:cs="Times New Roman" w:eastAsia="Times New Roman" w:hint="default"/>
                <w:sz w:val="18"/>
                <w:szCs w:val="18"/>
              </w:rPr>
            </w:pPr>
            <w:r>
              <w:rPr>
                <w:rFonts w:ascii="Times New Roman"/>
                <w:sz w:val="18"/>
              </w:rPr>
              <w:t>--</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Times New Roman"/>
                <w:sz w:val="18"/>
              </w:rPr>
              <w:t>-1,021,824.85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-1,021,824.85</w:t>
            </w:r>
          </w:p>
        </w:tc>
        <w:tc>
          <w:tcPr>
            <w:tcW w:w="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104"/>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0"/>
        </w:sectPr>
      </w:pPr>
    </w:p>
    <w:p>
      <w:pPr>
        <w:pStyle w:val="Heading3"/>
        <w:spacing w:line="240" w:lineRule="auto" w:before="35"/>
        <w:ind w:right="0"/>
        <w:jc w:val="left"/>
        <w:rPr>
          <w:b w:val="0"/>
          <w:bCs w:val="0"/>
        </w:rPr>
      </w:pPr>
      <w:r>
        <w:rPr>
          <w:rFonts w:ascii="Times New Roman" w:hAnsi="Times New Roman" w:cs="Times New Roman" w:eastAsia="Times New Roman" w:hint="default"/>
          <w:w w:val="95"/>
        </w:rPr>
        <w:t>3</w:t>
      </w:r>
      <w:r>
        <w:rPr>
          <w:w w:val="95"/>
        </w:rPr>
        <w:t>、报告期内正在进行的重大的非股权投资情况</w:t>
      </w:r>
      <w:r>
        <w:rPr>
          <w:b w:val="0"/>
          <w:bCs w:val="0"/>
        </w:rPr>
      </w:r>
    </w:p>
    <w:p>
      <w:pPr>
        <w:pStyle w:val="BodyText"/>
        <w:spacing w:line="240" w:lineRule="auto" w:before="4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4474" w:space="4444"/>
            <w:col w:w="2012"/>
          </w:cols>
        </w:sectPr>
      </w:pPr>
    </w:p>
    <w:p>
      <w:pPr>
        <w:spacing w:line="240" w:lineRule="auto" w:before="0"/>
        <w:rPr>
          <w:rFonts w:ascii="宋体" w:hAnsi="宋体" w:cs="宋体" w:eastAsia="宋体" w:hint="default"/>
          <w:sz w:val="5"/>
          <w:szCs w:val="5"/>
        </w:rPr>
      </w:pPr>
      <w:r>
        <w:rPr/>
        <w:pict>
          <v:shape style="position:absolute;margin-left:76.019997pt;margin-top:736.900024pt;width:18.54pt;height:24pt;mso-position-horizontal-relative:page;mso-position-vertical-relative:page;z-index:1168" type="#_x0000_t75" stroked="false">
            <v:imagedata r:id="rId12" o:title=""/>
          </v:shape>
        </w:pict>
      </w:r>
      <w:r>
        <w:rPr/>
        <w:pict>
          <v:shape style="position:absolute;margin-left:292.440002pt;margin-top:736.900024pt;width:18.48pt;height:24pt;mso-position-horizontal-relative:page;mso-position-vertical-relative:page;z-index:1192"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382"/>
        <w:gridCol w:w="380"/>
        <w:gridCol w:w="622"/>
        <w:gridCol w:w="574"/>
        <w:gridCol w:w="1199"/>
        <w:gridCol w:w="1554"/>
        <w:gridCol w:w="380"/>
        <w:gridCol w:w="655"/>
        <w:gridCol w:w="479"/>
        <w:gridCol w:w="913"/>
        <w:gridCol w:w="910"/>
        <w:gridCol w:w="716"/>
        <w:gridCol w:w="902"/>
      </w:tblGrid>
      <w:tr>
        <w:trPr>
          <w:trHeight w:val="970" w:hRule="exact"/>
        </w:trPr>
        <w:tc>
          <w:tcPr>
            <w:tcW w:w="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94" w:right="95"/>
              <w:jc w:val="both"/>
              <w:rPr>
                <w:rFonts w:ascii="宋体" w:hAnsi="宋体" w:cs="宋体" w:eastAsia="宋体" w:hint="default"/>
                <w:sz w:val="18"/>
                <w:szCs w:val="18"/>
              </w:rPr>
            </w:pPr>
            <w:r>
              <w:rPr>
                <w:rFonts w:ascii="宋体" w:hAnsi="宋体" w:cs="宋体" w:eastAsia="宋体" w:hint="default"/>
                <w:sz w:val="18"/>
                <w:szCs w:val="18"/>
              </w:rPr>
              <w:t>项 目 名 称</w:t>
            </w:r>
          </w:p>
        </w:tc>
        <w:tc>
          <w:tcPr>
            <w:tcW w:w="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94" w:right="95"/>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35" w:right="35"/>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01" w:right="101"/>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1" w:right="50"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94" w:right="95"/>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 w:right="5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91" w:right="90"/>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89" w:right="89"/>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62" w:right="8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71" w:hRule="exact"/>
        </w:trPr>
        <w:tc>
          <w:tcPr>
            <w:tcW w:w="3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67"/>
              <w:jc w:val="both"/>
              <w:rPr>
                <w:rFonts w:ascii="宋体" w:hAnsi="宋体" w:cs="宋体" w:eastAsia="宋体" w:hint="default"/>
                <w:sz w:val="18"/>
                <w:szCs w:val="18"/>
              </w:rPr>
            </w:pPr>
            <w:r>
              <w:rPr>
                <w:rFonts w:ascii="宋体" w:hAnsi="宋体" w:cs="宋体" w:eastAsia="宋体" w:hint="default"/>
                <w:sz w:val="18"/>
                <w:szCs w:val="18"/>
              </w:rPr>
              <w:t>萧 文 置 业</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167"/>
              <w:jc w:val="left"/>
              <w:rPr>
                <w:rFonts w:ascii="宋体" w:hAnsi="宋体" w:cs="宋体" w:eastAsia="宋体" w:hint="default"/>
                <w:sz w:val="18"/>
                <w:szCs w:val="18"/>
              </w:rPr>
            </w:pPr>
            <w:r>
              <w:rPr>
                <w:rFonts w:ascii="宋体" w:hAnsi="宋体" w:cs="宋体" w:eastAsia="宋体" w:hint="default"/>
                <w:sz w:val="18"/>
                <w:szCs w:val="18"/>
              </w:rPr>
              <w:t>自 建</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3" w:right="179"/>
              <w:jc w:val="left"/>
              <w:rPr>
                <w:rFonts w:ascii="宋体" w:hAnsi="宋体" w:cs="宋体" w:eastAsia="宋体" w:hint="default"/>
                <w:sz w:val="18"/>
                <w:szCs w:val="18"/>
              </w:rPr>
            </w:pPr>
            <w:r>
              <w:rPr>
                <w:rFonts w:ascii="宋体" w:hAnsi="宋体" w:cs="宋体" w:eastAsia="宋体" w:hint="default"/>
                <w:sz w:val="18"/>
                <w:szCs w:val="18"/>
              </w:rPr>
              <w:t>房地 产</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07" w:right="0"/>
              <w:jc w:val="center"/>
              <w:rPr>
                <w:rFonts w:ascii="Times New Roman" w:hAnsi="Times New Roman" w:cs="Times New Roman" w:eastAsia="Times New Roman" w:hint="default"/>
                <w:sz w:val="18"/>
                <w:szCs w:val="18"/>
              </w:rPr>
            </w:pPr>
            <w:r>
              <w:rPr>
                <w:rFonts w:ascii="Times New Roman"/>
                <w:sz w:val="18"/>
              </w:rPr>
              <w:t>77,123,570.98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312,649,386.46</w:t>
            </w:r>
          </w:p>
        </w:tc>
        <w:tc>
          <w:tcPr>
            <w:tcW w:w="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167"/>
              <w:jc w:val="left"/>
              <w:rPr>
                <w:rFonts w:ascii="宋体" w:hAnsi="宋体" w:cs="宋体" w:eastAsia="宋体" w:hint="default"/>
                <w:sz w:val="18"/>
                <w:szCs w:val="18"/>
              </w:rPr>
            </w:pPr>
            <w:r>
              <w:rPr>
                <w:rFonts w:ascii="宋体" w:hAnsi="宋体" w:cs="宋体" w:eastAsia="宋体" w:hint="default"/>
                <w:sz w:val="18"/>
                <w:szCs w:val="18"/>
              </w:rPr>
              <w:t>借 款</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4" w:right="0"/>
              <w:jc w:val="center"/>
              <w:rPr>
                <w:rFonts w:ascii="Times New Roman" w:hAnsi="Times New Roman" w:cs="Times New Roman" w:eastAsia="Times New Roman" w:hint="default"/>
                <w:sz w:val="18"/>
                <w:szCs w:val="18"/>
              </w:rPr>
            </w:pPr>
            <w:r>
              <w:rPr>
                <w:rFonts w:ascii="Times New Roman"/>
                <w:sz w:val="18"/>
              </w:rPr>
              <w:t>80.00%</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0"/>
                <w:szCs w:val="20"/>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2018-055</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90" w:hRule="exact"/>
        </w:trPr>
        <w:tc>
          <w:tcPr>
            <w:tcW w:w="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167"/>
              <w:jc w:val="left"/>
              <w:rPr>
                <w:rFonts w:ascii="宋体" w:hAnsi="宋体" w:cs="宋体" w:eastAsia="宋体" w:hint="default"/>
                <w:sz w:val="18"/>
                <w:szCs w:val="18"/>
              </w:rPr>
            </w:pPr>
            <w:r>
              <w:rPr>
                <w:rFonts w:ascii="宋体" w:hAnsi="宋体" w:cs="宋体" w:eastAsia="宋体" w:hint="default"/>
                <w:sz w:val="18"/>
                <w:szCs w:val="18"/>
              </w:rPr>
              <w:t>合 计</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7" w:right="0"/>
              <w:jc w:val="center"/>
              <w:rPr>
                <w:rFonts w:ascii="Times New Roman" w:hAnsi="Times New Roman" w:cs="Times New Roman" w:eastAsia="Times New Roman" w:hint="default"/>
                <w:sz w:val="18"/>
                <w:szCs w:val="18"/>
              </w:rPr>
            </w:pPr>
            <w:r>
              <w:rPr>
                <w:rFonts w:ascii="Times New Roman"/>
                <w:sz w:val="18"/>
              </w:rPr>
              <w:t>77,123,570.98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312,649,386.46</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4"/>
              <w:ind w:right="388"/>
              <w:jc w:val="righ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3"/>
        <w:gridCol w:w="982"/>
        <w:gridCol w:w="725"/>
        <w:gridCol w:w="990"/>
        <w:gridCol w:w="991"/>
        <w:gridCol w:w="983"/>
        <w:gridCol w:w="876"/>
        <w:gridCol w:w="1182"/>
        <w:gridCol w:w="716"/>
        <w:gridCol w:w="876"/>
        <w:gridCol w:w="822"/>
      </w:tblGrid>
      <w:tr>
        <w:trPr>
          <w:trHeight w:val="1333" w:hRule="exact"/>
        </w:trPr>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6"/>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 w:right="38"/>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5"/>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72"/>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4"/>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0"/>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72"/>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4"/>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62" w:hRule="exact"/>
        </w:trPr>
        <w:tc>
          <w:tcPr>
            <w:tcW w:w="523" w:type="dxa"/>
            <w:tcBorders>
              <w:top w:val="single" w:sz="4" w:space="0" w:color="000000"/>
              <w:left w:val="single" w:sz="4" w:space="0" w:color="000000"/>
              <w:bottom w:val="nil" w:sz="6" w:space="0" w:color="auto"/>
              <w:right w:val="single" w:sz="4" w:space="0" w:color="000000"/>
            </w:tcBorders>
            <w:shd w:val="clear" w:color="auto" w:fill="C7EDCC"/>
          </w:tcPr>
          <w:p>
            <w:pPr/>
          </w:p>
        </w:tc>
        <w:tc>
          <w:tcPr>
            <w:tcW w:w="98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6"/>
              <w:ind w:right="24"/>
              <w:jc w:val="center"/>
              <w:rPr>
                <w:rFonts w:ascii="宋体" w:hAnsi="宋体" w:cs="宋体" w:eastAsia="宋体" w:hint="default"/>
                <w:sz w:val="18"/>
                <w:szCs w:val="18"/>
              </w:rPr>
            </w:pPr>
            <w:r>
              <w:rPr>
                <w:rFonts w:ascii="宋体" w:hAnsi="宋体" w:cs="宋体" w:eastAsia="宋体" w:hint="default"/>
                <w:sz w:val="18"/>
                <w:szCs w:val="18"/>
              </w:rPr>
              <w:t>面向合格投</w:t>
            </w:r>
          </w:p>
        </w:tc>
        <w:tc>
          <w:tcPr>
            <w:tcW w:w="725"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83"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shd w:val="clear" w:color="auto" w:fill="C7EDCC"/>
          </w:tcPr>
          <w:p>
            <w:pPr/>
          </w:p>
        </w:tc>
        <w:tc>
          <w:tcPr>
            <w:tcW w:w="82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52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tc>
        <w:tc>
          <w:tcPr>
            <w:tcW w:w="98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24"/>
              <w:jc w:val="center"/>
              <w:rPr>
                <w:rFonts w:ascii="宋体" w:hAnsi="宋体" w:cs="宋体" w:eastAsia="宋体" w:hint="default"/>
                <w:sz w:val="18"/>
                <w:szCs w:val="18"/>
              </w:rPr>
            </w:pPr>
            <w:r>
              <w:rPr>
                <w:rFonts w:ascii="宋体" w:hAnsi="宋体" w:cs="宋体" w:eastAsia="宋体" w:hint="default"/>
                <w:sz w:val="18"/>
                <w:szCs w:val="18"/>
              </w:rPr>
              <w:t>资者公开发</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20,000</w:t>
            </w:r>
          </w:p>
        </w:tc>
        <w:tc>
          <w:tcPr>
            <w:tcW w:w="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8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523" w:type="dxa"/>
            <w:tcBorders>
              <w:top w:val="nil" w:sz="6" w:space="0" w:color="auto"/>
              <w:left w:val="single" w:sz="4" w:space="0" w:color="000000"/>
              <w:bottom w:val="single" w:sz="4" w:space="0" w:color="000000"/>
              <w:right w:val="single" w:sz="4" w:space="0" w:color="000000"/>
            </w:tcBorders>
            <w:shd w:val="clear" w:color="auto" w:fill="C7EDCC"/>
          </w:tcPr>
          <w:p>
            <w:pPr/>
          </w:p>
        </w:tc>
        <w:tc>
          <w:tcPr>
            <w:tcW w:w="98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right="24"/>
              <w:jc w:val="center"/>
              <w:rPr>
                <w:rFonts w:ascii="宋体" w:hAnsi="宋体" w:cs="宋体" w:eastAsia="宋体" w:hint="default"/>
                <w:sz w:val="18"/>
                <w:szCs w:val="18"/>
              </w:rPr>
            </w:pPr>
            <w:r>
              <w:rPr>
                <w:rFonts w:ascii="宋体" w:hAnsi="宋体" w:cs="宋体" w:eastAsia="宋体" w:hint="default"/>
                <w:sz w:val="18"/>
                <w:szCs w:val="18"/>
              </w:rPr>
              <w:t>行公司债券</w:t>
            </w:r>
          </w:p>
        </w:tc>
        <w:tc>
          <w:tcPr>
            <w:tcW w:w="725"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83"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shd w:val="clear" w:color="auto" w:fill="C7EDCC"/>
          </w:tcPr>
          <w:p>
            <w:pPr/>
          </w:p>
        </w:tc>
        <w:tc>
          <w:tcPr>
            <w:tcW w:w="822" w:type="dxa"/>
            <w:tcBorders>
              <w:top w:val="nil" w:sz="6" w:space="0" w:color="auto"/>
              <w:left w:val="single" w:sz="4" w:space="0" w:color="000000"/>
              <w:bottom w:val="single" w:sz="4" w:space="0" w:color="000000"/>
              <w:right w:val="single" w:sz="4" w:space="0" w:color="000000"/>
            </w:tcBorders>
          </w:tcPr>
          <w:p>
            <w:pPr/>
          </w:p>
        </w:tc>
      </w:tr>
      <w:tr>
        <w:trPr>
          <w:trHeight w:val="407" w:hRule="exact"/>
        </w:trPr>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6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666"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偿还公司债务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84"/>
        <w:gridCol w:w="780"/>
        <w:gridCol w:w="780"/>
        <w:gridCol w:w="779"/>
        <w:gridCol w:w="780"/>
        <w:gridCol w:w="780"/>
        <w:gridCol w:w="780"/>
        <w:gridCol w:w="780"/>
        <w:gridCol w:w="780"/>
        <w:gridCol w:w="780"/>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9"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归还公司债务</w:t>
            </w:r>
          </w:p>
        </w:tc>
        <w:tc>
          <w:tcPr>
            <w:tcW w:w="7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67"/>
        <w:gridCol w:w="791"/>
        <w:gridCol w:w="780"/>
        <w:gridCol w:w="779"/>
        <w:gridCol w:w="786"/>
        <w:gridCol w:w="774"/>
        <w:gridCol w:w="774"/>
        <w:gridCol w:w="792"/>
        <w:gridCol w:w="774"/>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7" w:type="dxa"/>
            <w:tcBorders>
              <w:top w:val="single" w:sz="4" w:space="0" w:color="000000"/>
              <w:left w:val="single" w:sz="9" w:space="0" w:color="C7EDCC"/>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20,000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3D3D3"/>
              <w:bottom w:val="single" w:sz="4" w:space="0" w:color="FFFFFF"/>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3D3D3"/>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3D3D3"/>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FFFFFF"/>
              <w:right w:val="single" w:sz="4" w:space="0" w:color="000000"/>
            </w:tcBorders>
            <w:shd w:val="clear" w:color="auto" w:fill="D3D3D3"/>
          </w:tcPr>
          <w:p>
            <w:pPr/>
          </w:p>
        </w:tc>
        <w:tc>
          <w:tcPr>
            <w:tcW w:w="7798" w:type="dxa"/>
            <w:gridSpan w:val="10"/>
            <w:vMerge/>
            <w:tcBorders>
              <w:left w:val="single" w:sz="9" w:space="0" w:color="D3D3D3"/>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4"/>
        <w:gridCol w:w="418"/>
        <w:gridCol w:w="779"/>
        <w:gridCol w:w="1181"/>
        <w:gridCol w:w="1181"/>
        <w:gridCol w:w="1182"/>
        <w:gridCol w:w="1181"/>
        <w:gridCol w:w="1151"/>
        <w:gridCol w:w="1151"/>
      </w:tblGrid>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浙江都市快报控 股股份有限公司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343,363,582.01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176,374,293.27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280,438,974.57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8,530,419.77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8,304,352.76</w:t>
            </w:r>
          </w:p>
        </w:tc>
      </w:tr>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430,321,954.93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254,385,234.57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299,332,325.38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70,989,154.99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71,026,382.44</w:t>
            </w:r>
          </w:p>
        </w:tc>
      </w:tr>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354,036,151.68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161,689,900.47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412,829,437.63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29,789,450.79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30,256,566.93</w:t>
            </w:r>
          </w:p>
        </w:tc>
      </w:tr>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杭州余杭晨报传 媒有限公司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225,149,014.80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160,839,197.80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68,604,272.38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19,946,758.54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19,880,591.56</w:t>
            </w:r>
          </w:p>
        </w:tc>
      </w:tr>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73,724,458.96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40,348,962.19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46,694,861.30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9,559,066.00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9,606,706.45</w:t>
            </w:r>
          </w:p>
        </w:tc>
      </w:tr>
      <w:tr>
        <w:trPr>
          <w:trHeight w:val="1026"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数字印刷</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285,580,600.00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527,589,934.88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290,095,312.63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385,260,799.42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-26,845,450.85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-26,900,771.26</w:t>
            </w:r>
          </w:p>
        </w:tc>
      </w:tr>
      <w:tr>
        <w:trPr>
          <w:trHeight w:val="1026"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杭州日报报业集 团每日送电子商 务有限公司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物流配送</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37,190,534.52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-16,400,168.69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86,701,406.42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-6,579,072.49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-6,472,253.54</w:t>
            </w:r>
          </w:p>
        </w:tc>
      </w:tr>
      <w:tr>
        <w:trPr>
          <w:trHeight w:val="714"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212,235,448.69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66,781,688.76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30,931,482.98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-41,219,683.95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-41,219,481.89</w:t>
            </w:r>
          </w:p>
        </w:tc>
      </w:tr>
      <w:tr>
        <w:trPr>
          <w:trHeight w:val="1026" w:hRule="exact"/>
        </w:trPr>
        <w:tc>
          <w:tcPr>
            <w:tcW w:w="14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中教未来国际教 </w:t>
            </w:r>
            <w:r>
              <w:rPr>
                <w:rFonts w:ascii="宋体" w:hAnsi="宋体" w:cs="宋体" w:eastAsia="宋体" w:hint="default"/>
                <w:spacing w:val="-7"/>
                <w:sz w:val="18"/>
                <w:szCs w:val="18"/>
              </w:rPr>
              <w:t>育科技（北京）有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子公 司</w:t>
            </w:r>
          </w:p>
        </w:tc>
        <w:tc>
          <w:tcPr>
            <w:tcW w:w="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hAnsi="宋体" w:cs="宋体" w:eastAsia="宋体" w:hint="default"/>
                <w:sz w:val="18"/>
                <w:szCs w:val="18"/>
              </w:rPr>
              <w:t>教育咨询</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436,481,705.11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276,905,664.00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254,758,359.27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59,511,282.61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61,200,143.95</w:t>
            </w:r>
          </w:p>
        </w:tc>
      </w:tr>
    </w:tbl>
    <w:p>
      <w:pPr>
        <w:pStyle w:val="BodyText"/>
        <w:spacing w:line="240" w:lineRule="auto" w:before="51"/>
        <w:ind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报告期内实现净利润为</w:t>
            </w:r>
            <w:r>
              <w:rPr>
                <w:rFonts w:ascii="Times New Roman" w:hAnsi="Times New Roman" w:cs="Times New Roman" w:eastAsia="Times New Roman" w:hint="default"/>
                <w:sz w:val="18"/>
                <w:szCs w:val="18"/>
              </w:rPr>
              <w:t>-185.79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中教京安教育科技（北京）有限公司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报告期内实现净利润为</w:t>
            </w:r>
            <w:r>
              <w:rPr>
                <w:rFonts w:ascii="Times New Roman" w:hAnsi="Times New Roman" w:cs="Times New Roman" w:eastAsia="Times New Roman" w:hint="default"/>
                <w:sz w:val="18"/>
                <w:szCs w:val="18"/>
              </w:rPr>
              <w:t>-34.60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浙江华媒智谷商业运营管理有限公司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报告期内实现净利润为 </w:t>
            </w:r>
            <w:r>
              <w:rPr>
                <w:rFonts w:ascii="Times New Roman" w:hAnsi="Times New Roman" w:cs="Times New Roman" w:eastAsia="Times New Roman" w:hint="default"/>
                <w:sz w:val="18"/>
                <w:szCs w:val="18"/>
              </w:rPr>
              <w:t>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杭州华媒文化发展有限公司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报告期内实现净利润为</w:t>
            </w:r>
            <w:r>
              <w:rPr>
                <w:rFonts w:ascii="Times New Roman" w:hAnsi="Times New Roman" w:cs="Times New Roman" w:eastAsia="Times New Roman" w:hint="default"/>
                <w:sz w:val="18"/>
                <w:szCs w:val="18"/>
              </w:rPr>
              <w:t>-0.98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北京大业未来教育科技有限公司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报告期内实现净利润为</w:t>
            </w:r>
            <w:r>
              <w:rPr>
                <w:rFonts w:ascii="Times New Roman" w:hAnsi="Times New Roman" w:cs="Times New Roman" w:eastAsia="Times New Roman" w:hint="default"/>
                <w:sz w:val="18"/>
                <w:szCs w:val="18"/>
              </w:rPr>
              <w:t>-4.93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霍尔果斯东昂信息科技有限公司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公司解散</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浙江融艺典当有限公司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公司解散</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0"/>
        <w:jc w:val="left"/>
      </w:pPr>
      <w:r>
        <w:rPr/>
        <w:t>主要控股参股公司情况说明</w:t>
      </w:r>
    </w:p>
    <w:p>
      <w:pPr>
        <w:pStyle w:val="BodyText"/>
        <w:spacing w:line="300" w:lineRule="auto" w:before="116"/>
        <w:ind w:left="153" w:right="1116"/>
        <w:jc w:val="left"/>
      </w:pPr>
      <w:r>
        <w:rPr>
          <w:spacing w:val="-1"/>
        </w:rPr>
        <w:t>主要子公司中，净利润占全公司归属于上市公司股东净利润的</w:t>
      </w:r>
      <w:r>
        <w:rPr>
          <w:rFonts w:ascii="Times New Roman" w:hAnsi="Times New Roman" w:cs="Times New Roman" w:eastAsia="Times New Roman" w:hint="default"/>
          <w:spacing w:val="-1"/>
        </w:rPr>
        <w:t>10%</w:t>
      </w:r>
      <w:r>
        <w:rPr>
          <w:spacing w:val="-1"/>
        </w:rPr>
        <w:t>的有：都市快报、杭州日报、萧山日报、余杭晨报、富阳</w:t>
      </w:r>
      <w:r>
        <w:rPr/>
        <w:t> 日报、盛元印务、每日送电子商务、杭州网、中教未来等。相关企业运营情况请参看第三节、第四节有关部分。</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九、公司未来发展的展望</w:t>
      </w:r>
      <w:r>
        <w:rPr>
          <w:b w:val="0"/>
          <w:bCs w:val="0"/>
        </w:rPr>
      </w:r>
    </w:p>
    <w:p>
      <w:pPr>
        <w:spacing w:line="240" w:lineRule="auto" w:before="4"/>
        <w:rPr>
          <w:rFonts w:ascii="宋体" w:hAnsi="宋体" w:cs="宋体" w:eastAsia="宋体" w:hint="default"/>
          <w:b/>
          <w:bCs/>
          <w:sz w:val="28"/>
          <w:szCs w:val="28"/>
        </w:rPr>
      </w:pPr>
    </w:p>
    <w:p>
      <w:pPr>
        <w:pStyle w:val="BodyText"/>
        <w:spacing w:line="360" w:lineRule="auto"/>
        <w:ind w:right="1127" w:firstLine="420"/>
        <w:jc w:val="both"/>
      </w:pPr>
      <w:r>
        <w:rPr>
          <w:rFonts w:ascii="Times New Roman" w:hAnsi="Times New Roman" w:cs="Times New Roman" w:eastAsia="Times New Roman" w:hint="default"/>
        </w:rPr>
        <w:t>2020</w:t>
      </w:r>
      <w:r>
        <w:rPr/>
        <w:t>年是我国高水平全面建成小康社会的收官之年，实现第一个百年奋斗目标的冲刺之年，也是公司各文创产业平台</w:t>
      </w:r>
      <w:r>
        <w:rPr>
          <w:spacing w:val="1"/>
        </w:rPr>
        <w:t> </w:t>
      </w:r>
      <w:r>
        <w:rPr>
          <w:spacing w:val="-2"/>
        </w:rPr>
        <w:t>融合的巩固提升之年、高质量发展行动计划落实的关键之年。面对错综复杂的经济形势，面对社会各界的热切期待，面对客</w:t>
      </w:r>
      <w:r>
        <w:rPr>
          <w:spacing w:val="-66"/>
        </w:rPr>
        <w:t> </w:t>
      </w:r>
      <w:r>
        <w:rPr>
          <w:spacing w:val="-66"/>
        </w:rPr>
      </w:r>
      <w:r>
        <w:rPr>
          <w:spacing w:val="-2"/>
        </w:rPr>
        <w:t>观存在的市场挑战，公司将以习近平新时代中国特色社会主义思想为指导，深入贯彻党的十九大全会精神，牢牢把握杭州都</w:t>
      </w:r>
      <w:r>
        <w:rPr>
          <w:spacing w:val="-66"/>
        </w:rPr>
        <w:t> </w:t>
      </w:r>
      <w:r>
        <w:rPr>
          <w:spacing w:val="-66"/>
        </w:rPr>
      </w:r>
      <w:r>
        <w:rPr>
          <w:spacing w:val="-2"/>
        </w:rPr>
        <w:t>市经济、幸福经济、未来经济三大发展机遇，紧密围绕集团党委要求，在文创产业平台建设上重点突破，在体制机制上深化</w:t>
      </w:r>
      <w:r>
        <w:rPr>
          <w:spacing w:val="-66"/>
        </w:rPr>
        <w:t> </w:t>
      </w:r>
      <w:r>
        <w:rPr>
          <w:spacing w:val="-66"/>
        </w:rPr>
      </w:r>
      <w:r>
        <w:rPr/>
        <w:t>完善，奋力打造产业高地和城市窗口，优化</w:t>
      </w:r>
      <w:r>
        <w:rPr>
          <w:rFonts w:ascii="Times New Roman" w:hAnsi="Times New Roman" w:cs="Times New Roman" w:eastAsia="Times New Roman" w:hint="default"/>
        </w:rPr>
        <w:t>“</w:t>
      </w:r>
      <w:r>
        <w:rPr/>
        <w:t>一体两翼</w:t>
      </w:r>
      <w:r>
        <w:rPr>
          <w:rFonts w:ascii="Times New Roman" w:hAnsi="Times New Roman" w:cs="Times New Roman" w:eastAsia="Times New Roman" w:hint="default"/>
        </w:rPr>
        <w:t>”</w:t>
      </w:r>
      <w:r>
        <w:rPr/>
        <w:t>产业布阵，持续深入践行</w:t>
      </w:r>
      <w:r>
        <w:rPr>
          <w:rFonts w:ascii="Times New Roman" w:hAnsi="Times New Roman" w:cs="Times New Roman" w:eastAsia="Times New Roman" w:hint="default"/>
        </w:rPr>
        <w:t>“</w:t>
      </w:r>
      <w:r>
        <w:rPr/>
        <w:t>大文创产业生态运营商</w:t>
      </w:r>
      <w:r>
        <w:rPr>
          <w:rFonts w:ascii="Times New Roman" w:hAnsi="Times New Roman" w:cs="Times New Roman" w:eastAsia="Times New Roman" w:hint="default"/>
        </w:rPr>
        <w:t>”</w:t>
      </w:r>
      <w:r>
        <w:rPr/>
        <w:t>战略。</w:t>
      </w:r>
    </w:p>
    <w:p>
      <w:pPr>
        <w:pStyle w:val="BodyText"/>
        <w:spacing w:line="350" w:lineRule="auto" w:before="10"/>
        <w:ind w:right="1030" w:firstLine="422"/>
        <w:jc w:val="left"/>
      </w:pPr>
      <w:r>
        <w:rPr>
          <w:rFonts w:ascii="宋体" w:hAnsi="宋体" w:cs="宋体" w:eastAsia="宋体" w:hint="default"/>
          <w:b/>
          <w:bCs/>
        </w:rPr>
        <w:t>（一）</w:t>
      </w:r>
      <w:r>
        <w:rPr>
          <w:rFonts w:ascii="Times New Roman" w:hAnsi="Times New Roman" w:cs="Times New Roman" w:eastAsia="Times New Roman" w:hint="default"/>
          <w:b/>
          <w:bCs/>
        </w:rPr>
        <w:t>“</w:t>
      </w:r>
      <w:r>
        <w:rPr>
          <w:rFonts w:ascii="宋体" w:hAnsi="宋体" w:cs="宋体" w:eastAsia="宋体" w:hint="default"/>
          <w:b/>
          <w:bCs/>
        </w:rPr>
        <w:t>一体</w:t>
      </w:r>
      <w:r>
        <w:rPr>
          <w:rFonts w:ascii="Times New Roman" w:hAnsi="Times New Roman" w:cs="Times New Roman" w:eastAsia="Times New Roman" w:hint="default"/>
          <w:b/>
          <w:bCs/>
        </w:rPr>
        <w:t>”</w:t>
      </w:r>
      <w:r>
        <w:rPr>
          <w:rFonts w:ascii="宋体" w:hAnsi="宋体" w:cs="宋体" w:eastAsia="宋体" w:hint="default"/>
          <w:b/>
          <w:bCs/>
        </w:rPr>
        <w:t>平稳发展，构建智媒体融媒体集群矩阵。</w:t>
      </w:r>
      <w:r>
        <w:rPr/>
        <w:t>坚持移动优先战略，强化视频生产和传播能力，加快华媒教育 视频、萧山日报</w:t>
      </w:r>
      <w:r>
        <w:rPr>
          <w:rFonts w:ascii="Times New Roman" w:hAnsi="Times New Roman" w:cs="Times New Roman" w:eastAsia="Times New Roman" w:hint="default"/>
        </w:rPr>
        <w:t>“</w:t>
      </w:r>
      <w:r>
        <w:rPr/>
        <w:t>几维</w:t>
      </w:r>
      <w:r>
        <w:rPr>
          <w:rFonts w:ascii="Times New Roman" w:hAnsi="Times New Roman" w:cs="Times New Roman" w:eastAsia="Times New Roman" w:hint="default"/>
        </w:rPr>
        <w:t>”</w:t>
      </w:r>
      <w:r>
        <w:rPr/>
        <w:t>视频工作室、余杭晨报</w:t>
      </w:r>
      <w:r>
        <w:rPr>
          <w:rFonts w:ascii="Times New Roman" w:hAnsi="Times New Roman" w:cs="Times New Roman" w:eastAsia="Times New Roman" w:hint="default"/>
        </w:rPr>
        <w:t>“</w:t>
      </w:r>
      <w:r>
        <w:rPr/>
        <w:t>晨视频</w:t>
      </w:r>
      <w:r>
        <w:rPr>
          <w:rFonts w:ascii="Times New Roman" w:hAnsi="Times New Roman" w:cs="Times New Roman" w:eastAsia="Times New Roman" w:hint="default"/>
        </w:rPr>
        <w:t>”</w:t>
      </w:r>
      <w:r>
        <w:rPr/>
        <w:t>、万和国际中心五楼演播基地建设；推动快房网全面上线</w:t>
      </w:r>
      <w:r>
        <w:rPr>
          <w:rFonts w:ascii="Times New Roman" w:hAnsi="Times New Roman" w:cs="Times New Roman" w:eastAsia="Times New Roman" w:hint="default"/>
        </w:rPr>
        <w:t>“</w:t>
      </w:r>
      <w:r>
        <w:rPr/>
        <w:t>快房产品</w:t>
      </w:r>
      <w:r>
        <w:rPr>
          <w:spacing w:val="-43"/>
        </w:rPr>
        <w:t> </w:t>
      </w:r>
      <w:r>
        <w:rPr>
          <w:spacing w:val="-43"/>
        </w:rPr>
      </w:r>
      <w:r>
        <w:rPr>
          <w:spacing w:val="-5"/>
        </w:rPr>
        <w:t>资源库</w:t>
      </w:r>
      <w:r>
        <w:rPr>
          <w:rFonts w:ascii="Times New Roman" w:hAnsi="Times New Roman" w:cs="Times New Roman" w:eastAsia="Times New Roman" w:hint="default"/>
          <w:spacing w:val="-5"/>
        </w:rPr>
        <w:t>”</w:t>
      </w:r>
      <w:r>
        <w:rPr>
          <w:spacing w:val="-5"/>
        </w:rPr>
        <w:t>，为内容创意和生产提供有力素材。推进微信公号矩阵结构优化、提升增效。《风景名胜》《休闲》推进网站、</w:t>
      </w:r>
      <w:r>
        <w:rPr>
          <w:rFonts w:ascii="Times New Roman" w:hAnsi="Times New Roman" w:cs="Times New Roman" w:eastAsia="Times New Roman" w:hint="default"/>
          <w:spacing w:val="-5"/>
        </w:rPr>
        <w:t>APP</w:t>
      </w:r>
      <w:r>
        <w:rPr>
          <w:spacing w:val="-5"/>
        </w:rPr>
        <w:t>、</w:t>
      </w:r>
      <w:r>
        <w:rPr>
          <w:spacing w:val="-37"/>
        </w:rPr>
        <w:t> </w:t>
      </w:r>
      <w:r>
        <w:rPr/>
        <w:t>两微、电子杂志一体化的全媒体传播格局；持续做强、做精火鸟财经区块链官方媒体品牌，并积极探索教育、社群、基金、 园区等业务，强化</w:t>
      </w:r>
      <w:r>
        <w:rPr>
          <w:rFonts w:ascii="Times New Roman" w:hAnsi="Times New Roman" w:cs="Times New Roman" w:eastAsia="Times New Roman" w:hint="default"/>
        </w:rPr>
        <w:t>“</w:t>
      </w:r>
      <w:r>
        <w:rPr/>
        <w:t>城市资讯服务商、生活美学探索者</w:t>
      </w:r>
      <w:r>
        <w:rPr>
          <w:rFonts w:ascii="Times New Roman" w:hAnsi="Times New Roman" w:cs="Times New Roman" w:eastAsia="Times New Roman" w:hint="default"/>
        </w:rPr>
        <w:t>”</w:t>
      </w:r>
      <w:r>
        <w:rPr/>
        <w:t>定位。</w:t>
      </w:r>
    </w:p>
    <w:p>
      <w:pPr>
        <w:pStyle w:val="Heading4"/>
        <w:spacing w:line="240" w:lineRule="auto" w:before="18"/>
        <w:ind w:right="0"/>
        <w:jc w:val="left"/>
        <w:rPr>
          <w:b w:val="0"/>
          <w:bCs w:val="0"/>
        </w:rPr>
      </w:pPr>
      <w:r>
        <w:rPr/>
        <w:t>（二）</w:t>
      </w:r>
      <w:r>
        <w:rPr>
          <w:rFonts w:ascii="Times New Roman" w:hAnsi="Times New Roman" w:cs="Times New Roman" w:eastAsia="Times New Roman" w:hint="default"/>
        </w:rPr>
        <w:t>“</w:t>
      </w:r>
      <w:r>
        <w:rPr/>
        <w:t>两翼</w:t>
      </w:r>
      <w:r>
        <w:rPr>
          <w:rFonts w:ascii="Times New Roman" w:hAnsi="Times New Roman" w:cs="Times New Roman" w:eastAsia="Times New Roman" w:hint="default"/>
        </w:rPr>
        <w:t>”</w:t>
      </w:r>
      <w:r>
        <w:rPr/>
        <w:t>快速推进，大力促进文创产业和文化金融的发展。</w:t>
      </w:r>
      <w:r>
        <w:rPr>
          <w:b w:val="0"/>
          <w:bCs w:val="0"/>
        </w:rPr>
      </w:r>
    </w:p>
    <w:p>
      <w:pPr>
        <w:pStyle w:val="Heading4"/>
        <w:spacing w:line="240" w:lineRule="auto" w:before="109"/>
        <w:ind w:right="0"/>
        <w:jc w:val="left"/>
        <w:rPr>
          <w:b w:val="0"/>
          <w:bCs w:val="0"/>
        </w:rPr>
      </w:pPr>
      <w:r>
        <w:rPr>
          <w:rFonts w:ascii="Times New Roman" w:hAnsi="Times New Roman" w:cs="Times New Roman" w:eastAsia="Times New Roman" w:hint="default"/>
        </w:rPr>
        <w:t>1</w:t>
      </w:r>
      <w:r>
        <w:rPr/>
        <w:t>、文创产业包括文化教育平台、文化园区平台、文化会展平台、文化户外平台及文化产权平台。</w:t>
      </w:r>
      <w:r>
        <w:rPr>
          <w:b w:val="0"/>
          <w:bCs w:val="0"/>
        </w:rPr>
      </w:r>
    </w:p>
    <w:p>
      <w:pPr>
        <w:pStyle w:val="Heading4"/>
        <w:spacing w:line="240" w:lineRule="auto" w:before="109"/>
        <w:ind w:right="0"/>
        <w:jc w:val="left"/>
        <w:rPr>
          <w:b w:val="0"/>
          <w:bCs w:val="0"/>
        </w:rPr>
      </w:pPr>
      <w:r>
        <w:rPr/>
        <w:t>（</w:t>
      </w:r>
      <w:r>
        <w:rPr>
          <w:rFonts w:ascii="Times New Roman" w:hAnsi="Times New Roman" w:cs="Times New Roman" w:eastAsia="Times New Roman" w:hint="default"/>
        </w:rPr>
        <w:t>1</w:t>
      </w:r>
      <w:r>
        <w:rPr/>
        <w:t>）文化教育平台。</w:t>
      </w:r>
      <w:r>
        <w:rPr>
          <w:b w:val="0"/>
          <w:bCs w:val="0"/>
        </w:rPr>
      </w:r>
    </w:p>
    <w:p>
      <w:pPr>
        <w:pStyle w:val="BodyText"/>
        <w:spacing w:line="350" w:lineRule="auto" w:before="109"/>
        <w:ind w:right="0" w:firstLine="419"/>
        <w:jc w:val="left"/>
      </w:pPr>
      <w:r>
        <w:rPr>
          <w:rFonts w:ascii="Times New Roman" w:hAnsi="Times New Roman" w:cs="Times New Roman" w:eastAsia="Times New Roman" w:hint="default"/>
        </w:rPr>
        <w:t>2020</w:t>
      </w:r>
      <w:r>
        <w:rPr/>
        <w:t>年，中教未来将积极构建</w:t>
      </w:r>
      <w:r>
        <w:rPr>
          <w:rFonts w:ascii="Times New Roman" w:hAnsi="Times New Roman" w:cs="Times New Roman" w:eastAsia="Times New Roman" w:hint="default"/>
        </w:rPr>
        <w:t>“</w:t>
      </w:r>
      <w:r>
        <w:rPr/>
        <w:t>五大平台</w:t>
      </w:r>
      <w:r>
        <w:rPr>
          <w:rFonts w:ascii="Times New Roman" w:hAnsi="Times New Roman" w:cs="Times New Roman" w:eastAsia="Times New Roman" w:hint="default"/>
        </w:rPr>
        <w:t>”</w:t>
      </w:r>
      <w:r>
        <w:rPr/>
        <w:t>之文化教育平台这一核心任务，在已有的职业、国际、</w:t>
      </w:r>
      <w:r>
        <w:rPr>
          <w:rFonts w:ascii="Times New Roman" w:hAnsi="Times New Roman" w:cs="Times New Roman" w:eastAsia="Times New Roman" w:hint="default"/>
        </w:rPr>
        <w:t>IT</w:t>
      </w:r>
      <w:r>
        <w:rPr/>
        <w:t>、艺术、在线、基</w:t>
      </w:r>
      <w:r>
        <w:rPr>
          <w:spacing w:val="1"/>
        </w:rPr>
        <w:t> </w:t>
      </w:r>
      <w:r>
        <w:rPr>
          <w:spacing w:val="-2"/>
        </w:rPr>
        <w:t>础六大板块业务的基础上，新开拓就业培训业务，打造优秀的教育企业。①职业教育：以</w:t>
      </w:r>
      <w:r>
        <w:rPr>
          <w:rFonts w:ascii="Times New Roman" w:hAnsi="Times New Roman" w:cs="Times New Roman" w:eastAsia="Times New Roman" w:hint="default"/>
          <w:spacing w:val="-2"/>
        </w:rPr>
        <w:t>“</w:t>
      </w:r>
      <w:r>
        <w:rPr>
          <w:spacing w:val="-2"/>
        </w:rPr>
        <w:t>稳步推进、合理布局、强化管理、</w:t>
      </w:r>
      <w:r>
        <w:rPr>
          <w:spacing w:val="-52"/>
        </w:rPr>
        <w:t> </w:t>
      </w:r>
      <w:r>
        <w:rPr>
          <w:spacing w:val="-52"/>
        </w:rPr>
      </w:r>
      <w:r>
        <w:rPr/>
        <w:t>优化教学</w:t>
      </w:r>
      <w:r>
        <w:rPr>
          <w:rFonts w:ascii="Times New Roman" w:hAnsi="Times New Roman" w:cs="Times New Roman" w:eastAsia="Times New Roman" w:hint="default"/>
        </w:rPr>
        <w:t>”</w:t>
      </w:r>
      <w:r>
        <w:rPr/>
        <w:t>为宗旨，重点布局广西、福建、黑龙江、江苏、江西等省市。②国际教育：多平台拓展国际合作业务，以广东、</w:t>
      </w:r>
      <w:r>
        <w:rPr>
          <w:spacing w:val="-77"/>
        </w:rPr>
        <w:t> </w:t>
      </w:r>
      <w:r>
        <w:rPr>
          <w:spacing w:val="-77"/>
        </w:rPr>
      </w:r>
      <w:r>
        <w:rPr>
          <w:spacing w:val="-2"/>
        </w:rPr>
        <w:t>浙江、云南、上海、江苏、湖北、四川等省市为主要布局区域。③</w:t>
      </w:r>
      <w:r>
        <w:rPr>
          <w:rFonts w:ascii="Times New Roman" w:hAnsi="Times New Roman" w:cs="Times New Roman" w:eastAsia="Times New Roman" w:hint="default"/>
          <w:spacing w:val="-2"/>
        </w:rPr>
        <w:t>IT</w:t>
      </w:r>
      <w:r>
        <w:rPr>
          <w:spacing w:val="-2"/>
        </w:rPr>
        <w:t>教育：建立三大产品业务开拓主线，重点布局北京、山</w:t>
      </w:r>
      <w:r>
        <w:rPr>
          <w:spacing w:val="-59"/>
        </w:rPr>
        <w:t> </w:t>
      </w:r>
      <w:r>
        <w:rPr>
          <w:spacing w:val="-59"/>
        </w:rPr>
      </w:r>
      <w:r>
        <w:rPr>
          <w:spacing w:val="-4"/>
        </w:rPr>
        <w:t>西、内蒙古、山东、河南、浙江、重庆、贵州、四川、广西、云南等省市。④在线教育：重点布局广东、陕西、西藏、河南、</w:t>
      </w:r>
      <w:r>
        <w:rPr>
          <w:spacing w:val="-45"/>
        </w:rPr>
        <w:t> </w:t>
      </w:r>
      <w:r>
        <w:rPr>
          <w:spacing w:val="-45"/>
        </w:rPr>
      </w:r>
      <w:r>
        <w:rPr/>
        <w:t>贵州、浙江、安徽、河北、青海等地区。⑤艺术教育：贯彻</w:t>
      </w:r>
      <w:r>
        <w:rPr>
          <w:rFonts w:ascii="Times New Roman" w:hAnsi="Times New Roman" w:cs="Times New Roman" w:eastAsia="Times New Roman" w:hint="default"/>
        </w:rPr>
        <w:t>“</w:t>
      </w:r>
      <w:r>
        <w:rPr/>
        <w:t>追求生源质量、提高运营效率、严格控制规模、着重提升效益</w:t>
      </w:r>
      <w:r>
        <w:rPr>
          <w:rFonts w:ascii="Times New Roman" w:hAnsi="Times New Roman" w:cs="Times New Roman" w:eastAsia="Times New Roman" w:hint="default"/>
        </w:rPr>
        <w:t>” </w:t>
      </w:r>
      <w:r>
        <w:rPr>
          <w:spacing w:val="-2"/>
        </w:rPr>
        <w:t>的运营目标，优化教学内容，提高教学质量。⑥基础教育：着重对现有园所进行管理优化升级和内涵塑造，拓展和丰富教育</w:t>
      </w:r>
      <w:r>
        <w:rPr>
          <w:spacing w:val="-66"/>
        </w:rPr>
        <w:t> </w:t>
      </w:r>
      <w:r>
        <w:rPr>
          <w:spacing w:val="-66"/>
        </w:rPr>
      </w:r>
      <w:r>
        <w:rPr>
          <w:spacing w:val="-4"/>
        </w:rPr>
        <w:t>教学内容。⑦就业培训：拓展和创新传统文化与道德素养教育业务，与大学生就业培训、青少年成长培训、企业新员工培训、</w:t>
      </w:r>
    </w:p>
    <w:p>
      <w:pPr>
        <w:spacing w:after="0" w:line="350" w:lineRule="auto"/>
        <w:jc w:val="left"/>
        <w:sectPr>
          <w:pgSz w:w="11910" w:h="16840"/>
          <w:pgMar w:header="747" w:footer="982" w:top="1060" w:bottom="1180" w:left="980" w:right="0"/>
        </w:sectPr>
      </w:pPr>
    </w:p>
    <w:p>
      <w:pPr>
        <w:spacing w:line="240" w:lineRule="auto" w:before="8"/>
        <w:rPr>
          <w:rFonts w:ascii="宋体" w:hAnsi="宋体" w:cs="宋体" w:eastAsia="宋体" w:hint="default"/>
          <w:sz w:val="27"/>
          <w:szCs w:val="27"/>
        </w:rPr>
      </w:pPr>
    </w:p>
    <w:p>
      <w:pPr>
        <w:pStyle w:val="BodyText"/>
        <w:spacing w:line="364" w:lineRule="auto" w:before="44"/>
        <w:ind w:left="573" w:right="0" w:hanging="420"/>
        <w:jc w:val="left"/>
      </w:pPr>
      <w:r>
        <w:rPr/>
        <w:t>企业内训等结合，形成新型就业培训模式和新的业务板块。 华媒优培将继续以学前教育为主轴优化公司项目结构，重点推进江干园项目建设，加快推进和睦托育中心项目建设，</w:t>
      </w:r>
    </w:p>
    <w:p>
      <w:pPr>
        <w:pStyle w:val="BodyText"/>
        <w:spacing w:line="364" w:lineRule="auto" w:before="29"/>
        <w:ind w:left="153" w:right="0"/>
        <w:jc w:val="left"/>
      </w:pPr>
      <w:r>
        <w:rPr>
          <w:spacing w:val="-2"/>
        </w:rPr>
        <w:t>持续开发托育、培训两端市场，逐步探索集团化运营模式。持续发掘公司教育教学服务内涵与特色，完善自有教养体系，做</w:t>
      </w:r>
      <w:r>
        <w:rPr>
          <w:spacing w:val="-66"/>
        </w:rPr>
        <w:t> </w:t>
      </w:r>
      <w:r>
        <w:rPr>
          <w:spacing w:val="-66"/>
        </w:rPr>
      </w:r>
      <w:r>
        <w:rPr/>
        <w:t>好</w:t>
      </w:r>
      <w:r>
        <w:rPr>
          <w:rFonts w:ascii="Times New Roman" w:hAnsi="Times New Roman" w:cs="Times New Roman" w:eastAsia="Times New Roman" w:hint="default"/>
        </w:rPr>
        <w:t>IB—PYP</w:t>
      </w:r>
      <w:r>
        <w:rPr/>
        <w:t>课程研发、师资培养、家园协同、智慧校园上线等工作，并积极筹备园区等级认定。</w:t>
      </w:r>
    </w:p>
    <w:p>
      <w:pPr>
        <w:pStyle w:val="BodyText"/>
        <w:spacing w:line="345" w:lineRule="auto" w:before="6"/>
        <w:ind w:right="1127" w:firstLine="420"/>
        <w:jc w:val="both"/>
      </w:pPr>
      <w:r>
        <w:rPr/>
        <w:t>少年学报将主要围绕</w:t>
      </w:r>
      <w:r>
        <w:rPr>
          <w:rFonts w:ascii="Times New Roman" w:hAnsi="Times New Roman" w:cs="Times New Roman" w:eastAsia="Times New Roman" w:hint="default"/>
        </w:rPr>
        <w:t>“</w:t>
      </w:r>
      <w:r>
        <w:rPr/>
        <w:t>一条赛道、一个矩阵、一台好戏、一个圈层、一条产品线</w:t>
      </w:r>
      <w:r>
        <w:rPr>
          <w:rFonts w:ascii="Times New Roman" w:hAnsi="Times New Roman" w:cs="Times New Roman" w:eastAsia="Times New Roman" w:hint="default"/>
        </w:rPr>
        <w:t>”</w:t>
      </w:r>
      <w:r>
        <w:rPr/>
        <w:t>五个一开展工作，继续优化、提升、</w:t>
      </w:r>
      <w:r>
        <w:rPr>
          <w:spacing w:val="1"/>
        </w:rPr>
        <w:t> </w:t>
      </w:r>
      <w:r>
        <w:rPr/>
        <w:t>赋能现有平台。</w:t>
      </w:r>
    </w:p>
    <w:p>
      <w:pPr>
        <w:pStyle w:val="Heading4"/>
        <w:spacing w:line="240" w:lineRule="auto" w:before="44"/>
        <w:ind w:right="0"/>
        <w:jc w:val="left"/>
        <w:rPr>
          <w:b w:val="0"/>
          <w:bCs w:val="0"/>
        </w:rPr>
      </w:pPr>
      <w:r>
        <w:rPr/>
        <w:t>（</w:t>
      </w:r>
      <w:r>
        <w:rPr>
          <w:rFonts w:ascii="Times New Roman" w:hAnsi="Times New Roman" w:cs="Times New Roman" w:eastAsia="Times New Roman" w:hint="default"/>
        </w:rPr>
        <w:t>2</w:t>
      </w:r>
      <w:r>
        <w:rPr/>
        <w:t>）文化园区平台。</w:t>
      </w:r>
      <w:r>
        <w:rPr>
          <w:b w:val="0"/>
          <w:bCs w:val="0"/>
        </w:rPr>
      </w:r>
    </w:p>
    <w:p>
      <w:pPr>
        <w:pStyle w:val="BodyText"/>
        <w:spacing w:line="350" w:lineRule="auto" w:before="109"/>
        <w:ind w:right="1126" w:firstLine="420"/>
        <w:jc w:val="both"/>
      </w:pPr>
      <w:r>
        <w:rPr/>
        <w:t>①华媒智谷赋能优质企业和创业团队，筑巢引凤，旨在打造省内一流，以数字经济、区块链技术和文创科技为特色，</w:t>
      </w:r>
      <w:r>
        <w:rPr>
          <w:spacing w:val="1"/>
        </w:rPr>
        <w:t> </w:t>
      </w:r>
      <w:r>
        <w:rPr>
          <w:spacing w:val="-2"/>
        </w:rPr>
        <w:t>全要素、生态型的国有园区综合体运营平台。重点优化智谷一期产业结构，加快打造自主运营众创空间</w:t>
      </w:r>
      <w:r>
        <w:rPr>
          <w:rFonts w:ascii="Times New Roman" w:hAnsi="Times New Roman" w:cs="Times New Roman" w:eastAsia="Times New Roman" w:hint="default"/>
          <w:spacing w:val="-2"/>
        </w:rPr>
        <w:t>“</w:t>
      </w:r>
      <w:r>
        <w:rPr>
          <w:spacing w:val="-2"/>
        </w:rPr>
        <w:t>筑谷寺</w:t>
      </w:r>
      <w:r>
        <w:rPr>
          <w:rFonts w:ascii="Times New Roman" w:hAnsi="Times New Roman" w:cs="Times New Roman" w:eastAsia="Times New Roman" w:hint="default"/>
          <w:spacing w:val="-2"/>
        </w:rPr>
        <w:t>”</w:t>
      </w:r>
      <w:r>
        <w:rPr>
          <w:spacing w:val="-2"/>
        </w:rPr>
        <w:t>；平稳推进</w:t>
      </w:r>
      <w:r>
        <w:rPr>
          <w:spacing w:val="-44"/>
        </w:rPr>
        <w:t> </w:t>
      </w:r>
      <w:r>
        <w:rPr>
          <w:spacing w:val="-44"/>
        </w:rPr>
      </w:r>
      <w:r>
        <w:rPr/>
        <w:t>和调整华媒科创园；加快改造华媒数创园外立面，提高去化率；推进华媒智谷二期主体结顶，启动招商。助力打造</w:t>
      </w:r>
      <w:r>
        <w:rPr>
          <w:rFonts w:ascii="Times New Roman" w:hAnsi="Times New Roman" w:cs="Times New Roman" w:eastAsia="Times New Roman" w:hint="default"/>
        </w:rPr>
        <w:t>“</w:t>
      </w:r>
      <w:r>
        <w:rPr/>
        <w:t>数字经</w:t>
      </w:r>
      <w:r>
        <w:rPr>
          <w:spacing w:val="-78"/>
        </w:rPr>
        <w:t> </w:t>
      </w:r>
      <w:r>
        <w:rPr>
          <w:spacing w:val="-78"/>
        </w:rPr>
      </w:r>
      <w:r>
        <w:rPr/>
        <w:t>济第一城</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区块链之都</w:t>
      </w:r>
      <w:r>
        <w:rPr>
          <w:rFonts w:ascii="Times New Roman" w:hAnsi="Times New Roman" w:cs="Times New Roman" w:eastAsia="Times New Roman" w:hint="default"/>
        </w:rPr>
        <w:t>”</w:t>
      </w:r>
      <w:r>
        <w:rPr/>
        <w:t>。②稳步推进大江东项目施工建设工作。③抓紧九堡项目土地调整方案设计和项目产业规划论证</w:t>
      </w:r>
      <w:r>
        <w:rPr>
          <w:spacing w:val="-58"/>
        </w:rPr>
        <w:t> </w:t>
      </w:r>
      <w:r>
        <w:rPr>
          <w:spacing w:val="-58"/>
        </w:rPr>
      </w:r>
      <w:r>
        <w:rPr/>
        <w:t>工作，注重研究把握最新用地政策。</w:t>
      </w:r>
    </w:p>
    <w:p>
      <w:pPr>
        <w:pStyle w:val="BodyText"/>
        <w:spacing w:line="345" w:lineRule="auto" w:before="40"/>
        <w:ind w:left="574"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）文化会展平台</w:t>
      </w:r>
      <w:r>
        <w:rPr>
          <w:rFonts w:ascii="宋体" w:hAnsi="宋体" w:cs="宋体" w:eastAsia="宋体" w:hint="default"/>
          <w:b/>
          <w:bCs/>
          <w:w w:val="99"/>
        </w:rPr>
        <w:t> </w:t>
      </w:r>
      <w:r>
        <w:rPr>
          <w:spacing w:val="-1"/>
        </w:rPr>
        <w:t>探索实践</w:t>
      </w:r>
      <w:r>
        <w:rPr>
          <w:rFonts w:ascii="Times New Roman" w:hAnsi="Times New Roman" w:cs="Times New Roman" w:eastAsia="Times New Roman" w:hint="default"/>
          <w:spacing w:val="-1"/>
        </w:rPr>
        <w:t>“</w:t>
      </w:r>
      <w:r>
        <w:rPr>
          <w:spacing w:val="-1"/>
        </w:rPr>
        <w:t>媒体</w:t>
      </w:r>
      <w:r>
        <w:rPr>
          <w:rFonts w:ascii="Times New Roman" w:hAnsi="Times New Roman" w:cs="Times New Roman" w:eastAsia="Times New Roman" w:hint="default"/>
          <w:spacing w:val="-1"/>
        </w:rPr>
        <w:t>+</w:t>
      </w:r>
      <w:r>
        <w:rPr>
          <w:spacing w:val="-1"/>
        </w:rPr>
        <w:t>会展</w:t>
      </w:r>
      <w:r>
        <w:rPr>
          <w:rFonts w:ascii="Times New Roman" w:hAnsi="Times New Roman" w:cs="Times New Roman" w:eastAsia="Times New Roman" w:hint="default"/>
          <w:spacing w:val="-1"/>
        </w:rPr>
        <w:t>”</w:t>
      </w:r>
      <w:r>
        <w:rPr>
          <w:spacing w:val="-1"/>
        </w:rPr>
        <w:t>模式落地，聚焦未来生活节、国际数字教育展、区块链峰会等品牌会展，大力培育会展</w:t>
      </w:r>
      <w:r>
        <w:rPr>
          <w:rFonts w:ascii="Times New Roman" w:hAnsi="Times New Roman" w:cs="Times New Roman" w:eastAsia="Times New Roman" w:hint="default"/>
          <w:spacing w:val="-1"/>
        </w:rPr>
        <w:t>IP</w:t>
      </w:r>
      <w:r>
        <w:rPr>
          <w:spacing w:val="-1"/>
        </w:rPr>
        <w:t>；继续</w:t>
      </w:r>
    </w:p>
    <w:p>
      <w:pPr>
        <w:pStyle w:val="BodyText"/>
        <w:spacing w:line="345" w:lineRule="auto" w:before="22"/>
        <w:ind w:right="0"/>
        <w:jc w:val="left"/>
      </w:pPr>
      <w:r>
        <w:rPr>
          <w:spacing w:val="-2"/>
        </w:rPr>
        <w:t>发挥公司会展品牌优势，积极争取新的会展项目；积极发挥公司会展各方面协同作用，全面提升会展平台</w:t>
      </w:r>
      <w:r>
        <w:rPr>
          <w:rFonts w:ascii="Times New Roman" w:hAnsi="Times New Roman" w:cs="Times New Roman" w:eastAsia="Times New Roman" w:hint="default"/>
          <w:spacing w:val="-2"/>
        </w:rPr>
        <w:t>“</w:t>
      </w:r>
      <w:r>
        <w:rPr>
          <w:spacing w:val="-2"/>
        </w:rPr>
        <w:t>专业化、品牌化、</w:t>
      </w:r>
      <w:r>
        <w:rPr>
          <w:spacing w:val="-52"/>
        </w:rPr>
        <w:t> </w:t>
      </w:r>
      <w:r>
        <w:rPr>
          <w:spacing w:val="-52"/>
        </w:rPr>
      </w:r>
      <w:r>
        <w:rPr/>
        <w:t>产业化</w:t>
      </w:r>
      <w:r>
        <w:rPr>
          <w:rFonts w:ascii="Times New Roman" w:hAnsi="Times New Roman" w:cs="Times New Roman" w:eastAsia="Times New Roman" w:hint="default"/>
        </w:rPr>
        <w:t>”</w:t>
      </w:r>
      <w:r>
        <w:rPr/>
        <w:t>水平。</w:t>
      </w:r>
    </w:p>
    <w:p>
      <w:pPr>
        <w:pStyle w:val="BodyText"/>
        <w:spacing w:line="345" w:lineRule="auto" w:before="22"/>
        <w:ind w:left="574" w:right="0"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）文化户外平台。</w:t>
      </w:r>
      <w:r>
        <w:rPr>
          <w:rFonts w:ascii="宋体" w:hAnsi="宋体" w:cs="宋体" w:eastAsia="宋体" w:hint="default"/>
          <w:b/>
          <w:bCs/>
          <w:spacing w:val="1"/>
          <w:w w:val="99"/>
        </w:rPr>
        <w:t> </w:t>
      </w:r>
      <w:r>
        <w:rPr>
          <w:spacing w:val="-1"/>
        </w:rPr>
        <w:t>风盛传媒将继续践行</w:t>
      </w:r>
      <w:r>
        <w:rPr>
          <w:rFonts w:ascii="Times New Roman" w:hAnsi="Times New Roman" w:cs="Times New Roman" w:eastAsia="Times New Roman" w:hint="default"/>
          <w:spacing w:val="-1"/>
        </w:rPr>
        <w:t>“</w:t>
      </w:r>
      <w:r>
        <w:rPr>
          <w:spacing w:val="-1"/>
        </w:rPr>
        <w:t>匠心辉映城市，服务万千品牌</w:t>
      </w:r>
      <w:r>
        <w:rPr>
          <w:rFonts w:ascii="Times New Roman" w:hAnsi="Times New Roman" w:cs="Times New Roman" w:eastAsia="Times New Roman" w:hint="default"/>
          <w:spacing w:val="-1"/>
        </w:rPr>
        <w:t>”</w:t>
      </w:r>
      <w:r>
        <w:rPr>
          <w:spacing w:val="-1"/>
        </w:rPr>
        <w:t>的经营理念，在立足本地的同时，稳步推进全国化布局，坚持</w:t>
      </w:r>
      <w:r>
        <w:rPr>
          <w:rFonts w:ascii="Times New Roman" w:hAnsi="Times New Roman" w:cs="Times New Roman" w:eastAsia="Times New Roman" w:hint="default"/>
          <w:spacing w:val="-1"/>
        </w:rPr>
        <w:t>“</w:t>
      </w:r>
      <w:r>
        <w:rPr>
          <w:spacing w:val="-1"/>
        </w:rPr>
        <w:t>户</w:t>
      </w:r>
    </w:p>
    <w:p>
      <w:pPr>
        <w:pStyle w:val="BodyText"/>
        <w:spacing w:line="240" w:lineRule="auto" w:before="22"/>
        <w:ind w:right="0"/>
        <w:jc w:val="both"/>
      </w:pPr>
      <w:r>
        <w:rPr/>
        <w:t>外</w:t>
      </w:r>
      <w:r>
        <w:rPr>
          <w:rFonts w:ascii="Times New Roman" w:hAnsi="Times New Roman" w:cs="Times New Roman" w:eastAsia="Times New Roman" w:hint="default"/>
        </w:rPr>
        <w:t>+</w:t>
      </w:r>
      <w:r>
        <w:rPr/>
        <w:t>艺术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户外</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发展为方向，形成独具特色的户外广告运营模式。</w:t>
      </w:r>
    </w:p>
    <w:p>
      <w:pPr>
        <w:pStyle w:val="BodyText"/>
        <w:spacing w:line="345" w:lineRule="auto" w:before="109"/>
        <w:ind w:left="574" w:right="0"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）文化产权平台</w:t>
      </w:r>
      <w:r>
        <w:rPr>
          <w:rFonts w:ascii="宋体" w:hAnsi="宋体" w:cs="宋体" w:eastAsia="宋体" w:hint="default"/>
          <w:b/>
          <w:bCs/>
          <w:w w:val="99"/>
        </w:rPr>
        <w:t> </w:t>
      </w:r>
      <w:r>
        <w:rPr/>
        <w:t>作为第三方交易平台，杭州文交所致力于为国有、非国有企业提供资产转让、处置交易服务及产权交易的扩面增量工</w:t>
      </w:r>
    </w:p>
    <w:p>
      <w:pPr>
        <w:pStyle w:val="BodyText"/>
        <w:spacing w:line="364" w:lineRule="auto" w:before="44"/>
        <w:ind w:right="1129"/>
        <w:jc w:val="both"/>
      </w:pPr>
      <w:r>
        <w:rPr>
          <w:spacing w:val="-2"/>
        </w:rPr>
        <w:t>作。通过加强与阿里资产服务平台的合作，将公司业务范围扩展到全国，服务内容基本涵盖产权交易的全部类型，服务对象</w:t>
      </w:r>
      <w:r>
        <w:rPr>
          <w:spacing w:val="-66"/>
        </w:rPr>
        <w:t> </w:t>
      </w:r>
      <w:r>
        <w:rPr>
          <w:spacing w:val="-66"/>
        </w:rPr>
      </w:r>
      <w:r>
        <w:rPr>
          <w:spacing w:val="-2"/>
        </w:rPr>
        <w:t>从国有到非国有，从公司到个人都涉及。同时，进一步加强与市外、省外服务机构的合作。华泰一媒将抓住因疫情带来的数</w:t>
      </w:r>
      <w:r>
        <w:rPr>
          <w:spacing w:val="-66"/>
        </w:rPr>
        <w:t> </w:t>
      </w:r>
      <w:r>
        <w:rPr>
          <w:spacing w:val="-66"/>
        </w:rPr>
      </w:r>
      <w:r>
        <w:rPr/>
        <w:t>字存证机遇，继续深耕区块链存证领域，由版权存证向多领域拓展。</w:t>
      </w:r>
    </w:p>
    <w:p>
      <w:pPr>
        <w:pStyle w:val="BodyText"/>
        <w:spacing w:line="355" w:lineRule="auto" w:before="29"/>
        <w:ind w:right="1129" w:firstLine="422"/>
        <w:jc w:val="both"/>
      </w:pPr>
      <w:r>
        <w:rPr>
          <w:rFonts w:ascii="Times New Roman" w:hAnsi="Times New Roman" w:cs="Times New Roman" w:eastAsia="Times New Roman" w:hint="default"/>
          <w:b/>
          <w:bCs/>
          <w:spacing w:val="-2"/>
        </w:rPr>
        <w:t>2</w:t>
      </w:r>
      <w:r>
        <w:rPr>
          <w:rFonts w:ascii="宋体" w:hAnsi="宋体" w:cs="宋体" w:eastAsia="宋体" w:hint="default"/>
          <w:b/>
          <w:bCs/>
          <w:spacing w:val="-2"/>
        </w:rPr>
        <w:t>、文化金融：</w:t>
      </w:r>
      <w:r>
        <w:rPr>
          <w:spacing w:val="-2"/>
        </w:rPr>
        <w:t>运用多种资本工具，创造、提升公司内在价值，实现公司市值与内在价值的动态均衡；充分发挥资金融</w:t>
      </w:r>
      <w:r>
        <w:rPr/>
        <w:t> </w:t>
      </w:r>
      <w:r>
        <w:rPr>
          <w:spacing w:val="-2"/>
        </w:rPr>
        <w:t>通功能，合理安排资本结构；提升投资板块专业化、市场化、社会化程度，形成长短结合、稳健有序的投资体系；推进和拓</w:t>
      </w:r>
      <w:r>
        <w:rPr>
          <w:spacing w:val="-65"/>
        </w:rPr>
        <w:t> </w:t>
      </w:r>
      <w:r>
        <w:rPr>
          <w:spacing w:val="-65"/>
        </w:rPr>
      </w:r>
      <w:r>
        <w:rPr/>
        <w:t>展与头部平台战略合作，建好上市公司促进会平台，助力产业转型升级，实现文化金融板块做大做强。</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pStyle w:val="BodyText"/>
        <w:spacing w:line="240" w:lineRule="auto" w:before="8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3"/>
        <w:gridCol w:w="992"/>
        <w:gridCol w:w="852"/>
        <w:gridCol w:w="565"/>
        <w:gridCol w:w="5316"/>
      </w:tblGrid>
      <w:tr>
        <w:trPr>
          <w:trHeight w:val="250"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2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31" w:lineRule="exact"/>
              <w:ind w:right="1"/>
              <w:jc w:val="center"/>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w:t>
              </w:r>
              <w:r>
                <w:rPr>
                  <w:rFonts w:ascii="Times New Roman" w:hAnsi="Times New Roman" w:cs="Times New Roman" w:eastAsia="Times New Roman" w:hint="default"/>
                  <w:spacing w:val="-2"/>
                  <w:sz w:val="18"/>
                  <w:szCs w:val="18"/>
                </w:rPr>
                <w:t>f</w:t>
              </w:r>
              <w:r>
                <w:rPr>
                  <w:rFonts w:ascii="Times New Roman" w:hAnsi="Times New Roman" w:cs="Times New Roman" w:eastAsia="Times New Roman" w:hint="default"/>
                  <w:sz w:val="18"/>
                  <w:szCs w:val="18"/>
                </w:rPr>
                <w:t>o.com.c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88"/>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投资者关系活动记录表</w:t>
            </w:r>
          </w:p>
        </w:tc>
      </w:tr>
      <w:tr>
        <w:trPr>
          <w:trHeight w:val="25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32" w:lineRule="exact"/>
              <w:ind w:right="1"/>
              <w:jc w:val="center"/>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w:t>
              </w:r>
              <w:r>
                <w:rPr>
                  <w:rFonts w:ascii="Times New Roman" w:hAnsi="Times New Roman" w:cs="Times New Roman" w:eastAsia="Times New Roman" w:hint="default"/>
                  <w:spacing w:val="-2"/>
                  <w:sz w:val="18"/>
                  <w:szCs w:val="18"/>
                </w:rPr>
                <w:t>f</w:t>
              </w:r>
              <w:r>
                <w:rPr>
                  <w:rFonts w:ascii="Times New Roman" w:hAnsi="Times New Roman" w:cs="Times New Roman" w:eastAsia="Times New Roman" w:hint="default"/>
                  <w:sz w:val="18"/>
                  <w:szCs w:val="18"/>
                </w:rPr>
                <w:t>o.com.c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88"/>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投资者关系活动记录表</w:t>
            </w:r>
          </w:p>
        </w:tc>
      </w:tr>
      <w:tr>
        <w:trPr>
          <w:trHeight w:val="2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31" w:lineRule="exact"/>
              <w:ind w:right="1"/>
              <w:jc w:val="center"/>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w:t>
              </w:r>
              <w:r>
                <w:rPr>
                  <w:rFonts w:ascii="Times New Roman" w:hAnsi="Times New Roman" w:cs="Times New Roman" w:eastAsia="Times New Roman" w:hint="default"/>
                  <w:spacing w:val="-2"/>
                  <w:sz w:val="18"/>
                  <w:szCs w:val="18"/>
                </w:rPr>
                <w:t>f</w:t>
              </w:r>
              <w:r>
                <w:rPr>
                  <w:rFonts w:ascii="Times New Roman" w:hAnsi="Times New Roman" w:cs="Times New Roman" w:eastAsia="Times New Roman" w:hint="default"/>
                  <w:sz w:val="18"/>
                  <w:szCs w:val="18"/>
                </w:rPr>
                <w:t>o.com.c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88"/>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投资者关系活动记录表</w:t>
            </w:r>
          </w:p>
        </w:tc>
      </w:tr>
      <w:tr>
        <w:trPr>
          <w:trHeight w:val="250" w:hRule="exact"/>
        </w:trPr>
        <w:tc>
          <w:tcPr>
            <w:tcW w:w="36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81"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w:t>
            </w:r>
          </w:p>
        </w:tc>
      </w:tr>
      <w:tr>
        <w:trPr>
          <w:trHeight w:val="251" w:hRule="exact"/>
        </w:trPr>
        <w:tc>
          <w:tcPr>
            <w:tcW w:w="36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81"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8</w:t>
            </w:r>
          </w:p>
        </w:tc>
      </w:tr>
      <w:tr>
        <w:trPr>
          <w:trHeight w:val="250" w:hRule="exact"/>
        </w:trPr>
        <w:tc>
          <w:tcPr>
            <w:tcW w:w="36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81"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36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81"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36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81" w:type="dxa"/>
            <w:gridSpan w:val="2"/>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18" w:lineRule="exact"/>
              <w:ind w:left="4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18" w:lineRule="exact"/>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99"/>
        <w:jc w:val="center"/>
        <w:rPr>
          <w:b w:val="0"/>
          <w:bCs w:val="0"/>
        </w:rPr>
      </w:pPr>
      <w:bookmarkStart w:name="_TOC_250008" w:id="5"/>
      <w:r>
        <w:rPr/>
        <w:t>第五节重要事项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4" w:right="11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公司利润分配政策的执行情况，符合《公司章程》的规定和股东大会决议的要求，分红标准和比例明确且清晰，相关的</w:t>
      </w:r>
    </w:p>
    <w:p>
      <w:pPr>
        <w:pStyle w:val="BodyText"/>
        <w:spacing w:line="316" w:lineRule="auto" w:before="2"/>
        <w:ind w:right="0"/>
        <w:jc w:val="left"/>
      </w:pPr>
      <w:r>
        <w:rPr>
          <w:spacing w:val="-2"/>
        </w:rPr>
        <w:t>决策程序和机制完备，独立董事尽职履责并发挥了应有的作用，股东大会和日常投资者接待为中小股东提供了充分表达意见</w:t>
      </w:r>
      <w:r>
        <w:rPr>
          <w:spacing w:val="-64"/>
        </w:rPr>
        <w:t> </w:t>
      </w:r>
      <w:r>
        <w:rPr>
          <w:spacing w:val="-64"/>
        </w:rPr>
      </w:r>
      <w:r>
        <w:rPr/>
        <w:t>和诉求的机会，中小股东的合法权益得到充分维护。</w:t>
      </w:r>
    </w:p>
    <w:tbl>
      <w:tblPr>
        <w:tblW w:w="0" w:type="auto"/>
        <w:jc w:val="left"/>
        <w:tblInd w:w="160" w:type="dxa"/>
        <w:tblLayout w:type="fixed"/>
        <w:tblCellMar>
          <w:top w:w="0" w:type="dxa"/>
          <w:left w:w="0" w:type="dxa"/>
          <w:bottom w:w="0" w:type="dxa"/>
          <w:right w:w="0" w:type="dxa"/>
        </w:tblCellMar>
        <w:tblLook w:val="01E0"/>
      </w:tblPr>
      <w:tblGrid>
        <w:gridCol w:w="6498"/>
        <w:gridCol w:w="3058"/>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9"/>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29" w:firstLine="360"/>
        <w:jc w:val="both"/>
      </w:pPr>
      <w:r>
        <w:rPr>
          <w:rFonts w:ascii="Times New Roman" w:hAnsi="Times New Roman" w:cs="Times New Roman" w:eastAsia="Times New Roman" w:hint="default"/>
          <w:spacing w:val="-6"/>
        </w:rPr>
        <w:t>2017</w:t>
      </w:r>
      <w:r>
        <w:rPr>
          <w:spacing w:val="-6"/>
        </w:rPr>
        <w:t>年，根据公司实际经营情况及《公司章程》的规定，</w:t>
      </w:r>
      <w:r>
        <w:rPr>
          <w:rFonts w:ascii="Times New Roman" w:hAnsi="Times New Roman" w:cs="Times New Roman" w:eastAsia="Times New Roman" w:hint="default"/>
          <w:spacing w:val="-6"/>
        </w:rPr>
        <w:t>2017</w:t>
      </w:r>
      <w:r>
        <w:rPr>
          <w:spacing w:val="-6"/>
        </w:rPr>
        <w:t>年度利润分配预案为：以</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w:t>
      </w:r>
      <w:r>
        <w:rPr>
          <w:rFonts w:ascii="Times New Roman" w:hAnsi="Times New Roman" w:cs="Times New Roman" w:eastAsia="Times New Roman" w:hint="default"/>
          <w:spacing w:val="-6"/>
        </w:rPr>
        <w:t>1,017,698,410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元（含税），不送红股，不以公积金转增股本，总计派发现金红利</w:t>
      </w:r>
      <w:r>
        <w:rPr>
          <w:rFonts w:ascii="Times New Roman" w:hAnsi="Times New Roman" w:cs="Times New Roman" w:eastAsia="Times New Roman" w:hint="default"/>
        </w:rPr>
        <w:t>15,265,476.15</w:t>
      </w:r>
      <w:r>
        <w:rPr/>
        <w:t>元（含 税）。</w:t>
      </w:r>
    </w:p>
    <w:p>
      <w:pPr>
        <w:pStyle w:val="BodyText"/>
        <w:spacing w:line="300" w:lineRule="auto" w:before="31"/>
        <w:ind w:right="1129" w:firstLine="360"/>
        <w:jc w:val="both"/>
      </w:pPr>
      <w:r>
        <w:rPr>
          <w:rFonts w:ascii="Times New Roman" w:hAnsi="Times New Roman" w:cs="Times New Roman" w:eastAsia="Times New Roman" w:hint="default"/>
          <w:spacing w:val="-6"/>
        </w:rPr>
        <w:t>2018</w:t>
      </w:r>
      <w:r>
        <w:rPr>
          <w:spacing w:val="-6"/>
        </w:rPr>
        <w:t>年，根据公司实际经营情况及《公司章程》的规定，</w:t>
      </w:r>
      <w:r>
        <w:rPr>
          <w:rFonts w:ascii="Times New Roman" w:hAnsi="Times New Roman" w:cs="Times New Roman" w:eastAsia="Times New Roman" w:hint="default"/>
          <w:spacing w:val="-6"/>
        </w:rPr>
        <w:t>2018</w:t>
      </w:r>
      <w:r>
        <w:rPr>
          <w:spacing w:val="-6"/>
        </w:rPr>
        <w:t>年度利润分配预案为：以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w:t>
      </w:r>
      <w:r>
        <w:rPr>
          <w:rFonts w:ascii="Times New Roman" w:hAnsi="Times New Roman" w:cs="Times New Roman" w:eastAsia="Times New Roman" w:hint="default"/>
          <w:spacing w:val="-6"/>
        </w:rPr>
        <w:t>1,017,698,410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0.11</w:t>
      </w:r>
      <w:r>
        <w:rPr/>
        <w:t>元（含税），不送红股，不以公积金转增股本，总计派发现金红利</w:t>
      </w:r>
      <w:r>
        <w:rPr>
          <w:rFonts w:ascii="Times New Roman" w:hAnsi="Times New Roman" w:cs="Times New Roman" w:eastAsia="Times New Roman" w:hint="default"/>
        </w:rPr>
        <w:t>11,194,682.51</w:t>
      </w:r>
      <w:r>
        <w:rPr/>
        <w:t>元（含 税）。</w:t>
      </w:r>
    </w:p>
    <w:p>
      <w:pPr>
        <w:pStyle w:val="BodyText"/>
        <w:spacing w:line="300" w:lineRule="auto" w:before="31"/>
        <w:ind w:right="1131" w:firstLine="360"/>
        <w:jc w:val="both"/>
      </w:pPr>
      <w:r>
        <w:rPr>
          <w:rFonts w:ascii="Times New Roman" w:hAnsi="Times New Roman" w:cs="Times New Roman" w:eastAsia="Times New Roman" w:hint="default"/>
          <w:spacing w:val="-2"/>
        </w:rPr>
        <w:t>2019</w:t>
      </w:r>
      <w:r>
        <w:rPr>
          <w:spacing w:val="-2"/>
        </w:rPr>
        <w:t>年，由于实现的可供分配利润较少，为满足日常经营、在建工程等资金需求，保障偿债能力，根据公司实际经营情</w:t>
      </w:r>
      <w:r>
        <w:rPr/>
        <w:t> 况及《公司章程》的规定，</w:t>
      </w:r>
      <w:r>
        <w:rPr>
          <w:rFonts w:ascii="Times New Roman" w:hAnsi="Times New Roman" w:cs="Times New Roman" w:eastAsia="Times New Roman" w:hint="default"/>
        </w:rPr>
        <w:t>2019</w:t>
      </w:r>
      <w:r>
        <w:rPr/>
        <w:t>年度拟不进行利润分配。</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206"/>
        <w:gridCol w:w="1184"/>
        <w:gridCol w:w="1184"/>
        <w:gridCol w:w="1219"/>
        <w:gridCol w:w="1173"/>
        <w:gridCol w:w="1219"/>
        <w:gridCol w:w="1172"/>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3D3D3"/>
          </w:tcPr>
          <w:p>
            <w:pPr/>
          </w:p>
        </w:tc>
        <w:tc>
          <w:tcPr>
            <w:tcW w:w="1206" w:type="dxa"/>
            <w:vMerge w:val="restart"/>
            <w:tcBorders>
              <w:top w:val="single" w:sz="4" w:space="0" w:color="000000"/>
              <w:left w:val="single" w:sz="4" w:space="0" w:color="000000"/>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
        </w:tc>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2" w:right="4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19" w:type="dxa"/>
            <w:vMerge/>
            <w:tcBorders>
              <w:left w:val="single" w:sz="4" w:space="0" w:color="000000"/>
              <w:right w:val="single" w:sz="4" w:space="0" w:color="000000"/>
            </w:tcBorders>
            <w:shd w:val="clear" w:color="auto" w:fill="D3D3D3"/>
          </w:tcPr>
          <w:p>
            <w:pPr/>
          </w:p>
        </w:tc>
        <w:tc>
          <w:tcPr>
            <w:tcW w:w="117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1"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1"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6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3D3D3"/>
          </w:tcPr>
          <w:p>
            <w:pPr/>
          </w:p>
        </w:tc>
        <w:tc>
          <w:tcPr>
            <w:tcW w:w="12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1"/>
              <w:jc w:val="center"/>
              <w:rPr>
                <w:rFonts w:ascii="宋体" w:hAnsi="宋体" w:cs="宋体" w:eastAsia="宋体" w:hint="default"/>
                <w:sz w:val="18"/>
                <w:szCs w:val="18"/>
              </w:rPr>
            </w:pPr>
            <w:r>
              <w:rPr>
                <w:rFonts w:ascii="宋体" w:hAnsi="宋体" w:cs="宋体" w:eastAsia="宋体" w:hint="default"/>
                <w:sz w:val="18"/>
                <w:szCs w:val="18"/>
              </w:rPr>
              <w:t>（含税）</w:t>
            </w: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6"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3D3D3"/>
          </w:tcPr>
          <w:p>
            <w:pPr/>
          </w:p>
        </w:tc>
        <w:tc>
          <w:tcPr>
            <w:tcW w:w="1206"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8" w:type="dxa"/>
            <w:vMerge/>
            <w:tcBorders>
              <w:left w:val="single" w:sz="4" w:space="0" w:color="000000"/>
              <w:right w:val="single" w:sz="4" w:space="0" w:color="000000"/>
            </w:tcBorders>
            <w:shd w:val="clear" w:color="auto" w:fill="D3D3D3"/>
          </w:tcPr>
          <w:p>
            <w:pPr/>
          </w:p>
        </w:tc>
        <w:tc>
          <w:tcPr>
            <w:tcW w:w="1206" w:type="dxa"/>
            <w:vMerge/>
            <w:tcBorders>
              <w:left w:val="single" w:sz="4" w:space="0" w:color="000000"/>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3D3D3"/>
          </w:tcPr>
          <w:p>
            <w:pPr/>
          </w:p>
        </w:tc>
        <w:tc>
          <w:tcPr>
            <w:tcW w:w="120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18,904,455.37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11,194,682.51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103,889,816.40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Times New Roman" w:hAnsi="Times New Roman" w:cs="Times New Roman" w:eastAsia="Times New Roman" w:hint="default"/>
                <w:sz w:val="12"/>
                <w:szCs w:val="12"/>
              </w:rPr>
            </w:pPr>
            <w:r>
              <w:rPr>
                <w:rFonts w:ascii="Times New Roman"/>
                <w:sz w:val="18"/>
              </w:rPr>
              <w:t>10.78%</w:t>
            </w:r>
            <w:r>
              <w:rPr>
                <w:rFonts w:ascii="Times New Roman"/>
                <w:color w:val="FF0000"/>
                <w:position w:val="8"/>
                <w:sz w:val="12"/>
              </w:rPr>
              <w:t>*</w:t>
            </w:r>
            <w:r>
              <w:rPr>
                <w:rFonts w:ascii="Times New Roman"/>
                <w:sz w:val="12"/>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11,194,682.51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15,265,476.15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146,809,823.33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10.40%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15,265,476.15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10.40%</w:t>
            </w:r>
          </w:p>
        </w:tc>
      </w:tr>
    </w:tbl>
    <w:p>
      <w:pPr>
        <w:pStyle w:val="BodyText"/>
        <w:spacing w:line="240" w:lineRule="auto" w:before="51"/>
        <w:ind w:right="0"/>
        <w:jc w:val="left"/>
      </w:pPr>
      <w:r>
        <w:rPr>
          <w:spacing w:val="-6"/>
        </w:rPr>
        <w:t>注：</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年，本公司因发生同一控制下企业合并，导致合并范围变更，追溯调整</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年相关财务数据，导致</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年度现</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3550"/>
        <w:jc w:val="left"/>
      </w:pPr>
      <w:r>
        <w:rPr/>
        <w:t>金分红金额占归属于上市公司股东的净利润的比例从</w:t>
      </w:r>
      <w:r>
        <w:rPr>
          <w:spacing w:val="-46"/>
        </w:rPr>
        <w:t> </w:t>
      </w:r>
      <w:r>
        <w:rPr>
          <w:rFonts w:ascii="Times New Roman" w:hAnsi="Times New Roman" w:cs="Times New Roman" w:eastAsia="Times New Roman" w:hint="default"/>
        </w:rPr>
        <w:t>10.64%</w:t>
      </w:r>
      <w:r>
        <w:rPr/>
        <w:t>调整为</w:t>
      </w:r>
      <w:r>
        <w:rPr>
          <w:spacing w:val="-46"/>
        </w:rPr>
        <w:t> </w:t>
      </w:r>
      <w:r>
        <w:rPr>
          <w:rFonts w:ascii="Times New Roman" w:hAnsi="Times New Roman" w:cs="Times New Roman" w:eastAsia="Times New Roman" w:hint="default"/>
        </w:rPr>
        <w:t>10.78%</w:t>
      </w:r>
      <w:r>
        <w:rPr/>
        <w:t>。 公司报告期内盈利且母公司可供普通股股东分配利润为正但未提出普通股现金红利分配预案</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137"/>
        <w:jc w:val="right"/>
      </w:pPr>
      <w:r>
        <w:rPr/>
        <w:pict>
          <v:shape style="position:absolute;margin-left:56.459999pt;margin-top:-83.507965pt;width:479.1pt;height:177.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598"/>
                  </w:tblGrid>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8" w:right="89" w:hanging="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 为正但未提出普通股现金红利分配预案的原因</w:t>
                        </w:r>
                      </w:p>
                    </w:tc>
                    <w:tc>
                      <w:tcPr>
                        <w:tcW w:w="5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3"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22" w:hRule="exact"/>
                    </w:trPr>
                    <w:tc>
                      <w:tcPr>
                        <w:tcW w:w="3970" w:type="dxa"/>
                        <w:tcBorders>
                          <w:top w:val="single" w:sz="4" w:space="0" w:color="000000"/>
                          <w:left w:val="single" w:sz="4" w:space="0" w:color="000000"/>
                          <w:bottom w:val="nil" w:sz="6" w:space="0" w:color="auto"/>
                          <w:right w:val="single" w:sz="4" w:space="0" w:color="000000"/>
                        </w:tcBorders>
                        <w:shd w:val="clear" w:color="auto" w:fill="C7EDCC"/>
                      </w:tcPr>
                      <w:p>
                        <w:pPr/>
                      </w:p>
                    </w:tc>
                    <w:tc>
                      <w:tcPr>
                        <w:tcW w:w="55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、满足公司日常经营资金需求。公司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年度实现的可供分配的利润</w:t>
                        </w:r>
                      </w:p>
                    </w:tc>
                  </w:tr>
                  <w:tr>
                    <w:trPr>
                      <w:trHeight w:val="307" w:hRule="exact"/>
                    </w:trPr>
                    <w:tc>
                      <w:tcPr>
                        <w:tcW w:w="3970" w:type="dxa"/>
                        <w:tcBorders>
                          <w:top w:val="nil" w:sz="6" w:space="0" w:color="auto"/>
                          <w:left w:val="single" w:sz="4" w:space="0" w:color="000000"/>
                          <w:bottom w:val="nil" w:sz="6" w:space="0" w:color="auto"/>
                          <w:right w:val="single" w:sz="4" w:space="0" w:color="000000"/>
                        </w:tcBorders>
                        <w:shd w:val="clear" w:color="auto" w:fill="C7EDCC"/>
                      </w:tcPr>
                      <w:p>
                        <w:pPr/>
                      </w:p>
                    </w:tc>
                    <w:tc>
                      <w:tcPr>
                        <w:tcW w:w="5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较少，留存未分配利润将主要用于满足日常运营资金需求，支持各项业</w:t>
                        </w:r>
                      </w:p>
                    </w:tc>
                  </w:tr>
                  <w:tr>
                    <w:trPr>
                      <w:trHeight w:val="312" w:hRule="exact"/>
                    </w:trPr>
                    <w:tc>
                      <w:tcPr>
                        <w:tcW w:w="3970" w:type="dxa"/>
                        <w:tcBorders>
                          <w:top w:val="nil" w:sz="6" w:space="0" w:color="auto"/>
                          <w:left w:val="single" w:sz="4" w:space="0" w:color="000000"/>
                          <w:bottom w:val="nil" w:sz="6" w:space="0" w:color="auto"/>
                          <w:right w:val="single" w:sz="4" w:space="0" w:color="000000"/>
                        </w:tcBorders>
                        <w:shd w:val="clear" w:color="auto" w:fill="C7EDCC"/>
                      </w:tcPr>
                      <w:p>
                        <w:pPr/>
                      </w:p>
                    </w:tc>
                    <w:tc>
                      <w:tcPr>
                        <w:tcW w:w="5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务的开展，应对可能产生的经营风险等。</w:t>
                        </w:r>
                      </w:p>
                    </w:tc>
                  </w:tr>
                  <w:tr>
                    <w:trPr>
                      <w:trHeight w:val="941" w:hRule="exact"/>
                    </w:trPr>
                    <w:tc>
                      <w:tcPr>
                        <w:tcW w:w="39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年度实现的可供分配的利润较少，需要满足 日常经营、在建工程等资金需求，保障偿债能力。</w:t>
                        </w:r>
                      </w:p>
                    </w:tc>
                    <w:tc>
                      <w:tcPr>
                        <w:tcW w:w="5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22"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、满足在建工程的资金需求。公司目前有较多在建工程，如萧文置业 </w:t>
                        </w:r>
                        <w:r>
                          <w:rPr>
                            <w:rFonts w:ascii="宋体" w:hAnsi="宋体" w:cs="宋体" w:eastAsia="宋体" w:hint="default"/>
                            <w:spacing w:val="-5"/>
                            <w:sz w:val="18"/>
                            <w:szCs w:val="18"/>
                          </w:rPr>
                          <w:t>九堡项目、大江东融媒体智造集群总部基地项目，面临较大的资金需求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、保障偿债能力。截至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日，公司合并短期借款余额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0.44</w:t>
                        </w:r>
                      </w:p>
                    </w:tc>
                  </w:tr>
                  <w:tr>
                    <w:trPr>
                      <w:trHeight w:val="312" w:hRule="exact"/>
                    </w:trPr>
                    <w:tc>
                      <w:tcPr>
                        <w:tcW w:w="3970" w:type="dxa"/>
                        <w:tcBorders>
                          <w:top w:val="nil" w:sz="6" w:space="0" w:color="auto"/>
                          <w:left w:val="single" w:sz="4" w:space="0" w:color="000000"/>
                          <w:bottom w:val="nil" w:sz="6" w:space="0" w:color="auto"/>
                          <w:right w:val="single" w:sz="4" w:space="0" w:color="000000"/>
                        </w:tcBorders>
                        <w:shd w:val="clear" w:color="auto" w:fill="C7EDCC"/>
                      </w:tcPr>
                      <w:p>
                        <w:pPr/>
                      </w:p>
                    </w:tc>
                    <w:tc>
                      <w:tcPr>
                        <w:tcW w:w="5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亿元，一年内到期非流动负债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日，公司又发</w:t>
                        </w:r>
                      </w:p>
                    </w:tc>
                  </w:tr>
                  <w:tr>
                    <w:trPr>
                      <w:trHeight w:val="312" w:hRule="exact"/>
                    </w:trPr>
                    <w:tc>
                      <w:tcPr>
                        <w:tcW w:w="3970" w:type="dxa"/>
                        <w:tcBorders>
                          <w:top w:val="nil" w:sz="6" w:space="0" w:color="auto"/>
                          <w:left w:val="single" w:sz="4" w:space="0" w:color="000000"/>
                          <w:bottom w:val="nil" w:sz="6" w:space="0" w:color="auto"/>
                          <w:right w:val="single" w:sz="4" w:space="0" w:color="000000"/>
                        </w:tcBorders>
                        <w:shd w:val="clear" w:color="auto" w:fill="C7EDCC"/>
                      </w:tcPr>
                      <w:p>
                        <w:pPr/>
                      </w:p>
                    </w:tc>
                    <w:tc>
                      <w:tcPr>
                        <w:tcW w:w="5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亿元超短期融资券，为保障偿债能力，公司需要预留资金偿还</w:t>
                        </w:r>
                      </w:p>
                    </w:tc>
                  </w:tr>
                  <w:tr>
                    <w:trPr>
                      <w:trHeight w:val="313" w:hRule="exact"/>
                    </w:trPr>
                    <w:tc>
                      <w:tcPr>
                        <w:tcW w:w="3970" w:type="dxa"/>
                        <w:tcBorders>
                          <w:top w:val="nil" w:sz="6" w:space="0" w:color="auto"/>
                          <w:left w:val="single" w:sz="4" w:space="0" w:color="000000"/>
                          <w:bottom w:val="single" w:sz="4" w:space="0" w:color="000000"/>
                          <w:right w:val="single" w:sz="4" w:space="0" w:color="000000"/>
                        </w:tcBorders>
                        <w:shd w:val="clear" w:color="auto" w:fill="C7EDCC"/>
                      </w:tcPr>
                      <w:p>
                        <w:pPr/>
                      </w:p>
                    </w:tc>
                    <w:tc>
                      <w:tcPr>
                        <w:tcW w:w="55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有息负债。</w:t>
                        </w:r>
                      </w:p>
                    </w:tc>
                  </w:tr>
                </w:tbl>
                <w:p>
                  <w:pPr/>
                </w:p>
              </w:txbxContent>
            </v:textbox>
            <w10:wrap type="none"/>
          </v:shape>
        </w:pict>
      </w:r>
      <w:r>
        <w:rPr/>
        <w:t>、</w:t>
      </w:r>
    </w:p>
    <w:p>
      <w:pPr>
        <w:pStyle w:val="BodyText"/>
        <w:spacing w:line="240" w:lineRule="auto" w:before="76"/>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2"/>
        <w:spacing w:line="240" w:lineRule="auto" w:before="26"/>
        <w:ind w:right="0"/>
        <w:jc w:val="left"/>
        <w:rPr>
          <w:b w:val="0"/>
          <w:bCs w:val="0"/>
        </w:rPr>
      </w:pP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839"/>
        <w:gridCol w:w="709"/>
        <w:gridCol w:w="568"/>
        <w:gridCol w:w="5386"/>
        <w:gridCol w:w="425"/>
        <w:gridCol w:w="522"/>
        <w:gridCol w:w="1107"/>
      </w:tblGrid>
      <w:tr>
        <w:trPr>
          <w:trHeight w:val="125" w:hRule="exact"/>
        </w:trPr>
        <w:tc>
          <w:tcPr>
            <w:tcW w:w="839" w:type="dxa"/>
            <w:vMerge w:val="restart"/>
            <w:tcBorders>
              <w:top w:val="single" w:sz="52" w:space="0" w:color="D3D3D3"/>
              <w:left w:val="single" w:sz="9" w:space="0" w:color="D3D3D3"/>
              <w:right w:val="single" w:sz="22" w:space="0" w:color="D3D3D3"/>
            </w:tcBorders>
          </w:tcPr>
          <w:p>
            <w:pPr>
              <w:pStyle w:val="TableParagraph"/>
              <w:spacing w:line="240" w:lineRule="auto" w:before="81"/>
              <w:ind w:left="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承诺事由</w:t>
            </w:r>
            <w:r>
              <w:rPr>
                <w:rFonts w:ascii="宋体" w:hAnsi="宋体" w:cs="宋体" w:eastAsia="宋体" w:hint="default"/>
                <w:sz w:val="18"/>
                <w:szCs w:val="18"/>
              </w:rPr>
            </w:r>
          </w:p>
        </w:tc>
        <w:tc>
          <w:tcPr>
            <w:tcW w:w="709" w:type="dxa"/>
            <w:vMerge w:val="restart"/>
            <w:tcBorders>
              <w:top w:val="single" w:sz="52" w:space="0" w:color="D3D3D3"/>
              <w:left w:val="single" w:sz="22" w:space="0" w:color="D3D3D3"/>
              <w:right w:val="single" w:sz="9" w:space="0" w:color="D3D3D3"/>
            </w:tcBorders>
          </w:tcPr>
          <w:p>
            <w:pPr>
              <w:pStyle w:val="TableParagraph"/>
              <w:spacing w:line="240" w:lineRule="auto" w:before="8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1"/>
                <w:sz w:val="18"/>
                <w:szCs w:val="18"/>
                <w:shd w:fill="D3D3D3" w:color="auto" w:val="clear"/>
              </w:rPr>
              <w:t> </w:t>
            </w:r>
            <w:r>
              <w:rPr>
                <w:rFonts w:ascii="宋体" w:hAnsi="宋体" w:cs="宋体" w:eastAsia="宋体" w:hint="default"/>
                <w:sz w:val="18"/>
                <w:szCs w:val="18"/>
                <w:shd w:fill="D3D3D3" w:color="auto" w:val="clear"/>
              </w:rPr>
              <w:t>承诺方</w:t>
            </w:r>
            <w:r>
              <w:rPr>
                <w:rFonts w:ascii="宋体" w:hAnsi="宋体" w:cs="宋体" w:eastAsia="宋体" w:hint="default"/>
                <w:sz w:val="18"/>
                <w:szCs w:val="18"/>
              </w:rPr>
            </w:r>
          </w:p>
        </w:tc>
        <w:tc>
          <w:tcPr>
            <w:tcW w:w="568"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98" w:right="9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386"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6" w:right="2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22"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75" w:right="7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1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20" w:hRule="exact"/>
        </w:trPr>
        <w:tc>
          <w:tcPr>
            <w:tcW w:w="839" w:type="dxa"/>
            <w:vMerge/>
            <w:tcBorders>
              <w:left w:val="single" w:sz="9" w:space="0" w:color="D3D3D3"/>
              <w:right w:val="single" w:sz="22" w:space="0" w:color="D3D3D3"/>
            </w:tcBorders>
          </w:tcPr>
          <w:p>
            <w:pPr/>
          </w:p>
        </w:tc>
        <w:tc>
          <w:tcPr>
            <w:tcW w:w="709" w:type="dxa"/>
            <w:vMerge/>
            <w:tcBorders>
              <w:left w:val="single" w:sz="22" w:space="0" w:color="D3D3D3"/>
              <w:right w:val="single" w:sz="9" w:space="0" w:color="D3D3D3"/>
            </w:tcBorders>
          </w:tcPr>
          <w:p>
            <w:pPr/>
          </w:p>
        </w:tc>
        <w:tc>
          <w:tcPr>
            <w:tcW w:w="568" w:type="dxa"/>
            <w:vMerge/>
            <w:tcBorders>
              <w:left w:val="single" w:sz="4" w:space="0" w:color="000000"/>
              <w:right w:val="single" w:sz="4" w:space="0" w:color="000000"/>
            </w:tcBorders>
            <w:shd w:val="clear" w:color="auto" w:fill="D3D3D3"/>
          </w:tcPr>
          <w:p>
            <w:pPr/>
          </w:p>
        </w:tc>
        <w:tc>
          <w:tcPr>
            <w:tcW w:w="53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25" w:type="dxa"/>
            <w:vMerge/>
            <w:tcBorders>
              <w:left w:val="single" w:sz="4" w:space="0" w:color="000000"/>
              <w:right w:val="single" w:sz="4" w:space="0" w:color="000000"/>
            </w:tcBorders>
            <w:shd w:val="clear" w:color="auto" w:fill="D3D3D3"/>
          </w:tcPr>
          <w:p>
            <w:pPr/>
          </w:p>
        </w:tc>
        <w:tc>
          <w:tcPr>
            <w:tcW w:w="522" w:type="dxa"/>
            <w:vMerge/>
            <w:tcBorders>
              <w:left w:val="single" w:sz="4" w:space="0" w:color="000000"/>
              <w:right w:val="single" w:sz="4" w:space="0" w:color="000000"/>
            </w:tcBorders>
            <w:shd w:val="clear" w:color="auto" w:fill="D3D3D3"/>
          </w:tcPr>
          <w:p>
            <w:pPr/>
          </w:p>
        </w:tc>
        <w:tc>
          <w:tcPr>
            <w:tcW w:w="11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5" w:hRule="exact"/>
        </w:trPr>
        <w:tc>
          <w:tcPr>
            <w:tcW w:w="839" w:type="dxa"/>
            <w:vMerge/>
            <w:tcBorders>
              <w:left w:val="single" w:sz="9" w:space="0" w:color="D3D3D3"/>
              <w:bottom w:val="single" w:sz="48" w:space="0" w:color="D3D3D3"/>
              <w:right w:val="single" w:sz="22" w:space="0" w:color="D3D3D3"/>
            </w:tcBorders>
          </w:tcPr>
          <w:p>
            <w:pPr/>
          </w:p>
        </w:tc>
        <w:tc>
          <w:tcPr>
            <w:tcW w:w="709" w:type="dxa"/>
            <w:vMerge/>
            <w:tcBorders>
              <w:left w:val="single" w:sz="22" w:space="0" w:color="D3D3D3"/>
              <w:bottom w:val="single" w:sz="48" w:space="0" w:color="D3D3D3"/>
              <w:right w:val="single" w:sz="9" w:space="0" w:color="D3D3D3"/>
            </w:tcBorders>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5386" w:type="dxa"/>
            <w:tcBorders>
              <w:top w:val="nil" w:sz="6" w:space="0" w:color="auto"/>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522" w:type="dxa"/>
            <w:vMerge/>
            <w:tcBorders>
              <w:left w:val="single" w:sz="4" w:space="0" w:color="000000"/>
              <w:bottom w:val="single" w:sz="4" w:space="0" w:color="000000"/>
              <w:right w:val="single" w:sz="4" w:space="0" w:color="000000"/>
            </w:tcBorders>
            <w:shd w:val="clear" w:color="auto" w:fill="D3D3D3"/>
          </w:tcPr>
          <w:p>
            <w:pPr/>
          </w:p>
        </w:tc>
        <w:tc>
          <w:tcPr>
            <w:tcW w:w="11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30" w:hRule="exact"/>
        </w:trPr>
        <w:tc>
          <w:tcPr>
            <w:tcW w:w="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09" w:type="dxa"/>
            <w:tcBorders>
              <w:top w:val="single" w:sz="48" w:space="0" w:color="D3D3D3"/>
              <w:left w:val="single" w:sz="13" w:space="0" w:color="D3D3D3"/>
              <w:bottom w:val="single" w:sz="4" w:space="0" w:color="000000"/>
              <w:right w:val="single" w:sz="4" w:space="0" w:color="000000"/>
            </w:tcBorders>
            <w:shd w:val="clear" w:color="auto" w:fill="C7EDCC"/>
          </w:tcPr>
          <w:p>
            <w:pP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86" w:type="dxa"/>
            <w:tcBorders>
              <w:top w:val="single" w:sz="48" w:space="0" w:color="D3D3D3"/>
              <w:left w:val="single" w:sz="4" w:space="0" w:color="000000"/>
              <w:bottom w:val="single" w:sz="4" w:space="0" w:color="000000"/>
              <w:right w:val="single" w:sz="4" w:space="0" w:color="000000"/>
            </w:tcBorders>
            <w:shd w:val="clear" w:color="auto" w:fill="C7ED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7" w:type="dxa"/>
            <w:tcBorders>
              <w:top w:val="single" w:sz="48" w:space="0" w:color="D3D3D3"/>
              <w:left w:val="single" w:sz="4" w:space="0" w:color="000000"/>
              <w:bottom w:val="single" w:sz="4" w:space="0" w:color="000000"/>
              <w:right w:val="single" w:sz="4" w:space="0" w:color="000000"/>
            </w:tcBorders>
            <w:shd w:val="clear" w:color="auto" w:fill="C7EDCC"/>
          </w:tcPr>
          <w:p>
            <w:pPr/>
          </w:p>
        </w:tc>
      </w:tr>
      <w:tr>
        <w:trPr>
          <w:trHeight w:val="1290" w:hRule="exact"/>
        </w:trPr>
        <w:tc>
          <w:tcPr>
            <w:tcW w:w="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96"/>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9"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8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184" w:hRule="exact"/>
        </w:trPr>
        <w:tc>
          <w:tcPr>
            <w:tcW w:w="83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auto"/>
              <w:ind w:left="16" w:right="23"/>
              <w:jc w:val="left"/>
              <w:rPr>
                <w:rFonts w:ascii="宋体" w:hAnsi="宋体" w:cs="宋体" w:eastAsia="宋体" w:hint="default"/>
                <w:sz w:val="18"/>
                <w:szCs w:val="18"/>
              </w:rPr>
            </w:pPr>
            <w:r>
              <w:rPr>
                <w:rFonts w:ascii="宋体" w:hAnsi="宋体" w:cs="宋体" w:eastAsia="宋体" w:hint="default"/>
                <w:sz w:val="18"/>
                <w:szCs w:val="18"/>
              </w:rPr>
              <w:t>都市快 报社</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州日报 报业集 </w:t>
            </w:r>
            <w:r>
              <w:rPr>
                <w:rFonts w:ascii="宋体" w:hAnsi="宋体" w:cs="宋体" w:eastAsia="宋体" w:hint="default"/>
                <w:spacing w:val="-17"/>
                <w:sz w:val="18"/>
                <w:szCs w:val="18"/>
              </w:rPr>
              <w:t>团（杭州</w:t>
            </w:r>
            <w:r>
              <w:rPr>
                <w:rFonts w:ascii="宋体" w:hAnsi="宋体" w:cs="宋体" w:eastAsia="宋体" w:hint="default"/>
                <w:sz w:val="18"/>
                <w:szCs w:val="18"/>
              </w:rPr>
              <w:t> 日报 社）</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州日报 报业集 团有限 公司</w:t>
            </w:r>
          </w:p>
        </w:tc>
        <w:tc>
          <w:tcPr>
            <w:tcW w:w="568"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5"/>
              <w:ind w:left="22" w:right="-5"/>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386" w:type="dxa"/>
            <w:vMerge w:val="restart"/>
            <w:tcBorders>
              <w:top w:val="single" w:sz="4" w:space="0" w:color="000000"/>
              <w:left w:val="single" w:sz="4" w:space="0" w:color="000000"/>
              <w:right w:val="single" w:sz="4" w:space="0" w:color="000000"/>
            </w:tcBorders>
            <w:shd w:val="clear" w:color="auto" w:fill="C7EDCC"/>
          </w:tcPr>
          <w:p>
            <w:pPr>
              <w:pStyle w:val="TableParagraph"/>
              <w:spacing w:line="244" w:lineRule="auto" w:before="21"/>
              <w:ind w:left="22" w:right="19"/>
              <w:jc w:val="both"/>
              <w:rPr>
                <w:rFonts w:ascii="宋体" w:hAnsi="宋体" w:cs="宋体" w:eastAsia="宋体" w:hint="default"/>
                <w:sz w:val="18"/>
                <w:szCs w:val="18"/>
              </w:rPr>
            </w:pPr>
            <w:r>
              <w:rPr>
                <w:rFonts w:ascii="宋体" w:hAnsi="宋体" w:cs="宋体" w:eastAsia="宋体" w:hint="default"/>
                <w:spacing w:val="-3"/>
                <w:sz w:val="18"/>
                <w:szCs w:val="18"/>
              </w:rPr>
              <w:t>关于避免同业竞争的承诺：为避免今后与上市公司之间可能出现同业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竞争，维护上市公司的利益，杭报集团与杭报集团有限公司、都市快</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报社分别出具了关于避免同业竞争的承诺函：鉴于华智控股拟向杭州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日报报业集团有限公司及都市快报社非公开发行股份购买资产，杭州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日报报业集团有限公司将成为华智控股之控股股东，杭州日报报业集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团（杭州日报社）将成为华智控股实际控制人。在此基础上，本集团</w:t>
            </w:r>
          </w:p>
          <w:p>
            <w:pPr>
              <w:pStyle w:val="TableParagraph"/>
              <w:spacing w:line="240" w:lineRule="exact" w:before="19"/>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）自本承诺函签署之日起，本集团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83"/>
                <w:sz w:val="18"/>
                <w:szCs w:val="18"/>
              </w:rPr>
              <w:t> </w:t>
            </w:r>
            <w:r>
              <w:rPr>
                <w:rFonts w:ascii="宋体" w:hAnsi="宋体" w:cs="宋体" w:eastAsia="宋体" w:hint="default"/>
                <w:sz w:val="18"/>
                <w:szCs w:val="18"/>
              </w:rPr>
              <w:t>社将不会以任何方式直接或间接地从事与华智控股的业务及活动构 </w:t>
            </w:r>
            <w:r>
              <w:rPr>
                <w:rFonts w:ascii="宋体" w:hAnsi="宋体" w:cs="宋体" w:eastAsia="宋体" w:hint="default"/>
                <w:spacing w:val="-3"/>
                <w:sz w:val="18"/>
                <w:szCs w:val="18"/>
              </w:rPr>
              <w:t>成或可能构成竞争的业务及活动，也不会参与投资、拥有或控制任何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与华智控股经营的业务及活动构成或可能构成竞争的任何法人及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 </w:t>
            </w:r>
            <w:r>
              <w:rPr>
                <w:rFonts w:ascii="宋体" w:hAnsi="宋体" w:cs="宋体" w:eastAsia="宋体" w:hint="default"/>
                <w:spacing w:val="-3"/>
                <w:sz w:val="18"/>
                <w:szCs w:val="18"/>
              </w:rPr>
              <w:t>其他组织。（</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本社（包括本集团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本社现</w:t>
            </w:r>
            <w:r>
              <w:rPr>
                <w:rFonts w:ascii="宋体" w:hAnsi="宋体" w:cs="宋体" w:eastAsia="宋体" w:hint="default"/>
                <w:spacing w:val="-81"/>
                <w:sz w:val="18"/>
                <w:szCs w:val="18"/>
              </w:rPr>
              <w:t> </w:t>
            </w:r>
            <w:r>
              <w:rPr>
                <w:rFonts w:ascii="宋体" w:hAnsi="宋体" w:cs="宋体" w:eastAsia="宋体" w:hint="default"/>
                <w:sz w:val="18"/>
                <w:szCs w:val="18"/>
              </w:rPr>
              <w:t>有或将来以任何方式直接或间接地投资、拥有或控制的法人及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 </w:t>
            </w:r>
            <w:r>
              <w:rPr>
                <w:rFonts w:ascii="宋体" w:hAnsi="宋体" w:cs="宋体" w:eastAsia="宋体" w:hint="default"/>
                <w:spacing w:val="-3"/>
                <w:sz w:val="18"/>
                <w:szCs w:val="18"/>
              </w:rPr>
              <w:t>他组织）获得的任何商业机会与华智控股所从事的业务及活动构成或</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02" w:lineRule="exact" w:before="46"/>
              <w:ind w:left="22"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02" w:lineRule="exact" w:before="46"/>
              <w:ind w:left="2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vMerge w:val="restart"/>
            <w:tcBorders>
              <w:top w:val="single" w:sz="4" w:space="0" w:color="000000"/>
              <w:left w:val="single" w:sz="4" w:space="0" w:color="000000"/>
              <w:right w:val="single" w:sz="4" w:space="0" w:color="000000"/>
            </w:tcBorders>
            <w:shd w:val="clear" w:color="auto" w:fill="C7EDCC"/>
          </w:tcPr>
          <w:p>
            <w:pP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履行之中</w:t>
            </w:r>
          </w:p>
        </w:tc>
      </w:tr>
      <w:tr>
        <w:trPr>
          <w:trHeight w:val="801" w:hRule="exact"/>
        </w:trPr>
        <w:tc>
          <w:tcPr>
            <w:tcW w:w="8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21"/>
              <w:ind w:left="11" w:right="9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709" w:type="dxa"/>
            <w:vMerge/>
            <w:tcBorders>
              <w:left w:val="single" w:sz="9" w:space="0" w:color="D3D3D3"/>
              <w:right w:val="single" w:sz="4" w:space="0" w:color="000000"/>
            </w:tcBorders>
            <w:shd w:val="clear" w:color="auto" w:fill="C7EDCC"/>
          </w:tcPr>
          <w:p>
            <w:pPr/>
          </w:p>
        </w:tc>
        <w:tc>
          <w:tcPr>
            <w:tcW w:w="568" w:type="dxa"/>
            <w:vMerge/>
            <w:tcBorders>
              <w:left w:val="single" w:sz="4" w:space="0" w:color="000000"/>
              <w:right w:val="single" w:sz="4" w:space="0" w:color="000000"/>
            </w:tcBorders>
            <w:shd w:val="clear" w:color="auto" w:fill="C7EDCC"/>
          </w:tcPr>
          <w:p>
            <w:pPr/>
          </w:p>
        </w:tc>
        <w:tc>
          <w:tcPr>
            <w:tcW w:w="5386" w:type="dxa"/>
            <w:vMerge/>
            <w:tcBorders>
              <w:left w:val="single" w:sz="4" w:space="0" w:color="000000"/>
              <w:right w:val="single" w:sz="4" w:space="0" w:color="000000"/>
            </w:tcBorders>
            <w:shd w:val="clear" w:color="auto" w:fill="C7EDCC"/>
          </w:tcPr>
          <w:p>
            <w:pPr/>
          </w:p>
        </w:tc>
        <w:tc>
          <w:tcPr>
            <w:tcW w:w="425"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shd w:val="clear" w:color="auto" w:fill="C7EDCC"/>
          </w:tcPr>
          <w:p>
            <w:pPr/>
          </w:p>
        </w:tc>
        <w:tc>
          <w:tcPr>
            <w:tcW w:w="1107" w:type="dxa"/>
            <w:vMerge/>
            <w:tcBorders>
              <w:left w:val="single" w:sz="4" w:space="0" w:color="000000"/>
              <w:right w:val="single" w:sz="4" w:space="0" w:color="000000"/>
            </w:tcBorders>
            <w:shd w:val="clear" w:color="auto" w:fill="C7EDCC"/>
          </w:tcPr>
          <w:p>
            <w:pPr/>
          </w:p>
        </w:tc>
      </w:tr>
      <w:tr>
        <w:trPr>
          <w:trHeight w:val="1185" w:hRule="exact"/>
        </w:trPr>
        <w:tc>
          <w:tcPr>
            <w:tcW w:w="83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vMerge/>
            <w:tcBorders>
              <w:left w:val="single" w:sz="9" w:space="0" w:color="D3D3D3"/>
              <w:bottom w:val="single" w:sz="4" w:space="0" w:color="000000"/>
              <w:right w:val="single" w:sz="4" w:space="0" w:color="000000"/>
            </w:tcBorders>
            <w:shd w:val="clear" w:color="auto" w:fill="C7EDCC"/>
          </w:tcPr>
          <w:p>
            <w:pPr/>
          </w:p>
        </w:tc>
        <w:tc>
          <w:tcPr>
            <w:tcW w:w="568" w:type="dxa"/>
            <w:vMerge/>
            <w:tcBorders>
              <w:left w:val="single" w:sz="4" w:space="0" w:color="000000"/>
              <w:bottom w:val="single" w:sz="4" w:space="0" w:color="000000"/>
              <w:right w:val="single" w:sz="4" w:space="0" w:color="000000"/>
            </w:tcBorders>
            <w:shd w:val="clear" w:color="auto" w:fill="C7EDCC"/>
          </w:tcPr>
          <w:p>
            <w:pPr/>
          </w:p>
        </w:tc>
        <w:tc>
          <w:tcPr>
            <w:tcW w:w="5386" w:type="dxa"/>
            <w:vMerge/>
            <w:tcBorders>
              <w:left w:val="single" w:sz="4" w:space="0" w:color="000000"/>
              <w:bottom w:val="single" w:sz="4" w:space="0" w:color="000000"/>
              <w:right w:val="single" w:sz="4" w:space="0" w:color="000000"/>
            </w:tcBorders>
            <w:shd w:val="clear" w:color="auto" w:fill="C7EDCC"/>
          </w:tcPr>
          <w:p>
            <w:pPr/>
          </w:p>
        </w:tc>
        <w:tc>
          <w:tcPr>
            <w:tcW w:w="425" w:type="dxa"/>
            <w:vMerge/>
            <w:tcBorders>
              <w:left w:val="single" w:sz="4" w:space="0" w:color="000000"/>
              <w:bottom w:val="single" w:sz="4" w:space="0" w:color="000000"/>
              <w:right w:val="single" w:sz="4" w:space="0" w:color="000000"/>
            </w:tcBorders>
          </w:tcPr>
          <w:p>
            <w:pPr/>
          </w:p>
        </w:tc>
        <w:tc>
          <w:tcPr>
            <w:tcW w:w="522" w:type="dxa"/>
            <w:vMerge/>
            <w:tcBorders>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82" w:top="1060" w:bottom="1180" w:left="980" w:right="0"/>
        </w:sectPr>
      </w:pPr>
    </w:p>
    <w:p>
      <w:pPr>
        <w:spacing w:line="240" w:lineRule="auto" w:before="0"/>
        <w:rPr>
          <w:rFonts w:ascii="宋体" w:hAnsi="宋体" w:cs="宋体" w:eastAsia="宋体" w:hint="default"/>
          <w:sz w:val="18"/>
          <w:szCs w:val="18"/>
        </w:rPr>
      </w:pPr>
      <w:r>
        <w:rPr/>
        <w:pict>
          <v:group style="position:absolute;margin-left:56.219978pt;margin-top:71.759956pt;width:479.35pt;height:690pt;mso-position-horizontal-relative:page;mso-position-vertical-relative:page;z-index:-1247824" coordorigin="1124,1435" coordsize="9587,13800">
            <v:group style="position:absolute;left:1139;top:1450;width:842;height:10841" coordorigin="1139,1450" coordsize="842,10841">
              <v:shape style="position:absolute;left:1139;top:1450;width:842;height:10841" coordorigin="1139,1450" coordsize="842,10841" path="m1139,12290l1980,12290,1980,1450,1139,1450,1139,12290xe" filled="true" fillcolor="#d3d3d3" stroked="false">
                <v:path arrowok="t"/>
                <v:fill type="solid"/>
              </v:shape>
            </v:group>
            <v:group style="position:absolute;left:1990;top:1450;width:700;height:10841" coordorigin="1990,1450" coordsize="700,10841">
              <v:shape style="position:absolute;left:1990;top:1450;width:700;height:10841" coordorigin="1990,1450" coordsize="700,10841" path="m1990,12290l2689,12290,2689,1450,1990,1450,1990,12290xe" filled="true" fillcolor="#c7edcc" stroked="false">
                <v:path arrowok="t"/>
                <v:fill type="solid"/>
              </v:shape>
            </v:group>
            <v:group style="position:absolute;left:2699;top:1450;width:557;height:10841" coordorigin="2699,1450" coordsize="557,10841">
              <v:shape style="position:absolute;left:2699;top:1450;width:557;height:10841" coordorigin="2699,1450" coordsize="557,10841" path="m2699,12290l3256,12290,3256,1450,2699,1450,2699,12290xe" filled="true" fillcolor="#c7edcc" stroked="false">
                <v:path arrowok="t"/>
                <v:fill type="solid"/>
              </v:shape>
            </v:group>
            <v:group style="position:absolute;left:3278;top:1450;width:2;height:10841" coordorigin="3278,1450" coordsize="2,10841">
              <v:shape style="position:absolute;left:3278;top:1450;width:2;height:10841" coordorigin="3278,1450" coordsize="0,10841" path="m3278,1450l3278,12290e" filled="false" stroked="true" strokeweight="1.140pt" strokecolor="#c7edcc">
                <v:path arrowok="t"/>
              </v:shape>
            </v:group>
            <v:group style="position:absolute;left:8630;top:1450;width:2;height:10841" coordorigin="8630,1450" coordsize="2,10841">
              <v:shape style="position:absolute;left:8630;top:1450;width:2;height:10841" coordorigin="8630,1450" coordsize="0,10841" path="m8630,1450l8630,12290e" filled="false" stroked="true" strokeweight="1.2pt" strokecolor="#c7edcc">
                <v:path arrowok="t"/>
              </v:shape>
            </v:group>
            <v:group style="position:absolute;left:3289;top:1450;width:5330;height:240" coordorigin="3289,1450" coordsize="5330,240">
              <v:shape style="position:absolute;left:3289;top:1450;width:5330;height:240" coordorigin="3289,1450" coordsize="5330,240" path="m3289,1690l8618,1690,8618,1450,3289,1450,3289,1690xe" filled="true" fillcolor="#c7edcc" stroked="false">
                <v:path arrowok="t"/>
                <v:fill type="solid"/>
              </v:shape>
            </v:group>
            <v:group style="position:absolute;left:3289;top:1690;width:5330;height:240" coordorigin="3289,1690" coordsize="5330,240">
              <v:shape style="position:absolute;left:3289;top:1690;width:5330;height:240" coordorigin="3289,1690" coordsize="5330,240" path="m3289,1930l8618,1930,8618,1690,3289,1690,3289,1930xe" filled="true" fillcolor="#c7edcc" stroked="false">
                <v:path arrowok="t"/>
                <v:fill type="solid"/>
              </v:shape>
            </v:group>
            <v:group style="position:absolute;left:3289;top:1930;width:5330;height:240" coordorigin="3289,1930" coordsize="5330,240">
              <v:shape style="position:absolute;left:3289;top:1930;width:5330;height:240" coordorigin="3289,1930" coordsize="5330,240" path="m3289,2170l8618,2170,8618,1930,3289,1930,3289,2170xe" filled="true" fillcolor="#c7edcc" stroked="false">
                <v:path arrowok="t"/>
                <v:fill type="solid"/>
              </v:shape>
            </v:group>
            <v:group style="position:absolute;left:3289;top:2170;width:5330;height:240" coordorigin="3289,2170" coordsize="5330,240">
              <v:shape style="position:absolute;left:3289;top:2170;width:5330;height:240" coordorigin="3289,2170" coordsize="5330,240" path="m3289,2410l8618,2410,8618,2170,3289,2170,3289,2410xe" filled="true" fillcolor="#c7edcc" stroked="false">
                <v:path arrowok="t"/>
                <v:fill type="solid"/>
              </v:shape>
            </v:group>
            <v:group style="position:absolute;left:3289;top:2410;width:5330;height:240" coordorigin="3289,2410" coordsize="5330,240">
              <v:shape style="position:absolute;left:3289;top:2410;width:5330;height:240" coordorigin="3289,2410" coordsize="5330,240" path="m3289,2650l8618,2650,8618,2410,3289,2410,3289,2650xe" filled="true" fillcolor="#c7edcc" stroked="false">
                <v:path arrowok="t"/>
                <v:fill type="solid"/>
              </v:shape>
            </v:group>
            <v:group style="position:absolute;left:3289;top:2650;width:5330;height:240" coordorigin="3289,2650" coordsize="5330,240">
              <v:shape style="position:absolute;left:3289;top:2650;width:5330;height:240" coordorigin="3289,2650" coordsize="5330,240" path="m3289,2890l8618,2890,8618,2650,3289,2650,3289,2890xe" filled="true" fillcolor="#c7edcc" stroked="false">
                <v:path arrowok="t"/>
                <v:fill type="solid"/>
              </v:shape>
            </v:group>
            <v:group style="position:absolute;left:3289;top:2890;width:5330;height:240" coordorigin="3289,2890" coordsize="5330,240">
              <v:shape style="position:absolute;left:3289;top:2890;width:5330;height:240" coordorigin="3289,2890" coordsize="5330,240" path="m3289,3130l8618,3130,8618,2890,3289,2890,3289,3130xe" filled="true" fillcolor="#c7edcc" stroked="false">
                <v:path arrowok="t"/>
                <v:fill type="solid"/>
              </v:shape>
            </v:group>
            <v:group style="position:absolute;left:3289;top:3130;width:5330;height:240" coordorigin="3289,3130" coordsize="5330,240">
              <v:shape style="position:absolute;left:3289;top:3130;width:5330;height:240" coordorigin="3289,3130" coordsize="5330,240" path="m3289,3370l8618,3370,8618,3130,3289,3130,3289,3370xe" filled="true" fillcolor="#c7edcc" stroked="false">
                <v:path arrowok="t"/>
                <v:fill type="solid"/>
              </v:shape>
            </v:group>
            <v:group style="position:absolute;left:3289;top:3370;width:5330;height:240" coordorigin="3289,3370" coordsize="5330,240">
              <v:shape style="position:absolute;left:3289;top:3370;width:5330;height:240" coordorigin="3289,3370" coordsize="5330,240" path="m3289,3610l8618,3610,8618,3370,3289,3370,3289,3610xe" filled="true" fillcolor="#c7edcc" stroked="false">
                <v:path arrowok="t"/>
                <v:fill type="solid"/>
              </v:shape>
            </v:group>
            <v:group style="position:absolute;left:3289;top:3610;width:5330;height:240" coordorigin="3289,3610" coordsize="5330,240">
              <v:shape style="position:absolute;left:3289;top:3610;width:5330;height:240" coordorigin="3289,3610" coordsize="5330,240" path="m3289,3850l8618,3850,8618,3610,3289,3610,3289,3850xe" filled="true" fillcolor="#c7edcc" stroked="false">
                <v:path arrowok="t"/>
                <v:fill type="solid"/>
              </v:shape>
            </v:group>
            <v:group style="position:absolute;left:3289;top:3850;width:5330;height:240" coordorigin="3289,3850" coordsize="5330,240">
              <v:shape style="position:absolute;left:3289;top:3850;width:5330;height:240" coordorigin="3289,3850" coordsize="5330,240" path="m3289,4090l8618,4090,8618,3850,3289,3850,3289,4090xe" filled="true" fillcolor="#c7edcc" stroked="false">
                <v:path arrowok="t"/>
                <v:fill type="solid"/>
              </v:shape>
            </v:group>
            <v:group style="position:absolute;left:3289;top:4090;width:5330;height:240" coordorigin="3289,4090" coordsize="5330,240">
              <v:shape style="position:absolute;left:3289;top:4090;width:5330;height:240" coordorigin="3289,4090" coordsize="5330,240" path="m3289,4330l8618,4330,8618,4090,3289,4090,3289,4330xe" filled="true" fillcolor="#c7edcc" stroked="false">
                <v:path arrowok="t"/>
                <v:fill type="solid"/>
              </v:shape>
            </v:group>
            <v:group style="position:absolute;left:3289;top:4330;width:5330;height:240" coordorigin="3289,4330" coordsize="5330,240">
              <v:shape style="position:absolute;left:3289;top:4330;width:5330;height:240" coordorigin="3289,4330" coordsize="5330,240" path="m3289,4570l8618,4570,8618,4330,3289,4330,3289,4570xe" filled="true" fillcolor="#c7edcc" stroked="false">
                <v:path arrowok="t"/>
                <v:fill type="solid"/>
              </v:shape>
            </v:group>
            <v:group style="position:absolute;left:3289;top:4570;width:5330;height:240" coordorigin="3289,4570" coordsize="5330,240">
              <v:shape style="position:absolute;left:3289;top:4570;width:5330;height:240" coordorigin="3289,4570" coordsize="5330,240" path="m3289,4810l8618,4810,8618,4570,3289,4570,3289,4810xe" filled="true" fillcolor="#c7edcc" stroked="false">
                <v:path arrowok="t"/>
                <v:fill type="solid"/>
              </v:shape>
            </v:group>
            <v:group style="position:absolute;left:3289;top:4810;width:5330;height:240" coordorigin="3289,4810" coordsize="5330,240">
              <v:shape style="position:absolute;left:3289;top:4810;width:5330;height:240" coordorigin="3289,4810" coordsize="5330,240" path="m3289,5050l8618,5050,8618,4810,3289,4810,3289,5050xe" filled="true" fillcolor="#c7edcc" stroked="false">
                <v:path arrowok="t"/>
                <v:fill type="solid"/>
              </v:shape>
            </v:group>
            <v:group style="position:absolute;left:3289;top:5050;width:5330;height:240" coordorigin="3289,5050" coordsize="5330,240">
              <v:shape style="position:absolute;left:3289;top:5050;width:5330;height:240" coordorigin="3289,5050" coordsize="5330,240" path="m3289,5290l8618,5290,8618,5050,3289,5050,3289,5290xe" filled="true" fillcolor="#c7edcc" stroked="false">
                <v:path arrowok="t"/>
                <v:fill type="solid"/>
              </v:shape>
            </v:group>
            <v:group style="position:absolute;left:3289;top:5290;width:5330;height:240" coordorigin="3289,5290" coordsize="5330,240">
              <v:shape style="position:absolute;left:3289;top:5290;width:5330;height:240" coordorigin="3289,5290" coordsize="5330,240" path="m3289,5530l8618,5530,8618,5290,3289,5290,3289,5530xe" filled="true" fillcolor="#c7edcc" stroked="false">
                <v:path arrowok="t"/>
                <v:fill type="solid"/>
              </v:shape>
            </v:group>
            <v:group style="position:absolute;left:3289;top:5530;width:5330;height:240" coordorigin="3289,5530" coordsize="5330,240">
              <v:shape style="position:absolute;left:3289;top:5530;width:5330;height:240" coordorigin="3289,5530" coordsize="5330,240" path="m3289,5770l8618,5770,8618,5530,3289,5530,3289,5770xe" filled="true" fillcolor="#c7edcc" stroked="false">
                <v:path arrowok="t"/>
                <v:fill type="solid"/>
              </v:shape>
            </v:group>
            <v:group style="position:absolute;left:3289;top:5770;width:5330;height:240" coordorigin="3289,5770" coordsize="5330,240">
              <v:shape style="position:absolute;left:3289;top:5770;width:5330;height:240" coordorigin="3289,5770" coordsize="5330,240" path="m3289,6010l8618,6010,8618,5770,3289,5770,3289,6010xe" filled="true" fillcolor="#c7edcc" stroked="false">
                <v:path arrowok="t"/>
                <v:fill type="solid"/>
              </v:shape>
            </v:group>
            <v:group style="position:absolute;left:3289;top:6010;width:5330;height:240" coordorigin="3289,6010" coordsize="5330,240">
              <v:shape style="position:absolute;left:3289;top:6010;width:5330;height:240" coordorigin="3289,6010" coordsize="5330,240" path="m3289,6250l8618,6250,8618,6010,3289,6010,3289,6250xe" filled="true" fillcolor="#c7edcc" stroked="false">
                <v:path arrowok="t"/>
                <v:fill type="solid"/>
              </v:shape>
            </v:group>
            <v:group style="position:absolute;left:3289;top:6250;width:5330;height:240" coordorigin="3289,6250" coordsize="5330,240">
              <v:shape style="position:absolute;left:3289;top:6250;width:5330;height:240" coordorigin="3289,6250" coordsize="5330,240" path="m3289,6490l8618,6490,8618,6250,3289,6250,3289,6490xe" filled="true" fillcolor="#c7edcc" stroked="false">
                <v:path arrowok="t"/>
                <v:fill type="solid"/>
              </v:shape>
            </v:group>
            <v:group style="position:absolute;left:3289;top:6490;width:5330;height:240" coordorigin="3289,6490" coordsize="5330,240">
              <v:shape style="position:absolute;left:3289;top:6490;width:5330;height:240" coordorigin="3289,6490" coordsize="5330,240" path="m3289,6730l8618,6730,8618,6490,3289,6490,3289,6730xe" filled="true" fillcolor="#c7edcc" stroked="false">
                <v:path arrowok="t"/>
                <v:fill type="solid"/>
              </v:shape>
            </v:group>
            <v:group style="position:absolute;left:3289;top:6730;width:5330;height:240" coordorigin="3289,6730" coordsize="5330,240">
              <v:shape style="position:absolute;left:3289;top:6730;width:5330;height:240" coordorigin="3289,6730" coordsize="5330,240" path="m3289,6970l8618,6970,8618,6730,3289,6730,3289,6970xe" filled="true" fillcolor="#c7edcc" stroked="false">
                <v:path arrowok="t"/>
                <v:fill type="solid"/>
              </v:shape>
            </v:group>
            <v:group style="position:absolute;left:3289;top:6970;width:5330;height:240" coordorigin="3289,6970" coordsize="5330,240">
              <v:shape style="position:absolute;left:3289;top:6970;width:5330;height:240" coordorigin="3289,6970" coordsize="5330,240" path="m3289,7210l8618,7210,8618,6970,3289,6970,3289,7210xe" filled="true" fillcolor="#c7edcc" stroked="false">
                <v:path arrowok="t"/>
                <v:fill type="solid"/>
              </v:shape>
            </v:group>
            <v:group style="position:absolute;left:3289;top:7210;width:5330;height:240" coordorigin="3289,7210" coordsize="5330,240">
              <v:shape style="position:absolute;left:3289;top:7210;width:5330;height:240" coordorigin="3289,7210" coordsize="5330,240" path="m3289,7450l8618,7450,8618,7210,3289,7210,3289,7450xe" filled="true" fillcolor="#c7edcc" stroked="false">
                <v:path arrowok="t"/>
                <v:fill type="solid"/>
              </v:shape>
            </v:group>
            <v:group style="position:absolute;left:3289;top:7450;width:5330;height:240" coordorigin="3289,7450" coordsize="5330,240">
              <v:shape style="position:absolute;left:3289;top:7450;width:5330;height:240" coordorigin="3289,7450" coordsize="5330,240" path="m3289,7690l8618,7690,8618,7450,3289,7450,3289,7690xe" filled="true" fillcolor="#c7edcc" stroked="false">
                <v:path arrowok="t"/>
                <v:fill type="solid"/>
              </v:shape>
            </v:group>
            <v:group style="position:absolute;left:3289;top:7690;width:5330;height:240" coordorigin="3289,7690" coordsize="5330,240">
              <v:shape style="position:absolute;left:3289;top:7690;width:5330;height:240" coordorigin="3289,7690" coordsize="5330,240" path="m3289,7930l8618,7930,8618,7690,3289,7690,3289,7930xe" filled="true" fillcolor="#c7edcc" stroked="false">
                <v:path arrowok="t"/>
                <v:fill type="solid"/>
              </v:shape>
            </v:group>
            <v:group style="position:absolute;left:3289;top:7930;width:5330;height:240" coordorigin="3289,7930" coordsize="5330,240">
              <v:shape style="position:absolute;left:3289;top:7930;width:5330;height:240" coordorigin="3289,7930" coordsize="5330,240" path="m3289,8170l8618,8170,8618,7930,3289,7930,3289,8170xe" filled="true" fillcolor="#c7edcc" stroked="false">
                <v:path arrowok="t"/>
                <v:fill type="solid"/>
              </v:shape>
            </v:group>
            <v:group style="position:absolute;left:3289;top:8170;width:5330;height:240" coordorigin="3289,8170" coordsize="5330,240">
              <v:shape style="position:absolute;left:3289;top:8170;width:5330;height:240" coordorigin="3289,8170" coordsize="5330,240" path="m3289,8410l8618,8410,8618,8170,3289,8170,3289,8410xe" filled="true" fillcolor="#c7edcc" stroked="false">
                <v:path arrowok="t"/>
                <v:fill type="solid"/>
              </v:shape>
            </v:group>
            <v:group style="position:absolute;left:3289;top:8410;width:5330;height:240" coordorigin="3289,8410" coordsize="5330,240">
              <v:shape style="position:absolute;left:3289;top:8410;width:5330;height:240" coordorigin="3289,8410" coordsize="5330,240" path="m3289,8650l8618,8650,8618,8410,3289,8410,3289,8650xe" filled="true" fillcolor="#c7edcc" stroked="false">
                <v:path arrowok="t"/>
                <v:fill type="solid"/>
              </v:shape>
            </v:group>
            <v:group style="position:absolute;left:3289;top:8650;width:5330;height:240" coordorigin="3289,8650" coordsize="5330,240">
              <v:shape style="position:absolute;left:3289;top:8650;width:5330;height:240" coordorigin="3289,8650" coordsize="5330,240" path="m3289,8890l8618,8890,8618,8650,3289,8650,3289,8890xe" filled="true" fillcolor="#c7edcc" stroked="false">
                <v:path arrowok="t"/>
                <v:fill type="solid"/>
              </v:shape>
            </v:group>
            <v:group style="position:absolute;left:3289;top:8890;width:5330;height:240" coordorigin="3289,8890" coordsize="5330,240">
              <v:shape style="position:absolute;left:3289;top:8890;width:5330;height:240" coordorigin="3289,8890" coordsize="5330,240" path="m3289,9130l8618,9130,8618,8890,3289,8890,3289,9130xe" filled="true" fillcolor="#c7edcc" stroked="false">
                <v:path arrowok="t"/>
                <v:fill type="solid"/>
              </v:shape>
            </v:group>
            <v:group style="position:absolute;left:3289;top:9130;width:5330;height:240" coordorigin="3289,9130" coordsize="5330,240">
              <v:shape style="position:absolute;left:3289;top:9130;width:5330;height:240" coordorigin="3289,9130" coordsize="5330,240" path="m3289,9370l8618,9370,8618,9130,3289,9130,3289,9370xe" filled="true" fillcolor="#c7edcc" stroked="false">
                <v:path arrowok="t"/>
                <v:fill type="solid"/>
              </v:shape>
            </v:group>
            <v:group style="position:absolute;left:3289;top:9370;width:5330;height:240" coordorigin="3289,9370" coordsize="5330,240">
              <v:shape style="position:absolute;left:3289;top:9370;width:5330;height:240" coordorigin="3289,9370" coordsize="5330,240" path="m3289,9610l8618,9610,8618,9370,3289,9370,3289,9610xe" filled="true" fillcolor="#c7edcc" stroked="false">
                <v:path arrowok="t"/>
                <v:fill type="solid"/>
              </v:shape>
            </v:group>
            <v:group style="position:absolute;left:3289;top:9610;width:5330;height:240" coordorigin="3289,9610" coordsize="5330,240">
              <v:shape style="position:absolute;left:3289;top:9610;width:5330;height:240" coordorigin="3289,9610" coordsize="5330,240" path="m3289,9850l8618,9850,8618,9610,3289,9610,3289,9850xe" filled="true" fillcolor="#c7edcc" stroked="false">
                <v:path arrowok="t"/>
                <v:fill type="solid"/>
              </v:shape>
            </v:group>
            <v:group style="position:absolute;left:3289;top:9850;width:5330;height:240" coordorigin="3289,9850" coordsize="5330,240">
              <v:shape style="position:absolute;left:3289;top:9850;width:5330;height:240" coordorigin="3289,9850" coordsize="5330,240" path="m3289,10090l8618,10090,8618,9850,3289,9850,3289,10090xe" filled="true" fillcolor="#c7edcc" stroked="false">
                <v:path arrowok="t"/>
                <v:fill type="solid"/>
              </v:shape>
            </v:group>
            <v:group style="position:absolute;left:3289;top:10090;width:5330;height:240" coordorigin="3289,10090" coordsize="5330,240">
              <v:shape style="position:absolute;left:3289;top:10090;width:5330;height:240" coordorigin="3289,10090" coordsize="5330,240" path="m3289,10330l8618,10330,8618,10090,3289,10090,3289,10330xe" filled="true" fillcolor="#c7edcc" stroked="false">
                <v:path arrowok="t"/>
                <v:fill type="solid"/>
              </v:shape>
            </v:group>
            <v:group style="position:absolute;left:3289;top:10330;width:5330;height:240" coordorigin="3289,10330" coordsize="5330,240">
              <v:shape style="position:absolute;left:3289;top:10330;width:5330;height:240" coordorigin="3289,10330" coordsize="5330,240" path="m3289,10570l8618,10570,8618,10330,3289,10330,3289,10570xe" filled="true" fillcolor="#c7edcc" stroked="false">
                <v:path arrowok="t"/>
                <v:fill type="solid"/>
              </v:shape>
            </v:group>
            <v:group style="position:absolute;left:3289;top:10570;width:5330;height:240" coordorigin="3289,10570" coordsize="5330,240">
              <v:shape style="position:absolute;left:3289;top:10570;width:5330;height:240" coordorigin="3289,10570" coordsize="5330,240" path="m3289,10810l8618,10810,8618,10570,3289,10570,3289,10810xe" filled="true" fillcolor="#c7edcc" stroked="false">
                <v:path arrowok="t"/>
                <v:fill type="solid"/>
              </v:shape>
            </v:group>
            <v:group style="position:absolute;left:3289;top:10810;width:5330;height:240" coordorigin="3289,10810" coordsize="5330,240">
              <v:shape style="position:absolute;left:3289;top:10810;width:5330;height:240" coordorigin="3289,10810" coordsize="5330,240" path="m3289,11050l8618,11050,8618,10810,3289,10810,3289,11050xe" filled="true" fillcolor="#c7edcc" stroked="false">
                <v:path arrowok="t"/>
                <v:fill type="solid"/>
              </v:shape>
            </v:group>
            <v:group style="position:absolute;left:3289;top:11050;width:5330;height:240" coordorigin="3289,11050" coordsize="5330,240">
              <v:shape style="position:absolute;left:3289;top:11050;width:5330;height:240" coordorigin="3289,11050" coordsize="5330,240" path="m3289,11290l8618,11290,8618,11050,3289,11050,3289,11290xe" filled="true" fillcolor="#c7edcc" stroked="false">
                <v:path arrowok="t"/>
                <v:fill type="solid"/>
              </v:shape>
            </v:group>
            <v:group style="position:absolute;left:3289;top:11290;width:5330;height:240" coordorigin="3289,11290" coordsize="5330,240">
              <v:shape style="position:absolute;left:3289;top:11290;width:5330;height:240" coordorigin="3289,11290" coordsize="5330,240" path="m3289,11530l8618,11530,8618,11290,3289,11290,3289,11530xe" filled="true" fillcolor="#c7edcc" stroked="false">
                <v:path arrowok="t"/>
                <v:fill type="solid"/>
              </v:shape>
            </v:group>
            <v:group style="position:absolute;left:3289;top:11530;width:5330;height:240" coordorigin="3289,11530" coordsize="5330,240">
              <v:shape style="position:absolute;left:3289;top:11530;width:5330;height:240" coordorigin="3289,11530" coordsize="5330,240" path="m3289,11770l8618,11770,8618,11530,3289,11530,3289,11770xe" filled="true" fillcolor="#c7edcc" stroked="false">
                <v:path arrowok="t"/>
                <v:fill type="solid"/>
              </v:shape>
            </v:group>
            <v:group style="position:absolute;left:3289;top:11770;width:5330;height:240" coordorigin="3289,11770" coordsize="5330,240">
              <v:shape style="position:absolute;left:3289;top:11770;width:5330;height:240" coordorigin="3289,11770" coordsize="5330,240" path="m3289,12010l8618,12010,8618,11770,3289,11770,3289,12010xe" filled="true" fillcolor="#c7edcc" stroked="false">
                <v:path arrowok="t"/>
                <v:fill type="solid"/>
              </v:shape>
            </v:group>
            <v:group style="position:absolute;left:3289;top:12010;width:5330;height:281" coordorigin="3289,12010" coordsize="5330,281">
              <v:shape style="position:absolute;left:3289;top:12010;width:5330;height:281" coordorigin="3289,12010" coordsize="5330,281" path="m3289,12290l8618,12290,8618,12010,3289,12010,3289,12290xe" filled="true" fillcolor="#c7edcc" stroked="false">
                <v:path arrowok="t"/>
                <v:fill type="solid"/>
              </v:shape>
            </v:group>
            <v:group style="position:absolute;left:8652;top:1450;width:416;height:10841" coordorigin="8652,1450" coordsize="416,10841">
              <v:shape style="position:absolute;left:8652;top:1450;width:416;height:10841" coordorigin="8652,1450" coordsize="416,10841" path="m8652,12290l9067,12290,9067,1450,8652,1450,8652,12290xe" filled="true" fillcolor="#ffffff" stroked="false">
                <v:path arrowok="t"/>
                <v:fill type="solid"/>
              </v:shape>
            </v:group>
            <v:group style="position:absolute;left:9077;top:1450;width:513;height:10841" coordorigin="9077,1450" coordsize="513,10841">
              <v:shape style="position:absolute;left:9077;top:1450;width:513;height:10841" coordorigin="9077,1450" coordsize="513,10841" path="m9077,12290l9589,12290,9589,1450,9077,1450,9077,12290xe" filled="true" fillcolor="#c7edcc" stroked="false">
                <v:path arrowok="t"/>
                <v:fill type="solid"/>
              </v:shape>
            </v:group>
            <v:group style="position:absolute;left:9599;top:1450;width:1097;height:10841" coordorigin="9599,1450" coordsize="1097,10841">
              <v:shape style="position:absolute;left:9599;top:1450;width:1097;height:10841" coordorigin="9599,1450" coordsize="1097,10841" path="m9599,12290l10696,12290,10696,1450,9599,1450,9599,12290xe" filled="true" fillcolor="#c7edcc" stroked="false">
                <v:path arrowok="t"/>
                <v:fill type="solid"/>
              </v:shape>
            </v:group>
            <v:group style="position:absolute;left:1129;top:1445;width:9578;height:2" coordorigin="1129,1445" coordsize="9578,2">
              <v:shape style="position:absolute;left:1129;top:1445;width:9578;height:2" coordorigin="1129,1445" coordsize="9578,0" path="m1129,1445l10706,1445e" filled="false" stroked="true" strokeweight=".48004pt" strokecolor="#000000">
                <v:path arrowok="t"/>
              </v:shape>
            </v:group>
            <v:group style="position:absolute;left:1985;top:1450;width:2;height:10841" coordorigin="1985,1450" coordsize="2,10841">
              <v:shape style="position:absolute;left:1985;top:1450;width:2;height:10841" coordorigin="1985,1450" coordsize="0,10841" path="m1985,1450l1985,12290e" filled="false" stroked="true" strokeweight=".48pt" strokecolor="#000000">
                <v:path arrowok="t"/>
              </v:shape>
            </v:group>
            <v:group style="position:absolute;left:2694;top:1450;width:2;height:10841" coordorigin="2694,1450" coordsize="2,10841">
              <v:shape style="position:absolute;left:2694;top:1450;width:2;height:10841" coordorigin="2694,1450" coordsize="0,10841" path="m2694,1450l2694,12290e" filled="false" stroked="true" strokeweight=".48pt" strokecolor="#000000">
                <v:path arrowok="t"/>
              </v:shape>
            </v:group>
            <v:group style="position:absolute;left:3262;top:1450;width:2;height:10841" coordorigin="3262,1450" coordsize="2,10841">
              <v:shape style="position:absolute;left:3262;top:1450;width:2;height:10841" coordorigin="3262,1450" coordsize="0,10841" path="m3262,1450l3262,12290e" filled="false" stroked="true" strokeweight=".48001pt" strokecolor="#000000">
                <v:path arrowok="t"/>
              </v:shape>
            </v:group>
            <v:group style="position:absolute;left:8647;top:1450;width:2;height:10841" coordorigin="8647,1450" coordsize="2,10841">
              <v:shape style="position:absolute;left:8647;top:1450;width:2;height:10841" coordorigin="8647,1450" coordsize="0,10841" path="m8647,1450l8647,12290e" filled="false" stroked="true" strokeweight=".47998pt" strokecolor="#000000">
                <v:path arrowok="t"/>
              </v:shape>
            </v:group>
            <v:group style="position:absolute;left:9072;top:1450;width:2;height:10841" coordorigin="9072,1450" coordsize="2,10841">
              <v:shape style="position:absolute;left:9072;top:1450;width:2;height:10841" coordorigin="9072,1450" coordsize="0,10841" path="m9072,1450l9072,12290e" filled="false" stroked="true" strokeweight=".47998pt" strokecolor="#000000">
                <v:path arrowok="t"/>
              </v:shape>
            </v:group>
            <v:group style="position:absolute;left:9594;top:1450;width:2;height:10841" coordorigin="9594,1450" coordsize="2,10841">
              <v:shape style="position:absolute;left:9594;top:1450;width:2;height:10841" coordorigin="9594,1450" coordsize="0,10841" path="m9594,1450l9594,12290e" filled="false" stroked="true" strokeweight=".48001pt" strokecolor="#000000">
                <v:path arrowok="t"/>
              </v:shape>
            </v:group>
            <v:group style="position:absolute;left:1139;top:12290;width:842;height:2930" coordorigin="1139,12290" coordsize="842,2930">
              <v:shape style="position:absolute;left:1139;top:12290;width:842;height:2930" coordorigin="1139,12290" coordsize="842,2930" path="m1139,15220l1980,15220,1980,12290,1139,12290,1139,15220xe" filled="true" fillcolor="#d3d3d3" stroked="false">
                <v:path arrowok="t"/>
                <v:fill type="solid"/>
              </v:shape>
            </v:group>
            <v:group style="position:absolute;left:1990;top:15120;width:700;height:100" coordorigin="1990,15120" coordsize="700,100">
              <v:shape style="position:absolute;left:1990;top:15120;width:700;height:100" coordorigin="1990,15120" coordsize="700,100" path="m1990,15220l2689,15220,2689,15120,1990,15120,1990,15220xe" filled="true" fillcolor="#c7edcc" stroked="false">
                <v:path arrowok="t"/>
                <v:fill type="solid"/>
              </v:shape>
            </v:group>
            <v:group style="position:absolute;left:2001;top:12400;width:2;height:2720" coordorigin="2001,12400" coordsize="2,2720">
              <v:shape style="position:absolute;left:2001;top:12400;width:2;height:2720" coordorigin="2001,12400" coordsize="0,2720" path="m2001,12400l2001,15120e" filled="false" stroked="true" strokeweight="1.140pt" strokecolor="#c7edcc">
                <v:path arrowok="t"/>
              </v:shape>
            </v:group>
            <v:group style="position:absolute;left:1990;top:12300;width:700;height:100" coordorigin="1990,12300" coordsize="700,100">
              <v:shape style="position:absolute;left:1990;top:12300;width:700;height:100" coordorigin="1990,12300" coordsize="700,100" path="m1990,12400l2689,12400,2689,12300,1990,12300,1990,12400xe" filled="true" fillcolor="#c7edcc" stroked="false">
                <v:path arrowok="t"/>
                <v:fill type="solid"/>
              </v:shape>
            </v:group>
            <v:group style="position:absolute;left:2678;top:12400;width:2;height:2721" coordorigin="2678,12400" coordsize="2,2721">
              <v:shape style="position:absolute;left:2678;top:12400;width:2;height:2721" coordorigin="2678,12400" coordsize="0,2721" path="m2678,12400l2678,15120e" filled="false" stroked="true" strokeweight="1.140pt" strokecolor="#c7edcc">
                <v:path arrowok="t"/>
              </v:shape>
            </v:group>
            <v:group style="position:absolute;left:2012;top:12400;width:654;height:281" coordorigin="2012,12400" coordsize="654,281">
              <v:shape style="position:absolute;left:2012;top:12400;width:654;height:281" coordorigin="2012,12400" coordsize="654,281" path="m2012,12680l2666,12680,2666,12400,2012,12400,2012,12680xe" filled="true" fillcolor="#c7edcc" stroked="false">
                <v:path arrowok="t"/>
                <v:fill type="solid"/>
              </v:shape>
            </v:group>
            <v:group style="position:absolute;left:2012;top:12680;width:654;height:240" coordorigin="2012,12680" coordsize="654,240">
              <v:shape style="position:absolute;left:2012;top:12680;width:654;height:240" coordorigin="2012,12680" coordsize="654,240" path="m2012,12920l2666,12920,2666,12680,2012,12680,2012,12920xe" filled="true" fillcolor="#c7edcc" stroked="false">
                <v:path arrowok="t"/>
                <v:fill type="solid"/>
              </v:shape>
            </v:group>
            <v:group style="position:absolute;left:2012;top:12920;width:654;height:240" coordorigin="2012,12920" coordsize="654,240">
              <v:shape style="position:absolute;left:2012;top:12920;width:654;height:240" coordorigin="2012,12920" coordsize="654,240" path="m2012,13160l2666,13160,2666,12920,2012,12920,2012,13160xe" filled="true" fillcolor="#c7edcc" stroked="false">
                <v:path arrowok="t"/>
                <v:fill type="solid"/>
              </v:shape>
            </v:group>
            <v:group style="position:absolute;left:2012;top:13160;width:654;height:240" coordorigin="2012,13160" coordsize="654,240">
              <v:shape style="position:absolute;left:2012;top:13160;width:654;height:240" coordorigin="2012,13160" coordsize="654,240" path="m2012,13400l2666,13400,2666,13160,2012,13160,2012,13400xe" filled="true" fillcolor="#c7edcc" stroked="false">
                <v:path arrowok="t"/>
                <v:fill type="solid"/>
              </v:shape>
            </v:group>
            <v:group style="position:absolute;left:2012;top:13400;width:654;height:240" coordorigin="2012,13400" coordsize="654,240">
              <v:shape style="position:absolute;left:2012;top:13400;width:654;height:240" coordorigin="2012,13400" coordsize="654,240" path="m2012,13640l2666,13640,2666,13400,2012,13400,2012,13640xe" filled="true" fillcolor="#c7edcc" stroked="false">
                <v:path arrowok="t"/>
                <v:fill type="solid"/>
              </v:shape>
            </v:group>
            <v:group style="position:absolute;left:2012;top:13640;width:654;height:240" coordorigin="2012,13640" coordsize="654,240">
              <v:shape style="position:absolute;left:2012;top:13640;width:654;height:240" coordorigin="2012,13640" coordsize="654,240" path="m2012,13880l2666,13880,2666,13640,2012,13640,2012,13880xe" filled="true" fillcolor="#c7edcc" stroked="false">
                <v:path arrowok="t"/>
                <v:fill type="solid"/>
              </v:shape>
            </v:group>
            <v:group style="position:absolute;left:2012;top:13880;width:654;height:240" coordorigin="2012,13880" coordsize="654,240">
              <v:shape style="position:absolute;left:2012;top:13880;width:654;height:240" coordorigin="2012,13880" coordsize="654,240" path="m2012,14120l2666,14120,2666,13880,2012,13880,2012,14120xe" filled="true" fillcolor="#c7edcc" stroked="false">
                <v:path arrowok="t"/>
                <v:fill type="solid"/>
              </v:shape>
            </v:group>
            <v:group style="position:absolute;left:2012;top:14120;width:654;height:240" coordorigin="2012,14120" coordsize="654,240">
              <v:shape style="position:absolute;left:2012;top:14120;width:654;height:240" coordorigin="2012,14120" coordsize="654,240" path="m2012,14360l2666,14360,2666,14120,2012,14120,2012,14360xe" filled="true" fillcolor="#c7edcc" stroked="false">
                <v:path arrowok="t"/>
                <v:fill type="solid"/>
              </v:shape>
            </v:group>
            <v:group style="position:absolute;left:2012;top:14360;width:654;height:240" coordorigin="2012,14360" coordsize="654,240">
              <v:shape style="position:absolute;left:2012;top:14360;width:654;height:240" coordorigin="2012,14360" coordsize="654,240" path="m2012,14600l2666,14600,2666,14360,2012,14360,2012,14600xe" filled="true" fillcolor="#c7edcc" stroked="false">
                <v:path arrowok="t"/>
                <v:fill type="solid"/>
              </v:shape>
            </v:group>
            <v:group style="position:absolute;left:2012;top:14600;width:654;height:240" coordorigin="2012,14600" coordsize="654,240">
              <v:shape style="position:absolute;left:2012;top:14600;width:654;height:240" coordorigin="2012,14600" coordsize="654,240" path="m2012,14840l2666,14840,2666,14600,2012,14600,2012,14840xe" filled="true" fillcolor="#c7edcc" stroked="false">
                <v:path arrowok="t"/>
                <v:fill type="solid"/>
              </v:shape>
            </v:group>
            <v:group style="position:absolute;left:2012;top:14840;width:654;height:280" coordorigin="2012,14840" coordsize="654,280">
              <v:shape style="position:absolute;left:2012;top:14840;width:654;height:280" coordorigin="2012,14840" coordsize="654,280" path="m2012,15120l2666,15120,2666,14840,2012,14840,2012,15120xe" filled="true" fillcolor="#c7edcc" stroked="false">
                <v:path arrowok="t"/>
                <v:fill type="solid"/>
              </v:shape>
            </v:group>
            <v:group style="position:absolute;left:2699;top:14040;width:557;height:1180" coordorigin="2699,14040" coordsize="557,1180">
              <v:shape style="position:absolute;left:2699;top:14040;width:557;height:1180" coordorigin="2699,14040" coordsize="557,1180" path="m2699,15220l3256,15220,3256,14040,2699,14040,2699,15220xe" filled="true" fillcolor="#c7edcc" stroked="false">
                <v:path arrowok="t"/>
                <v:fill type="solid"/>
              </v:shape>
            </v:group>
            <v:group style="position:absolute;left:2710;top:13480;width:2;height:560" coordorigin="2710,13480" coordsize="2,560">
              <v:shape style="position:absolute;left:2710;top:13480;width:2;height:560" coordorigin="2710,13480" coordsize="0,560" path="m2710,13480l2710,14040e" filled="false" stroked="true" strokeweight="1.140pt" strokecolor="#c7edcc">
                <v:path arrowok="t"/>
              </v:shape>
            </v:group>
            <v:group style="position:absolute;left:2699;top:12300;width:557;height:1180" coordorigin="2699,12300" coordsize="557,1180">
              <v:shape style="position:absolute;left:2699;top:12300;width:557;height:1180" coordorigin="2699,12300" coordsize="557,1180" path="m2699,13480l3256,13480,3256,12300,2699,12300,2699,13480xe" filled="true" fillcolor="#c7edcc" stroked="false">
                <v:path arrowok="t"/>
                <v:fill type="solid"/>
              </v:shape>
            </v:group>
            <v:group style="position:absolute;left:3244;top:13480;width:2;height:561" coordorigin="3244,13480" coordsize="2,561">
              <v:shape style="position:absolute;left:3244;top:13480;width:2;height:561" coordorigin="3244,13480" coordsize="0,561" path="m3244,13480l3244,14040e" filled="false" stroked="true" strokeweight="1.140pt" strokecolor="#c7edcc">
                <v:path arrowok="t"/>
              </v:shape>
            </v:group>
            <v:group style="position:absolute;left:2722;top:13480;width:512;height:281" coordorigin="2722,13480" coordsize="512,281">
              <v:shape style="position:absolute;left:2722;top:13480;width:512;height:281" coordorigin="2722,13480" coordsize="512,281" path="m2722,13760l3233,13760,3233,13480,2722,13480,2722,13760xe" filled="true" fillcolor="#c7edcc" stroked="false">
                <v:path arrowok="t"/>
                <v:fill type="solid"/>
              </v:shape>
            </v:group>
            <v:group style="position:absolute;left:2722;top:13760;width:512;height:280" coordorigin="2722,13760" coordsize="512,280">
              <v:shape style="position:absolute;left:2722;top:13760;width:512;height:280" coordorigin="2722,13760" coordsize="512,280" path="m2722,14040l3233,14040,3233,13760,2722,13760,2722,14040xe" filled="true" fillcolor="#c7edcc" stroked="false">
                <v:path arrowok="t"/>
                <v:fill type="solid"/>
              </v:shape>
            </v:group>
            <v:group style="position:absolute;left:3278;top:12300;width:2;height:2920" coordorigin="3278,12300" coordsize="2,2920">
              <v:shape style="position:absolute;left:3278;top:12300;width:2;height:2920" coordorigin="3278,12300" coordsize="0,2920" path="m3278,12300l3278,15220e" filled="false" stroked="true" strokeweight="1.140pt" strokecolor="#c7edcc">
                <v:path arrowok="t"/>
              </v:shape>
            </v:group>
            <v:group style="position:absolute;left:8630;top:12300;width:2;height:2920" coordorigin="8630,12300" coordsize="2,2920">
              <v:shape style="position:absolute;left:8630;top:12300;width:2;height:2920" coordorigin="8630,12300" coordsize="0,2920" path="m8630,12300l8630,15220e" filled="false" stroked="true" strokeweight="1.2pt" strokecolor="#c7edcc">
                <v:path arrowok="t"/>
              </v:shape>
            </v:group>
            <v:group style="position:absolute;left:3289;top:12300;width:5330;height:280" coordorigin="3289,12300" coordsize="5330,280">
              <v:shape style="position:absolute;left:3289;top:12300;width:5330;height:280" coordorigin="3289,12300" coordsize="5330,280" path="m3289,12580l8618,12580,8618,12300,3289,12300,3289,12580xe" filled="true" fillcolor="#c7edcc" stroked="false">
                <v:path arrowok="t"/>
                <v:fill type="solid"/>
              </v:shape>
            </v:group>
            <v:group style="position:absolute;left:3289;top:12580;width:5330;height:240" coordorigin="3289,12580" coordsize="5330,240">
              <v:shape style="position:absolute;left:3289;top:12580;width:5330;height:240" coordorigin="3289,12580" coordsize="5330,240" path="m3289,12820l8618,12820,8618,12580,3289,12580,3289,12820xe" filled="true" fillcolor="#c7edcc" stroked="false">
                <v:path arrowok="t"/>
                <v:fill type="solid"/>
              </v:shape>
            </v:group>
            <v:group style="position:absolute;left:3289;top:12820;width:5330;height:240" coordorigin="3289,12820" coordsize="5330,240">
              <v:shape style="position:absolute;left:3289;top:12820;width:5330;height:240" coordorigin="3289,12820" coordsize="5330,240" path="m3289,13060l8618,13060,8618,12820,3289,12820,3289,13060xe" filled="true" fillcolor="#c7edcc" stroked="false">
                <v:path arrowok="t"/>
                <v:fill type="solid"/>
              </v:shape>
            </v:group>
            <v:group style="position:absolute;left:3289;top:13060;width:5330;height:240" coordorigin="3289,13060" coordsize="5330,240">
              <v:shape style="position:absolute;left:3289;top:13060;width:5330;height:240" coordorigin="3289,13060" coordsize="5330,240" path="m3289,13300l8618,13300,8618,13060,3289,13060,3289,13300xe" filled="true" fillcolor="#c7edcc" stroked="false">
                <v:path arrowok="t"/>
                <v:fill type="solid"/>
              </v:shape>
            </v:group>
            <v:group style="position:absolute;left:3289;top:13300;width:5330;height:240" coordorigin="3289,13300" coordsize="5330,240">
              <v:shape style="position:absolute;left:3289;top:13300;width:5330;height:240" coordorigin="3289,13300" coordsize="5330,240" path="m3289,13540l8618,13540,8618,13300,3289,13300,3289,13540xe" filled="true" fillcolor="#c7edcc" stroked="false">
                <v:path arrowok="t"/>
                <v:fill type="solid"/>
              </v:shape>
            </v:group>
            <v:group style="position:absolute;left:3289;top:13540;width:5330;height:240" coordorigin="3289,13540" coordsize="5330,240">
              <v:shape style="position:absolute;left:3289;top:13540;width:5330;height:240" coordorigin="3289,13540" coordsize="5330,240" path="m3289,13780l8618,13780,8618,13540,3289,13540,3289,13780xe" filled="true" fillcolor="#c7edcc" stroked="false">
                <v:path arrowok="t"/>
                <v:fill type="solid"/>
              </v:shape>
            </v:group>
            <v:group style="position:absolute;left:3289;top:13780;width:5330;height:240" coordorigin="3289,13780" coordsize="5330,240">
              <v:shape style="position:absolute;left:3289;top:13780;width:5330;height:240" coordorigin="3289,13780" coordsize="5330,240" path="m3289,14020l8618,14020,8618,13780,3289,13780,3289,14020xe" filled="true" fillcolor="#c7edcc" stroked="false">
                <v:path arrowok="t"/>
                <v:fill type="solid"/>
              </v:shape>
            </v:group>
            <v:group style="position:absolute;left:3289;top:14020;width:5330;height:240" coordorigin="3289,14020" coordsize="5330,240">
              <v:shape style="position:absolute;left:3289;top:14020;width:5330;height:240" coordorigin="3289,14020" coordsize="5330,240" path="m3289,14260l8618,14260,8618,14020,3289,14020,3289,14260xe" filled="true" fillcolor="#c7edcc" stroked="false">
                <v:path arrowok="t"/>
                <v:fill type="solid"/>
              </v:shape>
            </v:group>
            <v:group style="position:absolute;left:3289;top:14260;width:5330;height:240" coordorigin="3289,14260" coordsize="5330,240">
              <v:shape style="position:absolute;left:3289;top:14260;width:5330;height:240" coordorigin="3289,14260" coordsize="5330,240" path="m3289,14500l8618,14500,8618,14260,3289,14260,3289,14500xe" filled="true" fillcolor="#c7edcc" stroked="false">
                <v:path arrowok="t"/>
                <v:fill type="solid"/>
              </v:shape>
            </v:group>
            <v:group style="position:absolute;left:3289;top:14500;width:5330;height:240" coordorigin="3289,14500" coordsize="5330,240">
              <v:shape style="position:absolute;left:3289;top:14500;width:5330;height:240" coordorigin="3289,14500" coordsize="5330,240" path="m3289,14740l8618,14740,8618,14500,3289,14500,3289,14740xe" filled="true" fillcolor="#c7edcc" stroked="false">
                <v:path arrowok="t"/>
                <v:fill type="solid"/>
              </v:shape>
            </v:group>
            <v:group style="position:absolute;left:3289;top:14740;width:5330;height:240" coordorigin="3289,14740" coordsize="5330,240">
              <v:shape style="position:absolute;left:3289;top:14740;width:5330;height:240" coordorigin="3289,14740" coordsize="5330,240" path="m3289,14980l8618,14980,8618,14740,3289,14740,3289,14980xe" filled="true" fillcolor="#c7edcc" stroked="false">
                <v:path arrowok="t"/>
                <v:fill type="solid"/>
              </v:shape>
            </v:group>
            <v:group style="position:absolute;left:3289;top:14980;width:5330;height:240" coordorigin="3289,14980" coordsize="5330,240">
              <v:shape style="position:absolute;left:3289;top:14980;width:5330;height:240" coordorigin="3289,14980" coordsize="5330,240" path="m3289,15220l8618,15220,8618,14980,3289,14980,3289,15220xe" filled="true" fillcolor="#c7edcc" stroked="false">
                <v:path arrowok="t"/>
                <v:fill type="solid"/>
              </v:shape>
            </v:group>
            <v:group style="position:absolute;left:8663;top:13000;width:2;height:1520" coordorigin="8663,13000" coordsize="2,1520">
              <v:shape style="position:absolute;left:8663;top:13000;width:2;height:1520" coordorigin="8663,13000" coordsize="0,1520" path="m8663,13000l8663,14520e" filled="false" stroked="true" strokeweight="1.140pt" strokecolor="#ffffff">
                <v:path arrowok="t"/>
              </v:shape>
            </v:group>
            <v:group style="position:absolute;left:8652;top:12300;width:416;height:700" coordorigin="8652,12300" coordsize="416,700">
              <v:shape style="position:absolute;left:8652;top:12300;width:416;height:700" coordorigin="8652,12300" coordsize="416,700" path="m8652,13000l9067,13000,9067,12300,8652,12300,8652,13000xe" filled="true" fillcolor="#ffffff" stroked="false">
                <v:path arrowok="t"/>
                <v:fill type="solid"/>
              </v:shape>
            </v:group>
            <v:group style="position:absolute;left:8675;top:13000;width:370;height:281" coordorigin="8675,13000" coordsize="370,281">
              <v:shape style="position:absolute;left:8675;top:13000;width:370;height:281" coordorigin="8675,13000" coordsize="370,281" path="m8675,13280l9044,13280,9044,13000,8675,13000,8675,13280xe" filled="true" fillcolor="#ffffff" stroked="false">
                <v:path arrowok="t"/>
                <v:fill type="solid"/>
              </v:shape>
            </v:group>
            <v:group style="position:absolute;left:9077;top:13920;width:513;height:1300" coordorigin="9077,13920" coordsize="513,1300">
              <v:shape style="position:absolute;left:9077;top:13920;width:513;height:1300" coordorigin="9077,13920" coordsize="513,1300" path="m9077,15220l9589,15220,9589,13920,9077,13920,9077,15220xe" filled="true" fillcolor="#c7edcc" stroked="false">
                <v:path arrowok="t"/>
                <v:fill type="solid"/>
              </v:shape>
            </v:group>
            <v:group style="position:absolute;left:9088;top:13600;width:2;height:320" coordorigin="9088,13600" coordsize="2,320">
              <v:shape style="position:absolute;left:9088;top:13600;width:2;height:320" coordorigin="9088,13600" coordsize="0,320" path="m9088,13600l9088,13920e" filled="false" stroked="true" strokeweight="1.140pt" strokecolor="#c7edcc">
                <v:path arrowok="t"/>
              </v:shape>
            </v:group>
            <v:group style="position:absolute;left:9077;top:12300;width:513;height:1300" coordorigin="9077,12300" coordsize="513,1300">
              <v:shape style="position:absolute;left:9077;top:12300;width:513;height:1300" coordorigin="9077,12300" coordsize="513,1300" path="m9077,13600l9589,13600,9589,12300,9077,12300,9077,13600xe" filled="true" fillcolor="#c7edcc" stroked="false">
                <v:path arrowok="t"/>
                <v:fill type="solid"/>
              </v:shape>
            </v:group>
            <v:group style="position:absolute;left:9578;top:13600;width:2;height:321" coordorigin="9578,13600" coordsize="2,321">
              <v:shape style="position:absolute;left:9578;top:13600;width:2;height:321" coordorigin="9578,13600" coordsize="0,321" path="m9578,13600l9578,13920e" filled="false" stroked="true" strokeweight="1.140pt" strokecolor="#c7edcc">
                <v:path arrowok="t"/>
              </v:shape>
            </v:group>
            <v:group style="position:absolute;left:9100;top:13600;width:467;height:321" coordorigin="9100,13600" coordsize="467,321">
              <v:shape style="position:absolute;left:9100;top:13600;width:467;height:321" coordorigin="9100,13600" coordsize="467,321" path="m9100,13920l9566,13920,9566,13600,9100,13600,9100,13920xe" filled="true" fillcolor="#c7edcc" stroked="false">
                <v:path arrowok="t"/>
                <v:fill type="solid"/>
              </v:shape>
            </v:group>
            <v:group style="position:absolute;left:9599;top:15120;width:1097;height:100" coordorigin="9599,15120" coordsize="1097,100">
              <v:shape style="position:absolute;left:9599;top:15120;width:1097;height:100" coordorigin="9599,15120" coordsize="1097,100" path="m9599,15220l10696,15220,10696,15120,9599,15120,9599,15220xe" filled="true" fillcolor="#c7edcc" stroked="false">
                <v:path arrowok="t"/>
                <v:fill type="solid"/>
              </v:shape>
            </v:group>
            <v:group style="position:absolute;left:9610;top:12400;width:2;height:2720" coordorigin="9610,12400" coordsize="2,2720">
              <v:shape style="position:absolute;left:9610;top:12400;width:2;height:2720" coordorigin="9610,12400" coordsize="0,2720" path="m9610,12400l9610,15120e" filled="false" stroked="true" strokeweight="1.140pt" strokecolor="#c7edcc">
                <v:path arrowok="t"/>
              </v:shape>
            </v:group>
            <v:group style="position:absolute;left:9599;top:12300;width:1097;height:100" coordorigin="9599,12300" coordsize="1097,100">
              <v:shape style="position:absolute;left:9599;top:12300;width:1097;height:100" coordorigin="9599,12300" coordsize="1097,100" path="m9599,12400l10696,12400,10696,12300,9599,12300,9599,12400xe" filled="true" fillcolor="#c7edcc" stroked="false">
                <v:path arrowok="t"/>
                <v:fill type="solid"/>
              </v:shape>
            </v:group>
            <v:group style="position:absolute;left:10684;top:12400;width:2;height:2721" coordorigin="10684,12400" coordsize="2,2721">
              <v:shape style="position:absolute;left:10684;top:12400;width:2;height:2721" coordorigin="10684,12400" coordsize="0,2721" path="m10684,12400l10684,15120e" filled="false" stroked="true" strokeweight="1.140pt" strokecolor="#c7edcc">
                <v:path arrowok="t"/>
              </v:shape>
            </v:group>
            <v:group style="position:absolute;left:9622;top:12400;width:1052;height:281" coordorigin="9622,12400" coordsize="1052,281">
              <v:shape style="position:absolute;left:9622;top:12400;width:1052;height:281" coordorigin="9622,12400" coordsize="1052,281" path="m9622,12680l10673,12680,10673,12400,9622,12400,9622,12680xe" filled="true" fillcolor="#c7edcc" stroked="false">
                <v:path arrowok="t"/>
                <v:fill type="solid"/>
              </v:shape>
            </v:group>
            <v:group style="position:absolute;left:9622;top:12680;width:1052;height:240" coordorigin="9622,12680" coordsize="1052,240">
              <v:shape style="position:absolute;left:9622;top:12680;width:1052;height:240" coordorigin="9622,12680" coordsize="1052,240" path="m9622,12920l10673,12920,10673,12680,9622,12680,9622,12920xe" filled="true" fillcolor="#c7edcc" stroked="false">
                <v:path arrowok="t"/>
                <v:fill type="solid"/>
              </v:shape>
            </v:group>
            <v:group style="position:absolute;left:9622;top:12920;width:1052;height:240" coordorigin="9622,12920" coordsize="1052,240">
              <v:shape style="position:absolute;left:9622;top:12920;width:1052;height:240" coordorigin="9622,12920" coordsize="1052,240" path="m9622,13160l10673,13160,10673,12920,9622,12920,9622,13160xe" filled="true" fillcolor="#c7edcc" stroked="false">
                <v:path arrowok="t"/>
                <v:fill type="solid"/>
              </v:shape>
            </v:group>
            <v:group style="position:absolute;left:9622;top:13160;width:1052;height:240" coordorigin="9622,13160" coordsize="1052,240">
              <v:shape style="position:absolute;left:9622;top:13160;width:1052;height:240" coordorigin="9622,13160" coordsize="1052,240" path="m9622,13400l10673,13400,10673,13160,9622,13160,9622,13400xe" filled="true" fillcolor="#c7edcc" stroked="false">
                <v:path arrowok="t"/>
                <v:fill type="solid"/>
              </v:shape>
            </v:group>
            <v:group style="position:absolute;left:9622;top:13400;width:1052;height:240" coordorigin="9622,13400" coordsize="1052,240">
              <v:shape style="position:absolute;left:9622;top:13400;width:1052;height:240" coordorigin="9622,13400" coordsize="1052,240" path="m9622,13640l10673,13640,10673,13400,9622,13400,9622,13640xe" filled="true" fillcolor="#c7edcc" stroked="false">
                <v:path arrowok="t"/>
                <v:fill type="solid"/>
              </v:shape>
            </v:group>
            <v:group style="position:absolute;left:9622;top:13640;width:1052;height:240" coordorigin="9622,13640" coordsize="1052,240">
              <v:shape style="position:absolute;left:9622;top:13640;width:1052;height:240" coordorigin="9622,13640" coordsize="1052,240" path="m9622,13880l10673,13880,10673,13640,9622,13640,9622,13880xe" filled="true" fillcolor="#c7edcc" stroked="false">
                <v:path arrowok="t"/>
                <v:fill type="solid"/>
              </v:shape>
            </v:group>
            <v:group style="position:absolute;left:9622;top:13880;width:1052;height:240" coordorigin="9622,13880" coordsize="1052,240">
              <v:shape style="position:absolute;left:9622;top:13880;width:1052;height:240" coordorigin="9622,13880" coordsize="1052,240" path="m9622,14120l10673,14120,10673,13880,9622,13880,9622,14120xe" filled="true" fillcolor="#c7edcc" stroked="false">
                <v:path arrowok="t"/>
                <v:fill type="solid"/>
              </v:shape>
            </v:group>
            <v:group style="position:absolute;left:9622;top:14120;width:1052;height:240" coordorigin="9622,14120" coordsize="1052,240">
              <v:shape style="position:absolute;left:9622;top:14120;width:1052;height:240" coordorigin="9622,14120" coordsize="1052,240" path="m9622,14360l10673,14360,10673,14120,9622,14120,9622,14360xe" filled="true" fillcolor="#c7edcc" stroked="false">
                <v:path arrowok="t"/>
                <v:fill type="solid"/>
              </v:shape>
            </v:group>
            <v:group style="position:absolute;left:9622;top:14360;width:1052;height:240" coordorigin="9622,14360" coordsize="1052,240">
              <v:shape style="position:absolute;left:9622;top:14360;width:1052;height:240" coordorigin="9622,14360" coordsize="1052,240" path="m9622,14600l10673,14600,10673,14360,9622,14360,9622,14600xe" filled="true" fillcolor="#c7edcc" stroked="false">
                <v:path arrowok="t"/>
                <v:fill type="solid"/>
              </v:shape>
            </v:group>
            <v:group style="position:absolute;left:9622;top:14600;width:1052;height:240" coordorigin="9622,14600" coordsize="1052,240">
              <v:shape style="position:absolute;left:9622;top:14600;width:1052;height:240" coordorigin="9622,14600" coordsize="1052,240" path="m9622,14840l10673,14840,10673,14600,9622,14600,9622,14840xe" filled="true" fillcolor="#c7edcc" stroked="false">
                <v:path arrowok="t"/>
                <v:fill type="solid"/>
              </v:shape>
            </v:group>
            <v:group style="position:absolute;left:9622;top:14840;width:1052;height:280" coordorigin="9622,14840" coordsize="1052,280">
              <v:shape style="position:absolute;left:9622;top:14840;width:1052;height:280" coordorigin="9622,14840" coordsize="1052,280" path="m9622,15120l10673,15120,10673,14840,9622,14840,9622,15120xe" filled="true" fillcolor="#c7edcc" stroked="false">
                <v:path arrowok="t"/>
                <v:fill type="solid"/>
              </v:shape>
            </v:group>
            <v:group style="position:absolute;left:1980;top:12295;width:8727;height:2" coordorigin="1980,12295" coordsize="8727,2">
              <v:shape style="position:absolute;left:1980;top:12295;width:8727;height:2" coordorigin="1980,12295" coordsize="8727,0" path="m1980,12295l10706,12295e" filled="false" stroked="true" strokeweight=".48pt" strokecolor="#000000">
                <v:path arrowok="t"/>
              </v:shape>
            </v:group>
            <v:group style="position:absolute;left:1134;top:1440;width:2;height:13791" coordorigin="1134,1440" coordsize="2,13791">
              <v:shape style="position:absolute;left:1134;top:1440;width:2;height:13791" coordorigin="1134,1440" coordsize="0,13791" path="m1134,1440l1134,15230e" filled="false" stroked="true" strokeweight=".48001pt" strokecolor="#000000">
                <v:path arrowok="t"/>
              </v:shape>
            </v:group>
            <v:group style="position:absolute;left:1129;top:15226;width:851;height:2" coordorigin="1129,15226" coordsize="851,2">
              <v:shape style="position:absolute;left:1129;top:15226;width:851;height:2" coordorigin="1129,15226" coordsize="851,0" path="m1129,15226l1980,15226e" filled="false" stroked="true" strokeweight=".47998pt" strokecolor="#000000">
                <v:path arrowok="t"/>
              </v:shape>
            </v:group>
            <v:group style="position:absolute;left:1985;top:12300;width:2;height:2931" coordorigin="1985,12300" coordsize="2,2931">
              <v:shape style="position:absolute;left:1985;top:12300;width:2;height:2931" coordorigin="1985,12300" coordsize="0,2931" path="m1985,12300l1985,15230e" filled="false" stroked="true" strokeweight=".48pt" strokecolor="#000000">
                <v:path arrowok="t"/>
              </v:shape>
            </v:group>
            <v:group style="position:absolute;left:1990;top:15226;width:700;height:2" coordorigin="1990,15226" coordsize="700,2">
              <v:shape style="position:absolute;left:1990;top:15226;width:700;height:2" coordorigin="1990,15226" coordsize="700,0" path="m1990,15226l2689,15226e" filled="false" stroked="true" strokeweight=".47998pt" strokecolor="#000000">
                <v:path arrowok="t"/>
              </v:shape>
            </v:group>
            <v:group style="position:absolute;left:2694;top:12300;width:2;height:2931" coordorigin="2694,12300" coordsize="2,2931">
              <v:shape style="position:absolute;left:2694;top:12300;width:2;height:2931" coordorigin="2694,12300" coordsize="0,2931" path="m2694,12300l2694,15230e" filled="false" stroked="true" strokeweight=".48pt" strokecolor="#000000">
                <v:path arrowok="t"/>
              </v:shape>
            </v:group>
            <v:group style="position:absolute;left:2699;top:15226;width:558;height:2" coordorigin="2699,15226" coordsize="558,2">
              <v:shape style="position:absolute;left:2699;top:15226;width:558;height:2" coordorigin="2699,15226" coordsize="558,0" path="m2699,15226l3257,15226e" filled="false" stroked="true" strokeweight=".47998pt" strokecolor="#000000">
                <v:path arrowok="t"/>
              </v:shape>
            </v:group>
            <v:group style="position:absolute;left:3262;top:12300;width:2;height:2931" coordorigin="3262,12300" coordsize="2,2931">
              <v:shape style="position:absolute;left:3262;top:12300;width:2;height:2931" coordorigin="3262,12300" coordsize="0,2931" path="m3262,12300l3262,15230e" filled="false" stroked="true" strokeweight=".48001pt" strokecolor="#000000">
                <v:path arrowok="t"/>
              </v:shape>
            </v:group>
            <v:group style="position:absolute;left:3266;top:15226;width:5376;height:2" coordorigin="3266,15226" coordsize="5376,2">
              <v:shape style="position:absolute;left:3266;top:15226;width:5376;height:2" coordorigin="3266,15226" coordsize="5376,0" path="m3266,15226l8642,15226e" filled="false" stroked="true" strokeweight=".47998pt" strokecolor="#000000">
                <v:path arrowok="t"/>
              </v:shape>
            </v:group>
            <v:group style="position:absolute;left:8647;top:12300;width:2;height:2931" coordorigin="8647,12300" coordsize="2,2931">
              <v:shape style="position:absolute;left:8647;top:12300;width:2;height:2931" coordorigin="8647,12300" coordsize="0,2931" path="m8647,12300l8647,15230e" filled="false" stroked="true" strokeweight=".47998pt" strokecolor="#000000">
                <v:path arrowok="t"/>
              </v:shape>
            </v:group>
            <v:group style="position:absolute;left:8652;top:15226;width:416;height:2" coordorigin="8652,15226" coordsize="416,2">
              <v:shape style="position:absolute;left:8652;top:15226;width:416;height:2" coordorigin="8652,15226" coordsize="416,0" path="m8652,15226l9067,15226e" filled="false" stroked="true" strokeweight=".47998pt" strokecolor="#000000">
                <v:path arrowok="t"/>
              </v:shape>
            </v:group>
            <v:group style="position:absolute;left:9072;top:12300;width:2;height:2931" coordorigin="9072,12300" coordsize="2,2931">
              <v:shape style="position:absolute;left:9072;top:12300;width:2;height:2931" coordorigin="9072,12300" coordsize="0,2931" path="m9072,12300l9072,15230e" filled="false" stroked="true" strokeweight=".47998pt" strokecolor="#000000">
                <v:path arrowok="t"/>
              </v:shape>
            </v:group>
            <v:group style="position:absolute;left:9077;top:15226;width:513;height:2" coordorigin="9077,15226" coordsize="513,2">
              <v:shape style="position:absolute;left:9077;top:15226;width:513;height:2" coordorigin="9077,15226" coordsize="513,0" path="m9077,15226l9589,15226e" filled="false" stroked="true" strokeweight=".47998pt" strokecolor="#000000">
                <v:path arrowok="t"/>
              </v:shape>
            </v:group>
            <v:group style="position:absolute;left:9594;top:12300;width:2;height:2931" coordorigin="9594,12300" coordsize="2,2931">
              <v:shape style="position:absolute;left:9594;top:12300;width:2;height:2931" coordorigin="9594,12300" coordsize="0,2931" path="m9594,12300l9594,15230e" filled="false" stroked="true" strokeweight=".48001pt" strokecolor="#000000">
                <v:path arrowok="t"/>
              </v:shape>
            </v:group>
            <v:group style="position:absolute;left:9599;top:15226;width:1098;height:2" coordorigin="9599,15226" coordsize="1098,2">
              <v:shape style="position:absolute;left:9599;top:15226;width:1098;height:2" coordorigin="9599,15226" coordsize="1098,0" path="m9599,15226l10697,15226e" filled="false" stroked="true" strokeweight=".47998pt" strokecolor="#000000">
                <v:path arrowok="t"/>
              </v:shape>
            </v:group>
            <v:group style="position:absolute;left:10702;top:1440;width:2;height:13791" coordorigin="10702,1440" coordsize="2,13791">
              <v:shape style="position:absolute;left:10702;top:1440;width:2;height:13791" coordorigin="10702,1440" coordsize="0,13791" path="m10702,1440l10702,15230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4" w:lineRule="auto"/>
        <w:ind w:left="1032" w:right="0"/>
        <w:jc w:val="left"/>
        <w:rPr>
          <w:rFonts w:ascii="Times New Roman" w:hAnsi="Times New Roman" w:cs="Times New Roman" w:eastAsia="Times New Roman" w:hint="default"/>
        </w:rPr>
      </w:pPr>
      <w:r>
        <w:rPr/>
        <w:t>杭州日 报报业 集团有 限公司</w:t>
      </w:r>
      <w:r>
        <w:rPr>
          <w:rFonts w:ascii="Times New Roman" w:hAnsi="Times New Roman" w:cs="Times New Roman" w:eastAsia="Times New Roman" w:hint="default"/>
        </w:rPr>
        <w:t>;</w:t>
      </w:r>
    </w:p>
    <w:p>
      <w:pPr>
        <w:pStyle w:val="BodyText"/>
        <w:spacing w:line="163" w:lineRule="auto" w:before="54"/>
        <w:ind w:left="1032" w:right="0"/>
        <w:jc w:val="both"/>
      </w:pPr>
      <w:r>
        <w:rPr/>
        <w:t>杭州日</w:t>
      </w:r>
      <w:r>
        <w:rPr>
          <w:spacing w:val="79"/>
        </w:rPr>
        <w:t> </w:t>
      </w:r>
      <w:r>
        <w:rPr>
          <w:position w:val="-11"/>
        </w:rPr>
        <w:t>其他</w:t>
      </w:r>
      <w:r>
        <w:rPr>
          <w:position w:val="-11"/>
        </w:rPr>
        <w:t> </w:t>
      </w:r>
      <w:r>
        <w:rPr/>
        <w:t>报报业</w:t>
      </w:r>
      <w:r>
        <w:rPr>
          <w:spacing w:val="79"/>
        </w:rPr>
        <w:t> </w:t>
      </w:r>
      <w:r>
        <w:rPr>
          <w:position w:val="-11"/>
        </w:rPr>
        <w:t>承诺</w:t>
      </w:r>
      <w:r>
        <w:rPr>
          <w:position w:val="-11"/>
        </w:rPr>
        <w:t> </w:t>
      </w:r>
      <w:r>
        <w:rPr>
          <w:spacing w:val="-17"/>
        </w:rPr>
        <w:t>集团（杭</w:t>
      </w:r>
    </w:p>
    <w:p>
      <w:pPr>
        <w:pStyle w:val="BodyText"/>
        <w:spacing w:line="240" w:lineRule="auto" w:before="12"/>
        <w:ind w:left="1032" w:right="476"/>
        <w:jc w:val="both"/>
      </w:pPr>
      <w:r>
        <w:rPr/>
        <w:t>州日报 社）</w:t>
      </w:r>
      <w:r>
        <w:rPr>
          <w:rFonts w:ascii="Times New Roman" w:hAnsi="Times New Roman" w:cs="Times New Roman" w:eastAsia="Times New Roman" w:hint="default"/>
        </w:rPr>
        <w:t>;</w:t>
      </w:r>
      <w:r>
        <w:rPr/>
        <w:t>都 市快报 社</w:t>
      </w:r>
    </w:p>
    <w:p>
      <w:pPr>
        <w:pStyle w:val="BodyText"/>
        <w:spacing w:line="240" w:lineRule="exact" w:before="62"/>
        <w:ind w:left="167" w:right="398"/>
        <w:jc w:val="left"/>
      </w:pPr>
      <w:r>
        <w:rPr/>
        <w:br w:type="column"/>
      </w:r>
      <w:r>
        <w:rPr/>
        <w:t>可能构成竞争的，则本集团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本社将立即通知华智控股，并优 先将该商业机会给予华智控股。在本集团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本社与华智控股存 </w:t>
      </w:r>
      <w:r>
        <w:rPr>
          <w:spacing w:val="-3"/>
        </w:rPr>
        <w:t>在关联关系期间，本承诺函为有效之承诺。如上述承诺被证明是不真</w:t>
      </w:r>
      <w:r>
        <w:rPr>
          <w:spacing w:val="-70"/>
        </w:rPr>
        <w:t> </w:t>
      </w:r>
      <w:r>
        <w:rPr>
          <w:spacing w:val="-70"/>
        </w:rPr>
      </w:r>
      <w:r>
        <w:rPr/>
        <w:t>实的或未被遵守，本集团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本社将向华智控股赔偿一切直接和 </w:t>
      </w:r>
      <w:r>
        <w:rPr>
          <w:spacing w:val="-6"/>
        </w:rPr>
        <w:t>间接损失，并承担相应的法律责任。</w:t>
      </w:r>
      <w:r>
        <w:rPr>
          <w:spacing w:val="-75"/>
        </w:rPr>
        <w:t> </w:t>
      </w:r>
      <w:r>
        <w:rPr>
          <w:spacing w:val="-75"/>
        </w:rPr>
      </w:r>
      <w:r>
        <w:rPr>
          <w:spacing w:val="-3"/>
        </w:rPr>
        <w:t>为了减少和规范关联交易，维护上市公司及中小股东的合法权益，杭</w:t>
      </w:r>
      <w:r>
        <w:rPr>
          <w:spacing w:val="-70"/>
        </w:rPr>
        <w:t> </w:t>
      </w:r>
      <w:r>
        <w:rPr>
          <w:spacing w:val="-70"/>
        </w:rPr>
      </w:r>
      <w:r>
        <w:rPr>
          <w:spacing w:val="-3"/>
        </w:rPr>
        <w:t>报集团及杭报集团有限公司、都市快报社分别出具了关于规范与上市</w:t>
      </w:r>
      <w:r>
        <w:rPr>
          <w:spacing w:val="-70"/>
        </w:rPr>
        <w:t> </w:t>
      </w:r>
      <w:r>
        <w:rPr>
          <w:spacing w:val="-70"/>
        </w:rPr>
      </w:r>
      <w:r>
        <w:rPr>
          <w:spacing w:val="-3"/>
        </w:rPr>
        <w:t>公司关联交易的承诺函：鉴于华智控股拟向杭州日报报业集团有限公</w:t>
      </w:r>
      <w:r>
        <w:rPr>
          <w:spacing w:val="-70"/>
        </w:rPr>
        <w:t> </w:t>
      </w:r>
      <w:r>
        <w:rPr>
          <w:spacing w:val="-70"/>
        </w:rPr>
      </w:r>
      <w:r>
        <w:rPr>
          <w:spacing w:val="-3"/>
        </w:rPr>
        <w:t>司及都市快报社非公开发行股份购买资产，杭州日报报业集团有限公</w:t>
      </w:r>
      <w:r>
        <w:rPr>
          <w:spacing w:val="-70"/>
        </w:rPr>
        <w:t> </w:t>
      </w:r>
      <w:r>
        <w:rPr>
          <w:spacing w:val="-70"/>
        </w:rPr>
      </w:r>
      <w:r>
        <w:rPr>
          <w:spacing w:val="-3"/>
        </w:rPr>
        <w:t>司及都市快报社将成为华智控股控股股东，杭州日报报业集团（杭州</w:t>
      </w:r>
      <w:r>
        <w:rPr>
          <w:spacing w:val="-70"/>
        </w:rPr>
        <w:t> </w:t>
      </w:r>
      <w:r>
        <w:rPr>
          <w:spacing w:val="-70"/>
        </w:rPr>
      </w:r>
      <w:r>
        <w:rPr>
          <w:spacing w:val="-3"/>
        </w:rPr>
        <w:t>日报社）将成为华智控股实际控制人。在此基础上，为规范和减少关</w:t>
      </w:r>
      <w:r>
        <w:rPr>
          <w:spacing w:val="-69"/>
        </w:rPr>
        <w:t> </w:t>
      </w:r>
      <w:r>
        <w:rPr>
          <w:spacing w:val="-69"/>
        </w:rPr>
      </w:r>
      <w:r>
        <w:rPr/>
        <w:t>联交易，保护华智控股及其少数股东权益，本集团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本社承诺 </w:t>
      </w:r>
      <w:r>
        <w:rPr>
          <w:spacing w:val="-3"/>
        </w:rPr>
        <w:t>如下：（</w:t>
      </w:r>
      <w:r>
        <w:rPr>
          <w:rFonts w:ascii="Times New Roman" w:hAnsi="Times New Roman" w:cs="Times New Roman" w:eastAsia="Times New Roman" w:hint="default"/>
          <w:spacing w:val="-3"/>
        </w:rPr>
        <w:t>1</w:t>
      </w:r>
      <w:r>
        <w:rPr>
          <w:spacing w:val="-3"/>
        </w:rPr>
        <w:t>）本集团</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本社及本集团</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本社控制的法人及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5"/>
        </w:rPr>
        <w:t> </w:t>
      </w:r>
      <w:r>
        <w:rPr/>
        <w:t>或其他组织将尽量避免与华智控股（包括其控制的法人及</w:t>
      </w:r>
      <w:r>
        <w:rPr>
          <w:rFonts w:ascii="Times New Roman" w:hAnsi="Times New Roman" w:cs="Times New Roman" w:eastAsia="Times New Roman" w:hint="default"/>
        </w:rPr>
        <w:t>/</w:t>
      </w:r>
      <w:r>
        <w:rPr/>
        <w:t>或其他组 </w:t>
      </w:r>
      <w:r>
        <w:rPr>
          <w:spacing w:val="-4"/>
        </w:rPr>
        <w:t>织）之间发生关联交易。（</w:t>
      </w:r>
      <w:r>
        <w:rPr>
          <w:rFonts w:ascii="Times New Roman" w:hAnsi="Times New Roman" w:cs="Times New Roman" w:eastAsia="Times New Roman" w:hint="default"/>
          <w:spacing w:val="-4"/>
        </w:rPr>
        <w:t>2</w:t>
      </w:r>
      <w:r>
        <w:rPr>
          <w:spacing w:val="-4"/>
        </w:rPr>
        <w:t>）如本集团</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本社及本集团</w:t>
      </w:r>
      <w:r>
        <w:rPr>
          <w:rFonts w:ascii="Times New Roman" w:hAnsi="Times New Roman" w:cs="Times New Roman" w:eastAsia="Times New Roman" w:hint="default"/>
          <w:spacing w:val="-4"/>
        </w:rPr>
        <w:t>/</w:t>
      </w:r>
      <w:r>
        <w:rPr>
          <w:spacing w:val="-4"/>
        </w:rPr>
        <w:t>本公司</w:t>
      </w:r>
    </w:p>
    <w:p>
      <w:pPr>
        <w:pStyle w:val="BodyText"/>
        <w:spacing w:line="240" w:lineRule="exact"/>
        <w:ind w:left="167" w:right="326"/>
        <w:jc w:val="left"/>
      </w:pPr>
      <w:r>
        <w:rPr/>
        <w:pict>
          <v:shape style="position:absolute;margin-left:300.419403pt;margin-top:-179.99971pt;width:152.950pt;height:542.050pt;mso-position-horizontal-relative:page;mso-position-vertical-relative:paragraph;z-index:-12478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BodyText"/>
                    <w:spacing w:line="240" w:lineRule="auto"/>
                    <w:ind w:left="0" w:right="356"/>
                    <w:jc w:val="right"/>
                  </w:pPr>
                  <w:r>
                    <w:rPr/>
                    <w:t>关于减少和规范关联交易的承诺：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BodyText"/>
                    <w:spacing w:line="240" w:lineRule="auto"/>
                    <w:ind w:left="0" w:right="356"/>
                    <w:jc w:val="right"/>
                  </w:pPr>
                  <w:r>
                    <w:rPr/>
                    <w:t>）</w:t>
                  </w:r>
                </w:p>
              </w:txbxContent>
            </v:textbox>
            <w10:wrap type="none"/>
          </v:shape>
        </w:pict>
      </w:r>
      <w:r>
        <w:rPr>
          <w:rFonts w:ascii="Times New Roman" w:hAnsi="Times New Roman" w:cs="Times New Roman" w:eastAsia="Times New Roman" w:hint="default"/>
        </w:rPr>
        <w:t>/</w:t>
      </w:r>
      <w:r>
        <w:rPr/>
        <w:t>本社控制的法人及</w:t>
      </w:r>
      <w:r>
        <w:rPr>
          <w:rFonts w:ascii="Times New Roman" w:hAnsi="Times New Roman" w:cs="Times New Roman" w:eastAsia="Times New Roman" w:hint="default"/>
        </w:rPr>
        <w:t>/</w:t>
      </w:r>
      <w:r>
        <w:rPr/>
        <w:t>或其他组织今后与华智控股不可避免地出现关联 交易时，将依照市场规则，本着一般商业原则，通过签订书面协议， </w:t>
      </w:r>
      <w:r>
        <w:rPr>
          <w:spacing w:val="-3"/>
        </w:rPr>
        <w:t>并严格按照《中华人民共和国公司法》、华智控股公司章程及其关联</w:t>
      </w:r>
      <w:r>
        <w:rPr/>
        <w:t> </w:t>
      </w:r>
      <w:r>
        <w:rPr>
          <w:spacing w:val="-3"/>
        </w:rPr>
        <w:t>交易管理制度所规定的方式和程序履行关联交易审批程序，公平合理</w:t>
      </w:r>
      <w:r>
        <w:rPr>
          <w:spacing w:val="-70"/>
        </w:rPr>
        <w:t> </w:t>
      </w:r>
      <w:r>
        <w:rPr>
          <w:spacing w:val="-70"/>
        </w:rPr>
      </w:r>
      <w:r>
        <w:rPr/>
        <w:t>交易。涉及到本集团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本社的关联交易，本集团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 将在相关股东大会中回避表决，不利用本集团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本社在华智控 股的股东地位，为本集团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本社在与华智控股关联交易中谋取 </w:t>
      </w:r>
      <w:r>
        <w:rPr>
          <w:spacing w:val="-3"/>
        </w:rPr>
        <w:t>不正当利益。（</w:t>
      </w:r>
      <w:r>
        <w:rPr>
          <w:rFonts w:ascii="Times New Roman" w:hAnsi="Times New Roman" w:cs="Times New Roman" w:eastAsia="Times New Roman" w:hint="default"/>
          <w:spacing w:val="-3"/>
        </w:rPr>
        <w:t>3</w:t>
      </w:r>
      <w:r>
        <w:rPr>
          <w:spacing w:val="-3"/>
        </w:rPr>
        <w:t>）保证不利用本集团</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本社对华智控股的股东</w:t>
      </w:r>
      <w:r>
        <w:rPr>
          <w:spacing w:val="-85"/>
        </w:rPr>
        <w:t> </w:t>
      </w:r>
      <w:r>
        <w:rPr/>
        <w:t>地位及重大影响，谋求华智控股在业务合作等方面给予本集团</w:t>
      </w:r>
      <w:r>
        <w:rPr>
          <w:rFonts w:ascii="Times New Roman" w:hAnsi="Times New Roman" w:cs="Times New Roman" w:eastAsia="Times New Roman" w:hint="default"/>
        </w:rPr>
        <w:t>/</w:t>
      </w:r>
      <w:r>
        <w:rPr/>
        <w:t>本公 司</w:t>
      </w:r>
      <w:r>
        <w:rPr>
          <w:rFonts w:ascii="Times New Roman" w:hAnsi="Times New Roman" w:cs="Times New Roman" w:eastAsia="Times New Roman" w:hint="default"/>
        </w:rPr>
        <w:t>/</w:t>
      </w:r>
      <w:r>
        <w:rPr/>
        <w:t>本社优于市场第三方的权利，不利用本集团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本社对华智控 </w:t>
      </w:r>
      <w:r>
        <w:rPr>
          <w:spacing w:val="-9"/>
        </w:rPr>
        <w:t>股的股东地位及重大影响，谋求与华智控股达成交易的优先权利。（</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18"/>
        </w:rPr>
        <w:t> </w:t>
      </w:r>
      <w:r>
        <w:rPr>
          <w:spacing w:val="-9"/>
        </w:rPr>
        <w:t>根据《中华人民共和国公司法》、《深圳证券交易所股票上市规则》等</w:t>
      </w:r>
      <w:r>
        <w:rPr>
          <w:spacing w:val="-60"/>
        </w:rPr>
        <w:t> </w:t>
      </w:r>
      <w:r>
        <w:rPr>
          <w:spacing w:val="-60"/>
        </w:rPr>
      </w:r>
      <w:r>
        <w:rPr>
          <w:spacing w:val="-3"/>
        </w:rPr>
        <w:t>有关法律、法规、规范性文件和华智控股章程的规定，督促华智控股</w:t>
      </w:r>
      <w:r>
        <w:rPr>
          <w:spacing w:val="-69"/>
        </w:rPr>
        <w:t> </w:t>
      </w:r>
      <w:r>
        <w:rPr>
          <w:spacing w:val="-69"/>
        </w:rPr>
      </w:r>
      <w:r>
        <w:rPr/>
        <w:t>依法履行信息披露义务和办理有关报批程序。在本集团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 </w:t>
      </w:r>
      <w:r>
        <w:rPr>
          <w:spacing w:val="-3"/>
        </w:rPr>
        <w:t>与华智控股存在关联关系期间，本承诺函为有效之承诺。如上述承诺</w:t>
      </w:r>
      <w:r>
        <w:rPr>
          <w:spacing w:val="-70"/>
        </w:rPr>
        <w:t> </w:t>
      </w:r>
      <w:r>
        <w:rPr>
          <w:spacing w:val="-70"/>
        </w:rPr>
      </w:r>
      <w:r>
        <w:rPr/>
        <w:t>被证明是不真实的或未被遵守，本集团</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本社将向华智控股赔 </w:t>
      </w:r>
      <w:r>
        <w:rPr>
          <w:spacing w:val="-3"/>
        </w:rPr>
        <w:t>偿一切直接和间接损失，并承担相应的法律责任。关于维护上市公司</w:t>
      </w:r>
      <w:r>
        <w:rPr>
          <w:spacing w:val="-70"/>
        </w:rPr>
        <w:t> </w:t>
      </w:r>
      <w:r>
        <w:rPr>
          <w:spacing w:val="-70"/>
        </w:rPr>
      </w:r>
      <w:r>
        <w:rPr>
          <w:spacing w:val="-3"/>
        </w:rPr>
        <w:t>独立性的承诺：杭报集团承诺：在本次非公开发行股份购买资产完成</w:t>
      </w:r>
      <w:r>
        <w:rPr>
          <w:spacing w:val="-70"/>
        </w:rPr>
        <w:t> </w:t>
      </w:r>
      <w:r>
        <w:rPr>
          <w:spacing w:val="-70"/>
        </w:rPr>
      </w:r>
      <w:r>
        <w:rPr>
          <w:spacing w:val="-3"/>
        </w:rPr>
        <w:t>后，杭报集团将保证上市公司建立健全股份公司法人治理结构，拥有</w:t>
      </w:r>
      <w:r>
        <w:rPr>
          <w:spacing w:val="-70"/>
        </w:rPr>
        <w:t> </w:t>
      </w:r>
      <w:r>
        <w:rPr>
          <w:spacing w:val="-70"/>
        </w:rPr>
      </w:r>
      <w:r>
        <w:rPr>
          <w:spacing w:val="-3"/>
        </w:rPr>
        <w:t>独立、完整的组织机构；保证上市公司的股东大会、董事会、独立董</w:t>
      </w:r>
      <w:r>
        <w:rPr>
          <w:spacing w:val="-71"/>
        </w:rPr>
        <w:t> </w:t>
      </w:r>
      <w:r>
        <w:rPr>
          <w:spacing w:val="-71"/>
        </w:rPr>
      </w:r>
      <w:r>
        <w:rPr>
          <w:spacing w:val="-3"/>
        </w:rPr>
        <w:t>事、监事会、总经理等依照法律、法规和公司章程独立行使职权；保</w:t>
      </w:r>
      <w:r>
        <w:rPr>
          <w:spacing w:val="-71"/>
        </w:rPr>
        <w:t> </w:t>
      </w:r>
      <w:r>
        <w:rPr>
          <w:spacing w:val="-71"/>
        </w:rPr>
      </w:r>
      <w:r>
        <w:rPr/>
        <w:t>证从业务、资产、财务、人员、机构等方面保障上市公司的独立性。 </w:t>
      </w:r>
      <w:r>
        <w:rPr>
          <w:spacing w:val="-3"/>
        </w:rPr>
        <w:t>杭报集团承诺：在作为华智控股实际控制人期间，杭报集团以及其直</w:t>
      </w:r>
      <w:r>
        <w:rPr>
          <w:spacing w:val="-70"/>
        </w:rPr>
        <w:t> </w:t>
      </w:r>
      <w:r>
        <w:rPr>
          <w:spacing w:val="-70"/>
        </w:rPr>
      </w:r>
      <w:r>
        <w:rPr/>
        <w:t>接或间接控制的企业均不以代垫费用或其他支出、直接或间接借款、 </w:t>
      </w:r>
      <w:r>
        <w:rPr>
          <w:spacing w:val="-3"/>
        </w:rPr>
        <w:t>代偿债务等任何方式违规占用华智控股及其子公司的资金，且将严格</w:t>
      </w:r>
      <w:r>
        <w:rPr>
          <w:spacing w:val="-70"/>
        </w:rPr>
        <w:t> </w:t>
      </w:r>
      <w:r>
        <w:rPr>
          <w:spacing w:val="-70"/>
        </w:rPr>
      </w:r>
      <w:r>
        <w:rPr>
          <w:spacing w:val="-3"/>
        </w:rPr>
        <w:t>遵守中国证监会关于上市公司法人治理的有关规定，避免与华智控股</w:t>
      </w:r>
      <w:r>
        <w:rPr>
          <w:spacing w:val="-70"/>
        </w:rPr>
        <w:t> </w:t>
      </w:r>
      <w:r>
        <w:rPr>
          <w:spacing w:val="-70"/>
        </w:rPr>
      </w:r>
      <w:r>
        <w:rPr>
          <w:spacing w:val="-3"/>
        </w:rPr>
        <w:t>发生与正常生产经营无关的资金往来行为。杭报集团有限公司及都市</w:t>
      </w:r>
      <w:r>
        <w:rPr>
          <w:spacing w:val="-70"/>
        </w:rPr>
        <w:t> </w:t>
      </w:r>
      <w:r>
        <w:rPr>
          <w:spacing w:val="-70"/>
        </w:rPr>
      </w:r>
      <w:r>
        <w:rPr>
          <w:spacing w:val="-3"/>
        </w:rPr>
        <w:t>快报社承诺：不利用上市公司股东地位损害上市公司及其他社会公众</w:t>
      </w:r>
      <w:r>
        <w:rPr>
          <w:spacing w:val="-70"/>
        </w:rPr>
        <w:t> </w:t>
      </w:r>
      <w:r>
        <w:rPr>
          <w:spacing w:val="-70"/>
        </w:rPr>
      </w:r>
      <w:r>
        <w:rPr/>
        <w:t>股东的利益。在作为上市公司股东期间，与上市公司在人员、财务、 资产、业务和机构等方面将保持相互独立。</w:t>
      </w:r>
    </w:p>
    <w:p>
      <w:pPr>
        <w:pStyle w:val="BodyText"/>
        <w:spacing w:line="240" w:lineRule="exact" w:before="90"/>
        <w:ind w:left="167" w:right="322"/>
        <w:jc w:val="both"/>
      </w:pPr>
      <w:r>
        <w:rPr/>
        <w:t>关于采编资产注入的承诺：基于</w:t>
      </w:r>
      <w:r>
        <w:rPr>
          <w:rFonts w:ascii="Times New Roman" w:hAnsi="Times New Roman" w:cs="Times New Roman" w:eastAsia="Times New Roman" w:hint="default"/>
        </w:rPr>
        <w:t>“</w:t>
      </w:r>
      <w:r>
        <w:rPr/>
        <w:t>编营分离</w:t>
      </w:r>
      <w:r>
        <w:rPr>
          <w:rFonts w:ascii="Times New Roman" w:hAnsi="Times New Roman" w:cs="Times New Roman" w:eastAsia="Times New Roman" w:hint="default"/>
        </w:rPr>
        <w:t>”</w:t>
      </w:r>
      <w:r>
        <w:rPr/>
        <w:t>的行业政策，本次注入资 </w:t>
      </w:r>
      <w:r>
        <w:rPr>
          <w:spacing w:val="-3"/>
        </w:rPr>
        <w:t>产不包括报纸采编类资产。杭报集团承诺：自行业政策允许采编资产</w:t>
      </w:r>
      <w:r>
        <w:rPr>
          <w:spacing w:val="-70"/>
        </w:rPr>
        <w:t> </w:t>
      </w:r>
      <w:r>
        <w:rPr>
          <w:spacing w:val="-70"/>
        </w:rPr>
      </w:r>
      <w:r>
        <w:rPr/>
        <w:t>上市之日起</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3"/>
        </w:rPr>
        <w:t>个月内，杭报集团同意，经国家有关部门批准（如有）</w:t>
      </w:r>
    </w:p>
    <w:p>
      <w:pPr>
        <w:pStyle w:val="BodyText"/>
        <w:spacing w:line="240" w:lineRule="exact"/>
        <w:ind w:left="167" w:right="-18"/>
        <w:jc w:val="left"/>
        <w:rPr>
          <w:rFonts w:ascii="Times New Roman" w:hAnsi="Times New Roman" w:cs="Times New Roman" w:eastAsia="Times New Roman" w:hint="default"/>
        </w:rPr>
      </w:pPr>
      <w:r>
        <w:rPr>
          <w:spacing w:val="-3"/>
        </w:rPr>
        <w:t>后，无条件允许华智控股择机通过现金或股权等方式收购杭报集团及</w:t>
      </w:r>
      <w:r>
        <w:rPr>
          <w:spacing w:val="-16"/>
        </w:rPr>
        <w:t> </w:t>
      </w:r>
      <w:r>
        <w:rPr>
          <w:rFonts w:ascii="Times New Roman" w:hAnsi="Times New Roman" w:cs="Times New Roman" w:eastAsia="Times New Roman" w:hint="default"/>
          <w:position w:val="2"/>
        </w:rPr>
        <w:t>2014 </w:t>
      </w:r>
      <w:r>
        <w:rPr>
          <w:spacing w:val="-3"/>
        </w:rPr>
        <w:t>下属报社未进入上市范围之内的报刊采编业务资产。关于收入分成的</w:t>
      </w:r>
      <w:r>
        <w:rPr>
          <w:spacing w:val="-31"/>
        </w:rPr>
        <w:t> </w:t>
      </w:r>
      <w:r>
        <w:rPr>
          <w:position w:val="2"/>
        </w:rPr>
        <w:t>年</w:t>
      </w:r>
      <w:r>
        <w:rPr>
          <w:spacing w:val="-75"/>
          <w:position w:val="2"/>
        </w:rPr>
        <w:t> </w:t>
      </w:r>
      <w:r>
        <w:rPr>
          <w:spacing w:val="-75"/>
          <w:position w:val="2"/>
        </w:rPr>
      </w:r>
      <w:r>
        <w:rPr>
          <w:spacing w:val="-3"/>
        </w:rPr>
        <w:t>承诺：杭报集团及下属报社与</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家传媒经营公司签订了《授权经营协</w:t>
      </w:r>
      <w:r>
        <w:rPr>
          <w:spacing w:val="-32"/>
        </w:rPr>
        <w:t> </w:t>
      </w:r>
      <w:r>
        <w:rPr>
          <w:rFonts w:ascii="Times New Roman" w:hAnsi="Times New Roman" w:cs="Times New Roman" w:eastAsia="Times New Roman" w:hint="default"/>
          <w:position w:val="2"/>
        </w:rPr>
        <w:t>12</w:t>
      </w:r>
      <w:r>
        <w:rPr>
          <w:rFonts w:ascii="Times New Roman" w:hAnsi="Times New Roman" w:cs="Times New Roman" w:eastAsia="Times New Roman" w:hint="default"/>
          <w:spacing w:val="-36"/>
          <w:position w:val="2"/>
        </w:rPr>
        <w:t> </w:t>
      </w:r>
      <w:r>
        <w:rPr>
          <w:spacing w:val="-3"/>
        </w:rPr>
        <w:t>议》和《收入分成协议》，杭报集团及下属报社将传媒经营业务授权</w:t>
      </w:r>
      <w:r>
        <w:rPr>
          <w:spacing w:val="-15"/>
        </w:rPr>
        <w:t> </w:t>
      </w:r>
      <w:r>
        <w:rPr>
          <w:position w:val="2"/>
        </w:rPr>
        <w:t>月</w:t>
      </w:r>
      <w:r>
        <w:rPr>
          <w:position w:val="2"/>
        </w:rPr>
        <w:t> </w:t>
      </w:r>
      <w:r>
        <w:rPr>
          <w:spacing w:val="-3"/>
        </w:rPr>
        <w:t>该等公司管理运作，按照运营管理报社经营性业务所形成的经营收入</w:t>
      </w:r>
      <w:r>
        <w:rPr>
          <w:spacing w:val="-15"/>
        </w:rPr>
        <w:t> </w:t>
      </w:r>
      <w:r>
        <w:rPr>
          <w:rFonts w:ascii="Times New Roman" w:hAnsi="Times New Roman" w:cs="Times New Roman" w:eastAsia="Times New Roman" w:hint="default"/>
          <w:spacing w:val="-8"/>
          <w:position w:val="2"/>
        </w:rPr>
        <w:t>11</w:t>
      </w:r>
      <w:r>
        <w:rPr>
          <w:rFonts w:ascii="Times New Roman" w:hAnsi="Times New Roman" w:cs="Times New Roman" w:eastAsia="Times New Roman" w:hint="default"/>
        </w:rPr>
      </w:r>
    </w:p>
    <w:p>
      <w:pPr>
        <w:pStyle w:val="BodyText"/>
        <w:spacing w:line="240" w:lineRule="exact"/>
        <w:ind w:left="167" w:right="177"/>
        <w:jc w:val="left"/>
      </w:pPr>
      <w:r>
        <w:rPr>
          <w:spacing w:val="-1"/>
        </w:rPr>
        <w:t>（母公司）进行分成。杭报集团承诺：在相应报社所办报刊的版面、</w:t>
      </w:r>
      <w:r>
        <w:rPr>
          <w:spacing w:val="-1"/>
          <w:position w:val="2"/>
        </w:rPr>
        <w:t>日</w:t>
      </w:r>
      <w:r>
        <w:rPr>
          <w:spacing w:val="-74"/>
          <w:position w:val="2"/>
        </w:rPr>
        <w:t> </w:t>
      </w:r>
      <w:r>
        <w:rPr>
          <w:spacing w:val="-74"/>
          <w:position w:val="2"/>
        </w:rPr>
      </w:r>
      <w:r>
        <w:rPr>
          <w:spacing w:val="-3"/>
        </w:rPr>
        <w:t>发行量以及外部市场环境不发生重大变化的条件下，涉及授权经营的</w:t>
      </w:r>
    </w:p>
    <w:p>
      <w:pPr>
        <w:pStyle w:val="BodyText"/>
        <w:spacing w:line="226" w:lineRule="exact"/>
        <w:ind w:left="167" w:right="398"/>
        <w:jc w:val="left"/>
      </w:pPr>
      <w:r>
        <w:rPr>
          <w:rFonts w:ascii="Times New Roman" w:hAnsi="Times New Roman" w:cs="Times New Roman" w:eastAsia="Times New Roman" w:hint="default"/>
        </w:rPr>
        <w:t>7 </w:t>
      </w:r>
      <w:r>
        <w:rPr/>
        <w:t>家传媒经营公司在授权经营期限内（即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年内）向相应报社的收</w:t>
      </w:r>
    </w:p>
    <w:p>
      <w:pPr>
        <w:pStyle w:val="BodyText"/>
        <w:spacing w:line="245" w:lineRule="exact"/>
        <w:ind w:left="167" w:right="326"/>
        <w:jc w:val="left"/>
      </w:pPr>
      <w:r>
        <w:rPr/>
        <w:t>入分成比例不超过该</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4"/>
        </w:rPr>
        <w:t>家公司与相应报社已签订《收入分成协议》约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4" w:lineRule="auto"/>
        <w:ind w:left="546" w:right="1213"/>
        <w:jc w:val="left"/>
      </w:pPr>
      <w:r>
        <w:rPr/>
        <w:t>关于拟注入 资产权属状 </w:t>
      </w:r>
      <w:r>
        <w:rPr>
          <w:spacing w:val="-5"/>
        </w:rPr>
        <w:t>况的承诺、关</w:t>
      </w:r>
      <w:r>
        <w:rPr/>
        <w:t> 于拟购买资 产瑕疵房产 </w:t>
      </w:r>
      <w:r>
        <w:rPr>
          <w:spacing w:val="-5"/>
        </w:rPr>
        <w:t>的承诺、关于</w:t>
      </w:r>
      <w:r>
        <w:rPr/>
        <w:t> 注入资产税 收优惠的承 诺已履行完 </w:t>
      </w:r>
      <w:r>
        <w:rPr>
          <w:spacing w:val="-5"/>
        </w:rPr>
        <w:t>毕，其余正常</w:t>
      </w:r>
      <w:r>
        <w:rPr/>
        <w:t> 履行之中。</w:t>
      </w:r>
    </w:p>
    <w:p>
      <w:pPr>
        <w:spacing w:after="0" w:line="244" w:lineRule="auto"/>
        <w:jc w:val="left"/>
        <w:sectPr>
          <w:type w:val="continuous"/>
          <w:pgSz w:w="11910" w:h="16840"/>
          <w:pgMar w:top="1060" w:bottom="1180" w:left="980" w:right="0"/>
          <w:cols w:num="3" w:equalWidth="0">
            <w:col w:w="2102" w:space="40"/>
            <w:col w:w="5914" w:space="40"/>
            <w:col w:w="2834"/>
          </w:cols>
        </w:sectPr>
      </w:pPr>
    </w:p>
    <w:p>
      <w:pPr>
        <w:spacing w:line="240" w:lineRule="auto" w:before="6"/>
        <w:rPr>
          <w:rFonts w:ascii="宋体" w:hAnsi="宋体" w:cs="宋体" w:eastAsia="宋体" w:hint="default"/>
          <w:sz w:val="24"/>
          <w:szCs w:val="24"/>
        </w:rPr>
      </w:pPr>
      <w:r>
        <w:rPr/>
        <w:pict>
          <v:shape style="position:absolute;margin-left:309.419403pt;margin-top:72.480003pt;width:143.950pt;height:696pt;mso-position-horizontal-relative:page;mso-position-vertical-relative:page;z-index:-1247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0" w:right="0" w:firstLine="540"/>
                    <w:jc w:val="left"/>
                  </w:pPr>
                  <w:r>
                    <w:rPr/>
                    <w:t>误导性陈述或重大遗漏；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BodyText"/>
                    <w:spacing w:line="240" w:lineRule="auto"/>
                    <w:ind w:left="0" w:right="0"/>
                    <w:jc w:val="left"/>
                  </w:pPr>
                  <w:r>
                    <w:rPr/>
                    <w:t>地方所属转制文化企业的认定，</w:t>
                  </w:r>
                </w:p>
              </w:txbxContent>
            </v:textbox>
            <w10:wrap type="none"/>
          </v:shape>
        </w:pict>
      </w:r>
      <w:r>
        <w:rPr/>
        <w:pict>
          <v:group style="position:absolute;margin-left:56.219978pt;margin-top:71.759956pt;width:479.35pt;height:697.5pt;mso-position-horizontal-relative:page;mso-position-vertical-relative:page;z-index:-1247776" coordorigin="1124,1435" coordsize="9587,13950">
            <v:group style="position:absolute;left:1139;top:1450;width:842;height:13920" coordorigin="1139,1450" coordsize="842,13920">
              <v:shape style="position:absolute;left:1139;top:1450;width:842;height:13920" coordorigin="1139,1450" coordsize="842,13920" path="m1139,15370l1980,15370,1980,1450,1139,1450,1139,15370xe" filled="true" fillcolor="#d3d3d3" stroked="false">
                <v:path arrowok="t"/>
                <v:fill type="solid"/>
              </v:shape>
            </v:group>
            <v:group style="position:absolute;left:1990;top:1450;width:700;height:13920" coordorigin="1990,1450" coordsize="700,13920">
              <v:shape style="position:absolute;left:1990;top:1450;width:700;height:13920" coordorigin="1990,1450" coordsize="700,13920" path="m1990,15370l2689,15370,2689,1450,1990,1450,1990,15370xe" filled="true" fillcolor="#c7edcc" stroked="false">
                <v:path arrowok="t"/>
                <v:fill type="solid"/>
              </v:shape>
            </v:group>
            <v:group style="position:absolute;left:2699;top:1450;width:557;height:13920" coordorigin="2699,1450" coordsize="557,13920">
              <v:shape style="position:absolute;left:2699;top:1450;width:557;height:13920" coordorigin="2699,1450" coordsize="557,13920" path="m2699,15370l3256,15370,3256,1450,2699,1450,2699,15370xe" filled="true" fillcolor="#c7edcc" stroked="false">
                <v:path arrowok="t"/>
                <v:fill type="solid"/>
              </v:shape>
            </v:group>
            <v:group style="position:absolute;left:3278;top:1450;width:2;height:13920" coordorigin="3278,1450" coordsize="2,13920">
              <v:shape style="position:absolute;left:3278;top:1450;width:2;height:13920" coordorigin="3278,1450" coordsize="0,13920" path="m3278,1450l3278,15370e" filled="false" stroked="true" strokeweight="1.140pt" strokecolor="#c7edcc">
                <v:path arrowok="t"/>
              </v:shape>
            </v:group>
            <v:group style="position:absolute;left:8630;top:1450;width:2;height:13920" coordorigin="8630,1450" coordsize="2,13920">
              <v:shape style="position:absolute;left:8630;top:1450;width:2;height:13920" coordorigin="8630,1450" coordsize="0,13920" path="m8630,1450l8630,15370e" filled="false" stroked="true" strokeweight="1.2pt" strokecolor="#c7edcc">
                <v:path arrowok="t"/>
              </v:shape>
            </v:group>
            <v:group style="position:absolute;left:3289;top:1450;width:5330;height:240" coordorigin="3289,1450" coordsize="5330,240">
              <v:shape style="position:absolute;left:3289;top:1450;width:5330;height:240" coordorigin="3289,1450" coordsize="5330,240" path="m3289,1690l8618,1690,8618,1450,3289,1450,3289,1690xe" filled="true" fillcolor="#c7edcc" stroked="false">
                <v:path arrowok="t"/>
                <v:fill type="solid"/>
              </v:shape>
            </v:group>
            <v:group style="position:absolute;left:3289;top:1690;width:5330;height:240" coordorigin="3289,1690" coordsize="5330,240">
              <v:shape style="position:absolute;left:3289;top:1690;width:5330;height:240" coordorigin="3289,1690" coordsize="5330,240" path="m3289,1930l8618,1930,8618,1690,3289,1690,3289,1930xe" filled="true" fillcolor="#c7edcc" stroked="false">
                <v:path arrowok="t"/>
                <v:fill type="solid"/>
              </v:shape>
            </v:group>
            <v:group style="position:absolute;left:3289;top:1930;width:5330;height:240" coordorigin="3289,1930" coordsize="5330,240">
              <v:shape style="position:absolute;left:3289;top:1930;width:5330;height:240" coordorigin="3289,1930" coordsize="5330,240" path="m3289,2170l8618,2170,8618,1930,3289,1930,3289,2170xe" filled="true" fillcolor="#c7edcc" stroked="false">
                <v:path arrowok="t"/>
                <v:fill type="solid"/>
              </v:shape>
            </v:group>
            <v:group style="position:absolute;left:3289;top:2170;width:5330;height:240" coordorigin="3289,2170" coordsize="5330,240">
              <v:shape style="position:absolute;left:3289;top:2170;width:5330;height:240" coordorigin="3289,2170" coordsize="5330,240" path="m3289,2410l8618,2410,8618,2170,3289,2170,3289,2410xe" filled="true" fillcolor="#c7edcc" stroked="false">
                <v:path arrowok="t"/>
                <v:fill type="solid"/>
              </v:shape>
            </v:group>
            <v:group style="position:absolute;left:3289;top:2410;width:5330;height:240" coordorigin="3289,2410" coordsize="5330,240">
              <v:shape style="position:absolute;left:3289;top:2410;width:5330;height:240" coordorigin="3289,2410" coordsize="5330,240" path="m3289,2650l8618,2650,8618,2410,3289,2410,3289,2650xe" filled="true" fillcolor="#c7edcc" stroked="false">
                <v:path arrowok="t"/>
                <v:fill type="solid"/>
              </v:shape>
            </v:group>
            <v:group style="position:absolute;left:3289;top:2650;width:5330;height:240" coordorigin="3289,2650" coordsize="5330,240">
              <v:shape style="position:absolute;left:3289;top:2650;width:5330;height:240" coordorigin="3289,2650" coordsize="5330,240" path="m3289,2890l8618,2890,8618,2650,3289,2650,3289,2890xe" filled="true" fillcolor="#c7edcc" stroked="false">
                <v:path arrowok="t"/>
                <v:fill type="solid"/>
              </v:shape>
            </v:group>
            <v:group style="position:absolute;left:3289;top:2890;width:5330;height:240" coordorigin="3289,2890" coordsize="5330,240">
              <v:shape style="position:absolute;left:3289;top:2890;width:5330;height:240" coordorigin="3289,2890" coordsize="5330,240" path="m3289,3130l8618,3130,8618,2890,3289,2890,3289,3130xe" filled="true" fillcolor="#c7edcc" stroked="false">
                <v:path arrowok="t"/>
                <v:fill type="solid"/>
              </v:shape>
            </v:group>
            <v:group style="position:absolute;left:3289;top:3130;width:5330;height:240" coordorigin="3289,3130" coordsize="5330,240">
              <v:shape style="position:absolute;left:3289;top:3130;width:5330;height:240" coordorigin="3289,3130" coordsize="5330,240" path="m3289,3370l8618,3370,8618,3130,3289,3130,3289,3370xe" filled="true" fillcolor="#c7edcc" stroked="false">
                <v:path arrowok="t"/>
                <v:fill type="solid"/>
              </v:shape>
            </v:group>
            <v:group style="position:absolute;left:3289;top:3370;width:5330;height:240" coordorigin="3289,3370" coordsize="5330,240">
              <v:shape style="position:absolute;left:3289;top:3370;width:5330;height:240" coordorigin="3289,3370" coordsize="5330,240" path="m3289,3610l8618,3610,8618,3370,3289,3370,3289,3610xe" filled="true" fillcolor="#c7edcc" stroked="false">
                <v:path arrowok="t"/>
                <v:fill type="solid"/>
              </v:shape>
            </v:group>
            <v:group style="position:absolute;left:3289;top:3610;width:5330;height:240" coordorigin="3289,3610" coordsize="5330,240">
              <v:shape style="position:absolute;left:3289;top:3610;width:5330;height:240" coordorigin="3289,3610" coordsize="5330,240" path="m3289,3850l8618,3850,8618,3610,3289,3610,3289,3850xe" filled="true" fillcolor="#c7edcc" stroked="false">
                <v:path arrowok="t"/>
                <v:fill type="solid"/>
              </v:shape>
            </v:group>
            <v:group style="position:absolute;left:3289;top:3850;width:5330;height:240" coordorigin="3289,3850" coordsize="5330,240">
              <v:shape style="position:absolute;left:3289;top:3850;width:5330;height:240" coordorigin="3289,3850" coordsize="5330,240" path="m3289,4090l8618,4090,8618,3850,3289,3850,3289,4090xe" filled="true" fillcolor="#c7edcc" stroked="false">
                <v:path arrowok="t"/>
                <v:fill type="solid"/>
              </v:shape>
            </v:group>
            <v:group style="position:absolute;left:3289;top:4090;width:5330;height:240" coordorigin="3289,4090" coordsize="5330,240">
              <v:shape style="position:absolute;left:3289;top:4090;width:5330;height:240" coordorigin="3289,4090" coordsize="5330,240" path="m3289,4330l8618,4330,8618,4090,3289,4090,3289,4330xe" filled="true" fillcolor="#c7edcc" stroked="false">
                <v:path arrowok="t"/>
                <v:fill type="solid"/>
              </v:shape>
            </v:group>
            <v:group style="position:absolute;left:3289;top:4330;width:5330;height:240" coordorigin="3289,4330" coordsize="5330,240">
              <v:shape style="position:absolute;left:3289;top:4330;width:5330;height:240" coordorigin="3289,4330" coordsize="5330,240" path="m3289,4570l8618,4570,8618,4330,3289,4330,3289,4570xe" filled="true" fillcolor="#c7edcc" stroked="false">
                <v:path arrowok="t"/>
                <v:fill type="solid"/>
              </v:shape>
            </v:group>
            <v:group style="position:absolute;left:3289;top:4570;width:5330;height:240" coordorigin="3289,4570" coordsize="5330,240">
              <v:shape style="position:absolute;left:3289;top:4570;width:5330;height:240" coordorigin="3289,4570" coordsize="5330,240" path="m3289,4810l8618,4810,8618,4570,3289,4570,3289,4810xe" filled="true" fillcolor="#c7edcc" stroked="false">
                <v:path arrowok="t"/>
                <v:fill type="solid"/>
              </v:shape>
            </v:group>
            <v:group style="position:absolute;left:3289;top:4810;width:5330;height:240" coordorigin="3289,4810" coordsize="5330,240">
              <v:shape style="position:absolute;left:3289;top:4810;width:5330;height:240" coordorigin="3289,4810" coordsize="5330,240" path="m3289,5050l8618,5050,8618,4810,3289,4810,3289,5050xe" filled="true" fillcolor="#c7edcc" stroked="false">
                <v:path arrowok="t"/>
                <v:fill type="solid"/>
              </v:shape>
            </v:group>
            <v:group style="position:absolute;left:3289;top:5050;width:5330;height:240" coordorigin="3289,5050" coordsize="5330,240">
              <v:shape style="position:absolute;left:3289;top:5050;width:5330;height:240" coordorigin="3289,5050" coordsize="5330,240" path="m3289,5290l8618,5290,8618,5050,3289,5050,3289,5290xe" filled="true" fillcolor="#c7edcc" stroked="false">
                <v:path arrowok="t"/>
                <v:fill type="solid"/>
              </v:shape>
            </v:group>
            <v:group style="position:absolute;left:3289;top:5290;width:5330;height:240" coordorigin="3289,5290" coordsize="5330,240">
              <v:shape style="position:absolute;left:3289;top:5290;width:5330;height:240" coordorigin="3289,5290" coordsize="5330,240" path="m3289,5530l8618,5530,8618,5290,3289,5290,3289,5530xe" filled="true" fillcolor="#c7edcc" stroked="false">
                <v:path arrowok="t"/>
                <v:fill type="solid"/>
              </v:shape>
            </v:group>
            <v:group style="position:absolute;left:3289;top:5530;width:5330;height:240" coordorigin="3289,5530" coordsize="5330,240">
              <v:shape style="position:absolute;left:3289;top:5530;width:5330;height:240" coordorigin="3289,5530" coordsize="5330,240" path="m3289,5770l8618,5770,8618,5530,3289,5530,3289,5770xe" filled="true" fillcolor="#c7edcc" stroked="false">
                <v:path arrowok="t"/>
                <v:fill type="solid"/>
              </v:shape>
            </v:group>
            <v:group style="position:absolute;left:3289;top:5770;width:5330;height:240" coordorigin="3289,5770" coordsize="5330,240">
              <v:shape style="position:absolute;left:3289;top:5770;width:5330;height:240" coordorigin="3289,5770" coordsize="5330,240" path="m3289,6010l8618,6010,8618,5770,3289,5770,3289,6010xe" filled="true" fillcolor="#c7edcc" stroked="false">
                <v:path arrowok="t"/>
                <v:fill type="solid"/>
              </v:shape>
            </v:group>
            <v:group style="position:absolute;left:3289;top:6010;width:5330;height:240" coordorigin="3289,6010" coordsize="5330,240">
              <v:shape style="position:absolute;left:3289;top:6010;width:5330;height:240" coordorigin="3289,6010" coordsize="5330,240" path="m3289,6250l8618,6250,8618,6010,3289,6010,3289,6250xe" filled="true" fillcolor="#c7edcc" stroked="false">
                <v:path arrowok="t"/>
                <v:fill type="solid"/>
              </v:shape>
            </v:group>
            <v:group style="position:absolute;left:3289;top:6250;width:5330;height:240" coordorigin="3289,6250" coordsize="5330,240">
              <v:shape style="position:absolute;left:3289;top:6250;width:5330;height:240" coordorigin="3289,6250" coordsize="5330,240" path="m3289,6490l8618,6490,8618,6250,3289,6250,3289,6490xe" filled="true" fillcolor="#c7edcc" stroked="false">
                <v:path arrowok="t"/>
                <v:fill type="solid"/>
              </v:shape>
            </v:group>
            <v:group style="position:absolute;left:3289;top:6490;width:5330;height:240" coordorigin="3289,6490" coordsize="5330,240">
              <v:shape style="position:absolute;left:3289;top:6490;width:5330;height:240" coordorigin="3289,6490" coordsize="5330,240" path="m3289,6730l8618,6730,8618,6490,3289,6490,3289,6730xe" filled="true" fillcolor="#c7edcc" stroked="false">
                <v:path arrowok="t"/>
                <v:fill type="solid"/>
              </v:shape>
            </v:group>
            <v:group style="position:absolute;left:3289;top:6730;width:5330;height:240" coordorigin="3289,6730" coordsize="5330,240">
              <v:shape style="position:absolute;left:3289;top:6730;width:5330;height:240" coordorigin="3289,6730" coordsize="5330,240" path="m3289,6970l8618,6970,8618,6730,3289,6730,3289,6970xe" filled="true" fillcolor="#c7edcc" stroked="false">
                <v:path arrowok="t"/>
                <v:fill type="solid"/>
              </v:shape>
            </v:group>
            <v:group style="position:absolute;left:3289;top:6970;width:5330;height:240" coordorigin="3289,6970" coordsize="5330,240">
              <v:shape style="position:absolute;left:3289;top:6970;width:5330;height:240" coordorigin="3289,6970" coordsize="5330,240" path="m3289,7210l8618,7210,8618,6970,3289,6970,3289,7210xe" filled="true" fillcolor="#c7edcc" stroked="false">
                <v:path arrowok="t"/>
                <v:fill type="solid"/>
              </v:shape>
            </v:group>
            <v:group style="position:absolute;left:3289;top:7210;width:5330;height:240" coordorigin="3289,7210" coordsize="5330,240">
              <v:shape style="position:absolute;left:3289;top:7210;width:5330;height:240" coordorigin="3289,7210" coordsize="5330,240" path="m3289,7450l8618,7450,8618,7210,3289,7210,3289,7450xe" filled="true" fillcolor="#c7edcc" stroked="false">
                <v:path arrowok="t"/>
                <v:fill type="solid"/>
              </v:shape>
            </v:group>
            <v:group style="position:absolute;left:3289;top:7450;width:5330;height:240" coordorigin="3289,7450" coordsize="5330,240">
              <v:shape style="position:absolute;left:3289;top:7450;width:5330;height:240" coordorigin="3289,7450" coordsize="5330,240" path="m3289,7690l8618,7690,8618,7450,3289,7450,3289,7690xe" filled="true" fillcolor="#c7edcc" stroked="false">
                <v:path arrowok="t"/>
                <v:fill type="solid"/>
              </v:shape>
            </v:group>
            <v:group style="position:absolute;left:3289;top:7690;width:5330;height:240" coordorigin="3289,7690" coordsize="5330,240">
              <v:shape style="position:absolute;left:3289;top:7690;width:5330;height:240" coordorigin="3289,7690" coordsize="5330,240" path="m3289,7930l8618,7930,8618,7690,3289,7690,3289,7930xe" filled="true" fillcolor="#c7edcc" stroked="false">
                <v:path arrowok="t"/>
                <v:fill type="solid"/>
              </v:shape>
            </v:group>
            <v:group style="position:absolute;left:3289;top:7930;width:5330;height:240" coordorigin="3289,7930" coordsize="5330,240">
              <v:shape style="position:absolute;left:3289;top:7930;width:5330;height:240" coordorigin="3289,7930" coordsize="5330,240" path="m3289,8170l8618,8170,8618,7930,3289,7930,3289,8170xe" filled="true" fillcolor="#c7edcc" stroked="false">
                <v:path arrowok="t"/>
                <v:fill type="solid"/>
              </v:shape>
            </v:group>
            <v:group style="position:absolute;left:3289;top:8170;width:5330;height:240" coordorigin="3289,8170" coordsize="5330,240">
              <v:shape style="position:absolute;left:3289;top:8170;width:5330;height:240" coordorigin="3289,8170" coordsize="5330,240" path="m3289,8410l8618,8410,8618,8170,3289,8170,3289,8410xe" filled="true" fillcolor="#c7edcc" stroked="false">
                <v:path arrowok="t"/>
                <v:fill type="solid"/>
              </v:shape>
            </v:group>
            <v:group style="position:absolute;left:3289;top:8410;width:5330;height:240" coordorigin="3289,8410" coordsize="5330,240">
              <v:shape style="position:absolute;left:3289;top:8410;width:5330;height:240" coordorigin="3289,8410" coordsize="5330,240" path="m3289,8650l8618,8650,8618,8410,3289,8410,3289,8650xe" filled="true" fillcolor="#c7edcc" stroked="false">
                <v:path arrowok="t"/>
                <v:fill type="solid"/>
              </v:shape>
            </v:group>
            <v:group style="position:absolute;left:3289;top:8650;width:5330;height:240" coordorigin="3289,8650" coordsize="5330,240">
              <v:shape style="position:absolute;left:3289;top:8650;width:5330;height:240" coordorigin="3289,8650" coordsize="5330,240" path="m3289,8890l8618,8890,8618,8650,3289,8650,3289,8890xe" filled="true" fillcolor="#c7edcc" stroked="false">
                <v:path arrowok="t"/>
                <v:fill type="solid"/>
              </v:shape>
            </v:group>
            <v:group style="position:absolute;left:3289;top:8890;width:5330;height:240" coordorigin="3289,8890" coordsize="5330,240">
              <v:shape style="position:absolute;left:3289;top:8890;width:5330;height:240" coordorigin="3289,8890" coordsize="5330,240" path="m3289,9130l8618,9130,8618,8890,3289,8890,3289,9130xe" filled="true" fillcolor="#c7edcc" stroked="false">
                <v:path arrowok="t"/>
                <v:fill type="solid"/>
              </v:shape>
            </v:group>
            <v:group style="position:absolute;left:3289;top:9130;width:5330;height:240" coordorigin="3289,9130" coordsize="5330,240">
              <v:shape style="position:absolute;left:3289;top:9130;width:5330;height:240" coordorigin="3289,9130" coordsize="5330,240" path="m3289,9370l8618,9370,8618,9130,3289,9130,3289,9370xe" filled="true" fillcolor="#c7edcc" stroked="false">
                <v:path arrowok="t"/>
                <v:fill type="solid"/>
              </v:shape>
            </v:group>
            <v:group style="position:absolute;left:3289;top:9370;width:5330;height:240" coordorigin="3289,9370" coordsize="5330,240">
              <v:shape style="position:absolute;left:3289;top:9370;width:5330;height:240" coordorigin="3289,9370" coordsize="5330,240" path="m3289,9610l8618,9610,8618,9370,3289,9370,3289,9610xe" filled="true" fillcolor="#c7edcc" stroked="false">
                <v:path arrowok="t"/>
                <v:fill type="solid"/>
              </v:shape>
            </v:group>
            <v:group style="position:absolute;left:3289;top:9610;width:5330;height:240" coordorigin="3289,9610" coordsize="5330,240">
              <v:shape style="position:absolute;left:3289;top:9610;width:5330;height:240" coordorigin="3289,9610" coordsize="5330,240" path="m3289,9850l8618,9850,8618,9610,3289,9610,3289,9850xe" filled="true" fillcolor="#c7edcc" stroked="false">
                <v:path arrowok="t"/>
                <v:fill type="solid"/>
              </v:shape>
            </v:group>
            <v:group style="position:absolute;left:3289;top:9850;width:5330;height:240" coordorigin="3289,9850" coordsize="5330,240">
              <v:shape style="position:absolute;left:3289;top:9850;width:5330;height:240" coordorigin="3289,9850" coordsize="5330,240" path="m3289,10090l8618,10090,8618,9850,3289,9850,3289,10090xe" filled="true" fillcolor="#c7edcc" stroked="false">
                <v:path arrowok="t"/>
                <v:fill type="solid"/>
              </v:shape>
            </v:group>
            <v:group style="position:absolute;left:3289;top:10090;width:5330;height:240" coordorigin="3289,10090" coordsize="5330,240">
              <v:shape style="position:absolute;left:3289;top:10090;width:5330;height:240" coordorigin="3289,10090" coordsize="5330,240" path="m3289,10330l8618,10330,8618,10090,3289,10090,3289,10330xe" filled="true" fillcolor="#c7edcc" stroked="false">
                <v:path arrowok="t"/>
                <v:fill type="solid"/>
              </v:shape>
            </v:group>
            <v:group style="position:absolute;left:3289;top:10330;width:5330;height:240" coordorigin="3289,10330" coordsize="5330,240">
              <v:shape style="position:absolute;left:3289;top:10330;width:5330;height:240" coordorigin="3289,10330" coordsize="5330,240" path="m3289,10570l8618,10570,8618,10330,3289,10330,3289,10570xe" filled="true" fillcolor="#c7edcc" stroked="false">
                <v:path arrowok="t"/>
                <v:fill type="solid"/>
              </v:shape>
            </v:group>
            <v:group style="position:absolute;left:3289;top:10570;width:5330;height:240" coordorigin="3289,10570" coordsize="5330,240">
              <v:shape style="position:absolute;left:3289;top:10570;width:5330;height:240" coordorigin="3289,10570" coordsize="5330,240" path="m3289,10810l8618,10810,8618,10570,3289,10570,3289,10810xe" filled="true" fillcolor="#c7edcc" stroked="false">
                <v:path arrowok="t"/>
                <v:fill type="solid"/>
              </v:shape>
            </v:group>
            <v:group style="position:absolute;left:3289;top:10810;width:5330;height:240" coordorigin="3289,10810" coordsize="5330,240">
              <v:shape style="position:absolute;left:3289;top:10810;width:5330;height:240" coordorigin="3289,10810" coordsize="5330,240" path="m3289,11050l8618,11050,8618,10810,3289,10810,3289,11050xe" filled="true" fillcolor="#c7edcc" stroked="false">
                <v:path arrowok="t"/>
                <v:fill type="solid"/>
              </v:shape>
            </v:group>
            <v:group style="position:absolute;left:3289;top:11050;width:5330;height:240" coordorigin="3289,11050" coordsize="5330,240">
              <v:shape style="position:absolute;left:3289;top:11050;width:5330;height:240" coordorigin="3289,11050" coordsize="5330,240" path="m3289,11290l8618,11290,8618,11050,3289,11050,3289,11290xe" filled="true" fillcolor="#c7edcc" stroked="false">
                <v:path arrowok="t"/>
                <v:fill type="solid"/>
              </v:shape>
            </v:group>
            <v:group style="position:absolute;left:3289;top:11290;width:5330;height:240" coordorigin="3289,11290" coordsize="5330,240">
              <v:shape style="position:absolute;left:3289;top:11290;width:5330;height:240" coordorigin="3289,11290" coordsize="5330,240" path="m3289,11530l8618,11530,8618,11290,3289,11290,3289,11530xe" filled="true" fillcolor="#c7edcc" stroked="false">
                <v:path arrowok="t"/>
                <v:fill type="solid"/>
              </v:shape>
            </v:group>
            <v:group style="position:absolute;left:3289;top:11530;width:5330;height:240" coordorigin="3289,11530" coordsize="5330,240">
              <v:shape style="position:absolute;left:3289;top:11530;width:5330;height:240" coordorigin="3289,11530" coordsize="5330,240" path="m3289,11770l8618,11770,8618,11530,3289,11530,3289,11770xe" filled="true" fillcolor="#c7edcc" stroked="false">
                <v:path arrowok="t"/>
                <v:fill type="solid"/>
              </v:shape>
            </v:group>
            <v:group style="position:absolute;left:3289;top:11770;width:5330;height:240" coordorigin="3289,11770" coordsize="5330,240">
              <v:shape style="position:absolute;left:3289;top:11770;width:5330;height:240" coordorigin="3289,11770" coordsize="5330,240" path="m3289,12010l8618,12010,8618,11770,3289,11770,3289,12010xe" filled="true" fillcolor="#c7edcc" stroked="false">
                <v:path arrowok="t"/>
                <v:fill type="solid"/>
              </v:shape>
            </v:group>
            <v:group style="position:absolute;left:3289;top:12010;width:5330;height:240" coordorigin="3289,12010" coordsize="5330,240">
              <v:shape style="position:absolute;left:3289;top:12010;width:5330;height:240" coordorigin="3289,12010" coordsize="5330,240" path="m3289,12250l8618,12250,8618,12010,3289,12010,3289,12250xe" filled="true" fillcolor="#c7edcc" stroked="false">
                <v:path arrowok="t"/>
                <v:fill type="solid"/>
              </v:shape>
            </v:group>
            <v:group style="position:absolute;left:3289;top:12250;width:5330;height:240" coordorigin="3289,12250" coordsize="5330,240">
              <v:shape style="position:absolute;left:3289;top:12250;width:5330;height:240" coordorigin="3289,12250" coordsize="5330,240" path="m3289,12490l8618,12490,8618,12250,3289,12250,3289,12490xe" filled="true" fillcolor="#c7edcc" stroked="false">
                <v:path arrowok="t"/>
                <v:fill type="solid"/>
              </v:shape>
            </v:group>
            <v:group style="position:absolute;left:3289;top:12490;width:5330;height:240" coordorigin="3289,12490" coordsize="5330,240">
              <v:shape style="position:absolute;left:3289;top:12490;width:5330;height:240" coordorigin="3289,12490" coordsize="5330,240" path="m3289,12730l8618,12730,8618,12490,3289,12490,3289,12730xe" filled="true" fillcolor="#c7edcc" stroked="false">
                <v:path arrowok="t"/>
                <v:fill type="solid"/>
              </v:shape>
            </v:group>
            <v:group style="position:absolute;left:3289;top:12730;width:5330;height:240" coordorigin="3289,12730" coordsize="5330,240">
              <v:shape style="position:absolute;left:3289;top:12730;width:5330;height:240" coordorigin="3289,12730" coordsize="5330,240" path="m3289,12970l8618,12970,8618,12730,3289,12730,3289,12970xe" filled="true" fillcolor="#c7edcc" stroked="false">
                <v:path arrowok="t"/>
                <v:fill type="solid"/>
              </v:shape>
            </v:group>
            <v:group style="position:absolute;left:3289;top:12970;width:5330;height:240" coordorigin="3289,12970" coordsize="5330,240">
              <v:shape style="position:absolute;left:3289;top:12970;width:5330;height:240" coordorigin="3289,12970" coordsize="5330,240" path="m3289,13210l8618,13210,8618,12970,3289,12970,3289,13210xe" filled="true" fillcolor="#c7edcc" stroked="false">
                <v:path arrowok="t"/>
                <v:fill type="solid"/>
              </v:shape>
            </v:group>
            <v:group style="position:absolute;left:3289;top:13210;width:5330;height:240" coordorigin="3289,13210" coordsize="5330,240">
              <v:shape style="position:absolute;left:3289;top:13210;width:5330;height:240" coordorigin="3289,13210" coordsize="5330,240" path="m3289,13450l8618,13450,8618,13210,3289,13210,3289,13450xe" filled="true" fillcolor="#c7edcc" stroked="false">
                <v:path arrowok="t"/>
                <v:fill type="solid"/>
              </v:shape>
            </v:group>
            <v:group style="position:absolute;left:3289;top:13450;width:5330;height:240" coordorigin="3289,13450" coordsize="5330,240">
              <v:shape style="position:absolute;left:3289;top:13450;width:5330;height:240" coordorigin="3289,13450" coordsize="5330,240" path="m3289,13690l8618,13690,8618,13450,3289,13450,3289,13690xe" filled="true" fillcolor="#c7edcc" stroked="false">
                <v:path arrowok="t"/>
                <v:fill type="solid"/>
              </v:shape>
            </v:group>
            <v:group style="position:absolute;left:3289;top:13690;width:5330;height:240" coordorigin="3289,13690" coordsize="5330,240">
              <v:shape style="position:absolute;left:3289;top:13690;width:5330;height:240" coordorigin="3289,13690" coordsize="5330,240" path="m3289,13930l8618,13930,8618,13690,3289,13690,3289,13930xe" filled="true" fillcolor="#c7edcc" stroked="false">
                <v:path arrowok="t"/>
                <v:fill type="solid"/>
              </v:shape>
            </v:group>
            <v:group style="position:absolute;left:3289;top:13930;width:5330;height:240" coordorigin="3289,13930" coordsize="5330,240">
              <v:shape style="position:absolute;left:3289;top:13930;width:5330;height:240" coordorigin="3289,13930" coordsize="5330,240" path="m3289,14170l8618,14170,8618,13930,3289,13930,3289,14170xe" filled="true" fillcolor="#c7edcc" stroked="false">
                <v:path arrowok="t"/>
                <v:fill type="solid"/>
              </v:shape>
            </v:group>
            <v:group style="position:absolute;left:3289;top:14170;width:5330;height:240" coordorigin="3289,14170" coordsize="5330,240">
              <v:shape style="position:absolute;left:3289;top:14170;width:5330;height:240" coordorigin="3289,14170" coordsize="5330,240" path="m3289,14410l8618,14410,8618,14170,3289,14170,3289,14410xe" filled="true" fillcolor="#c7edcc" stroked="false">
                <v:path arrowok="t"/>
                <v:fill type="solid"/>
              </v:shape>
            </v:group>
            <v:group style="position:absolute;left:3289;top:14410;width:5330;height:240" coordorigin="3289,14410" coordsize="5330,240">
              <v:shape style="position:absolute;left:3289;top:14410;width:5330;height:240" coordorigin="3289,14410" coordsize="5330,240" path="m3289,14650l8618,14650,8618,14410,3289,14410,3289,14650xe" filled="true" fillcolor="#c7edcc" stroked="false">
                <v:path arrowok="t"/>
                <v:fill type="solid"/>
              </v:shape>
            </v:group>
            <v:group style="position:absolute;left:3289;top:14650;width:5330;height:240" coordorigin="3289,14650" coordsize="5330,240">
              <v:shape style="position:absolute;left:3289;top:14650;width:5330;height:240" coordorigin="3289,14650" coordsize="5330,240" path="m3289,14890l8618,14890,8618,14650,3289,14650,3289,14890xe" filled="true" fillcolor="#c7edcc" stroked="false">
                <v:path arrowok="t"/>
                <v:fill type="solid"/>
              </v:shape>
            </v:group>
            <v:group style="position:absolute;left:3289;top:14890;width:5330;height:240" coordorigin="3289,14890" coordsize="5330,240">
              <v:shape style="position:absolute;left:3289;top:14890;width:5330;height:240" coordorigin="3289,14890" coordsize="5330,240" path="m3289,15130l8618,15130,8618,14890,3289,14890,3289,15130xe" filled="true" fillcolor="#c7edcc" stroked="false">
                <v:path arrowok="t"/>
                <v:fill type="solid"/>
              </v:shape>
            </v:group>
            <v:group style="position:absolute;left:3289;top:15130;width:5330;height:240" coordorigin="3289,15130" coordsize="5330,240">
              <v:shape style="position:absolute;left:3289;top:15130;width:5330;height:240" coordorigin="3289,15130" coordsize="5330,240" path="m3289,15370l8618,15370,8618,15130,3289,15130,3289,15370xe" filled="true" fillcolor="#c7edcc" stroked="false">
                <v:path arrowok="t"/>
                <v:fill type="solid"/>
              </v:shape>
            </v:group>
            <v:group style="position:absolute;left:8652;top:1450;width:416;height:13920" coordorigin="8652,1450" coordsize="416,13920">
              <v:shape style="position:absolute;left:8652;top:1450;width:416;height:13920" coordorigin="8652,1450" coordsize="416,13920" path="m8652,15370l9067,15370,9067,1450,8652,1450,8652,15370xe" filled="true" fillcolor="#ffffff" stroked="false">
                <v:path arrowok="t"/>
                <v:fill type="solid"/>
              </v:shape>
            </v:group>
            <v:group style="position:absolute;left:9077;top:1450;width:513;height:13920" coordorigin="9077,1450" coordsize="513,13920">
              <v:shape style="position:absolute;left:9077;top:1450;width:513;height:13920" coordorigin="9077,1450" coordsize="513,13920" path="m9077,15370l9589,15370,9589,1450,9077,1450,9077,15370xe" filled="true" fillcolor="#c7edcc" stroked="false">
                <v:path arrowok="t"/>
                <v:fill type="solid"/>
              </v:shape>
            </v:group>
            <v:group style="position:absolute;left:9599;top:1450;width:1097;height:13920" coordorigin="9599,1450" coordsize="1097,13920">
              <v:shape style="position:absolute;left:9599;top:1450;width:1097;height:13920" coordorigin="9599,1450" coordsize="1097,13920" path="m9599,15370l10696,15370,10696,1450,9599,1450,9599,15370xe" filled="true" fillcolor="#c7edcc" stroked="false">
                <v:path arrowok="t"/>
                <v:fill type="solid"/>
              </v:shape>
            </v:group>
            <v:group style="position:absolute;left:1129;top:1445;width:9578;height:2" coordorigin="1129,1445" coordsize="9578,2">
              <v:shape style="position:absolute;left:1129;top:1445;width:9578;height:2" coordorigin="1129,1445" coordsize="9578,0" path="m1129,1445l10706,1445e" filled="false" stroked="true" strokeweight=".48004pt" strokecolor="#000000">
                <v:path arrowok="t"/>
              </v:shape>
            </v:group>
            <v:group style="position:absolute;left:1134;top:1440;width:2;height:13941" coordorigin="1134,1440" coordsize="2,13941">
              <v:shape style="position:absolute;left:1134;top:1440;width:2;height:13941" coordorigin="1134,1440" coordsize="0,13941" path="m1134,1440l1134,15380e" filled="false" stroked="true" strokeweight=".48001pt" strokecolor="#000000">
                <v:path arrowok="t"/>
              </v:shape>
            </v:group>
            <v:group style="position:absolute;left:1129;top:15376;width:851;height:2" coordorigin="1129,15376" coordsize="851,2">
              <v:shape style="position:absolute;left:1129;top:15376;width:851;height:2" coordorigin="1129,15376" coordsize="851,0" path="m1129,15376l1980,15376e" filled="false" stroked="true" strokeweight=".47998pt" strokecolor="#000000">
                <v:path arrowok="t"/>
              </v:shape>
            </v:group>
            <v:group style="position:absolute;left:1985;top:1450;width:2;height:13931" coordorigin="1985,1450" coordsize="2,13931">
              <v:shape style="position:absolute;left:1985;top:1450;width:2;height:13931" coordorigin="1985,1450" coordsize="0,13931" path="m1985,1450l1985,15380e" filled="false" stroked="true" strokeweight=".48pt" strokecolor="#000000">
                <v:path arrowok="t"/>
              </v:shape>
            </v:group>
            <v:group style="position:absolute;left:1990;top:15376;width:700;height:2" coordorigin="1990,15376" coordsize="700,2">
              <v:shape style="position:absolute;left:1990;top:15376;width:700;height:2" coordorigin="1990,15376" coordsize="700,0" path="m1990,15376l2689,15376e" filled="false" stroked="true" strokeweight=".47998pt" strokecolor="#000000">
                <v:path arrowok="t"/>
              </v:shape>
            </v:group>
            <v:group style="position:absolute;left:2694;top:1450;width:2;height:13931" coordorigin="2694,1450" coordsize="2,13931">
              <v:shape style="position:absolute;left:2694;top:1450;width:2;height:13931" coordorigin="2694,1450" coordsize="0,13931" path="m2694,1450l2694,15380e" filled="false" stroked="true" strokeweight=".48pt" strokecolor="#000000">
                <v:path arrowok="t"/>
              </v:shape>
            </v:group>
            <v:group style="position:absolute;left:2699;top:15376;width:558;height:2" coordorigin="2699,15376" coordsize="558,2">
              <v:shape style="position:absolute;left:2699;top:15376;width:558;height:2" coordorigin="2699,15376" coordsize="558,0" path="m2699,15376l3257,15376e" filled="false" stroked="true" strokeweight=".47998pt" strokecolor="#000000">
                <v:path arrowok="t"/>
              </v:shape>
            </v:group>
            <v:group style="position:absolute;left:3262;top:1450;width:2;height:13931" coordorigin="3262,1450" coordsize="2,13931">
              <v:shape style="position:absolute;left:3262;top:1450;width:2;height:13931" coordorigin="3262,1450" coordsize="0,13931" path="m3262,1450l3262,15380e" filled="false" stroked="true" strokeweight=".48001pt" strokecolor="#000000">
                <v:path arrowok="t"/>
              </v:shape>
            </v:group>
            <v:group style="position:absolute;left:3266;top:15376;width:5376;height:2" coordorigin="3266,15376" coordsize="5376,2">
              <v:shape style="position:absolute;left:3266;top:15376;width:5376;height:2" coordorigin="3266,15376" coordsize="5376,0" path="m3266,15376l8642,15376e" filled="false" stroked="true" strokeweight=".47998pt" strokecolor="#000000">
                <v:path arrowok="t"/>
              </v:shape>
            </v:group>
            <v:group style="position:absolute;left:8647;top:1450;width:2;height:13931" coordorigin="8647,1450" coordsize="2,13931">
              <v:shape style="position:absolute;left:8647;top:1450;width:2;height:13931" coordorigin="8647,1450" coordsize="0,13931" path="m8647,1450l8647,15380e" filled="false" stroked="true" strokeweight=".47998pt" strokecolor="#000000">
                <v:path arrowok="t"/>
              </v:shape>
            </v:group>
            <v:group style="position:absolute;left:8652;top:15376;width:416;height:2" coordorigin="8652,15376" coordsize="416,2">
              <v:shape style="position:absolute;left:8652;top:15376;width:416;height:2" coordorigin="8652,15376" coordsize="416,0" path="m8652,15376l9067,15376e" filled="false" stroked="true" strokeweight=".47998pt" strokecolor="#000000">
                <v:path arrowok="t"/>
              </v:shape>
            </v:group>
            <v:group style="position:absolute;left:9072;top:1450;width:2;height:13931" coordorigin="9072,1450" coordsize="2,13931">
              <v:shape style="position:absolute;left:9072;top:1450;width:2;height:13931" coordorigin="9072,1450" coordsize="0,13931" path="m9072,1450l9072,15380e" filled="false" stroked="true" strokeweight=".47998pt" strokecolor="#000000">
                <v:path arrowok="t"/>
              </v:shape>
            </v:group>
            <v:group style="position:absolute;left:9077;top:15376;width:513;height:2" coordorigin="9077,15376" coordsize="513,2">
              <v:shape style="position:absolute;left:9077;top:15376;width:513;height:2" coordorigin="9077,15376" coordsize="513,0" path="m9077,15376l9589,15376e" filled="false" stroked="true" strokeweight=".47998pt" strokecolor="#000000">
                <v:path arrowok="t"/>
              </v:shape>
            </v:group>
            <v:group style="position:absolute;left:9594;top:1450;width:2;height:13931" coordorigin="9594,1450" coordsize="2,13931">
              <v:shape style="position:absolute;left:9594;top:1450;width:2;height:13931" coordorigin="9594,1450" coordsize="0,13931" path="m9594,1450l9594,15380e" filled="false" stroked="true" strokeweight=".48001pt" strokecolor="#000000">
                <v:path arrowok="t"/>
              </v:shape>
            </v:group>
            <v:group style="position:absolute;left:9599;top:15376;width:1098;height:2" coordorigin="9599,15376" coordsize="1098,2">
              <v:shape style="position:absolute;left:9599;top:15376;width:1098;height:2" coordorigin="9599,15376" coordsize="1098,0" path="m9599,15376l10697,15376e" filled="false" stroked="true" strokeweight=".47998pt" strokecolor="#000000">
                <v:path arrowok="t"/>
              </v:shape>
            </v:group>
            <v:group style="position:absolute;left:10702;top:1440;width:2;height:13941" coordorigin="10702,1440" coordsize="2,13941">
              <v:shape style="position:absolute;left:10702;top:1440;width:2;height:13941" coordorigin="10702,1440" coordsize="0,13941" path="m10702,1440l10702,15380e" filled="false" stroked="true" strokeweight=".47998pt" strokecolor="#000000">
                <v:path arrowok="t"/>
              </v:shape>
            </v:group>
            <w10:wrap type="none"/>
          </v:group>
        </w:pict>
      </w:r>
    </w:p>
    <w:p>
      <w:pPr>
        <w:pStyle w:val="BodyText"/>
        <w:spacing w:line="240" w:lineRule="auto" w:before="44"/>
        <w:ind w:left="2309" w:right="3267"/>
        <w:jc w:val="left"/>
      </w:pPr>
      <w:r>
        <w:rPr>
          <w:spacing w:val="-3"/>
        </w:rPr>
        <w:t>定的水平。关于部分资产待盈利后注入的承诺：杭报集团下属风盛新</w:t>
      </w:r>
      <w:r>
        <w:rPr>
          <w:spacing w:val="-70"/>
        </w:rPr>
        <w:t> </w:t>
      </w:r>
      <w:r>
        <w:rPr>
          <w:spacing w:val="-70"/>
        </w:rPr>
      </w:r>
      <w:r>
        <w:rPr>
          <w:spacing w:val="-3"/>
        </w:rPr>
        <w:t>传媒、城市通媒体、闻达电子商务、地铁文化传媒等四家公司尚处于</w:t>
      </w:r>
      <w:r>
        <w:rPr>
          <w:spacing w:val="-69"/>
        </w:rPr>
        <w:t> </w:t>
      </w:r>
      <w:r>
        <w:rPr>
          <w:spacing w:val="-69"/>
        </w:rPr>
      </w:r>
      <w:r>
        <w:rPr>
          <w:spacing w:val="-3"/>
        </w:rPr>
        <w:t>亏损状态，预计将有较长培育期。杭报集团承诺待上述公司实现盈利</w:t>
      </w:r>
      <w:r>
        <w:rPr>
          <w:spacing w:val="-70"/>
        </w:rPr>
        <w:t> </w:t>
      </w:r>
      <w:r>
        <w:rPr>
          <w:spacing w:val="-70"/>
        </w:rPr>
      </w:r>
      <w:r>
        <w:rPr/>
        <w:t>后</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个月内，无条件允许上市公司择机通过现金或股权等方式予以 </w:t>
      </w:r>
      <w:r>
        <w:rPr>
          <w:spacing w:val="-3"/>
        </w:rPr>
        <w:t>收购。关于拟注入资产权属状况的承诺：杭报集团有限公司与都市快</w:t>
      </w:r>
      <w:r>
        <w:rPr>
          <w:spacing w:val="-70"/>
        </w:rPr>
        <w:t> </w:t>
      </w:r>
      <w:r>
        <w:rPr>
          <w:spacing w:val="-70"/>
        </w:rPr>
      </w:r>
      <w:r>
        <w:rPr>
          <w:spacing w:val="-3"/>
        </w:rPr>
        <w:t>报社承诺，所持标的公司相应股份股权权属清晰，不存在任何争议或</w:t>
      </w:r>
      <w:r>
        <w:rPr>
          <w:spacing w:val="-70"/>
        </w:rPr>
        <w:t> </w:t>
      </w:r>
      <w:r>
        <w:rPr>
          <w:spacing w:val="-70"/>
        </w:rPr>
      </w:r>
      <w:r>
        <w:rPr>
          <w:spacing w:val="-3"/>
        </w:rPr>
        <w:t>潜在纠纷，不存在质押、查封、冻结或任何其他限制或禁止该等股份</w:t>
      </w:r>
      <w:r>
        <w:rPr>
          <w:spacing w:val="-69"/>
        </w:rPr>
        <w:t> </w:t>
      </w:r>
      <w:r>
        <w:rPr>
          <w:spacing w:val="-69"/>
        </w:rPr>
      </w:r>
      <w:r>
        <w:rPr>
          <w:spacing w:val="-3"/>
        </w:rPr>
        <w:t>转让的情形。关于拟注入资产合规经营的承诺：杭报集团有限公司及</w:t>
      </w:r>
      <w:r>
        <w:rPr>
          <w:spacing w:val="-70"/>
        </w:rPr>
        <w:t> </w:t>
      </w:r>
      <w:r>
        <w:rPr>
          <w:spacing w:val="-70"/>
        </w:rPr>
      </w:r>
      <w:r>
        <w:rPr/>
        <w:t>都市快报社承诺：下属拟注入标的公司最近五年未受过任何刑事处 </w:t>
      </w:r>
      <w:r>
        <w:rPr>
          <w:spacing w:val="-3"/>
        </w:rPr>
        <w:t>罚、证券市场相关的行政处罚，不存在与经济纠纷有关的重大民事诉</w:t>
      </w:r>
      <w:r>
        <w:rPr>
          <w:spacing w:val="-70"/>
        </w:rPr>
        <w:t> </w:t>
      </w:r>
      <w:r>
        <w:rPr>
          <w:spacing w:val="-70"/>
        </w:rPr>
      </w:r>
      <w:r>
        <w:rPr>
          <w:spacing w:val="-3"/>
        </w:rPr>
        <w:t>讼或仲裁的情况。截至承诺签署之日，拟注入标的公司不存在对外担</w:t>
      </w:r>
      <w:r>
        <w:rPr>
          <w:spacing w:val="-70"/>
        </w:rPr>
        <w:t> </w:t>
      </w:r>
      <w:r>
        <w:rPr>
          <w:spacing w:val="-70"/>
        </w:rPr>
      </w:r>
      <w:r>
        <w:rPr>
          <w:spacing w:val="-3"/>
        </w:rPr>
        <w:t>保的情况。拟注入标的公司不存在下列情形：</w:t>
      </w:r>
      <w:r>
        <w:rPr>
          <w:rFonts w:ascii="Times New Roman" w:hAnsi="Times New Roman" w:cs="Times New Roman" w:eastAsia="Times New Roman" w:hint="default"/>
          <w:spacing w:val="-3"/>
        </w:rPr>
        <w:t>1</w:t>
      </w:r>
      <w:r>
        <w:rPr>
          <w:spacing w:val="-3"/>
        </w:rPr>
        <w:t>）最近</w:t>
      </w:r>
      <w:r>
        <w:rPr>
          <w:spacing w:val="-45"/>
        </w:rPr>
        <w:t> </w:t>
      </w:r>
      <w:r>
        <w:rPr>
          <w:rFonts w:ascii="Times New Roman" w:hAnsi="Times New Roman" w:cs="Times New Roman" w:eastAsia="Times New Roman" w:hint="default"/>
        </w:rPr>
        <w:t>36 </w:t>
      </w:r>
      <w:r>
        <w:rPr/>
        <w:t>个月内未经 </w:t>
      </w:r>
      <w:r>
        <w:rPr>
          <w:spacing w:val="-3"/>
        </w:rPr>
        <w:t>法定机关核准，擅自公开或者变相公开发行过证券；或者有关违法行</w:t>
      </w:r>
      <w:r>
        <w:rPr>
          <w:spacing w:val="-70"/>
        </w:rPr>
        <w:t> </w:t>
      </w:r>
      <w:r>
        <w:rPr>
          <w:spacing w:val="-70"/>
        </w:rPr>
      </w:r>
      <w:r>
        <w:rPr/>
        <w:t>为虽然发生在</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个月前，但目前仍处于持续状态；</w:t>
      </w:r>
      <w:r>
        <w:rPr>
          <w:rFonts w:ascii="Times New Roman" w:hAnsi="Times New Roman" w:cs="Times New Roman" w:eastAsia="Times New Roman" w:hint="default"/>
        </w:rPr>
        <w:t>2</w:t>
      </w:r>
      <w:r>
        <w:rPr/>
        <w:t>）最近</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 </w:t>
      </w:r>
      <w:r>
        <w:rPr>
          <w:spacing w:val="-3"/>
        </w:rPr>
        <w:t>内违反工商、税收、土地、环保、海关以及其他法律、行政法规，受</w:t>
      </w:r>
      <w:r>
        <w:rPr>
          <w:spacing w:val="-71"/>
        </w:rPr>
        <w:t> </w:t>
      </w:r>
      <w:r>
        <w:rPr>
          <w:spacing w:val="-71"/>
        </w:rPr>
      </w:r>
      <w:r>
        <w:rPr>
          <w:spacing w:val="-5"/>
        </w:rPr>
        <w:t>到行政处罚，且情节严重；</w:t>
      </w:r>
      <w:r>
        <w:rPr>
          <w:rFonts w:ascii="Times New Roman" w:hAnsi="Times New Roman" w:cs="Times New Roman" w:eastAsia="Times New Roman" w:hint="default"/>
          <w:spacing w:val="-5"/>
        </w:rPr>
        <w:t>3</w:t>
      </w:r>
      <w:r>
        <w:rPr>
          <w:spacing w:val="-5"/>
        </w:rPr>
        <w:t>）最近</w:t>
      </w:r>
      <w:r>
        <w:rPr>
          <w:spacing w:val="-41"/>
        </w:rPr>
        <w:t> </w:t>
      </w:r>
      <w:r>
        <w:rPr>
          <w:rFonts w:ascii="Times New Roman" w:hAnsi="Times New Roman" w:cs="Times New Roman" w:eastAsia="Times New Roman" w:hint="default"/>
        </w:rPr>
        <w:t>36</w:t>
      </w:r>
      <w:r>
        <w:rPr>
          <w:rFonts w:ascii="Times New Roman" w:hAnsi="Times New Roman" w:cs="Times New Roman" w:eastAsia="Times New Roman" w:hint="default"/>
          <w:spacing w:val="4"/>
        </w:rPr>
        <w:t> </w:t>
      </w:r>
      <w:r>
        <w:rPr/>
        <w:t>个月内曾向中国证监会提出发 </w:t>
      </w:r>
      <w:r>
        <w:rPr>
          <w:spacing w:val="-5"/>
        </w:rPr>
        <w:t>行申请，但报送的发行申请文件有虚假记载、</w:t>
      </w:r>
      <w:r>
        <w:rPr>
          <w:spacing w:val="-71"/>
        </w:rPr>
        <w:t> </w:t>
      </w:r>
      <w:r>
        <w:rPr>
          <w:spacing w:val="-71"/>
        </w:rPr>
      </w:r>
      <w:r>
        <w:rPr>
          <w:spacing w:val="-3"/>
        </w:rPr>
        <w:t>或者不符合发行条件以欺骗手段骗取发行核准；或者以不正当手段干</w:t>
      </w:r>
      <w:r>
        <w:rPr>
          <w:spacing w:val="-70"/>
        </w:rPr>
        <w:t> </w:t>
      </w:r>
      <w:r>
        <w:rPr>
          <w:spacing w:val="-70"/>
        </w:rPr>
      </w:r>
      <w:r>
        <w:rPr>
          <w:spacing w:val="-3"/>
        </w:rPr>
        <w:t>扰中国证监会及其发行审核委员会审核工作；或者伪造、变造发行人</w:t>
      </w:r>
      <w:r>
        <w:rPr>
          <w:spacing w:val="-70"/>
        </w:rPr>
        <w:t> </w:t>
      </w:r>
      <w:r>
        <w:rPr>
          <w:spacing w:val="-70"/>
        </w:rPr>
      </w:r>
      <w:r>
        <w:rPr/>
        <w:t>或其董事、监事、高级管理人员的签字、盖章；</w:t>
      </w:r>
      <w:r>
        <w:rPr>
          <w:rFonts w:ascii="Times New Roman" w:hAnsi="Times New Roman" w:cs="Times New Roman" w:eastAsia="Times New Roman" w:hint="default"/>
        </w:rPr>
        <w:t>4</w:t>
      </w:r>
      <w:r>
        <w:rPr/>
        <w:t>）本次报送的发行 申请文件有虚假记载、误导性陈述或者重大遗漏；</w:t>
      </w:r>
      <w:r>
        <w:rPr>
          <w:rFonts w:ascii="Times New Roman" w:hAnsi="Times New Roman" w:cs="Times New Roman" w:eastAsia="Times New Roman" w:hint="default"/>
        </w:rPr>
        <w:t>5</w:t>
      </w:r>
      <w:r>
        <w:rPr/>
        <w:t>）涉嫌犯罪被司 法机关立案侦查，尚未有明确结论意见；</w:t>
      </w:r>
      <w:r>
        <w:rPr>
          <w:rFonts w:ascii="Times New Roman" w:hAnsi="Times New Roman" w:cs="Times New Roman" w:eastAsia="Times New Roman" w:hint="default"/>
        </w:rPr>
        <w:t>6</w:t>
      </w:r>
      <w:r>
        <w:rPr/>
        <w:t>）严重损害投资者合法权 </w:t>
      </w:r>
      <w:r>
        <w:rPr>
          <w:spacing w:val="-3"/>
        </w:rPr>
        <w:t>益和社会公共利益的其他情形。如上述承诺被证明是不真实的或未被</w:t>
      </w:r>
      <w:r>
        <w:rPr>
          <w:spacing w:val="-70"/>
        </w:rPr>
        <w:t> </w:t>
      </w:r>
      <w:r>
        <w:rPr>
          <w:spacing w:val="-70"/>
        </w:rPr>
      </w:r>
      <w:r>
        <w:rPr>
          <w:spacing w:val="-3"/>
        </w:rPr>
        <w:t>遵守，其将向华智控股赔偿一切直接和间接损失，并承担相应的法律</w:t>
      </w:r>
      <w:r>
        <w:rPr>
          <w:spacing w:val="-70"/>
        </w:rPr>
        <w:t> </w:t>
      </w:r>
      <w:r>
        <w:rPr>
          <w:spacing w:val="-70"/>
        </w:rPr>
      </w:r>
      <w:r>
        <w:rPr>
          <w:spacing w:val="-9"/>
        </w:rPr>
        <w:t>责任。关于注入资产税收优惠的承诺：根据财政部、国家税务总局（财</w:t>
      </w:r>
      <w:r>
        <w:rPr>
          <w:spacing w:val="-63"/>
        </w:rPr>
        <w:t> </w:t>
      </w:r>
      <w:r>
        <w:rPr>
          <w:spacing w:val="-63"/>
        </w:rPr>
      </w:r>
      <w:r>
        <w:rPr>
          <w:spacing w:val="-2"/>
        </w:rPr>
        <w:t>税［</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34</w:t>
      </w:r>
      <w:r>
        <w:rPr>
          <w:rFonts w:ascii="Times New Roman" w:hAnsi="Times New Roman" w:cs="Times New Roman" w:eastAsia="Times New Roman" w:hint="default"/>
          <w:spacing w:val="16"/>
        </w:rPr>
        <w:t> </w:t>
      </w:r>
      <w:r>
        <w:rPr>
          <w:spacing w:val="-5"/>
        </w:rPr>
        <w:t>号）《关于文化体制改革中经营性文化事业单位转制为</w:t>
      </w:r>
      <w:r>
        <w:rPr>
          <w:spacing w:val="-86"/>
        </w:rPr>
        <w:t> </w:t>
      </w:r>
      <w:r>
        <w:rPr>
          <w:spacing w:val="-86"/>
        </w:rPr>
      </w:r>
      <w:r>
        <w:rPr>
          <w:spacing w:val="-3"/>
        </w:rPr>
        <w:t>企业的若干税收优惠政策的通知》，杭报集团享受免征企业所得税至</w:t>
      </w:r>
      <w:r>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日。本次注入资产中</w:t>
      </w:r>
      <w:r>
        <w:rPr>
          <w:spacing w:val="-49"/>
        </w:rPr>
        <w:t> </w:t>
      </w:r>
      <w:r>
        <w:rPr>
          <w:rFonts w:ascii="Times New Roman" w:hAnsi="Times New Roman" w:cs="Times New Roman" w:eastAsia="Times New Roman" w:hint="default"/>
          <w:spacing w:val="-4"/>
        </w:rPr>
        <w:t>11 </w:t>
      </w:r>
      <w:r>
        <w:rPr/>
        <w:t>家公司目前均享受上述政策</w:t>
      </w:r>
    </w:p>
    <w:p>
      <w:pPr>
        <w:pStyle w:val="BodyText"/>
        <w:spacing w:line="240" w:lineRule="exact" w:before="9"/>
        <w:ind w:left="2309" w:right="3268"/>
        <w:jc w:val="left"/>
        <w:rPr>
          <w:rFonts w:ascii="Times New Roman" w:hAnsi="Times New Roman" w:cs="Times New Roman" w:eastAsia="Times New Roman" w:hint="default"/>
        </w:rPr>
      </w:pPr>
      <w:r>
        <w:rPr/>
        <w:t>优惠。根据</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日《国务院办公厅关于印发文化体制改革 中经营性文化事业单位转制为企业和进一步支持文化企业发展两个 </w:t>
      </w:r>
      <w:r>
        <w:rPr>
          <w:spacing w:val="-6"/>
        </w:rPr>
        <w:t>规定的通知》（国办发〔</w:t>
      </w:r>
      <w:r>
        <w:rPr>
          <w:rFonts w:ascii="Times New Roman" w:hAnsi="Times New Roman" w:cs="Times New Roman" w:eastAsia="Times New Roman" w:hint="default"/>
          <w:spacing w:val="-6"/>
        </w:rPr>
        <w:t>2014</w:t>
      </w:r>
      <w:r>
        <w:rPr>
          <w:spacing w:val="-6"/>
        </w:rPr>
        <w:t>〕</w:t>
      </w:r>
      <w:r>
        <w:rPr>
          <w:rFonts w:ascii="Times New Roman" w:hAnsi="Times New Roman" w:cs="Times New Roman" w:eastAsia="Times New Roman" w:hint="default"/>
          <w:spacing w:val="-6"/>
        </w:rPr>
        <w:t>15</w:t>
      </w:r>
      <w:r>
        <w:rPr>
          <w:rFonts w:ascii="Times New Roman" w:hAnsi="Times New Roman" w:cs="Times New Roman" w:eastAsia="Times New Roman" w:hint="default"/>
          <w:spacing w:val="5"/>
        </w:rPr>
        <w:t> </w:t>
      </w:r>
      <w:r>
        <w:rPr>
          <w:spacing w:val="-1"/>
        </w:rPr>
        <w:t>号）中的《文化体制改革中经营性</w:t>
      </w:r>
      <w:r>
        <w:rPr/>
        <w:t> 文化事业单位转制为企业的规定》第二十条</w:t>
      </w:r>
      <w:r>
        <w:rPr>
          <w:rFonts w:ascii="Times New Roman" w:hAnsi="Times New Roman" w:cs="Times New Roman" w:eastAsia="Times New Roman" w:hint="default"/>
        </w:rPr>
        <w:t>“</w:t>
      </w:r>
      <w:r>
        <w:rPr/>
        <w:t>经营性文化事业单位转 </w:t>
      </w:r>
      <w:r>
        <w:rPr>
          <w:spacing w:val="-2"/>
        </w:rPr>
        <w:t>制为企业后，免征企业所得税</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上述政策适用于开展文化体制改革</w:t>
      </w:r>
      <w:r>
        <w:rPr>
          <w:spacing w:val="-81"/>
        </w:rPr>
        <w:t> </w:t>
      </w:r>
      <w:r>
        <w:rPr>
          <w:spacing w:val="-3"/>
        </w:rPr>
        <w:t>的地区和转制企业。中央所属转制文化企业的认定，由中央宣传部会</w:t>
      </w:r>
      <w:r>
        <w:rPr>
          <w:spacing w:val="-70"/>
        </w:rPr>
        <w:t> </w:t>
      </w:r>
      <w:r>
        <w:rPr>
          <w:spacing w:val="-70"/>
        </w:rPr>
      </w:r>
      <w:r>
        <w:rPr>
          <w:spacing w:val="-5"/>
        </w:rPr>
        <w:t>同财政部、税务总局确定并发布名单；</w:t>
      </w:r>
      <w:r>
        <w:rPr>
          <w:spacing w:val="-86"/>
        </w:rPr>
        <w:t> </w:t>
      </w:r>
      <w:r>
        <w:rPr>
          <w:spacing w:val="-86"/>
        </w:rPr>
      </w:r>
      <w:r>
        <w:rPr>
          <w:spacing w:val="-3"/>
        </w:rPr>
        <w:t>按照登记管理权限，由地方各级宣传部门会同同级财政、税务部门确</w:t>
      </w:r>
      <w:r>
        <w:rPr>
          <w:spacing w:val="-70"/>
        </w:rPr>
        <w:t> </w:t>
      </w:r>
      <w:r>
        <w:rPr>
          <w:spacing w:val="-70"/>
        </w:rPr>
      </w:r>
      <w:r>
        <w:rPr>
          <w:spacing w:val="-3"/>
        </w:rPr>
        <w:t>定和发布名单，并按程序抄送中央宣传部、财政部和税务总局。执行</w:t>
      </w:r>
      <w:r>
        <w:rPr>
          <w:spacing w:val="-69"/>
        </w:rPr>
        <w:t> </w:t>
      </w:r>
      <w:r>
        <w:rPr>
          <w:spacing w:val="-69"/>
        </w:rPr>
      </w:r>
      <w:r>
        <w:rPr/>
        <w:t>期限为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拟购买资产评估时 </w:t>
      </w:r>
      <w:r>
        <w:rPr>
          <w:spacing w:val="-3"/>
        </w:rPr>
        <w:t>点，杭州市宣传部门尚未会同财政、税务部门确定和发布名单。评估</w:t>
      </w:r>
      <w:r>
        <w:rPr>
          <w:spacing w:val="-69"/>
        </w:rPr>
        <w:t> </w:t>
      </w:r>
      <w:r>
        <w:rPr>
          <w:spacing w:val="-69"/>
        </w:rPr>
      </w:r>
      <w:r>
        <w:rPr>
          <w:spacing w:val="-3"/>
        </w:rPr>
        <w:t>机构按照前次名单，假设拟购买资产相关企业继续享受免征企业所得</w:t>
      </w:r>
      <w:r>
        <w:rPr>
          <w:spacing w:val="-70"/>
        </w:rPr>
        <w:t> </w:t>
      </w:r>
      <w:r>
        <w:rPr>
          <w:spacing w:val="-70"/>
        </w:rPr>
      </w:r>
      <w:r>
        <w:rPr/>
        <w:t>税政策到期后延期</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年至</w:t>
      </w:r>
      <w:r>
        <w:rPr>
          <w:spacing w:val="-58"/>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3"/>
        </w:rPr>
        <w:t> </w:t>
      </w:r>
      <w:r>
        <w:rPr>
          <w:spacing w:val="-16"/>
        </w:rPr>
        <w:t>日，</w:t>
      </w:r>
      <w:r>
        <w:rPr>
          <w:rFonts w:ascii="Times New Roman" w:hAnsi="Times New Roman" w:cs="Times New Roman" w:eastAsia="Times New Roman" w:hint="default"/>
          <w:spacing w:val="-16"/>
        </w:rPr>
        <w:t>2019</w:t>
      </w:r>
      <w:r>
        <w:rPr>
          <w:rFonts w:ascii="Times New Roman" w:hAnsi="Times New Roman" w:cs="Times New Roman" w:eastAsia="Times New Roman" w:hint="default"/>
          <w:spacing w:val="-13"/>
        </w:rPr>
        <w:t> </w:t>
      </w:r>
      <w:r>
        <w:rPr/>
        <w:t>年及以后按照</w:t>
      </w:r>
      <w:r>
        <w:rPr>
          <w:spacing w:val="-58"/>
        </w:rPr>
        <w:t> </w:t>
      </w:r>
      <w:r>
        <w:rPr>
          <w:rFonts w:ascii="Times New Roman" w:hAnsi="Times New Roman" w:cs="Times New Roman" w:eastAsia="Times New Roman" w:hint="default"/>
        </w:rPr>
        <w:t>25%</w:t>
      </w:r>
    </w:p>
    <w:p>
      <w:pPr>
        <w:pStyle w:val="BodyText"/>
        <w:spacing w:line="226" w:lineRule="exact"/>
        <w:ind w:left="2309" w:right="0"/>
        <w:jc w:val="left"/>
      </w:pPr>
      <w:r>
        <w:rPr/>
        <w:t>税率预测企业所得税。杭报集团承诺：如</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家标的公司在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p>
      <w:pPr>
        <w:pStyle w:val="BodyText"/>
        <w:spacing w:line="240" w:lineRule="exact"/>
        <w:ind w:left="2309"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日前不能持续具备享受上述免征企业所得税的税收优惠政策</w:t>
      </w:r>
    </w:p>
    <w:p>
      <w:pPr>
        <w:pStyle w:val="BodyText"/>
        <w:spacing w:line="240" w:lineRule="exact"/>
        <w:ind w:left="2309" w:right="0"/>
        <w:jc w:val="left"/>
      </w:pPr>
      <w:r>
        <w:rPr/>
        <w:t>条件，或者未来上述税收优惠政策发生变化，导致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家标的公司在</w:t>
      </w:r>
    </w:p>
    <w:p>
      <w:pPr>
        <w:pStyle w:val="BodyText"/>
        <w:spacing w:line="240" w:lineRule="exact"/>
        <w:ind w:left="2309"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日前不能继续享受上述税收优惠政策，本集团将在</w:t>
      </w:r>
    </w:p>
    <w:p>
      <w:pPr>
        <w:pStyle w:val="BodyText"/>
        <w:spacing w:line="240" w:lineRule="exact" w:before="13"/>
        <w:ind w:left="2309" w:right="3350"/>
        <w:jc w:val="left"/>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家标的公司该年度所得税汇算清缴完成后</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日内，按</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家标的 公司各自该年度的应纳税所得额</w:t>
      </w:r>
      <w:r>
        <w:rPr>
          <w:rFonts w:ascii="Times New Roman" w:hAnsi="Times New Roman" w:cs="Times New Roman" w:eastAsia="Times New Roman" w:hint="default"/>
        </w:rPr>
        <w:t>×(</w:t>
      </w:r>
      <w:r>
        <w:rPr/>
        <w:t>各公司该年度实际执行所得税率</w:t>
      </w:r>
    </w:p>
    <w:p>
      <w:pPr>
        <w:pStyle w:val="BodyText"/>
        <w:spacing w:line="240" w:lineRule="exact"/>
        <w:ind w:left="2309" w:right="3254"/>
        <w:jc w:val="both"/>
      </w:pPr>
      <w:r>
        <w:rPr>
          <w:rFonts w:ascii="Times New Roman" w:hAnsi="Times New Roman" w:cs="Times New Roman" w:eastAsia="Times New Roman" w:hint="default"/>
        </w:rPr>
        <w:t>-0%)/(1-</w:t>
      </w:r>
      <w:r>
        <w:rPr/>
        <w:t>各公司该年度实际执行所得税率</w:t>
      </w:r>
      <w:r>
        <w:rPr>
          <w:rFonts w:ascii="Times New Roman" w:hAnsi="Times New Roman" w:cs="Times New Roman" w:eastAsia="Times New Roman" w:hint="default"/>
        </w:rPr>
        <w:t>)</w:t>
      </w:r>
      <w:r>
        <w:rPr/>
        <w:t>给予各公司全额现金补偿。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日，杭州市财政局、杭州市国家税务局、杭州市地方 </w:t>
      </w:r>
      <w:r>
        <w:rPr>
          <w:spacing w:val="-3"/>
        </w:rPr>
        <w:t>税务局、中共杭州市委宣传部联合发布《关于明确杭州日报传媒有限</w:t>
      </w:r>
      <w:r>
        <w:rPr>
          <w:spacing w:val="-70"/>
        </w:rPr>
        <w:t> </w:t>
      </w:r>
      <w:r>
        <w:rPr>
          <w:spacing w:val="-70"/>
        </w:rPr>
      </w:r>
      <w:r>
        <w:rPr/>
        <w:t>公司等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spacing w:val="-7"/>
        </w:rPr>
        <w:t>家企业可继续享受文化体制改革税收优惠政策的通知》（市</w:t>
      </w:r>
    </w:p>
    <w:p>
      <w:pPr>
        <w:pStyle w:val="BodyText"/>
        <w:spacing w:line="226" w:lineRule="exact"/>
        <w:ind w:left="2309" w:right="0"/>
        <w:jc w:val="left"/>
      </w:pPr>
      <w:r>
        <w:rPr/>
        <w:t>宣通</w:t>
      </w:r>
      <w:r>
        <w:rPr>
          <w:rFonts w:ascii="Times New Roman" w:hAnsi="Times New Roman" w:cs="Times New Roman" w:eastAsia="Times New Roman" w:hint="default"/>
        </w:rPr>
        <w:t>[2014</w:t>
      </w:r>
      <w:r>
        <w:rPr>
          <w:rFonts w:ascii="Times New Roman" w:hAnsi="Times New Roman" w:cs="Times New Roman" w:eastAsia="Times New Roman" w:hint="default"/>
          <w:spacing w:val="-2"/>
        </w:rPr>
        <w:t>]</w:t>
      </w:r>
      <w:r>
        <w:rPr>
          <w:rFonts w:ascii="Times New Roman" w:hAnsi="Times New Roman" w:cs="Times New Roman" w:eastAsia="Times New Roman" w:hint="default"/>
        </w:rPr>
        <w:t>59 </w:t>
      </w:r>
      <w:r>
        <w:rPr/>
        <w:t>号</w:t>
      </w:r>
      <w:r>
        <w:rPr>
          <w:spacing w:val="-90"/>
        </w:rPr>
        <w:t>）</w:t>
      </w:r>
      <w:r>
        <w:rPr>
          <w:spacing w:val="-48"/>
        </w:rPr>
        <w:t>，</w:t>
      </w:r>
      <w:r>
        <w:rPr/>
        <w:t>明确</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
        </w:rPr>
        <w:t>家</w:t>
      </w:r>
      <w:r>
        <w:rPr/>
        <w:t>标的公司及其</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家下属公司可按国</w:t>
      </w:r>
      <w:r>
        <w:rPr>
          <w:spacing w:val="1"/>
        </w:rPr>
        <w:t>办</w:t>
      </w:r>
      <w:r>
        <w:rPr/>
        <w:t>发</w:t>
      </w:r>
    </w:p>
    <w:p>
      <w:pPr>
        <w:pStyle w:val="BodyText"/>
        <w:spacing w:line="240" w:lineRule="exact" w:before="13"/>
        <w:ind w:left="2309" w:right="3205"/>
        <w:jc w:val="left"/>
      </w:pP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号文件继续享受文化体制改革税收优惠政策，免征企业 所得税，执行期限为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日。至此，</w:t>
      </w:r>
    </w:p>
    <w:p>
      <w:pPr>
        <w:pStyle w:val="BodyText"/>
        <w:spacing w:line="240" w:lineRule="exact"/>
        <w:ind w:left="2309" w:right="3195"/>
        <w:jc w:val="left"/>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家标的公司的税收优惠风险已不存在。关于拟购买资产瑕疵房产 </w:t>
      </w:r>
      <w:r>
        <w:rPr>
          <w:spacing w:val="-3"/>
        </w:rPr>
        <w:t>的承诺：拟购买资产评估时点，标的公司盛元印务名下三项房产的相</w:t>
      </w:r>
      <w:r>
        <w:rPr>
          <w:spacing w:val="-70"/>
        </w:rPr>
        <w:t> </w:t>
      </w:r>
      <w:r>
        <w:rPr>
          <w:spacing w:val="-70"/>
        </w:rPr>
      </w:r>
      <w:r>
        <w:rPr/>
        <w:t>关权证尚在办理之中，该等房屋相对应的土地使用权证已办理完毕， </w:t>
      </w:r>
      <w:r>
        <w:rPr>
          <w:spacing w:val="-3"/>
        </w:rPr>
        <w:t>房产测绘已基本完成。对于上述瑕疵资产，杭报集团承诺：如果交割</w:t>
      </w:r>
    </w:p>
    <w:p>
      <w:pPr>
        <w:spacing w:after="0" w:line="240" w:lineRule="exact"/>
        <w:jc w:val="left"/>
        <w:sectPr>
          <w:pgSz w:w="11910" w:h="16840"/>
          <w:pgMar w:header="747" w:footer="982" w:top="1060" w:bottom="1180" w:left="980" w:right="0"/>
        </w:sectPr>
      </w:pPr>
    </w:p>
    <w:p>
      <w:pPr>
        <w:spacing w:line="240" w:lineRule="auto" w:before="6"/>
        <w:rPr>
          <w:rFonts w:ascii="宋体" w:hAnsi="宋体" w:cs="宋体" w:eastAsia="宋体" w:hint="default"/>
          <w:sz w:val="28"/>
          <w:szCs w:val="28"/>
        </w:rPr>
      </w:pPr>
      <w:r>
        <w:rPr/>
        <w:pict>
          <v:group style="position:absolute;margin-left:433.73999pt;margin-top:337.980011pt;width:18.5pt;height:12pt;mso-position-horizontal-relative:page;mso-position-vertical-relative:page;z-index:-1247752" coordorigin="8675,6760" coordsize="370,240">
            <v:shape style="position:absolute;left:8675;top:6760;width:370;height:240" coordorigin="8675,6760" coordsize="370,240" path="m8675,7000l9044,7000,9044,6760,8675,6760,8675,700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51"/>
        <w:gridCol w:w="709"/>
        <w:gridCol w:w="568"/>
        <w:gridCol w:w="5386"/>
        <w:gridCol w:w="425"/>
        <w:gridCol w:w="522"/>
        <w:gridCol w:w="1107"/>
      </w:tblGrid>
      <w:tr>
        <w:trPr>
          <w:trHeight w:val="101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20"/>
              <w:jc w:val="both"/>
              <w:rPr>
                <w:rFonts w:ascii="宋体" w:hAnsi="宋体" w:cs="宋体" w:eastAsia="宋体" w:hint="default"/>
                <w:sz w:val="18"/>
                <w:szCs w:val="18"/>
              </w:rPr>
            </w:pPr>
            <w:r>
              <w:rPr>
                <w:rFonts w:ascii="宋体" w:hAnsi="宋体" w:cs="宋体" w:eastAsia="宋体" w:hint="default"/>
                <w:spacing w:val="-3"/>
                <w:sz w:val="18"/>
                <w:szCs w:val="18"/>
              </w:rPr>
              <w:t>上述房产时，相关方无法办理权属证明文件以及办理手续存在法律或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其他实质性障碍或出现产权纠纷等情况，对此造成华智控股一切直接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和间接损失，杭报集团愿意承担包括以现金补足等方式在内的全部法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律责任。</w:t>
            </w:r>
          </w:p>
        </w:tc>
        <w:tc>
          <w:tcPr>
            <w:tcW w:w="425"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5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8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8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89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4" w:lineRule="auto"/>
              <w:ind w:left="22" w:right="9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4" w:lineRule="auto"/>
              <w:ind w:left="22" w:right="134"/>
              <w:jc w:val="both"/>
              <w:rPr>
                <w:rFonts w:ascii="宋体" w:hAnsi="宋体" w:cs="宋体" w:eastAsia="宋体" w:hint="default"/>
                <w:sz w:val="18"/>
                <w:szCs w:val="18"/>
              </w:rPr>
            </w:pPr>
            <w:r>
              <w:rPr>
                <w:rFonts w:ascii="宋体" w:hAnsi="宋体" w:cs="宋体" w:eastAsia="宋体" w:hint="default"/>
                <w:sz w:val="18"/>
                <w:szCs w:val="18"/>
              </w:rPr>
              <w:t>杭州日 报报业 集团有 限公司</w:t>
            </w:r>
          </w:p>
        </w:tc>
        <w:tc>
          <w:tcPr>
            <w:tcW w:w="5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5386"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240" w:lineRule="auto" w:before="21"/>
              <w:ind w:left="22" w:right="9"/>
              <w:jc w:val="left"/>
              <w:rPr>
                <w:rFonts w:ascii="宋体" w:hAnsi="宋体" w:cs="宋体" w:eastAsia="宋体" w:hint="default"/>
                <w:sz w:val="18"/>
                <w:szCs w:val="18"/>
              </w:rPr>
            </w:pPr>
            <w:r>
              <w:rPr>
                <w:rFonts w:ascii="宋体" w:hAnsi="宋体" w:cs="宋体" w:eastAsia="宋体" w:hint="default"/>
                <w:spacing w:val="-3"/>
                <w:sz w:val="18"/>
                <w:szCs w:val="18"/>
              </w:rPr>
              <w:t>杭州日报报业集团有限公司承诺，标的公司（杭州萧山萧报教育咨询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年度经具有合法证券从业资 质的会计师事务所审计的扣除非经常性损益后实现净利润分别不低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145 </w:t>
            </w:r>
            <w:r>
              <w:rPr>
                <w:rFonts w:ascii="宋体" w:hAnsi="宋体" w:cs="宋体" w:eastAsia="宋体" w:hint="default"/>
                <w:sz w:val="18"/>
                <w:szCs w:val="18"/>
              </w:rPr>
              <w:t>万元。标的公司的财务报表编制应符合</w:t>
            </w:r>
          </w:p>
          <w:p>
            <w:pPr>
              <w:pStyle w:val="TableParagraph"/>
              <w:spacing w:line="242" w:lineRule="auto"/>
              <w:ind w:left="22" w:right="-44"/>
              <w:jc w:val="left"/>
              <w:rPr>
                <w:rFonts w:ascii="宋体" w:hAnsi="宋体" w:cs="宋体" w:eastAsia="宋体" w:hint="default"/>
                <w:sz w:val="18"/>
                <w:szCs w:val="18"/>
              </w:rPr>
            </w:pPr>
            <w:r>
              <w:rPr>
                <w:rFonts w:ascii="宋体" w:hAnsi="宋体" w:cs="宋体" w:eastAsia="宋体" w:hint="default"/>
                <w:spacing w:val="-3"/>
                <w:sz w:val="18"/>
                <w:szCs w:val="18"/>
              </w:rPr>
              <w:t>《企业会计准则》及其他法律、法规的规定，并与华媒教育会计政策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及会计估计不存在重大差异。除非法律法规规定或华媒教育在法律允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许的范围内改变会计政策、会计估计，否则，业绩承诺期内，未经标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的公司董事会批准，不得改变标的公司会计政策、会计估计。经双方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确认，在业绩承诺期的每一会计年度结束后，浙江华媒教育科技有限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公司应聘请经双方共同认可的具有合法证券从业资质的会计师事务 </w:t>
            </w:r>
            <w:r>
              <w:rPr>
                <w:rFonts w:ascii="宋体" w:hAnsi="宋体" w:cs="宋体" w:eastAsia="宋体" w:hint="default"/>
                <w:spacing w:val="-3"/>
                <w:sz w:val="18"/>
                <w:szCs w:val="18"/>
              </w:rPr>
              <w:t>所出具《专项审计报告》，标的公司在业绩承诺期间各年度的实际净</w:t>
            </w:r>
            <w:r>
              <w:rPr>
                <w:rFonts w:ascii="宋体" w:hAnsi="宋体" w:cs="宋体" w:eastAsia="宋体" w:hint="default"/>
                <w:sz w:val="18"/>
                <w:szCs w:val="18"/>
              </w:rPr>
              <w:t> </w:t>
            </w:r>
            <w:r>
              <w:rPr>
                <w:rFonts w:ascii="宋体" w:hAnsi="宋体" w:cs="宋体" w:eastAsia="宋体" w:hint="default"/>
                <w:spacing w:val="-7"/>
                <w:sz w:val="18"/>
                <w:szCs w:val="18"/>
              </w:rPr>
              <w:t>利润金额，以该等专项审计报告确定的数值为准。杭报集团公司承诺，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若标的公司在上述承诺期间内未达到各期经营目标，则通过现金方式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对华媒教育予以补偿，计算方式为：每年现金补偿款金额</w:t>
            </w:r>
            <w:r>
              <w:rPr>
                <w:rFonts w:ascii="Times New Roman" w:hAnsi="Times New Roman" w:cs="Times New Roman" w:eastAsia="Times New Roman" w:hint="default"/>
                <w:sz w:val="18"/>
                <w:szCs w:val="18"/>
              </w:rPr>
              <w:t>=</w:t>
            </w:r>
            <w:r>
              <w:rPr>
                <w:rFonts w:ascii="宋体" w:hAnsi="宋体" w:cs="宋体" w:eastAsia="宋体" w:hint="default"/>
                <w:sz w:val="18"/>
                <w:szCs w:val="18"/>
              </w:rPr>
              <w:t>华媒教育 投资总额</w:t>
            </w:r>
            <w:r>
              <w:rPr>
                <w:rFonts w:ascii="Times New Roman" w:hAnsi="Times New Roman" w:cs="Times New Roman" w:eastAsia="Times New Roman" w:hint="default"/>
                <w:sz w:val="18"/>
                <w:szCs w:val="18"/>
              </w:rPr>
              <w:t>×(1-</w:t>
            </w:r>
            <w:r>
              <w:rPr>
                <w:rFonts w:ascii="宋体" w:hAnsi="宋体" w:cs="宋体" w:eastAsia="宋体" w:hint="default"/>
                <w:sz w:val="18"/>
                <w:szCs w:val="18"/>
              </w:rPr>
              <w:t>当年度实际净利润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当年度承诺净利润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。华媒教育要求 </w:t>
            </w:r>
            <w:r>
              <w:rPr>
                <w:rFonts w:ascii="宋体" w:hAnsi="宋体" w:cs="宋体" w:eastAsia="宋体" w:hint="default"/>
                <w:spacing w:val="-3"/>
                <w:sz w:val="18"/>
                <w:szCs w:val="18"/>
              </w:rPr>
              <w:t>上述补偿，应向杭报集团公司发出书面通知，杭报集团公司应在收到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华媒教育书面通知后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日内将所需补偿的现金支付至华媒教育指定 </w:t>
            </w:r>
            <w:r>
              <w:rPr>
                <w:rFonts w:ascii="宋体" w:hAnsi="宋体" w:cs="宋体" w:eastAsia="宋体" w:hint="default"/>
                <w:spacing w:val="-3"/>
                <w:sz w:val="18"/>
                <w:szCs w:val="18"/>
              </w:rPr>
              <w:t>的银行账户内。如杭报集团公司未能依据本协议的约定按期履行补偿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义务，杭报集团公司应按照未补偿金额每日万分之五的标准向华媒教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育支付违约金。</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02" w:lineRule="exact"/>
              <w:ind w:left="1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02" w:lineRule="exact" w:before="46"/>
              <w:ind w:left="11"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02" w:lineRule="exact" w:before="46"/>
              <w:ind w:left="11"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94"/>
        <w:gridCol w:w="1190"/>
        <w:gridCol w:w="1181"/>
        <w:gridCol w:w="1181"/>
        <w:gridCol w:w="1180"/>
        <w:gridCol w:w="1180"/>
        <w:gridCol w:w="1182"/>
        <w:gridCol w:w="1167"/>
      </w:tblGrid>
      <w:tr>
        <w:trPr>
          <w:trHeight w:val="714"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6" w:right="95"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4" w:right="43" w:hanging="450"/>
              <w:jc w:val="left"/>
              <w:rPr>
                <w:rFonts w:ascii="宋体" w:hAnsi="宋体" w:cs="宋体" w:eastAsia="宋体" w:hint="default"/>
                <w:sz w:val="18"/>
                <w:szCs w:val="18"/>
              </w:rPr>
            </w:pPr>
            <w:r>
              <w:rPr>
                <w:rFonts w:ascii="宋体" w:hAnsi="宋体" w:cs="宋体" w:eastAsia="宋体" w:hint="default"/>
                <w:sz w:val="18"/>
                <w:szCs w:val="18"/>
              </w:rPr>
              <w:t>未达预测的原 因</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3" w:right="32"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杭州萧山萧报 教育咨询有限 公司</w:t>
            </w:r>
          </w:p>
        </w:tc>
        <w:tc>
          <w:tcPr>
            <w:tcW w:w="119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182.55</w:t>
            </w:r>
          </w:p>
        </w:tc>
        <w:tc>
          <w:tcPr>
            <w:tcW w:w="11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告</w:t>
            </w:r>
          </w:p>
        </w:tc>
      </w:tr>
    </w:tbl>
    <w:p>
      <w:pPr>
        <w:pStyle w:val="BodyText"/>
        <w:spacing w:line="240" w:lineRule="auto" w:before="51"/>
        <w:ind w:right="0"/>
        <w:jc w:val="left"/>
      </w:pPr>
      <w:r>
        <w:rPr/>
        <w:t>公司股东、交易对手方在报告年度经营业绩做出的承诺情况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150" w:firstLine="420"/>
        <w:jc w:val="left"/>
      </w:pPr>
      <w:r>
        <w:rPr/>
        <w:t>杭州日报报业集团有限公司承诺杭州萧山萧报教育咨询有限公司</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年度扣除非经常性损益后 实现的净利润分别不低于</w:t>
      </w:r>
      <w:r>
        <w:rPr>
          <w:rFonts w:ascii="Times New Roman" w:hAnsi="Times New Roman" w:cs="Times New Roman" w:eastAsia="Times New Roman" w:hint="default"/>
        </w:rPr>
        <w:t>163</w:t>
      </w:r>
      <w:r>
        <w:rPr/>
        <w:t>万元、</w:t>
      </w:r>
      <w:r>
        <w:rPr>
          <w:rFonts w:ascii="Times New Roman" w:hAnsi="Times New Roman" w:cs="Times New Roman" w:eastAsia="Times New Roman" w:hint="default"/>
        </w:rPr>
        <w:t>182</w:t>
      </w:r>
      <w:r>
        <w:rPr/>
        <w:t>万元、</w:t>
      </w:r>
      <w:r>
        <w:rPr>
          <w:rFonts w:ascii="Times New Roman" w:hAnsi="Times New Roman" w:cs="Times New Roman" w:eastAsia="Times New Roman" w:hint="default"/>
        </w:rPr>
        <w:t>145</w:t>
      </w:r>
      <w:r>
        <w:rPr/>
        <w:t>万元。</w:t>
      </w:r>
      <w:r>
        <w:rPr>
          <w:rFonts w:ascii="Times New Roman" w:hAnsi="Times New Roman" w:cs="Times New Roman" w:eastAsia="Times New Roman" w:hint="default"/>
        </w:rPr>
        <w:t>2019</w:t>
      </w:r>
      <w:r>
        <w:rPr/>
        <w:t>年实际实现</w:t>
      </w:r>
      <w:r>
        <w:rPr>
          <w:rFonts w:ascii="Times New Roman" w:hAnsi="Times New Roman" w:cs="Times New Roman" w:eastAsia="Times New Roman" w:hint="default"/>
        </w:rPr>
        <w:t>182.55</w:t>
      </w:r>
      <w:r>
        <w:rPr/>
        <w:t>万元，完成当年度业绩承诺。 业绩承诺的完成情况及其对商誉减值测试的影响</w:t>
      </w:r>
    </w:p>
    <w:p>
      <w:pPr>
        <w:pStyle w:val="BodyText"/>
        <w:spacing w:line="240" w:lineRule="auto" w:before="56"/>
        <w:ind w:left="573" w:right="0"/>
        <w:jc w:val="left"/>
      </w:pPr>
      <w:r>
        <w:rPr/>
        <w:t>杭州萧山萧报教育咨询有限公司</w:t>
      </w:r>
      <w:r>
        <w:rPr>
          <w:rFonts w:ascii="Times New Roman" w:hAnsi="Times New Roman" w:cs="Times New Roman" w:eastAsia="Times New Roman" w:hint="default"/>
        </w:rPr>
        <w:t>2019</w:t>
      </w:r>
      <w:r>
        <w:rPr/>
        <w:t>年实际业绩为</w:t>
      </w:r>
      <w:r>
        <w:rPr>
          <w:rFonts w:ascii="Times New Roman" w:hAnsi="Times New Roman" w:cs="Times New Roman" w:eastAsia="Times New Roman" w:hint="default"/>
        </w:rPr>
        <w:t>182.55</w:t>
      </w:r>
      <w:r>
        <w:rPr/>
        <w:t>万元，完成业绩承诺。本公司针对该笔股权不存在商誉。</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126" w:firstLine="420"/>
        <w:jc w:val="both"/>
      </w:pPr>
      <w:r>
        <w:rPr/>
        <w:t>新金融工具准则改变了原准则下金融资产的分类和计量方式，将金融资产分为三类：按摊余成本计量、按公允价值计</w:t>
      </w:r>
      <w:r>
        <w:rPr>
          <w:spacing w:val="1"/>
        </w:rPr>
        <w:t> </w:t>
      </w:r>
      <w:r>
        <w:rPr>
          <w:spacing w:val="-2"/>
        </w:rPr>
        <w:t>量且其变动计入其他综合收益、按公允价值计量且其变动计入当期损益。本公司考虑金融资产的合同现金流量特征和自身管</w:t>
      </w:r>
      <w:r>
        <w:rPr>
          <w:spacing w:val="-64"/>
        </w:rPr>
        <w:t> </w:t>
      </w:r>
      <w:r>
        <w:rPr>
          <w:spacing w:val="-64"/>
        </w:rPr>
      </w:r>
      <w:r>
        <w:rPr>
          <w:spacing w:val="-2"/>
        </w:rPr>
        <w:t>理金融资产的业务模式进行上述分类。权益类投资需按公允价值计量且其变动计入当期损益，但对非交易性权益类投资，在</w:t>
      </w:r>
      <w:r>
        <w:rPr>
          <w:spacing w:val="-66"/>
        </w:rPr>
        <w:t> </w:t>
      </w:r>
      <w:r>
        <w:rPr>
          <w:spacing w:val="-66"/>
        </w:rPr>
      </w:r>
      <w:r>
        <w:rPr>
          <w:spacing w:val="-2"/>
        </w:rPr>
        <w:t>初始确认时可选择按公允价值计量且其变动计入其他综合收益，该等金融资产终止确认时累计利得或损失从其他综合收益转</w:t>
      </w:r>
      <w:r>
        <w:rPr>
          <w:spacing w:val="-64"/>
        </w:rPr>
        <w:t> </w:t>
      </w:r>
      <w:r>
        <w:rPr>
          <w:spacing w:val="-64"/>
        </w:rPr>
      </w:r>
      <w:r>
        <w:rPr/>
        <w:t>入留存收益，不计入当期损益。</w:t>
      </w:r>
    </w:p>
    <w:p>
      <w:pPr>
        <w:pStyle w:val="BodyText"/>
        <w:spacing w:line="300" w:lineRule="auto" w:before="19"/>
        <w:ind w:left="153" w:right="1131" w:firstLine="420"/>
        <w:jc w:val="both"/>
      </w:pPr>
      <w:r>
        <w:rPr/>
        <w:t>新金融工具准则将金融资产减值计量由原准则下的</w:t>
      </w:r>
      <w:r>
        <w:rPr>
          <w:rFonts w:ascii="Times New Roman" w:hAnsi="Times New Roman" w:cs="Times New Roman" w:eastAsia="Times New Roman" w:hint="default"/>
        </w:rPr>
        <w:t>“</w:t>
      </w:r>
      <w:r>
        <w:rPr/>
        <w:t>已发生损失模型</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预期信用损失模型</w:t>
      </w:r>
      <w:r>
        <w:rPr>
          <w:rFonts w:ascii="Times New Roman" w:hAnsi="Times New Roman" w:cs="Times New Roman" w:eastAsia="Times New Roman" w:hint="default"/>
        </w:rPr>
        <w:t>”</w:t>
      </w:r>
      <w:r>
        <w:rPr/>
        <w:t>，适用于以摊余成本计 量的金融资产、以公允价值计量且其变动计入其他综合收益的债务工具投资、租赁应收款及财务担保合同。</w:t>
      </w:r>
    </w:p>
    <w:p>
      <w:pPr>
        <w:pStyle w:val="BodyText"/>
        <w:spacing w:line="316" w:lineRule="auto" w:before="31"/>
        <w:ind w:right="1126" w:firstLine="420"/>
        <w:jc w:val="both"/>
      </w:pPr>
      <w:r>
        <w:rPr/>
        <w:t>本公司按照新金融工具准则的相关规定，对比较期间财务报表不予调整，首次执行日执行新准则与原准则的差异追溯</w:t>
      </w:r>
      <w:r>
        <w:rPr>
          <w:spacing w:val="1"/>
        </w:rPr>
        <w:t> </w:t>
      </w:r>
      <w:r>
        <w:rPr/>
        <w:t>调整本报告期期初留存收益或其他综合收益。</w:t>
      </w:r>
    </w:p>
    <w:p>
      <w:pPr>
        <w:pStyle w:val="BodyText"/>
        <w:spacing w:line="302" w:lineRule="auto" w:before="19"/>
        <w:ind w:left="153" w:right="1128" w:firstLine="420"/>
        <w:jc w:val="both"/>
      </w:pPr>
      <w:r>
        <w:rPr>
          <w:spacing w:val="-1"/>
        </w:rPr>
        <w:t>财政部于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日发布《关于修订印发</w:t>
      </w:r>
      <w:r>
        <w:rPr>
          <w:rFonts w:ascii="Times New Roman" w:hAnsi="Times New Roman" w:cs="Times New Roman" w:eastAsia="Times New Roman" w:hint="default"/>
          <w:spacing w:val="-1"/>
        </w:rPr>
        <w:t>2019</w:t>
      </w:r>
      <w:r>
        <w:rPr>
          <w:spacing w:val="-1"/>
        </w:rPr>
        <w:t>年度一般企业财务报表格式的通知》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[2019]6</w:t>
      </w:r>
      <w:r>
        <w:rPr>
          <w:spacing w:val="-1"/>
        </w:rPr>
        <w:t>号，以下简称</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t>年新修订的财务报表格式</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年新修订的财务报表格式将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w:t>
      </w:r>
      <w:r>
        <w:rPr>
          <w:spacing w:val="-78"/>
        </w:rPr>
        <w:t> </w:t>
      </w:r>
      <w:r>
        <w:rPr>
          <w:spacing w:val="-1"/>
        </w:rPr>
        <w:t>个项目列报，将</w:t>
      </w:r>
      <w:r>
        <w:rPr>
          <w:rFonts w:ascii="Times New Roman" w:hAnsi="Times New Roman" w:cs="Times New Roman" w:eastAsia="Times New Roman" w:hint="default"/>
          <w:spacing w:val="-1"/>
        </w:rPr>
        <w:t>“</w:t>
      </w:r>
      <w:r>
        <w:rPr>
          <w:spacing w:val="-1"/>
        </w:rPr>
        <w:t>应付票据及应付账款</w:t>
      </w:r>
      <w:r>
        <w:rPr>
          <w:rFonts w:ascii="Times New Roman" w:hAnsi="Times New Roman" w:cs="Times New Roman" w:eastAsia="Times New Roman" w:hint="default"/>
          <w:spacing w:val="-1"/>
        </w:rPr>
        <w:t>”</w:t>
      </w:r>
      <w:r>
        <w:rPr>
          <w:spacing w:val="-1"/>
        </w:rPr>
        <w:t>项目拆分为</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两个项目列报；增加对仅执行新金融工具准则对</w:t>
      </w:r>
      <w:r>
        <w:rPr>
          <w:spacing w:val="-56"/>
        </w:rPr>
        <w:t> </w:t>
      </w:r>
      <w:r>
        <w:rPr>
          <w:spacing w:val="-56"/>
        </w:rPr>
      </w:r>
      <w:r>
        <w:rPr>
          <w:spacing w:val="-3"/>
        </w:rPr>
        <w:t>报表项目的调整要求；补充</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核算范围，明确</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项目还包括计入管理费用的自行开发无形资产的摊销；</w:t>
      </w:r>
      <w:r>
        <w:rPr>
          <w:rFonts w:ascii="Times New Roman" w:hAnsi="Times New Roman" w:cs="Times New Roman" w:eastAsia="Times New Roman" w:hint="default"/>
          <w:spacing w:val="-3"/>
        </w:rPr>
        <w:t>“</w:t>
      </w:r>
      <w:r>
        <w:rPr>
          <w:spacing w:val="-3"/>
        </w:rPr>
        <w:t>营</w:t>
      </w:r>
      <w:r>
        <w:rPr>
          <w:spacing w:val="-43"/>
        </w:rPr>
        <w:t> </w:t>
      </w:r>
      <w:r>
        <w:rPr/>
        <w:t>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项目中删除债务重组利得和损失。此外，在新金融工具准则下，</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仅反映</w:t>
      </w:r>
      <w:r>
        <w:rPr>
          <w:spacing w:val="-28"/>
        </w:rPr>
        <w:t> </w:t>
      </w:r>
      <w:r>
        <w:rPr>
          <w:spacing w:val="-2"/>
        </w:rPr>
        <w:t>相关金融工具已到期可收取但于资产负债表日尚未收到的利息，基于实际利率法计提的金融工具的利息应包含在相应金融工</w:t>
      </w:r>
      <w:r>
        <w:rPr>
          <w:spacing w:val="-64"/>
        </w:rPr>
        <w:t> </w:t>
      </w:r>
      <w:r>
        <w:rPr>
          <w:spacing w:val="-64"/>
        </w:rPr>
      </w:r>
      <w:r>
        <w:rPr/>
        <w:t>具的账面余额中。</w:t>
      </w:r>
    </w:p>
    <w:p>
      <w:pPr>
        <w:pStyle w:val="BodyText"/>
        <w:spacing w:line="300" w:lineRule="auto" w:before="29"/>
        <w:ind w:left="153" w:right="1128" w:firstLine="420"/>
        <w:jc w:val="both"/>
      </w:pP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日发布《关于修订印发合并财务报表格式</w:t>
      </w:r>
      <w:r>
        <w:rPr>
          <w:rFonts w:ascii="Times New Roman" w:hAnsi="Times New Roman" w:cs="Times New Roman" w:eastAsia="Times New Roman" w:hint="default"/>
          <w:spacing w:val="-2"/>
        </w:rPr>
        <w:t>(2019</w:t>
      </w:r>
      <w:r>
        <w:rPr>
          <w:spacing w:val="-2"/>
        </w:rPr>
        <w:t>版</w:t>
      </w:r>
      <w:r>
        <w:rPr>
          <w:rFonts w:ascii="Times New Roman" w:hAnsi="Times New Roman" w:cs="Times New Roman" w:eastAsia="Times New Roman" w:hint="default"/>
          <w:spacing w:val="-2"/>
        </w:rPr>
        <w:t>)</w:t>
      </w:r>
      <w:r>
        <w:rPr>
          <w:spacing w:val="-2"/>
        </w:rPr>
        <w:t>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[2019]16</w:t>
      </w:r>
      <w:r>
        <w:rPr>
          <w:spacing w:val="-2"/>
        </w:rPr>
        <w:t>号，以下简称</w:t>
      </w:r>
      <w:r>
        <w:rPr>
          <w:rFonts w:ascii="Times New Roman" w:hAnsi="Times New Roman" w:cs="Times New Roman" w:eastAsia="Times New Roman" w:hint="default"/>
          <w:spacing w:val="-2"/>
        </w:rPr>
        <w:t>“2019</w:t>
      </w:r>
      <w:r>
        <w:rPr>
          <w:spacing w:val="-2"/>
        </w:rPr>
        <w:t>年新</w:t>
      </w:r>
      <w:r>
        <w:rPr>
          <w:spacing w:val="1"/>
        </w:rPr>
        <w:t> </w:t>
      </w:r>
      <w:r>
        <w:rPr/>
        <w:t>修订的合并财务报表格式</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年新修订的合并财务报表格式除上述</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r>
        <w:rPr>
          <w:spacing w:val="-26"/>
        </w:rPr>
        <w:t> </w:t>
      </w:r>
      <w:r>
        <w:rPr/>
        <w:t>的拆分外，删除了原合并现金流量表中</w:t>
      </w:r>
      <w:r>
        <w:rPr>
          <w:rFonts w:ascii="Times New Roman" w:hAnsi="Times New Roman" w:cs="Times New Roman" w:eastAsia="Times New Roman" w:hint="default"/>
        </w:rPr>
        <w:t>“</w:t>
      </w:r>
      <w:r>
        <w:rPr/>
        <w:t>发行债券收到的现金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为交易目的而持有的金融资产净增加额</w:t>
      </w:r>
      <w:r>
        <w:rPr>
          <w:rFonts w:ascii="Times New Roman" w:hAnsi="Times New Roman" w:cs="Times New Roman" w:eastAsia="Times New Roman" w:hint="default"/>
        </w:rPr>
        <w:t>”</w:t>
      </w:r>
      <w:r>
        <w:rPr/>
        <w:t>等行项目。</w:t>
      </w:r>
    </w:p>
    <w:p>
      <w:pPr>
        <w:pStyle w:val="BodyText"/>
        <w:spacing w:line="300" w:lineRule="auto" w:before="13"/>
        <w:ind w:left="153" w:right="1127" w:firstLine="420"/>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财务报表列报》等相关规定，对上述会计政策变更进行追溯调整，其中对仅适</w:t>
      </w:r>
      <w:r>
        <w:rPr>
          <w:spacing w:val="1"/>
        </w:rPr>
        <w:t> </w:t>
      </w:r>
      <w:r>
        <w:rPr>
          <w:spacing w:val="-2"/>
        </w:rPr>
        <w:t>用新金融工具准则的会计政策变更追溯调整至</w:t>
      </w:r>
      <w:r>
        <w:rPr>
          <w:rFonts w:ascii="Times New Roman" w:hAnsi="Times New Roman" w:cs="Times New Roman" w:eastAsia="Times New Roman" w:hint="default"/>
          <w:spacing w:val="-2"/>
        </w:rPr>
        <w:t>2019</w:t>
      </w:r>
      <w:r>
        <w:rPr>
          <w:spacing w:val="-2"/>
        </w:rPr>
        <w:t>年期初数，对其他会计政策变更重新表述可比期间财务报表。对于上述报</w:t>
      </w:r>
      <w:r>
        <w:rPr>
          <w:spacing w:val="-60"/>
        </w:rPr>
        <w:t> </w:t>
      </w:r>
      <w:r>
        <w:rPr>
          <w:spacing w:val="-60"/>
        </w:rPr>
      </w:r>
      <w:r>
        <w:rPr/>
        <w:t>表格式变更中简单合并与拆分的财务报表项目，本公司已在财务报表中直接进行了调整，不再专门列示重分类调整情况。</w:t>
      </w:r>
    </w:p>
    <w:p>
      <w:pPr>
        <w:pStyle w:val="BodyText"/>
        <w:spacing w:line="240" w:lineRule="auto" w:before="31"/>
        <w:ind w:left="573" w:right="0"/>
        <w:jc w:val="left"/>
      </w:pPr>
      <w:r>
        <w:rPr/>
        <w:t>新非货币性资产交换准则规定对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日至本准则施行日之间发生的非货币性资产交换根据本准则进行调整，对</w:t>
      </w:r>
    </w:p>
    <w:p>
      <w:pPr>
        <w:pStyle w:val="BodyText"/>
        <w:spacing w:line="300" w:lineRule="auto" w:before="63"/>
        <w:ind w:left="574" w:right="1118" w:hanging="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日之前发生的非货币性资产交换，不需要进行追溯调整。 </w:t>
      </w:r>
      <w:r>
        <w:rPr>
          <w:spacing w:val="-1"/>
        </w:rPr>
        <w:t>本公司按照规定自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日起执行新非货币性资产交换准则，对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日存在的非货币性资产交换采用未来</w:t>
      </w:r>
    </w:p>
    <w:p>
      <w:pPr>
        <w:pStyle w:val="BodyText"/>
        <w:spacing w:line="240" w:lineRule="auto" w:before="13"/>
        <w:ind w:left="153" w:right="0"/>
        <w:jc w:val="left"/>
      </w:pPr>
      <w:r>
        <w:rPr/>
        <w:t>适用法处理。</w:t>
      </w:r>
    </w:p>
    <w:p>
      <w:pPr>
        <w:pStyle w:val="BodyText"/>
        <w:spacing w:line="300" w:lineRule="auto" w:before="76"/>
        <w:ind w:right="1127" w:firstLine="419"/>
        <w:jc w:val="both"/>
      </w:pPr>
      <w:r>
        <w:rPr/>
        <w:t>新债务重组准则规定对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w:t>
      </w:r>
      <w:r>
        <w:rPr>
          <w:spacing w:val="1"/>
        </w:rPr>
        <w:t> </w:t>
      </w:r>
      <w:r>
        <w:rPr/>
        <w:t>发生的债务重组，不需要进行追溯调整。</w:t>
      </w:r>
    </w:p>
    <w:p>
      <w:pPr>
        <w:pStyle w:val="BodyText"/>
        <w:spacing w:line="240" w:lineRule="auto" w:before="31"/>
        <w:ind w:left="423" w:right="1550"/>
        <w:jc w:val="center"/>
      </w:pPr>
      <w:r>
        <w:rPr/>
        <w:t>本公司按照规定自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日起执行新债务重组准则，对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日存在的债务重组采用未来适用法处理。</w:t>
      </w:r>
    </w:p>
    <w:p>
      <w:pPr>
        <w:spacing w:after="0" w:line="240" w:lineRule="auto"/>
        <w:jc w:val="center"/>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一、同一控制下企业合并</w:t>
      </w:r>
    </w:p>
    <w:p>
      <w:pPr>
        <w:pStyle w:val="BodyText"/>
        <w:spacing w:line="300" w:lineRule="auto" w:before="2"/>
        <w:ind w:left="153" w:right="1127" w:firstLine="420"/>
        <w:jc w:val="both"/>
      </w:pPr>
      <w:r>
        <w:rPr>
          <w:spacing w:val="-1"/>
        </w:rPr>
        <w:t>根据本公司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日召开的第九届董事会第五次会议审议通过的《关于收购杭州萧文置业有限公司</w:t>
      </w:r>
      <w:r>
        <w:rPr>
          <w:rFonts w:ascii="Times New Roman" w:hAnsi="Times New Roman" w:cs="Times New Roman" w:eastAsia="Times New Roman" w:hint="default"/>
          <w:spacing w:val="-1"/>
        </w:rPr>
        <w:t>55%</w:t>
      </w:r>
      <w:r>
        <w:rPr>
          <w:spacing w:val="-1"/>
        </w:rPr>
        <w:t>股权暨关</w:t>
      </w:r>
      <w:r>
        <w:rPr/>
        <w:t> </w:t>
      </w:r>
      <w:r>
        <w:rPr>
          <w:spacing w:val="-2"/>
        </w:rPr>
        <w:t>联交易的议案》，本公司以</w:t>
      </w:r>
      <w:r>
        <w:rPr>
          <w:rFonts w:ascii="Times New Roman" w:hAnsi="Times New Roman" w:cs="Times New Roman" w:eastAsia="Times New Roman" w:hint="default"/>
          <w:spacing w:val="-2"/>
        </w:rPr>
        <w:t>30,817.33</w:t>
      </w:r>
      <w:r>
        <w:rPr>
          <w:spacing w:val="-2"/>
        </w:rPr>
        <w:t>万元受让杭州日报报业集团有限公司（以下简称：杭报集团公司）持有的杭州萧文置业</w:t>
      </w:r>
      <w:r>
        <w:rPr>
          <w:spacing w:val="-57"/>
        </w:rPr>
        <w:t> </w:t>
      </w:r>
      <w:r>
        <w:rPr>
          <w:spacing w:val="-57"/>
        </w:rPr>
      </w:r>
      <w:r>
        <w:rPr>
          <w:spacing w:val="-1"/>
        </w:rPr>
        <w:t>有限公司（以下简称：萧文置业）</w:t>
      </w:r>
      <w:r>
        <w:rPr>
          <w:rFonts w:ascii="Times New Roman" w:hAnsi="Times New Roman" w:cs="Times New Roman" w:eastAsia="Times New Roman" w:hint="default"/>
          <w:spacing w:val="-1"/>
        </w:rPr>
        <w:t>55%</w:t>
      </w:r>
      <w:r>
        <w:rPr>
          <w:spacing w:val="-1"/>
        </w:rPr>
        <w:t>股权。由于本公司和萧文置业同受杭报集团公司最终控制且该项控制是非暂时的，故</w:t>
      </w:r>
      <w:r>
        <w:rPr/>
        <w:t> 该项合并为同一控制下的企业合并。上述股权转让事宜萧文置业已于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日办妥工商变更登记手续，截至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31</w:t>
      </w:r>
      <w:r>
        <w:rPr/>
        <w:t>日，本公司已支付</w:t>
      </w:r>
      <w:r>
        <w:rPr>
          <w:rFonts w:ascii="Times New Roman" w:hAnsi="Times New Roman" w:cs="Times New Roman" w:eastAsia="Times New Roman" w:hint="default"/>
        </w:rPr>
        <w:t>21,572.13</w:t>
      </w:r>
      <w:r>
        <w:rPr/>
        <w:t>万元的股权转让价款，已拥有该公司的实质控制权，故将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日确定为合并日，将</w:t>
      </w:r>
      <w:r>
        <w:rPr>
          <w:spacing w:val="-85"/>
        </w:rPr>
        <w:t> </w:t>
      </w:r>
      <w:r>
        <w:rPr>
          <w:spacing w:val="-85"/>
        </w:rPr>
      </w:r>
      <w:r>
        <w:rPr/>
        <w:t>其纳入合并财务报表范围。本期，本公司将其纳入合并财务报表范围，并依据《企业会计准则第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w:t>
      </w:r>
      <w:r>
        <w:rPr>
          <w:spacing w:val="-58"/>
        </w:rPr>
        <w:t> </w:t>
      </w:r>
      <w:r>
        <w:rPr>
          <w:spacing w:val="-58"/>
        </w:rPr>
      </w:r>
      <w:r>
        <w:rPr/>
        <w:t>相应调整了合并财务报表的比较数据。</w:t>
      </w:r>
    </w:p>
    <w:p>
      <w:pPr>
        <w:pStyle w:val="BodyText"/>
        <w:spacing w:line="240" w:lineRule="auto" w:before="31"/>
        <w:ind w:right="0"/>
        <w:jc w:val="left"/>
      </w:pPr>
      <w:r>
        <w:rPr/>
        <w:t>二、其他原因引起的合并范围的变动</w:t>
      </w:r>
    </w:p>
    <w:p>
      <w:pPr>
        <w:pStyle w:val="BodyText"/>
        <w:spacing w:line="240" w:lineRule="auto" w:before="76"/>
        <w:ind w:left="444" w:right="0"/>
        <w:jc w:val="left"/>
      </w:pPr>
      <w:r>
        <w:rPr>
          <w:rFonts w:ascii="Times New Roman" w:hAnsi="Times New Roman" w:cs="Times New Roman" w:eastAsia="Times New Roman" w:hint="default"/>
        </w:rPr>
        <w:t>1.</w:t>
      </w:r>
      <w:r>
        <w:rPr/>
        <w:t>以直接设立或投资等方式增加的子公司</w:t>
      </w:r>
    </w:p>
    <w:p>
      <w:pPr>
        <w:pStyle w:val="BodyText"/>
        <w:spacing w:line="300" w:lineRule="auto" w:before="63"/>
        <w:ind w:right="1128"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月，子公司中教未来国际教育科技（北京）有限公司与跞文教育科技（北京）有限公司共同出资设立中教京安</w:t>
      </w:r>
      <w:r>
        <w:rPr/>
        <w:t> </w:t>
      </w:r>
      <w:r>
        <w:rPr>
          <w:spacing w:val="-2"/>
        </w:rPr>
        <w:t>教育科技（北京）有限公司。该公司于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日完成工商设立登记，注册资本为人民币</w:t>
      </w:r>
      <w:r>
        <w:rPr>
          <w:rFonts w:ascii="Times New Roman" w:hAnsi="Times New Roman" w:cs="Times New Roman" w:eastAsia="Times New Roman" w:hint="default"/>
          <w:spacing w:val="-2"/>
        </w:rPr>
        <w:t>100</w:t>
      </w:r>
      <w:r>
        <w:rPr>
          <w:spacing w:val="-2"/>
        </w:rPr>
        <w:t>万元，其中中教未来国际教</w:t>
      </w:r>
      <w:r>
        <w:rPr>
          <w:spacing w:val="-56"/>
        </w:rPr>
        <w:t> </w:t>
      </w:r>
      <w:r>
        <w:rPr>
          <w:spacing w:val="-56"/>
        </w:rPr>
      </w:r>
      <w:r>
        <w:rPr>
          <w:spacing w:val="-1"/>
        </w:rPr>
        <w:t>育科技（北京）有限公司出资人民币</w:t>
      </w:r>
      <w:r>
        <w:rPr>
          <w:rFonts w:ascii="Times New Roman" w:hAnsi="Times New Roman" w:cs="Times New Roman" w:eastAsia="Times New Roman" w:hint="default"/>
          <w:spacing w:val="-1"/>
        </w:rPr>
        <w:t>60</w:t>
      </w:r>
      <w:r>
        <w:rPr>
          <w:spacing w:val="-1"/>
        </w:rPr>
        <w:t>万元，占其注册资本的</w:t>
      </w:r>
      <w:r>
        <w:rPr>
          <w:rFonts w:ascii="Times New Roman" w:hAnsi="Times New Roman" w:cs="Times New Roman" w:eastAsia="Times New Roman" w:hint="default"/>
          <w:spacing w:val="-1"/>
        </w:rPr>
        <w:t>60%</w:t>
      </w:r>
      <w:r>
        <w:rPr>
          <w:spacing w:val="-1"/>
        </w:rPr>
        <w:t>，拥有对其的实质控制权，故自该公司成立之日起，将其</w:t>
      </w:r>
      <w:r>
        <w:rPr>
          <w:spacing w:val="-88"/>
        </w:rPr>
        <w:t> </w:t>
      </w:r>
      <w:r>
        <w:rPr>
          <w:spacing w:val="-88"/>
        </w:rPr>
      </w:r>
      <w:r>
        <w:rPr/>
        <w:t>纳入合并财务报表范围。截止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日，中教京安教育科技（北京）有限公司的净资产为</w:t>
      </w:r>
      <w:r>
        <w:rPr>
          <w:rFonts w:ascii="Times New Roman" w:hAnsi="Times New Roman" w:cs="Times New Roman" w:eastAsia="Times New Roman" w:hint="default"/>
        </w:rPr>
        <w:t>134,002.52</w:t>
      </w:r>
      <w:r>
        <w:rPr/>
        <w:t>元，成立日至期</w:t>
      </w:r>
      <w:r>
        <w:rPr>
          <w:spacing w:val="-85"/>
        </w:rPr>
        <w:t> </w:t>
      </w:r>
      <w:r>
        <w:rPr/>
        <w:t>末的净利润为</w:t>
      </w:r>
      <w:r>
        <w:rPr>
          <w:rFonts w:ascii="Times New Roman" w:hAnsi="Times New Roman" w:cs="Times New Roman" w:eastAsia="Times New Roman" w:hint="default"/>
        </w:rPr>
        <w:t>-345,997.48</w:t>
      </w:r>
      <w:r>
        <w:rPr/>
        <w:t>元。</w:t>
      </w:r>
    </w:p>
    <w:p>
      <w:pPr>
        <w:pStyle w:val="BodyText"/>
        <w:spacing w:line="300" w:lineRule="auto" w:before="13"/>
        <w:ind w:left="153" w:right="1127"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月，本公司出资设立浙江华媒智谷商业运营管理有限公司，该公司于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日完成工商设立登记，注册</w:t>
      </w:r>
      <w:r>
        <w:rPr>
          <w:spacing w:val="1"/>
        </w:rPr>
        <w:t> </w:t>
      </w:r>
      <w:r>
        <w:rPr>
          <w:spacing w:val="-1"/>
        </w:rPr>
        <w:t>资本为人民币</w:t>
      </w:r>
      <w:r>
        <w:rPr>
          <w:rFonts w:ascii="Times New Roman" w:hAnsi="Times New Roman" w:cs="Times New Roman" w:eastAsia="Times New Roman" w:hint="default"/>
          <w:spacing w:val="-1"/>
        </w:rPr>
        <w:t>3,000</w:t>
      </w:r>
      <w:r>
        <w:rPr>
          <w:spacing w:val="-1"/>
        </w:rPr>
        <w:t>万元，其中本公司出资人民币</w:t>
      </w:r>
      <w:r>
        <w:rPr>
          <w:rFonts w:ascii="Times New Roman" w:hAnsi="Times New Roman" w:cs="Times New Roman" w:eastAsia="Times New Roman" w:hint="default"/>
          <w:spacing w:val="-1"/>
        </w:rPr>
        <w:t>3,000</w:t>
      </w:r>
      <w:r>
        <w:rPr>
          <w:spacing w:val="-1"/>
        </w:rPr>
        <w:t>万元，占其注册资本的</w:t>
      </w:r>
      <w:r>
        <w:rPr>
          <w:rFonts w:ascii="Times New Roman" w:hAnsi="Times New Roman" w:cs="Times New Roman" w:eastAsia="Times New Roman" w:hint="default"/>
          <w:spacing w:val="-1"/>
        </w:rPr>
        <w:t>100%</w:t>
      </w:r>
      <w:r>
        <w:rPr>
          <w:spacing w:val="-1"/>
        </w:rPr>
        <w:t>，拥有对其的实质控制权，故自该公司成</w:t>
      </w:r>
      <w:r>
        <w:rPr/>
        <w:t> </w:t>
      </w:r>
      <w:r>
        <w:rPr>
          <w:spacing w:val="-2"/>
        </w:rPr>
        <w:t>立之日起，将其纳入合并财务报表范围。截止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日，浙江华媒智谷商业运营管理有限公司的净资产为</w:t>
      </w:r>
      <w:r>
        <w:rPr>
          <w:rFonts w:ascii="Times New Roman" w:hAnsi="Times New Roman" w:cs="Times New Roman" w:eastAsia="Times New Roman" w:hint="default"/>
          <w:spacing w:val="-2"/>
        </w:rPr>
        <w:t>5,023,520.22</w:t>
      </w:r>
      <w:r>
        <w:rPr>
          <w:rFonts w:ascii="Times New Roman" w:hAnsi="Times New Roman" w:cs="Times New Roman" w:eastAsia="Times New Roman" w:hint="default"/>
          <w:spacing w:val="-41"/>
        </w:rPr>
        <w:t> </w:t>
      </w:r>
      <w:r>
        <w:rPr/>
        <w:t>元，成立日至期末的净利润为</w:t>
      </w:r>
      <w:r>
        <w:rPr>
          <w:rFonts w:ascii="Times New Roman" w:hAnsi="Times New Roman" w:cs="Times New Roman" w:eastAsia="Times New Roman" w:hint="default"/>
        </w:rPr>
        <w:t>23,520.22</w:t>
      </w:r>
      <w:r>
        <w:rPr/>
        <w:t>元。</w:t>
      </w:r>
    </w:p>
    <w:p>
      <w:pPr>
        <w:pStyle w:val="BodyText"/>
        <w:spacing w:line="300" w:lineRule="auto" w:before="13"/>
        <w:ind w:left="153" w:right="104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月，本公司出资设立杭州华媒文化发展有限公司，该公司于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日完成工商设立登记，注册资本为人民 </w:t>
      </w:r>
      <w:r>
        <w:rPr>
          <w:spacing w:val="-3"/>
        </w:rPr>
        <w:t>币</w:t>
      </w:r>
      <w:r>
        <w:rPr>
          <w:rFonts w:ascii="Times New Roman" w:hAnsi="Times New Roman" w:cs="Times New Roman" w:eastAsia="Times New Roman" w:hint="default"/>
          <w:spacing w:val="-3"/>
        </w:rPr>
        <w:t>10,000</w:t>
      </w:r>
      <w:r>
        <w:rPr>
          <w:spacing w:val="-3"/>
        </w:rPr>
        <w:t>万元，其中本公司出资人民币</w:t>
      </w:r>
      <w:r>
        <w:rPr>
          <w:rFonts w:ascii="Times New Roman" w:hAnsi="Times New Roman" w:cs="Times New Roman" w:eastAsia="Times New Roman" w:hint="default"/>
          <w:spacing w:val="-3"/>
        </w:rPr>
        <w:t>10,000</w:t>
      </w:r>
      <w:r>
        <w:rPr>
          <w:spacing w:val="-3"/>
        </w:rPr>
        <w:t>万元，占其注册资本的</w:t>
      </w:r>
      <w:r>
        <w:rPr>
          <w:rFonts w:ascii="Times New Roman" w:hAnsi="Times New Roman" w:cs="Times New Roman" w:eastAsia="Times New Roman" w:hint="default"/>
          <w:spacing w:val="-3"/>
        </w:rPr>
        <w:t>100%</w:t>
      </w:r>
      <w:r>
        <w:rPr>
          <w:spacing w:val="-3"/>
        </w:rPr>
        <w:t>，拥有对其的实质控制权，故自该公司成立之日起，</w:t>
      </w:r>
      <w:r>
        <w:rPr>
          <w:spacing w:val="-46"/>
        </w:rPr>
        <w:t> </w:t>
      </w:r>
      <w:r>
        <w:rPr>
          <w:spacing w:val="-46"/>
        </w:rPr>
      </w:r>
      <w:r>
        <w:rPr/>
        <w:t>将其纳入合并财务报表范围。截止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日，杭州华媒文化发展有限公司的净资产为</w:t>
      </w:r>
      <w:r>
        <w:rPr>
          <w:rFonts w:ascii="Times New Roman" w:hAnsi="Times New Roman" w:cs="Times New Roman" w:eastAsia="Times New Roman" w:hint="default"/>
        </w:rPr>
        <w:t>99,990,165.06</w:t>
      </w:r>
      <w:r>
        <w:rPr/>
        <w:t>元，成立日至期末 的净利润为</w:t>
      </w:r>
      <w:r>
        <w:rPr>
          <w:rFonts w:ascii="Times New Roman" w:hAnsi="Times New Roman" w:cs="Times New Roman" w:eastAsia="Times New Roman" w:hint="default"/>
        </w:rPr>
        <w:t>-9,834.94</w:t>
      </w:r>
      <w:r>
        <w:rPr/>
        <w:t>元。</w:t>
      </w:r>
    </w:p>
    <w:p>
      <w:pPr>
        <w:pStyle w:val="BodyText"/>
        <w:spacing w:line="300" w:lineRule="auto" w:before="13"/>
        <w:ind w:left="153" w:right="104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月，子公司北京未来大业教育科技有限公司与北京天合互联信息技术有限公司共同出资设立北京大业未来教育 </w:t>
      </w:r>
      <w:r>
        <w:rPr>
          <w:spacing w:val="-2"/>
        </w:rPr>
        <w:t>科技有限公司。该公司于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日完成工商设立登记，注册资本为人民币</w:t>
      </w:r>
      <w:r>
        <w:rPr>
          <w:rFonts w:ascii="Times New Roman" w:hAnsi="Times New Roman" w:cs="Times New Roman" w:eastAsia="Times New Roman" w:hint="default"/>
          <w:spacing w:val="-2"/>
        </w:rPr>
        <w:t>100</w:t>
      </w:r>
      <w:r>
        <w:rPr>
          <w:spacing w:val="-2"/>
        </w:rPr>
        <w:t>万元，其中北京未来大业教育科技有限公</w:t>
      </w:r>
      <w:r>
        <w:rPr>
          <w:spacing w:val="-56"/>
        </w:rPr>
        <w:t> </w:t>
      </w:r>
      <w:r>
        <w:rPr>
          <w:spacing w:val="-56"/>
        </w:rPr>
      </w:r>
      <w:r>
        <w:rPr>
          <w:spacing w:val="-3"/>
        </w:rPr>
        <w:t>司出资人民币</w:t>
      </w:r>
      <w:r>
        <w:rPr>
          <w:rFonts w:ascii="Times New Roman" w:hAnsi="Times New Roman" w:cs="Times New Roman" w:eastAsia="Times New Roman" w:hint="default"/>
          <w:spacing w:val="-3"/>
        </w:rPr>
        <w:t>60</w:t>
      </w:r>
      <w:r>
        <w:rPr>
          <w:spacing w:val="-3"/>
        </w:rPr>
        <w:t>万元，占其注册资本的</w:t>
      </w:r>
      <w:r>
        <w:rPr>
          <w:rFonts w:ascii="Times New Roman" w:hAnsi="Times New Roman" w:cs="Times New Roman" w:eastAsia="Times New Roman" w:hint="default"/>
          <w:spacing w:val="-3"/>
        </w:rPr>
        <w:t>60%</w:t>
      </w:r>
      <w:r>
        <w:rPr>
          <w:spacing w:val="-3"/>
        </w:rPr>
        <w:t>，拥有对其的实质控制权，故自该公司成立之日起，将其纳入合并财务报表范围。</w:t>
      </w:r>
      <w:r>
        <w:rPr>
          <w:spacing w:val="-62"/>
        </w:rPr>
        <w:t> </w:t>
      </w:r>
      <w:r>
        <w:rPr>
          <w:spacing w:val="-62"/>
        </w:rPr>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日，北京大业未来教育科技有限公司的净资产为</w:t>
      </w:r>
      <w:r>
        <w:rPr>
          <w:rFonts w:ascii="Times New Roman" w:hAnsi="Times New Roman" w:cs="Times New Roman" w:eastAsia="Times New Roman" w:hint="default"/>
        </w:rPr>
        <w:t>50,705.88</w:t>
      </w:r>
      <w:r>
        <w:rPr/>
        <w:t>元，成立日至期末的净利润为</w:t>
      </w:r>
      <w:r>
        <w:rPr>
          <w:rFonts w:ascii="Times New Roman" w:hAnsi="Times New Roman" w:cs="Times New Roman" w:eastAsia="Times New Roman" w:hint="default"/>
        </w:rPr>
        <w:t>-49,294.12</w:t>
      </w:r>
      <w:r>
        <w:rPr/>
        <w:t>元。</w:t>
      </w:r>
    </w:p>
    <w:p>
      <w:pPr>
        <w:pStyle w:val="BodyText"/>
        <w:spacing w:line="240" w:lineRule="auto" w:before="13"/>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因其他原因减少子公司的情况</w:t>
      </w:r>
      <w:r>
        <w:rPr>
          <w:rFonts w:ascii="Times New Roman" w:hAnsi="Times New Roman" w:cs="Times New Roman" w:eastAsia="Times New Roman" w:hint="default"/>
        </w:rPr>
        <w:t>(</w:t>
      </w:r>
      <w:r>
        <w:rPr/>
        <w:t>指因破产、歇业、到期解散等原因而注销减少的子公司</w:t>
      </w:r>
      <w:r>
        <w:rPr>
          <w:rFonts w:ascii="Times New Roman" w:hAnsi="Times New Roman" w:cs="Times New Roman" w:eastAsia="Times New Roman" w:hint="default"/>
        </w:rPr>
        <w:t>)</w:t>
      </w:r>
    </w:p>
    <w:p>
      <w:pPr>
        <w:pStyle w:val="BodyText"/>
        <w:spacing w:line="300" w:lineRule="auto" w:before="63"/>
        <w:ind w:left="153" w:right="1040" w:firstLine="420"/>
        <w:jc w:val="both"/>
      </w:pPr>
      <w:r>
        <w:rPr>
          <w:spacing w:val="-3"/>
        </w:rPr>
        <w:t>霍尔果斯东昂信息科技有限公司由于项目开发停滞，该公司董事会决议公司解散。该公司已于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日清算完毕，</w:t>
      </w:r>
      <w:r>
        <w:rPr/>
        <w:t> 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日办妥注销手续。故自该公司注销时起，不再将其纳入合并财务报表范围。</w:t>
      </w:r>
    </w:p>
    <w:p>
      <w:pPr>
        <w:pStyle w:val="BodyText"/>
        <w:spacing w:line="300" w:lineRule="auto" w:before="13"/>
        <w:ind w:right="1128" w:firstLine="419"/>
        <w:jc w:val="both"/>
      </w:pPr>
      <w:r>
        <w:rPr/>
        <w:t>浙江融艺典当有限公司由于行业市场萎缩，公司为及时终止业务推进，该公司董事会决议公司解散。该公司已于</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日清算完毕，并于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日办妥注销手续。故自该公司注销时起，不再将其纳入合并财务报表范围。</w:t>
      </w:r>
    </w:p>
    <w:p>
      <w:pPr>
        <w:spacing w:after="0" w:line="300" w:lineRule="auto"/>
        <w:jc w:val="both"/>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洪烨、 孙俊</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洪烨审计服务已连续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年，孙俊审计服务已连续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40" w:lineRule="auto" w:before="116"/>
        <w:ind w:right="80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right="78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right="7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9" w:lineRule="auto" w:before="41"/>
        <w:ind w:right="0"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2018</w:t>
      </w:r>
      <w:r>
        <w:rPr/>
        <w:t>年年度股东大会，审议并通过《关于聘请</w:t>
      </w:r>
      <w:r>
        <w:rPr>
          <w:rFonts w:ascii="Times New Roman" w:hAnsi="Times New Roman" w:cs="Times New Roman" w:eastAsia="Times New Roman" w:hint="default"/>
        </w:rPr>
        <w:t>2019</w:t>
      </w:r>
      <w:r>
        <w:rPr/>
        <w:t>年度审计机构的议案》和《关于聘请</w:t>
      </w:r>
      <w:r>
        <w:rPr>
          <w:rFonts w:ascii="Times New Roman" w:hAnsi="Times New Roman" w:cs="Times New Roman" w:eastAsia="Times New Roman" w:hint="default"/>
        </w:rPr>
        <w:t>2019 </w:t>
      </w:r>
      <w:r>
        <w:rPr>
          <w:spacing w:val="-2"/>
        </w:rPr>
        <w:t>年度内部控制审计机构的议案》，同意续聘瑞华会计师事务所（特殊普通合伙）为公司</w:t>
      </w:r>
      <w:r>
        <w:rPr>
          <w:rFonts w:ascii="Times New Roman" w:hAnsi="Times New Roman" w:cs="Times New Roman" w:eastAsia="Times New Roman" w:hint="default"/>
          <w:spacing w:val="-2"/>
        </w:rPr>
        <w:t>2019</w:t>
      </w:r>
      <w:r>
        <w:rPr>
          <w:spacing w:val="-2"/>
        </w:rPr>
        <w:t>年度财务报表和内部控制审计机</w:t>
      </w:r>
      <w:r>
        <w:rPr>
          <w:spacing w:val="-62"/>
        </w:rPr>
        <w:t> </w:t>
      </w:r>
      <w:r>
        <w:rPr>
          <w:spacing w:val="-2"/>
        </w:rPr>
        <w:t>构。瑞华会计师事务所（特殊普通合伙）已连续五年为本公司提供财务报表审计服务，连续四年提供内部控制审计服务，在</w:t>
      </w:r>
      <w:r>
        <w:rPr>
          <w:spacing w:val="-66"/>
        </w:rPr>
        <w:t> </w:t>
      </w:r>
      <w:r>
        <w:rPr>
          <w:spacing w:val="-66"/>
        </w:rPr>
      </w:r>
      <w:r>
        <w:rPr>
          <w:spacing w:val="-4"/>
        </w:rPr>
        <w:t>执业过程中严格遵守相关的法律、法规，勤勉尽职，坚持审计准则，独立客观地发表意见，维护了本公司及股东的合法权益。</w:t>
      </w:r>
      <w:r>
        <w:rPr>
          <w:spacing w:val="-44"/>
        </w:rPr>
        <w:t> </w:t>
      </w:r>
      <w:r>
        <w:rPr>
          <w:spacing w:val="-44"/>
        </w:rPr>
      </w:r>
      <w:r>
        <w:rPr/>
        <w:t>本公司对瑞华会计师事务所多年的工作表示衷心感谢！</w:t>
      </w:r>
    </w:p>
    <w:p>
      <w:pPr>
        <w:pStyle w:val="BodyText"/>
        <w:spacing w:line="309" w:lineRule="auto" w:before="24"/>
        <w:ind w:right="1129" w:firstLine="360"/>
        <w:jc w:val="both"/>
      </w:pPr>
      <w:r>
        <w:rPr>
          <w:spacing w:val="-2"/>
        </w:rPr>
        <w:t>为了加强公司审计工作的独立性和客观性，并结合公司未来发展的需要，经综合评估，公司拟不再聘请瑞华会计师事务</w:t>
      </w:r>
      <w:r>
        <w:rPr/>
        <w:t> </w:t>
      </w:r>
      <w:r>
        <w:rPr>
          <w:spacing w:val="-2"/>
        </w:rPr>
        <w:t>所作为公司</w:t>
      </w:r>
      <w:r>
        <w:rPr>
          <w:rFonts w:ascii="Times New Roman" w:hAnsi="Times New Roman" w:cs="Times New Roman" w:eastAsia="Times New Roman" w:hint="default"/>
          <w:spacing w:val="-2"/>
        </w:rPr>
        <w:t>2019</w:t>
      </w:r>
      <w:r>
        <w:rPr>
          <w:spacing w:val="-2"/>
        </w:rPr>
        <w:t>年度财务报表和内部控制审计机构，并就相关事宜与瑞华会计师事务所进行了事先沟通，征得了瑞华会计师</w:t>
      </w:r>
      <w:r>
        <w:rPr>
          <w:spacing w:val="-60"/>
        </w:rPr>
        <w:t> </w:t>
      </w:r>
      <w:r>
        <w:rPr>
          <w:spacing w:val="-60"/>
        </w:rPr>
      </w:r>
      <w:r>
        <w:rPr/>
        <w:t>事务所的理解。</w:t>
      </w:r>
    </w:p>
    <w:p>
      <w:pPr>
        <w:pStyle w:val="BodyText"/>
        <w:spacing w:line="300" w:lineRule="auto" w:before="24"/>
        <w:ind w:right="1128" w:firstLine="360"/>
        <w:jc w:val="both"/>
      </w:pPr>
      <w:r>
        <w:rPr>
          <w:spacing w:val="-2"/>
        </w:rPr>
        <w:t>经公司审计委员会、第九届董事会第八次会议、第九届监事会第六次会议和公司</w:t>
      </w:r>
      <w:r>
        <w:rPr>
          <w:rFonts w:ascii="Times New Roman" w:hAnsi="Times New Roman" w:cs="Times New Roman" w:eastAsia="Times New Roman" w:hint="default"/>
          <w:spacing w:val="-2"/>
        </w:rPr>
        <w:t>2019</w:t>
      </w:r>
      <w:r>
        <w:rPr>
          <w:spacing w:val="-2"/>
        </w:rPr>
        <w:t>年第一次临时股东大会审议，通过</w:t>
      </w:r>
      <w:r>
        <w:rPr/>
        <w:t> </w:t>
      </w:r>
      <w:r>
        <w:rPr>
          <w:spacing w:val="-2"/>
        </w:rPr>
        <w:t>了《关于变更</w:t>
      </w:r>
      <w:r>
        <w:rPr>
          <w:rFonts w:ascii="Times New Roman" w:hAnsi="Times New Roman" w:cs="Times New Roman" w:eastAsia="Times New Roman" w:hint="default"/>
          <w:spacing w:val="-2"/>
        </w:rPr>
        <w:t>2019</w:t>
      </w:r>
      <w:r>
        <w:rPr>
          <w:spacing w:val="-2"/>
        </w:rPr>
        <w:t>年度财务报表审计机构的议案》、《关于变更</w:t>
      </w:r>
      <w:r>
        <w:rPr>
          <w:rFonts w:ascii="Times New Roman" w:hAnsi="Times New Roman" w:cs="Times New Roman" w:eastAsia="Times New Roman" w:hint="default"/>
          <w:spacing w:val="-2"/>
        </w:rPr>
        <w:t>2019</w:t>
      </w:r>
      <w:r>
        <w:rPr>
          <w:spacing w:val="-2"/>
        </w:rPr>
        <w:t>年度内部控制审计机构的议案》，同意改聘中汇会计师</w:t>
      </w:r>
      <w:r>
        <w:rPr>
          <w:spacing w:val="-59"/>
        </w:rPr>
        <w:t> </w:t>
      </w:r>
      <w:r>
        <w:rPr>
          <w:spacing w:val="-59"/>
        </w:rPr>
      </w:r>
      <w:r>
        <w:rPr>
          <w:spacing w:val="-2"/>
        </w:rPr>
        <w:t>事务（特殊普通合伙）所为公司</w:t>
      </w:r>
      <w:r>
        <w:rPr>
          <w:rFonts w:ascii="Times New Roman" w:hAnsi="Times New Roman" w:cs="Times New Roman" w:eastAsia="Times New Roman" w:hint="default"/>
          <w:spacing w:val="-2"/>
        </w:rPr>
        <w:t>2019</w:t>
      </w:r>
      <w:r>
        <w:rPr>
          <w:spacing w:val="-2"/>
        </w:rPr>
        <w:t>年度财务报表和内部控制审计机构，聘期一年，同时拟授权公司管理层根据市场情况确</w:t>
      </w:r>
      <w:r>
        <w:rPr>
          <w:spacing w:val="-62"/>
        </w:rPr>
        <w:t> </w:t>
      </w:r>
      <w:r>
        <w:rPr>
          <w:spacing w:val="-62"/>
        </w:rPr>
      </w:r>
      <w:r>
        <w:rPr/>
        <w:t>定财务报表审计费用。</w:t>
      </w:r>
    </w:p>
    <w:p>
      <w:pPr>
        <w:pStyle w:val="BodyText"/>
        <w:spacing w:line="240" w:lineRule="auto" w:before="72"/>
        <w:ind w:right="0"/>
        <w:jc w:val="left"/>
      </w:pPr>
      <w:r>
        <w:rPr/>
        <w:t>聘请内部控制审计会计师事务所、财务顾问或保荐人情况</w:t>
      </w:r>
    </w:p>
    <w:p>
      <w:pPr>
        <w:pStyle w:val="BodyText"/>
        <w:spacing w:line="338" w:lineRule="auto" w:before="117"/>
        <w:ind w:right="2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报告期内，公司改聘中汇会计师事务所（特殊普通合伙）为内部控制审计会计师事务所，支付费用为</w:t>
      </w:r>
      <w:r>
        <w:rPr>
          <w:rFonts w:ascii="Times New Roman" w:hAnsi="Times New Roman" w:cs="Times New Roman" w:eastAsia="Times New Roman" w:hint="default"/>
        </w:rPr>
        <w:t>30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本报告期公司无重大诉讼、仲裁事项。未达重大诉讼标准的其他诉讼涉案金额合计</w:t>
      </w:r>
      <w:r>
        <w:rPr>
          <w:spacing w:val="-50"/>
        </w:rPr>
        <w:t> </w:t>
      </w:r>
      <w:r>
        <w:rPr>
          <w:rFonts w:ascii="Times New Roman" w:hAnsi="Times New Roman" w:cs="Times New Roman" w:eastAsia="Times New Roman" w:hint="default"/>
        </w:rPr>
        <w:t>11,541,163.92</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784"/>
        <w:gridCol w:w="661"/>
        <w:gridCol w:w="661"/>
        <w:gridCol w:w="688"/>
        <w:gridCol w:w="664"/>
        <w:gridCol w:w="656"/>
        <w:gridCol w:w="776"/>
        <w:gridCol w:w="656"/>
        <w:gridCol w:w="776"/>
        <w:gridCol w:w="657"/>
        <w:gridCol w:w="657"/>
        <w:gridCol w:w="656"/>
        <w:gridCol w:w="654"/>
        <w:gridCol w:w="746"/>
      </w:tblGrid>
      <w:tr>
        <w:trPr>
          <w:trHeight w:val="1050" w:hRule="exact"/>
        </w:trPr>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96" w:right="2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55" w:right="54"/>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68" w:right="6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6" w:right="5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52" w:right="5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2" w:right="2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52" w:right="53"/>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112" w:right="23"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2" w:right="5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3" w:right="5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52" w:right="53"/>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2" w:right="4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810" w:hRule="exact"/>
        </w:trPr>
        <w:tc>
          <w:tcPr>
            <w:tcW w:w="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29"/>
              <w:jc w:val="left"/>
              <w:rPr>
                <w:rFonts w:ascii="宋体" w:hAnsi="宋体" w:cs="宋体" w:eastAsia="宋体" w:hint="default"/>
                <w:sz w:val="18"/>
                <w:szCs w:val="18"/>
              </w:rPr>
            </w:pPr>
            <w:r>
              <w:rPr>
                <w:rFonts w:ascii="宋体" w:hAnsi="宋体" w:cs="宋体" w:eastAsia="宋体" w:hint="default"/>
                <w:sz w:val="18"/>
                <w:szCs w:val="18"/>
              </w:rPr>
              <w:t>都市快报 社</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6"/>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6"/>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113"/>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8524.53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8,524.53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8,524.53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8524.53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06</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2018-057</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50" w:hRule="exact"/>
        </w:trPr>
        <w:tc>
          <w:tcPr>
            <w:tcW w:w="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29"/>
              <w:jc w:val="left"/>
              <w:rPr>
                <w:rFonts w:ascii="宋体" w:hAnsi="宋体" w:cs="宋体" w:eastAsia="宋体" w:hint="default"/>
                <w:sz w:val="18"/>
                <w:szCs w:val="18"/>
              </w:rPr>
            </w:pPr>
            <w:r>
              <w:rPr>
                <w:rFonts w:ascii="宋体" w:hAnsi="宋体" w:cs="宋体" w:eastAsia="宋体" w:hint="default"/>
                <w:sz w:val="18"/>
                <w:szCs w:val="18"/>
              </w:rPr>
              <w:t>杭州日报 报业集团</w:t>
            </w:r>
          </w:p>
          <w:p>
            <w:pPr>
              <w:pStyle w:val="TableParagraph"/>
              <w:spacing w:line="244" w:lineRule="auto" w:before="1"/>
              <w:ind w:left="22" w:right="29"/>
              <w:jc w:val="left"/>
              <w:rPr>
                <w:rFonts w:ascii="宋体" w:hAnsi="宋体" w:cs="宋体" w:eastAsia="宋体" w:hint="default"/>
                <w:sz w:val="18"/>
                <w:szCs w:val="18"/>
              </w:rPr>
            </w:pPr>
            <w:r>
              <w:rPr>
                <w:rFonts w:ascii="宋体" w:hAnsi="宋体" w:cs="宋体" w:eastAsia="宋体" w:hint="default"/>
                <w:sz w:val="18"/>
                <w:szCs w:val="18"/>
              </w:rPr>
              <w:t>（杭州日 报社）</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6"/>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86"/>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13"/>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6664.53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6,664.53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6,664.53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6664.53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06</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2018-057</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810" w:hRule="exact"/>
        </w:trPr>
        <w:tc>
          <w:tcPr>
            <w:tcW w:w="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29"/>
              <w:jc w:val="left"/>
              <w:rPr>
                <w:rFonts w:ascii="宋体" w:hAnsi="宋体" w:cs="宋体" w:eastAsia="宋体" w:hint="default"/>
                <w:sz w:val="18"/>
                <w:szCs w:val="18"/>
              </w:rPr>
            </w:pPr>
            <w:r>
              <w:rPr>
                <w:rFonts w:ascii="宋体" w:hAnsi="宋体" w:cs="宋体" w:eastAsia="宋体" w:hint="default"/>
                <w:sz w:val="18"/>
                <w:szCs w:val="18"/>
              </w:rPr>
              <w:t>萧山日报 社</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6"/>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6"/>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113"/>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2224.51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2,224.51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2,224.51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2224.51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06</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2018-057</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810" w:hRule="exact"/>
        </w:trPr>
        <w:tc>
          <w:tcPr>
            <w:tcW w:w="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29"/>
              <w:jc w:val="left"/>
              <w:rPr>
                <w:rFonts w:ascii="宋体" w:hAnsi="宋体" w:cs="宋体" w:eastAsia="宋体" w:hint="default"/>
                <w:sz w:val="18"/>
                <w:szCs w:val="18"/>
              </w:rPr>
            </w:pPr>
            <w:r>
              <w:rPr>
                <w:rFonts w:ascii="宋体" w:hAnsi="宋体" w:cs="宋体" w:eastAsia="宋体" w:hint="default"/>
                <w:sz w:val="18"/>
                <w:szCs w:val="18"/>
              </w:rPr>
              <w:t>每日商报 社</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6"/>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6"/>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113"/>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1886.74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1886.74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06</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2018-057</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810" w:hRule="exact"/>
        </w:trPr>
        <w:tc>
          <w:tcPr>
            <w:tcW w:w="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29"/>
              <w:jc w:val="left"/>
              <w:rPr>
                <w:rFonts w:ascii="宋体" w:hAnsi="宋体" w:cs="宋体" w:eastAsia="宋体" w:hint="default"/>
                <w:sz w:val="18"/>
                <w:szCs w:val="18"/>
              </w:rPr>
            </w:pPr>
            <w:r>
              <w:rPr>
                <w:rFonts w:ascii="宋体" w:hAnsi="宋体" w:cs="宋体" w:eastAsia="宋体" w:hint="default"/>
                <w:sz w:val="18"/>
                <w:szCs w:val="18"/>
              </w:rPr>
              <w:t>余杭晨报 社</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6"/>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6"/>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113"/>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1169.81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1,169.81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1,169.81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1169.81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06</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2018-057</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810" w:hRule="exact"/>
        </w:trPr>
        <w:tc>
          <w:tcPr>
            <w:tcW w:w="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29"/>
              <w:jc w:val="left"/>
              <w:rPr>
                <w:rFonts w:ascii="宋体" w:hAnsi="宋体" w:cs="宋体" w:eastAsia="宋体" w:hint="default"/>
                <w:sz w:val="18"/>
                <w:szCs w:val="18"/>
              </w:rPr>
            </w:pPr>
            <w:r>
              <w:rPr>
                <w:rFonts w:ascii="宋体" w:hAnsi="宋体" w:cs="宋体" w:eastAsia="宋体" w:hint="default"/>
                <w:sz w:val="18"/>
                <w:szCs w:val="18"/>
              </w:rPr>
              <w:t>富阳日报 社</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6"/>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86"/>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41"/>
              <w:ind w:left="22" w:right="113"/>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89"/>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857.55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857.55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857.55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857.55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06</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2018-057</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31" w:lineRule="exact"/>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2771"/>
        <w:gridCol w:w="674"/>
        <w:gridCol w:w="646"/>
        <w:gridCol w:w="788"/>
        <w:gridCol w:w="656"/>
        <w:gridCol w:w="776"/>
        <w:gridCol w:w="656"/>
        <w:gridCol w:w="658"/>
        <w:gridCol w:w="656"/>
        <w:gridCol w:w="654"/>
        <w:gridCol w:w="746"/>
      </w:tblGrid>
      <w:tr>
        <w:trPr>
          <w:trHeight w:val="330"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21,327.67</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21,327.67</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911"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10"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4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w:t>
            </w:r>
          </w:p>
        </w:tc>
        <w:tc>
          <w:tcPr>
            <w:tcW w:w="6911"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报告期内，向关联人采购原材料、房屋租赁等的日常关联交易预计 </w:t>
            </w:r>
            <w:r>
              <w:rPr>
                <w:rFonts w:ascii="Times New Roman" w:hAnsi="Times New Roman" w:cs="Times New Roman" w:eastAsia="Times New Roman" w:hint="default"/>
                <w:sz w:val="18"/>
                <w:szCs w:val="18"/>
              </w:rPr>
              <w:t>245,440,000.00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实际发生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233,499,888.14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向关联人销售产品</w:t>
            </w:r>
            <w:r>
              <w:rPr>
                <w:rFonts w:ascii="宋体" w:hAnsi="宋体" w:cs="宋体" w:eastAsia="宋体" w:hint="default"/>
                <w:spacing w:val="-88"/>
                <w:sz w:val="18"/>
                <w:szCs w:val="18"/>
              </w:rPr>
              <w:t>、</w:t>
            </w:r>
            <w:r>
              <w:rPr>
                <w:rFonts w:ascii="宋体" w:hAnsi="宋体" w:cs="宋体" w:eastAsia="宋体" w:hint="default"/>
                <w:sz w:val="18"/>
                <w:szCs w:val="18"/>
              </w:rPr>
              <w:t>商品的日常关联交易预计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86,380,000.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元，实际发生 </w:t>
            </w:r>
            <w:r>
              <w:rPr>
                <w:rFonts w:ascii="Times New Roman" w:hAnsi="Times New Roman" w:cs="Times New Roman" w:eastAsia="Times New Roman" w:hint="default"/>
                <w:sz w:val="18"/>
                <w:szCs w:val="18"/>
              </w:rPr>
              <w:t>78,862,609.54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570"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1" w:right="4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911"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87"/>
        <w:gridCol w:w="811"/>
        <w:gridCol w:w="807"/>
        <w:gridCol w:w="782"/>
        <w:gridCol w:w="808"/>
        <w:gridCol w:w="800"/>
        <w:gridCol w:w="796"/>
        <w:gridCol w:w="798"/>
        <w:gridCol w:w="797"/>
        <w:gridCol w:w="798"/>
        <w:gridCol w:w="796"/>
        <w:gridCol w:w="792"/>
      </w:tblGrid>
      <w:tr>
        <w:trPr>
          <w:trHeight w:val="810" w:hRule="exact"/>
        </w:trPr>
        <w:tc>
          <w:tcPr>
            <w:tcW w:w="787" w:type="dxa"/>
            <w:tcBorders>
              <w:top w:val="single" w:sz="4" w:space="0" w:color="000000"/>
              <w:left w:val="single" w:sz="4" w:space="0" w:color="000000"/>
              <w:bottom w:val="single" w:sz="52" w:space="0" w:color="C7EDCC"/>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12" w:right="4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05" w:right="2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44"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78" w:lineRule="exact" w:before="4"/>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78"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32"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 w:hRule="exact"/>
        </w:trPr>
        <w:tc>
          <w:tcPr>
            <w:tcW w:w="787" w:type="dxa"/>
            <w:tcBorders>
              <w:top w:val="single" w:sz="4" w:space="0" w:color="000000"/>
              <w:left w:val="single" w:sz="4" w:space="0" w:color="000000"/>
              <w:bottom w:val="nil" w:sz="6" w:space="0" w:color="auto"/>
              <w:right w:val="single" w:sz="4" w:space="0" w:color="000000"/>
            </w:tcBorders>
            <w:shd w:val="clear" w:color="auto" w:fill="C7EDCC"/>
          </w:tcPr>
          <w:p>
            <w:pPr/>
          </w:p>
        </w:tc>
        <w:tc>
          <w:tcPr>
            <w:tcW w:w="811" w:type="dxa"/>
            <w:vMerge w:val="restart"/>
            <w:tcBorders>
              <w:top w:val="single" w:sz="4" w:space="0" w:color="000000"/>
              <w:left w:val="single" w:sz="4" w:space="0" w:color="000000"/>
              <w:right w:val="single" w:sz="4" w:space="0" w:color="000000"/>
            </w:tcBorders>
            <w:shd w:val="clear" w:color="auto" w:fill="C7EDCC"/>
          </w:tcPr>
          <w:p>
            <w:pPr/>
          </w:p>
        </w:tc>
        <w:tc>
          <w:tcPr>
            <w:tcW w:w="807" w:type="dxa"/>
            <w:vMerge w:val="restart"/>
            <w:tcBorders>
              <w:top w:val="single" w:sz="4" w:space="0" w:color="000000"/>
              <w:left w:val="single" w:sz="4" w:space="0" w:color="000000"/>
              <w:right w:val="single" w:sz="4" w:space="0" w:color="000000"/>
            </w:tcBorders>
            <w:shd w:val="clear" w:color="auto" w:fill="C7EDCC"/>
          </w:tcPr>
          <w:p>
            <w:pPr/>
          </w:p>
        </w:tc>
        <w:tc>
          <w:tcPr>
            <w:tcW w:w="782" w:type="dxa"/>
            <w:vMerge w:val="restart"/>
            <w:tcBorders>
              <w:top w:val="single" w:sz="4" w:space="0" w:color="000000"/>
              <w:left w:val="single" w:sz="4" w:space="0" w:color="000000"/>
              <w:right w:val="single" w:sz="10" w:space="0" w:color="D3D3D3"/>
            </w:tcBorders>
            <w:shd w:val="clear" w:color="auto" w:fill="C7EDCC"/>
          </w:tcPr>
          <w:p>
            <w:pPr>
              <w:pStyle w:val="TableParagraph"/>
              <w:spacing w:line="240" w:lineRule="auto" w:before="21"/>
              <w:ind w:left="11" w:right="17"/>
              <w:jc w:val="both"/>
              <w:rPr>
                <w:rFonts w:ascii="宋体" w:hAnsi="宋体" w:cs="宋体" w:eastAsia="宋体" w:hint="default"/>
                <w:sz w:val="18"/>
                <w:szCs w:val="18"/>
              </w:rPr>
            </w:pPr>
            <w:r>
              <w:rPr>
                <w:rFonts w:ascii="宋体" w:hAnsi="宋体" w:cs="宋体" w:eastAsia="宋体" w:hint="default"/>
                <w:sz w:val="18"/>
                <w:szCs w:val="18"/>
              </w:rPr>
              <w:t>杭州萧文 置业有限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股权</w:t>
            </w:r>
          </w:p>
        </w:tc>
        <w:tc>
          <w:tcPr>
            <w:tcW w:w="808" w:type="dxa"/>
            <w:vMerge w:val="restart"/>
            <w:tcBorders>
              <w:top w:val="single" w:sz="4" w:space="0" w:color="000000"/>
              <w:left w:val="single" w:sz="4" w:space="0" w:color="000000"/>
              <w:right w:val="single" w:sz="4" w:space="0" w:color="000000"/>
            </w:tcBorders>
            <w:shd w:val="clear" w:color="auto" w:fill="C7EDCC"/>
          </w:tcPr>
          <w:p>
            <w:pPr/>
          </w:p>
        </w:tc>
        <w:tc>
          <w:tcPr>
            <w:tcW w:w="800"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30,817.33</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30,817.33</w:t>
            </w:r>
          </w:p>
        </w:tc>
        <w:tc>
          <w:tcPr>
            <w:tcW w:w="798"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30,817.33</w:t>
            </w:r>
          </w:p>
        </w:tc>
        <w:tc>
          <w:tcPr>
            <w:tcW w:w="797"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4" w:space="0" w:color="000000"/>
              <w:left w:val="single" w:sz="4" w:space="0" w:color="000000"/>
              <w:right w:val="single" w:sz="9" w:space="0" w:color="C7EDCC"/>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vMerge w:val="restart"/>
            <w:tcBorders>
              <w:top w:val="single" w:sz="4" w:space="0" w:color="000000"/>
              <w:left w:val="single" w:sz="4" w:space="0" w:color="000000"/>
              <w:right w:val="single" w:sz="4" w:space="0" w:color="000000"/>
            </w:tcBorders>
            <w:shd w:val="clear" w:color="auto" w:fill="C7EDCC"/>
          </w:tcPr>
          <w:p>
            <w:pPr/>
          </w:p>
        </w:tc>
      </w:tr>
      <w:tr>
        <w:trPr>
          <w:trHeight w:val="121" w:hRule="exact"/>
        </w:trPr>
        <w:tc>
          <w:tcPr>
            <w:tcW w:w="787" w:type="dxa"/>
            <w:vMerge w:val="restart"/>
            <w:tcBorders>
              <w:top w:val="nil" w:sz="6" w:space="0" w:color="auto"/>
              <w:left w:val="single" w:sz="4" w:space="0" w:color="000000"/>
              <w:right w:val="single" w:sz="4" w:space="0" w:color="000000"/>
            </w:tcBorders>
            <w:shd w:val="clear" w:color="auto" w:fill="C7EDCC"/>
          </w:tcPr>
          <w:p>
            <w:pPr>
              <w:pStyle w:val="TableParagraph"/>
              <w:spacing w:line="244" w:lineRule="auto" w:before="21"/>
              <w:ind w:left="22" w:right="32"/>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811" w:type="dxa"/>
            <w:vMerge/>
            <w:tcBorders>
              <w:left w:val="single" w:sz="4" w:space="0" w:color="000000"/>
              <w:bottom w:val="nil" w:sz="6" w:space="0" w:color="auto"/>
              <w:right w:val="single" w:sz="4" w:space="0" w:color="000000"/>
            </w:tcBorders>
            <w:shd w:val="clear" w:color="auto" w:fill="C7EDCC"/>
          </w:tcPr>
          <w:p>
            <w:pPr/>
          </w:p>
        </w:tc>
        <w:tc>
          <w:tcPr>
            <w:tcW w:w="807" w:type="dxa"/>
            <w:vMerge/>
            <w:tcBorders>
              <w:left w:val="single" w:sz="4" w:space="0" w:color="000000"/>
              <w:bottom w:val="nil" w:sz="6" w:space="0" w:color="auto"/>
              <w:right w:val="single" w:sz="4" w:space="0" w:color="000000"/>
            </w:tcBorders>
            <w:shd w:val="clear" w:color="auto" w:fill="C7EDCC"/>
          </w:tcPr>
          <w:p>
            <w:pPr/>
          </w:p>
        </w:tc>
        <w:tc>
          <w:tcPr>
            <w:tcW w:w="782" w:type="dxa"/>
            <w:vMerge/>
            <w:tcBorders>
              <w:left w:val="single" w:sz="4" w:space="0" w:color="000000"/>
              <w:right w:val="single" w:sz="10" w:space="0" w:color="D3D3D3"/>
            </w:tcBorders>
            <w:shd w:val="clear" w:color="auto" w:fill="C7EDCC"/>
          </w:tcPr>
          <w:p>
            <w:pPr/>
          </w:p>
        </w:tc>
        <w:tc>
          <w:tcPr>
            <w:tcW w:w="808" w:type="dxa"/>
            <w:vMerge/>
            <w:tcBorders>
              <w:left w:val="single" w:sz="4" w:space="0" w:color="000000"/>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tcBorders>
              <w:left w:val="single" w:sz="4" w:space="0" w:color="000000"/>
              <w:right w:val="single" w:sz="4" w:space="0" w:color="000000"/>
            </w:tcBorders>
            <w:shd w:val="clear" w:color="auto" w:fill="C7EDCC"/>
          </w:tcPr>
          <w:p>
            <w:pPr/>
          </w:p>
        </w:tc>
        <w:tc>
          <w:tcPr>
            <w:tcW w:w="798" w:type="dxa"/>
            <w:vMerge/>
            <w:tcBorders>
              <w:left w:val="nil" w:sz="6" w:space="0" w:color="auto"/>
              <w:right w:val="single" w:sz="4" w:space="0" w:color="000000"/>
            </w:tcBorders>
          </w:tcPr>
          <w:p>
            <w:pPr/>
          </w:p>
        </w:tc>
        <w:tc>
          <w:tcPr>
            <w:tcW w:w="796" w:type="dxa"/>
            <w:vMerge/>
            <w:tcBorders>
              <w:left w:val="single" w:sz="4" w:space="0" w:color="000000"/>
              <w:right w:val="single" w:sz="9" w:space="0" w:color="C7EDCC"/>
            </w:tcBorders>
          </w:tcPr>
          <w:p>
            <w:pPr/>
          </w:p>
        </w:tc>
        <w:tc>
          <w:tcPr>
            <w:tcW w:w="792" w:type="dxa"/>
            <w:vMerge/>
            <w:tcBorders>
              <w:left w:val="single" w:sz="4" w:space="0" w:color="000000"/>
              <w:bottom w:val="nil" w:sz="6" w:space="0" w:color="auto"/>
              <w:right w:val="single" w:sz="4" w:space="0" w:color="000000"/>
            </w:tcBorders>
            <w:shd w:val="clear" w:color="auto" w:fill="C7EDCC"/>
          </w:tcPr>
          <w:p>
            <w:pPr/>
          </w:p>
        </w:tc>
      </w:tr>
      <w:tr>
        <w:trPr>
          <w:trHeight w:val="120" w:hRule="exact"/>
        </w:trPr>
        <w:tc>
          <w:tcPr>
            <w:tcW w:w="787" w:type="dxa"/>
            <w:vMerge/>
            <w:tcBorders>
              <w:left w:val="single" w:sz="4" w:space="0" w:color="000000"/>
              <w:right w:val="single" w:sz="4" w:space="0" w:color="000000"/>
            </w:tcBorders>
            <w:shd w:val="clear" w:color="auto" w:fill="C7EDCC"/>
          </w:tcPr>
          <w:p>
            <w:pPr/>
          </w:p>
        </w:tc>
        <w:tc>
          <w:tcPr>
            <w:tcW w:w="811" w:type="dxa"/>
            <w:vMerge w:val="restart"/>
            <w:tcBorders>
              <w:top w:val="nil" w:sz="6" w:space="0" w:color="auto"/>
              <w:left w:val="single" w:sz="4" w:space="0" w:color="000000"/>
              <w:right w:val="single" w:sz="4" w:space="0" w:color="000000"/>
            </w:tcBorders>
            <w:shd w:val="clear" w:color="auto" w:fill="C7EDCC"/>
          </w:tcPr>
          <w:p>
            <w:pPr>
              <w:pStyle w:val="TableParagraph"/>
              <w:spacing w:line="244" w:lineRule="auto" w:before="20"/>
              <w:ind w:left="34" w:right="44"/>
              <w:jc w:val="left"/>
              <w:rPr>
                <w:rFonts w:ascii="宋体" w:hAnsi="宋体" w:cs="宋体" w:eastAsia="宋体" w:hint="default"/>
                <w:sz w:val="18"/>
                <w:szCs w:val="18"/>
              </w:rPr>
            </w:pPr>
            <w:r>
              <w:rPr>
                <w:rFonts w:ascii="宋体" w:hAnsi="宋体" w:cs="宋体" w:eastAsia="宋体" w:hint="default"/>
                <w:sz w:val="18"/>
                <w:szCs w:val="18"/>
              </w:rPr>
              <w:t>本公司控 股股东</w:t>
            </w:r>
          </w:p>
        </w:tc>
        <w:tc>
          <w:tcPr>
            <w:tcW w:w="807" w:type="dxa"/>
            <w:vMerge w:val="restart"/>
            <w:tcBorders>
              <w:top w:val="nil" w:sz="6" w:space="0" w:color="auto"/>
              <w:left w:val="single" w:sz="4" w:space="0" w:color="000000"/>
              <w:right w:val="single" w:sz="4" w:space="0" w:color="000000"/>
            </w:tcBorders>
            <w:shd w:val="clear" w:color="auto" w:fill="C7EDCC"/>
          </w:tcPr>
          <w:p>
            <w:pPr>
              <w:pStyle w:val="TableParagraph"/>
              <w:spacing w:line="244" w:lineRule="auto" w:before="20"/>
              <w:ind w:left="22" w:right="52"/>
              <w:jc w:val="left"/>
              <w:rPr>
                <w:rFonts w:ascii="宋体" w:hAnsi="宋体" w:cs="宋体" w:eastAsia="宋体" w:hint="default"/>
                <w:sz w:val="18"/>
                <w:szCs w:val="18"/>
              </w:rPr>
            </w:pPr>
            <w:r>
              <w:rPr>
                <w:rFonts w:ascii="宋体" w:hAnsi="宋体" w:cs="宋体" w:eastAsia="宋体" w:hint="default"/>
                <w:sz w:val="18"/>
                <w:szCs w:val="18"/>
              </w:rPr>
              <w:t>向关联方 购买股权</w:t>
            </w:r>
          </w:p>
        </w:tc>
        <w:tc>
          <w:tcPr>
            <w:tcW w:w="782" w:type="dxa"/>
            <w:vMerge/>
            <w:tcBorders>
              <w:left w:val="single" w:sz="4" w:space="0" w:color="000000"/>
              <w:right w:val="single" w:sz="10" w:space="0" w:color="D3D3D3"/>
            </w:tcBorders>
            <w:shd w:val="clear" w:color="auto" w:fill="C7EDCC"/>
          </w:tcPr>
          <w:p>
            <w:pPr/>
          </w:p>
        </w:tc>
        <w:tc>
          <w:tcPr>
            <w:tcW w:w="808" w:type="dxa"/>
            <w:vMerge/>
            <w:tcBorders>
              <w:left w:val="single" w:sz="4" w:space="0" w:color="000000"/>
              <w:bottom w:val="nil" w:sz="6" w:space="0" w:color="auto"/>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tcBorders>
              <w:left w:val="single" w:sz="4" w:space="0" w:color="000000"/>
              <w:bottom w:val="nil" w:sz="6" w:space="0" w:color="auto"/>
              <w:right w:val="single" w:sz="4" w:space="0" w:color="000000"/>
            </w:tcBorders>
            <w:shd w:val="clear" w:color="auto" w:fill="C7EDCC"/>
          </w:tcPr>
          <w:p>
            <w:pPr/>
          </w:p>
        </w:tc>
        <w:tc>
          <w:tcPr>
            <w:tcW w:w="798" w:type="dxa"/>
            <w:vMerge/>
            <w:tcBorders>
              <w:left w:val="nil" w:sz="6" w:space="0" w:color="auto"/>
              <w:right w:val="single" w:sz="4" w:space="0" w:color="000000"/>
            </w:tcBorders>
          </w:tcPr>
          <w:p>
            <w:pPr/>
          </w:p>
        </w:tc>
        <w:tc>
          <w:tcPr>
            <w:tcW w:w="796" w:type="dxa"/>
            <w:vMerge/>
            <w:tcBorders>
              <w:left w:val="single" w:sz="4" w:space="0" w:color="000000"/>
              <w:right w:val="single" w:sz="9" w:space="0" w:color="C7EDCC"/>
            </w:tcBorders>
          </w:tcPr>
          <w:p>
            <w:pPr/>
          </w:p>
        </w:tc>
        <w:tc>
          <w:tcPr>
            <w:tcW w:w="792" w:type="dxa"/>
            <w:vMerge w:val="restart"/>
            <w:tcBorders>
              <w:top w:val="nil" w:sz="6" w:space="0" w:color="auto"/>
              <w:left w:val="single" w:sz="4" w:space="0" w:color="000000"/>
              <w:right w:val="single" w:sz="4" w:space="0" w:color="000000"/>
            </w:tcBorders>
            <w:shd w:val="clear" w:color="auto" w:fill="C7EDCC"/>
          </w:tcPr>
          <w:p>
            <w:pPr>
              <w:pStyle w:val="TableParagraph"/>
              <w:spacing w:line="202" w:lineRule="exact" w:before="63"/>
              <w:ind w:left="22" w:right="0"/>
              <w:jc w:val="left"/>
              <w:rPr>
                <w:rFonts w:ascii="Times New Roman" w:hAnsi="Times New Roman" w:cs="Times New Roman" w:eastAsia="Times New Roman" w:hint="default"/>
                <w:sz w:val="18"/>
                <w:szCs w:val="18"/>
              </w:rPr>
            </w:pPr>
            <w:r>
              <w:rPr>
                <w:rFonts w:ascii="Times New Roman"/>
                <w:sz w:val="18"/>
              </w:rPr>
              <w:t>2018-055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20" w:hRule="exact"/>
        </w:trPr>
        <w:tc>
          <w:tcPr>
            <w:tcW w:w="787" w:type="dxa"/>
            <w:vMerge/>
            <w:tcBorders>
              <w:left w:val="single" w:sz="4" w:space="0" w:color="000000"/>
              <w:right w:val="single" w:sz="4" w:space="0" w:color="000000"/>
            </w:tcBorders>
            <w:shd w:val="clear" w:color="auto" w:fill="C7EDCC"/>
          </w:tcPr>
          <w:p>
            <w:pPr/>
          </w:p>
        </w:tc>
        <w:tc>
          <w:tcPr>
            <w:tcW w:w="811" w:type="dxa"/>
            <w:vMerge/>
            <w:tcBorders>
              <w:left w:val="single" w:sz="4" w:space="0" w:color="000000"/>
              <w:right w:val="single" w:sz="4" w:space="0" w:color="000000"/>
            </w:tcBorders>
            <w:shd w:val="clear" w:color="auto" w:fill="C7EDCC"/>
          </w:tcPr>
          <w:p>
            <w:pPr/>
          </w:p>
        </w:tc>
        <w:tc>
          <w:tcPr>
            <w:tcW w:w="807" w:type="dxa"/>
            <w:vMerge/>
            <w:tcBorders>
              <w:left w:val="single" w:sz="4" w:space="0" w:color="000000"/>
              <w:right w:val="single" w:sz="4" w:space="0" w:color="000000"/>
            </w:tcBorders>
            <w:shd w:val="clear" w:color="auto" w:fill="C7EDCC"/>
          </w:tcPr>
          <w:p>
            <w:pPr/>
          </w:p>
        </w:tc>
        <w:tc>
          <w:tcPr>
            <w:tcW w:w="782" w:type="dxa"/>
            <w:vMerge/>
            <w:tcBorders>
              <w:left w:val="single" w:sz="4" w:space="0" w:color="000000"/>
              <w:right w:val="single" w:sz="10" w:space="0" w:color="D3D3D3"/>
            </w:tcBorders>
            <w:shd w:val="clear" w:color="auto" w:fill="C7EDCC"/>
          </w:tcPr>
          <w:p>
            <w:pPr/>
          </w:p>
        </w:tc>
        <w:tc>
          <w:tcPr>
            <w:tcW w:w="808" w:type="dxa"/>
            <w:tcBorders>
              <w:top w:val="nil" w:sz="6" w:space="0" w:color="auto"/>
              <w:left w:val="single" w:sz="23" w:space="0" w:color="C7EDCC"/>
              <w:bottom w:val="nil" w:sz="6" w:space="0" w:color="auto"/>
              <w:right w:val="single" w:sz="9" w:space="0" w:color="C7EDCC"/>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7EDCC" w:color="auto" w:val="clear"/>
              </w:rPr>
              <w:t>协议转让</w:t>
            </w:r>
            <w:r>
              <w:rPr>
                <w:rFonts w:ascii="宋体" w:hAnsi="宋体" w:cs="宋体" w:eastAsia="宋体" w:hint="default"/>
                <w:sz w:val="18"/>
                <w:szCs w:val="18"/>
              </w:rPr>
            </w: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tcBorders>
              <w:top w:val="nil" w:sz="6" w:space="0" w:color="auto"/>
              <w:left w:val="single" w:sz="9" w:space="0" w:color="C7EDCC"/>
              <w:bottom w:val="nil" w:sz="6" w:space="0" w:color="auto"/>
              <w:right w:val="single" w:sz="13" w:space="0" w:color="C7EDCC"/>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C7EDCC" w:color="auto" w:val="clear"/>
              </w:rPr>
              <w:t>现金结算</w:t>
            </w:r>
            <w:r>
              <w:rPr>
                <w:rFonts w:ascii="宋体" w:hAnsi="宋体" w:cs="宋体" w:eastAsia="宋体" w:hint="default"/>
                <w:sz w:val="18"/>
                <w:szCs w:val="18"/>
              </w:rPr>
            </w:r>
          </w:p>
        </w:tc>
        <w:tc>
          <w:tcPr>
            <w:tcW w:w="798" w:type="dxa"/>
            <w:vMerge/>
            <w:tcBorders>
              <w:left w:val="nil" w:sz="6" w:space="0" w:color="auto"/>
              <w:right w:val="single" w:sz="4" w:space="0" w:color="000000"/>
            </w:tcBorders>
          </w:tcPr>
          <w:p>
            <w:pPr/>
          </w:p>
        </w:tc>
        <w:tc>
          <w:tcPr>
            <w:tcW w:w="796" w:type="dxa"/>
            <w:vMerge/>
            <w:tcBorders>
              <w:left w:val="single" w:sz="4" w:space="0" w:color="000000"/>
              <w:right w:val="single" w:sz="9" w:space="0" w:color="C7EDCC"/>
            </w:tcBorders>
          </w:tcPr>
          <w:p>
            <w:pPr/>
          </w:p>
        </w:tc>
        <w:tc>
          <w:tcPr>
            <w:tcW w:w="792" w:type="dxa"/>
            <w:vMerge/>
            <w:tcBorders>
              <w:left w:val="single" w:sz="4" w:space="0" w:color="000000"/>
              <w:right w:val="single" w:sz="4" w:space="0" w:color="000000"/>
            </w:tcBorders>
            <w:shd w:val="clear" w:color="auto" w:fill="C7EDCC"/>
          </w:tcPr>
          <w:p>
            <w:pPr/>
          </w:p>
        </w:tc>
      </w:tr>
      <w:tr>
        <w:trPr>
          <w:trHeight w:val="120" w:hRule="exact"/>
        </w:trPr>
        <w:tc>
          <w:tcPr>
            <w:tcW w:w="787" w:type="dxa"/>
            <w:vMerge/>
            <w:tcBorders>
              <w:left w:val="single" w:sz="4" w:space="0" w:color="000000"/>
              <w:right w:val="single" w:sz="4" w:space="0" w:color="000000"/>
            </w:tcBorders>
            <w:shd w:val="clear" w:color="auto" w:fill="C7EDCC"/>
          </w:tcPr>
          <w:p>
            <w:pPr/>
          </w:p>
        </w:tc>
        <w:tc>
          <w:tcPr>
            <w:tcW w:w="811" w:type="dxa"/>
            <w:vMerge/>
            <w:tcBorders>
              <w:left w:val="single" w:sz="4" w:space="0" w:color="000000"/>
              <w:bottom w:val="nil" w:sz="6" w:space="0" w:color="auto"/>
              <w:right w:val="single" w:sz="4" w:space="0" w:color="000000"/>
            </w:tcBorders>
            <w:shd w:val="clear" w:color="auto" w:fill="C7EDCC"/>
          </w:tcPr>
          <w:p>
            <w:pPr/>
          </w:p>
        </w:tc>
        <w:tc>
          <w:tcPr>
            <w:tcW w:w="807" w:type="dxa"/>
            <w:vMerge/>
            <w:tcBorders>
              <w:left w:val="single" w:sz="4" w:space="0" w:color="000000"/>
              <w:bottom w:val="nil" w:sz="6" w:space="0" w:color="auto"/>
              <w:right w:val="single" w:sz="4" w:space="0" w:color="000000"/>
            </w:tcBorders>
            <w:shd w:val="clear" w:color="auto" w:fill="C7EDCC"/>
          </w:tcPr>
          <w:p>
            <w:pPr/>
          </w:p>
        </w:tc>
        <w:tc>
          <w:tcPr>
            <w:tcW w:w="782" w:type="dxa"/>
            <w:vMerge/>
            <w:tcBorders>
              <w:left w:val="single" w:sz="4" w:space="0" w:color="000000"/>
              <w:right w:val="single" w:sz="10" w:space="0" w:color="D3D3D3"/>
            </w:tcBorders>
            <w:shd w:val="clear" w:color="auto" w:fill="C7EDCC"/>
          </w:tcPr>
          <w:p>
            <w:pPr/>
          </w:p>
        </w:tc>
        <w:tc>
          <w:tcPr>
            <w:tcW w:w="808" w:type="dxa"/>
            <w:vMerge w:val="restart"/>
            <w:tcBorders>
              <w:top w:val="nil" w:sz="6" w:space="0" w:color="auto"/>
              <w:left w:val="single" w:sz="10" w:space="0" w:color="D3D3D3"/>
              <w:right w:val="single" w:sz="4" w:space="0" w:color="000000"/>
            </w:tcBorders>
            <w:shd w:val="clear" w:color="auto" w:fill="C7EDCC"/>
          </w:tcPr>
          <w:p>
            <w:pPr/>
          </w:p>
        </w:tc>
        <w:tc>
          <w:tcPr>
            <w:tcW w:w="800" w:type="dxa"/>
            <w:vMerge/>
            <w:tcBorders>
              <w:left w:val="single" w:sz="9" w:space="0" w:color="C7EDCC"/>
              <w:right w:val="single" w:sz="4" w:space="0" w:color="000000"/>
            </w:tcBorders>
          </w:tcPr>
          <w:p>
            <w:pPr/>
          </w:p>
        </w:tc>
        <w:tc>
          <w:tcPr>
            <w:tcW w:w="796" w:type="dxa"/>
            <w:vMerge/>
            <w:tcBorders>
              <w:left w:val="single" w:sz="4" w:space="0" w:color="000000"/>
              <w:right w:val="single" w:sz="4" w:space="0" w:color="000000"/>
            </w:tcBorders>
          </w:tcPr>
          <w:p>
            <w:pPr/>
          </w:p>
        </w:tc>
        <w:tc>
          <w:tcPr>
            <w:tcW w:w="798" w:type="dxa"/>
            <w:vMerge/>
            <w:tcBorders>
              <w:left w:val="single" w:sz="4" w:space="0" w:color="000000"/>
              <w:right w:val="single" w:sz="9" w:space="0" w:color="C7EDCC"/>
            </w:tcBorders>
          </w:tcPr>
          <w:p>
            <w:pPr/>
          </w:p>
        </w:tc>
        <w:tc>
          <w:tcPr>
            <w:tcW w:w="797" w:type="dxa"/>
            <w:vMerge w:val="restart"/>
            <w:tcBorders>
              <w:top w:val="nil" w:sz="6" w:space="0" w:color="auto"/>
              <w:left w:val="single" w:sz="4" w:space="0" w:color="000000"/>
              <w:right w:val="single" w:sz="4" w:space="0" w:color="000000"/>
            </w:tcBorders>
            <w:shd w:val="clear" w:color="auto" w:fill="C7EDCC"/>
          </w:tcPr>
          <w:p>
            <w:pPr/>
          </w:p>
        </w:tc>
        <w:tc>
          <w:tcPr>
            <w:tcW w:w="798" w:type="dxa"/>
            <w:vMerge/>
            <w:tcBorders>
              <w:left w:val="nil" w:sz="6" w:space="0" w:color="auto"/>
              <w:right w:val="single" w:sz="4" w:space="0" w:color="000000"/>
            </w:tcBorders>
          </w:tcPr>
          <w:p>
            <w:pPr/>
          </w:p>
        </w:tc>
        <w:tc>
          <w:tcPr>
            <w:tcW w:w="796" w:type="dxa"/>
            <w:vMerge/>
            <w:tcBorders>
              <w:left w:val="single" w:sz="4" w:space="0" w:color="000000"/>
              <w:right w:val="single" w:sz="9" w:space="0" w:color="C7EDCC"/>
            </w:tcBorders>
          </w:tcPr>
          <w:p>
            <w:pPr/>
          </w:p>
        </w:tc>
        <w:tc>
          <w:tcPr>
            <w:tcW w:w="792" w:type="dxa"/>
            <w:vMerge/>
            <w:tcBorders>
              <w:left w:val="single" w:sz="4" w:space="0" w:color="000000"/>
              <w:bottom w:val="nil" w:sz="6" w:space="0" w:color="auto"/>
              <w:right w:val="single" w:sz="4" w:space="0" w:color="000000"/>
            </w:tcBorders>
            <w:shd w:val="clear" w:color="auto" w:fill="C7EDCC"/>
          </w:tcPr>
          <w:p>
            <w:pPr/>
          </w:p>
        </w:tc>
      </w:tr>
      <w:tr>
        <w:trPr>
          <w:trHeight w:val="305" w:hRule="exact"/>
        </w:trPr>
        <w:tc>
          <w:tcPr>
            <w:tcW w:w="787" w:type="dxa"/>
            <w:vMerge/>
            <w:tcBorders>
              <w:left w:val="single" w:sz="4" w:space="0" w:color="000000"/>
              <w:bottom w:val="single" w:sz="4" w:space="0" w:color="000000"/>
              <w:right w:val="single" w:sz="4" w:space="0" w:color="000000"/>
            </w:tcBorders>
            <w:shd w:val="clear" w:color="auto" w:fill="C7EDCC"/>
          </w:tcPr>
          <w:p>
            <w:pPr/>
          </w:p>
        </w:tc>
        <w:tc>
          <w:tcPr>
            <w:tcW w:w="811" w:type="dxa"/>
            <w:tcBorders>
              <w:top w:val="nil" w:sz="6" w:space="0" w:color="auto"/>
              <w:left w:val="single" w:sz="4" w:space="0" w:color="000000"/>
              <w:bottom w:val="single" w:sz="4" w:space="0" w:color="000000"/>
              <w:right w:val="single" w:sz="4" w:space="0" w:color="000000"/>
            </w:tcBorders>
            <w:shd w:val="clear" w:color="auto" w:fill="C7EDCC"/>
          </w:tcPr>
          <w:p>
            <w:pPr/>
          </w:p>
        </w:tc>
        <w:tc>
          <w:tcPr>
            <w:tcW w:w="807" w:type="dxa"/>
            <w:tcBorders>
              <w:top w:val="nil" w:sz="6" w:space="0" w:color="auto"/>
              <w:left w:val="single" w:sz="4" w:space="0" w:color="000000"/>
              <w:bottom w:val="single" w:sz="4" w:space="0" w:color="000000"/>
              <w:right w:val="single" w:sz="4" w:space="0" w:color="000000"/>
            </w:tcBorders>
            <w:shd w:val="clear" w:color="auto" w:fill="C7EDCC"/>
          </w:tcPr>
          <w:p>
            <w:pPr/>
          </w:p>
        </w:tc>
        <w:tc>
          <w:tcPr>
            <w:tcW w:w="782" w:type="dxa"/>
            <w:vMerge/>
            <w:tcBorders>
              <w:left w:val="single" w:sz="4" w:space="0" w:color="000000"/>
              <w:bottom w:val="single" w:sz="4" w:space="0" w:color="000000"/>
              <w:right w:val="single" w:sz="10" w:space="0" w:color="D3D3D3"/>
            </w:tcBorders>
            <w:shd w:val="clear" w:color="auto" w:fill="C7EDCC"/>
          </w:tcPr>
          <w:p>
            <w:pPr/>
          </w:p>
        </w:tc>
        <w:tc>
          <w:tcPr>
            <w:tcW w:w="808" w:type="dxa"/>
            <w:vMerge/>
            <w:tcBorders>
              <w:left w:val="single" w:sz="10" w:space="0" w:color="D3D3D3"/>
              <w:bottom w:val="single" w:sz="4" w:space="0" w:color="000000"/>
              <w:right w:val="single" w:sz="4" w:space="0" w:color="000000"/>
            </w:tcBorders>
            <w:shd w:val="clear" w:color="auto" w:fill="C7EDCC"/>
          </w:tcPr>
          <w:p>
            <w:pPr/>
          </w:p>
        </w:tc>
        <w:tc>
          <w:tcPr>
            <w:tcW w:w="800" w:type="dxa"/>
            <w:vMerge/>
            <w:tcBorders>
              <w:left w:val="single" w:sz="9" w:space="0" w:color="C7EDCC"/>
              <w:bottom w:val="single" w:sz="52" w:space="0" w:color="C7EDCC"/>
              <w:right w:val="single" w:sz="4" w:space="0" w:color="000000"/>
            </w:tcBorders>
          </w:tcPr>
          <w:p>
            <w:pPr/>
          </w:p>
        </w:tc>
        <w:tc>
          <w:tcPr>
            <w:tcW w:w="796" w:type="dxa"/>
            <w:vMerge/>
            <w:tcBorders>
              <w:left w:val="single" w:sz="4" w:space="0" w:color="000000"/>
              <w:bottom w:val="single" w:sz="52" w:space="0" w:color="C7EDCC"/>
              <w:right w:val="single" w:sz="4" w:space="0" w:color="000000"/>
            </w:tcBorders>
          </w:tcPr>
          <w:p>
            <w:pPr/>
          </w:p>
        </w:tc>
        <w:tc>
          <w:tcPr>
            <w:tcW w:w="798" w:type="dxa"/>
            <w:vMerge/>
            <w:tcBorders>
              <w:left w:val="single" w:sz="4" w:space="0" w:color="000000"/>
              <w:bottom w:val="single" w:sz="52" w:space="0" w:color="C7EDCC"/>
              <w:right w:val="single" w:sz="9" w:space="0" w:color="C7EDCC"/>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nil" w:sz="6" w:space="0" w:color="auto"/>
              <w:bottom w:val="single" w:sz="52" w:space="0" w:color="C7EDCC"/>
              <w:right w:val="single" w:sz="4" w:space="0" w:color="000000"/>
            </w:tcBorders>
          </w:tcPr>
          <w:p>
            <w:pPr/>
          </w:p>
        </w:tc>
        <w:tc>
          <w:tcPr>
            <w:tcW w:w="796" w:type="dxa"/>
            <w:vMerge/>
            <w:tcBorders>
              <w:left w:val="single" w:sz="4" w:space="0" w:color="000000"/>
              <w:bottom w:val="single" w:sz="52" w:space="0" w:color="C7EDCC"/>
              <w:right w:val="single" w:sz="9" w:space="0" w:color="C7EDCC"/>
            </w:tcBorders>
          </w:tcPr>
          <w:p>
            <w:pPr/>
          </w:p>
        </w:tc>
        <w:tc>
          <w:tcPr>
            <w:tcW w:w="792"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50" w:hRule="exact"/>
        </w:trPr>
        <w:tc>
          <w:tcPr>
            <w:tcW w:w="3187" w:type="dxa"/>
            <w:gridSpan w:val="4"/>
            <w:tcBorders>
              <w:top w:val="single" w:sz="48" w:space="0" w:color="C7EDCC"/>
              <w:left w:val="single" w:sz="4" w:space="0" w:color="000000"/>
              <w:bottom w:val="single" w:sz="4" w:space="0" w:color="000000"/>
              <w:right w:val="single" w:sz="9" w:space="0" w:color="C7EDCC"/>
            </w:tcBorders>
            <w:shd w:val="clear" w:color="auto" w:fill="D3D3D3"/>
          </w:tcPr>
          <w:p>
            <w:pPr>
              <w:pStyle w:val="TableParagraph"/>
              <w:spacing w:line="141" w:lineRule="exact"/>
              <w:ind w:left="22"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大的原因</w:t>
            </w:r>
          </w:p>
        </w:tc>
        <w:tc>
          <w:tcPr>
            <w:tcW w:w="6384"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50" w:hRule="exact"/>
        </w:trPr>
        <w:tc>
          <w:tcPr>
            <w:tcW w:w="3187" w:type="dxa"/>
            <w:gridSpan w:val="4"/>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84"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该股权于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年完成交割。不会对公司经营成果与财务状况造成重大影响。</w:t>
            </w:r>
          </w:p>
        </w:tc>
      </w:tr>
      <w:tr>
        <w:trPr>
          <w:trHeight w:val="450" w:hRule="exact"/>
        </w:trPr>
        <w:tc>
          <w:tcPr>
            <w:tcW w:w="3187" w:type="dxa"/>
            <w:gridSpan w:val="4"/>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的业绩实现情况</w:t>
            </w:r>
          </w:p>
        </w:tc>
        <w:tc>
          <w:tcPr>
            <w:tcW w:w="6384"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8" w:lineRule="auto" w:before="42"/>
        <w:ind w:right="87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应收关联方债权：不适用 应付关联方债务</w:t>
      </w:r>
    </w:p>
    <w:tbl>
      <w:tblPr>
        <w:tblW w:w="0" w:type="auto"/>
        <w:jc w:val="left"/>
        <w:tblInd w:w="160" w:type="dxa"/>
        <w:tblLayout w:type="fixed"/>
        <w:tblCellMar>
          <w:top w:w="0" w:type="dxa"/>
          <w:left w:w="0" w:type="dxa"/>
          <w:bottom w:w="0" w:type="dxa"/>
          <w:right w:w="0" w:type="dxa"/>
        </w:tblCellMar>
        <w:tblLook w:val="01E0"/>
      </w:tblPr>
      <w:tblGrid>
        <w:gridCol w:w="802"/>
        <w:gridCol w:w="1187"/>
        <w:gridCol w:w="2339"/>
        <w:gridCol w:w="914"/>
        <w:gridCol w:w="1081"/>
        <w:gridCol w:w="1081"/>
        <w:gridCol w:w="521"/>
        <w:gridCol w:w="818"/>
        <w:gridCol w:w="911"/>
      </w:tblGrid>
      <w:tr>
        <w:trPr>
          <w:trHeight w:val="486" w:hRule="exact"/>
        </w:trPr>
        <w:tc>
          <w:tcPr>
            <w:tcW w:w="802" w:type="dxa"/>
            <w:tcBorders>
              <w:top w:val="single" w:sz="4" w:space="0" w:color="000000"/>
              <w:left w:val="single" w:sz="4" w:space="0" w:color="000000"/>
              <w:bottom w:val="single" w:sz="48" w:space="0" w:color="C7EDCC"/>
              <w:right w:val="single" w:sz="4" w:space="0" w:color="000000"/>
            </w:tcBorders>
            <w:shd w:val="clear" w:color="auto" w:fill="D3D3D3"/>
          </w:tcPr>
          <w:p>
            <w:pPr>
              <w:pStyle w:val="TableParagraph"/>
              <w:spacing w:line="240" w:lineRule="auto" w:before="102"/>
              <w:ind w:left="11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2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339" w:type="dxa"/>
            <w:tcBorders>
              <w:top w:val="single" w:sz="4" w:space="0" w:color="000000"/>
              <w:left w:val="single" w:sz="4" w:space="0" w:color="000000"/>
              <w:bottom w:val="single" w:sz="48" w:space="0" w:color="C7EDCC"/>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4"/>
              <w:ind w:left="9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86" w:right="8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85" w:right="84"/>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7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43"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9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4"/>
              <w:ind w:left="9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0" w:hRule="exact"/>
        </w:trPr>
        <w:tc>
          <w:tcPr>
            <w:tcW w:w="802"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7"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exact" w:before="4"/>
              <w:ind w:left="6" w:right="88"/>
              <w:jc w:val="both"/>
              <w:rPr>
                <w:rFonts w:ascii="宋体" w:hAnsi="宋体" w:cs="宋体" w:eastAsia="宋体" w:hint="default"/>
                <w:sz w:val="18"/>
                <w:szCs w:val="18"/>
              </w:rPr>
            </w:pPr>
            <w:r>
              <w:rPr>
                <w:rFonts w:ascii="宋体" w:hAnsi="宋体" w:cs="宋体" w:eastAsia="宋体" w:hint="default"/>
                <w:sz w:val="18"/>
                <w:szCs w:val="18"/>
              </w:rPr>
              <w:t>杭州日报报业 集团有限公司 为本公司控股 股东</w:t>
            </w:r>
          </w:p>
        </w:tc>
        <w:tc>
          <w:tcPr>
            <w:tcW w:w="2339" w:type="dxa"/>
            <w:tcBorders>
              <w:top w:val="single" w:sz="4" w:space="0" w:color="000000"/>
              <w:left w:val="single" w:sz="4" w:space="0" w:color="000000"/>
              <w:bottom w:val="nil" w:sz="6" w:space="0" w:color="auto"/>
              <w:right w:val="single" w:sz="4" w:space="0" w:color="000000"/>
            </w:tcBorders>
            <w:shd w:val="clear" w:color="auto" w:fill="C7EDCC"/>
          </w:tcPr>
          <w:p>
            <w:pPr/>
          </w:p>
        </w:tc>
        <w:tc>
          <w:tcPr>
            <w:tcW w:w="914" w:type="dxa"/>
            <w:vMerge w:val="restart"/>
            <w:tcBorders>
              <w:top w:val="single" w:sz="4" w:space="0" w:color="000000"/>
              <w:left w:val="single" w:sz="10"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0</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28" w:right="0"/>
              <w:jc w:val="left"/>
              <w:rPr>
                <w:rFonts w:ascii="Times New Roman" w:hAnsi="Times New Roman" w:cs="Times New Roman" w:eastAsia="Times New Roman" w:hint="default"/>
                <w:sz w:val="18"/>
                <w:szCs w:val="18"/>
              </w:rPr>
            </w:pPr>
            <w:r>
              <w:rPr>
                <w:rFonts w:ascii="Times New Roman"/>
                <w:sz w:val="18"/>
              </w:rPr>
              <w:t>19,817.33</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27" w:right="0"/>
              <w:jc w:val="left"/>
              <w:rPr>
                <w:rFonts w:ascii="Times New Roman" w:hAnsi="Times New Roman" w:cs="Times New Roman" w:eastAsia="Times New Roman" w:hint="default"/>
                <w:sz w:val="18"/>
                <w:szCs w:val="18"/>
              </w:rPr>
            </w:pPr>
            <w:r>
              <w:rPr>
                <w:rFonts w:ascii="Times New Roman"/>
                <w:sz w:val="18"/>
              </w:rPr>
              <w:t>10,572.13</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0</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38" w:right="0"/>
              <w:jc w:val="left"/>
              <w:rPr>
                <w:rFonts w:ascii="Times New Roman" w:hAnsi="Times New Roman" w:cs="Times New Roman" w:eastAsia="Times New Roman" w:hint="default"/>
                <w:sz w:val="18"/>
                <w:szCs w:val="18"/>
              </w:rPr>
            </w:pPr>
            <w:r>
              <w:rPr>
                <w:rFonts w:ascii="Times New Roman"/>
                <w:sz w:val="18"/>
              </w:rPr>
              <w:t>9,245.2</w:t>
            </w:r>
          </w:p>
        </w:tc>
      </w:tr>
      <w:tr>
        <w:trPr>
          <w:trHeight w:val="845" w:hRule="exact"/>
        </w:trPr>
        <w:tc>
          <w:tcPr>
            <w:tcW w:w="80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exact"/>
              <w:ind w:left="11" w:right="58"/>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1187" w:type="dxa"/>
            <w:vMerge/>
            <w:tcBorders>
              <w:left w:val="single" w:sz="4" w:space="0" w:color="000000"/>
              <w:bottom w:val="single" w:sz="4" w:space="0" w:color="000000"/>
              <w:right w:val="single" w:sz="4" w:space="0" w:color="000000"/>
            </w:tcBorders>
            <w:shd w:val="clear" w:color="auto" w:fill="C7EDCC"/>
          </w:tcPr>
          <w:p>
            <w:pPr/>
          </w:p>
        </w:tc>
        <w:tc>
          <w:tcPr>
            <w:tcW w:w="233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exact"/>
              <w:ind w:left="23" w:right="23"/>
              <w:jc w:val="left"/>
              <w:rPr>
                <w:rFonts w:ascii="宋体" w:hAnsi="宋体" w:cs="宋体" w:eastAsia="宋体" w:hint="default"/>
                <w:sz w:val="18"/>
                <w:szCs w:val="18"/>
              </w:rPr>
            </w:pPr>
            <w:r>
              <w:rPr>
                <w:rFonts w:ascii="宋体" w:hAnsi="宋体" w:cs="宋体" w:eastAsia="宋体" w:hint="default"/>
                <w:sz w:val="18"/>
                <w:szCs w:val="18"/>
              </w:rPr>
              <w:t>本公司向杭州日报报业集团 购入萧文置业</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55%</w:t>
            </w:r>
            <w:r>
              <w:rPr>
                <w:rFonts w:ascii="宋体" w:hAnsi="宋体" w:cs="宋体" w:eastAsia="宋体" w:hint="default"/>
                <w:spacing w:val="-9"/>
                <w:sz w:val="18"/>
                <w:szCs w:val="18"/>
              </w:rPr>
              <w:t>股权，应付</w:t>
            </w:r>
            <w:r>
              <w:rPr>
                <w:rFonts w:ascii="宋体" w:hAnsi="宋体" w:cs="宋体" w:eastAsia="宋体" w:hint="default"/>
                <w:sz w:val="18"/>
                <w:szCs w:val="18"/>
              </w:rPr>
              <w:t> 股权款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30817.33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14" w:type="dxa"/>
            <w:vMerge/>
            <w:tcBorders>
              <w:left w:val="single" w:sz="10" w:space="0" w:color="C7EDCC"/>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r>
      <w:tr>
        <w:trPr>
          <w:trHeight w:val="125" w:hRule="exact"/>
        </w:trPr>
        <w:tc>
          <w:tcPr>
            <w:tcW w:w="802"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7" w:type="dxa"/>
            <w:vMerge w:val="restart"/>
            <w:tcBorders>
              <w:top w:val="single" w:sz="4" w:space="0" w:color="000000"/>
              <w:left w:val="single" w:sz="4" w:space="0" w:color="000000"/>
              <w:right w:val="single" w:sz="4" w:space="0" w:color="000000"/>
            </w:tcBorders>
            <w:shd w:val="clear" w:color="auto" w:fill="C7EDCC"/>
          </w:tcPr>
          <w:p>
            <w:pPr>
              <w:pStyle w:val="TableParagraph"/>
              <w:spacing w:line="217" w:lineRule="exact"/>
              <w:ind w:left="6" w:right="0"/>
              <w:jc w:val="both"/>
              <w:rPr>
                <w:rFonts w:ascii="宋体" w:hAnsi="宋体" w:cs="宋体" w:eastAsia="宋体" w:hint="default"/>
                <w:sz w:val="18"/>
                <w:szCs w:val="18"/>
              </w:rPr>
            </w:pPr>
            <w:r>
              <w:rPr>
                <w:rFonts w:ascii="宋体" w:hAnsi="宋体" w:cs="宋体" w:eastAsia="宋体" w:hint="default"/>
                <w:sz w:val="18"/>
                <w:szCs w:val="18"/>
              </w:rPr>
              <w:t>杭州日报报业</w:t>
            </w:r>
          </w:p>
          <w:p>
            <w:pPr>
              <w:pStyle w:val="TableParagraph"/>
              <w:spacing w:line="244" w:lineRule="auto" w:before="4"/>
              <w:ind w:left="6" w:right="88"/>
              <w:jc w:val="both"/>
              <w:rPr>
                <w:rFonts w:ascii="宋体" w:hAnsi="宋体" w:cs="宋体" w:eastAsia="宋体" w:hint="default"/>
                <w:sz w:val="18"/>
                <w:szCs w:val="18"/>
              </w:rPr>
            </w:pPr>
            <w:r>
              <w:rPr>
                <w:rFonts w:ascii="宋体" w:hAnsi="宋体" w:cs="宋体" w:eastAsia="宋体" w:hint="default"/>
                <w:sz w:val="18"/>
                <w:szCs w:val="18"/>
              </w:rPr>
              <w:t>集团有限公司 为本公司控股 股东</w:t>
            </w:r>
          </w:p>
        </w:tc>
        <w:tc>
          <w:tcPr>
            <w:tcW w:w="2339" w:type="dxa"/>
            <w:tcBorders>
              <w:top w:val="single" w:sz="4" w:space="0" w:color="000000"/>
              <w:left w:val="single" w:sz="4" w:space="0" w:color="000000"/>
              <w:bottom w:val="nil" w:sz="6" w:space="0" w:color="auto"/>
              <w:right w:val="single" w:sz="4" w:space="0" w:color="000000"/>
            </w:tcBorders>
            <w:shd w:val="clear" w:color="auto" w:fill="C7EDCC"/>
          </w:tcPr>
          <w:p>
            <w:pPr/>
          </w:p>
        </w:tc>
        <w:tc>
          <w:tcPr>
            <w:tcW w:w="914" w:type="dxa"/>
            <w:vMerge w:val="restart"/>
            <w:tcBorders>
              <w:top w:val="single" w:sz="4" w:space="0" w:color="000000"/>
              <w:left w:val="single" w:sz="10"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44" w:right="0"/>
              <w:jc w:val="left"/>
              <w:rPr>
                <w:rFonts w:ascii="Times New Roman" w:hAnsi="Times New Roman" w:cs="Times New Roman" w:eastAsia="Times New Roman" w:hint="default"/>
                <w:sz w:val="18"/>
                <w:szCs w:val="18"/>
              </w:rPr>
            </w:pPr>
            <w:r>
              <w:rPr>
                <w:rFonts w:ascii="Times New Roman"/>
                <w:sz w:val="18"/>
              </w:rPr>
              <w:t>5,303.35</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18" w:right="0"/>
              <w:jc w:val="left"/>
              <w:rPr>
                <w:rFonts w:ascii="Times New Roman" w:hAnsi="Times New Roman" w:cs="Times New Roman" w:eastAsia="Times New Roman" w:hint="default"/>
                <w:sz w:val="18"/>
                <w:szCs w:val="18"/>
              </w:rPr>
            </w:pPr>
            <w:r>
              <w:rPr>
                <w:rFonts w:ascii="Times New Roman"/>
                <w:sz w:val="18"/>
              </w:rPr>
              <w:t>5,298.67</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17" w:right="0"/>
              <w:jc w:val="left"/>
              <w:rPr>
                <w:rFonts w:ascii="Times New Roman" w:hAnsi="Times New Roman" w:cs="Times New Roman" w:eastAsia="Times New Roman" w:hint="default"/>
                <w:sz w:val="18"/>
                <w:szCs w:val="18"/>
              </w:rPr>
            </w:pPr>
            <w:r>
              <w:rPr>
                <w:rFonts w:ascii="Times New Roman"/>
                <w:sz w:val="18"/>
              </w:rPr>
              <w:t>5,790.04</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4.79%</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140.39</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55" w:right="0"/>
              <w:jc w:val="left"/>
              <w:rPr>
                <w:rFonts w:ascii="Times New Roman" w:hAnsi="Times New Roman" w:cs="Times New Roman" w:eastAsia="Times New Roman" w:hint="default"/>
                <w:sz w:val="18"/>
                <w:szCs w:val="18"/>
              </w:rPr>
            </w:pPr>
            <w:r>
              <w:rPr>
                <w:rFonts w:ascii="Times New Roman"/>
                <w:sz w:val="18"/>
              </w:rPr>
              <w:t>4,811.98</w:t>
            </w:r>
          </w:p>
        </w:tc>
      </w:tr>
      <w:tr>
        <w:trPr>
          <w:trHeight w:val="905" w:hRule="exact"/>
        </w:trPr>
        <w:tc>
          <w:tcPr>
            <w:tcW w:w="80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exact"/>
              <w:ind w:left="11" w:right="58"/>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1187" w:type="dxa"/>
            <w:vMerge/>
            <w:tcBorders>
              <w:left w:val="single" w:sz="4" w:space="0" w:color="000000"/>
              <w:bottom w:val="single" w:sz="4" w:space="0" w:color="000000"/>
              <w:right w:val="single" w:sz="4" w:space="0" w:color="000000"/>
            </w:tcBorders>
            <w:shd w:val="clear" w:color="auto" w:fill="C7EDCC"/>
          </w:tcPr>
          <w:p>
            <w:pPr/>
          </w:p>
        </w:tc>
        <w:tc>
          <w:tcPr>
            <w:tcW w:w="233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exact"/>
              <w:ind w:left="23" w:right="144"/>
              <w:jc w:val="both"/>
              <w:rPr>
                <w:rFonts w:ascii="宋体" w:hAnsi="宋体" w:cs="宋体" w:eastAsia="宋体" w:hint="default"/>
                <w:sz w:val="18"/>
                <w:szCs w:val="18"/>
              </w:rPr>
            </w:pPr>
            <w:r>
              <w:rPr>
                <w:rFonts w:ascii="宋体" w:hAnsi="宋体" w:cs="宋体" w:eastAsia="宋体" w:hint="default"/>
                <w:sz w:val="18"/>
                <w:szCs w:val="18"/>
              </w:rPr>
              <w:t>控股子公司杭州萧文置业有 限公司因工程建设需要向其 申请财务资助。</w:t>
            </w:r>
          </w:p>
        </w:tc>
        <w:tc>
          <w:tcPr>
            <w:tcW w:w="914" w:type="dxa"/>
            <w:vMerge/>
            <w:tcBorders>
              <w:left w:val="single" w:sz="10" w:space="0" w:color="C7EDCC"/>
              <w:bottom w:val="single" w:sz="52" w:space="0" w:color="C7EDCC"/>
              <w:right w:val="single" w:sz="4" w:space="0" w:color="000000"/>
            </w:tcBorders>
          </w:tcPr>
          <w:p>
            <w:pPr/>
          </w:p>
        </w:tc>
        <w:tc>
          <w:tcPr>
            <w:tcW w:w="1081" w:type="dxa"/>
            <w:vMerge/>
            <w:tcBorders>
              <w:left w:val="single" w:sz="4" w:space="0" w:color="000000"/>
              <w:bottom w:val="single" w:sz="52" w:space="0" w:color="C7EDCC"/>
              <w:right w:val="single" w:sz="4" w:space="0" w:color="000000"/>
            </w:tcBorders>
          </w:tcPr>
          <w:p>
            <w:pPr/>
          </w:p>
        </w:tc>
        <w:tc>
          <w:tcPr>
            <w:tcW w:w="1081" w:type="dxa"/>
            <w:vMerge/>
            <w:tcBorders>
              <w:left w:val="single" w:sz="4" w:space="0" w:color="000000"/>
              <w:bottom w:val="single" w:sz="52" w:space="0" w:color="C7EDCC"/>
              <w:right w:val="single" w:sz="4" w:space="0" w:color="000000"/>
            </w:tcBorders>
          </w:tcPr>
          <w:p>
            <w:pPr/>
          </w:p>
        </w:tc>
        <w:tc>
          <w:tcPr>
            <w:tcW w:w="521" w:type="dxa"/>
            <w:vMerge/>
            <w:tcBorders>
              <w:left w:val="single" w:sz="4" w:space="0" w:color="000000"/>
              <w:bottom w:val="single" w:sz="52" w:space="0" w:color="C7EDCC"/>
              <w:right w:val="single" w:sz="4" w:space="0" w:color="000000"/>
            </w:tcBorders>
          </w:tcPr>
          <w:p>
            <w:pPr/>
          </w:p>
        </w:tc>
        <w:tc>
          <w:tcPr>
            <w:tcW w:w="818" w:type="dxa"/>
            <w:vMerge/>
            <w:tcBorders>
              <w:left w:val="single" w:sz="4" w:space="0" w:color="000000"/>
              <w:bottom w:val="single" w:sz="52" w:space="0" w:color="C7EDCC"/>
              <w:right w:val="single" w:sz="4" w:space="0" w:color="000000"/>
            </w:tcBorders>
          </w:tcPr>
          <w:p>
            <w:pPr/>
          </w:p>
        </w:tc>
        <w:tc>
          <w:tcPr>
            <w:tcW w:w="911" w:type="dxa"/>
            <w:vMerge/>
            <w:tcBorders>
              <w:left w:val="single" w:sz="4" w:space="0" w:color="000000"/>
              <w:bottom w:val="single" w:sz="52" w:space="0" w:color="C7EDCC"/>
              <w:right w:val="single" w:sz="4" w:space="0" w:color="000000"/>
            </w:tcBorders>
          </w:tcPr>
          <w:p>
            <w:pPr/>
          </w:p>
        </w:tc>
      </w:tr>
      <w:tr>
        <w:trPr>
          <w:trHeight w:val="370" w:hRule="exact"/>
        </w:trPr>
        <w:tc>
          <w:tcPr>
            <w:tcW w:w="1988" w:type="dxa"/>
            <w:gridSpan w:val="2"/>
            <w:tcBorders>
              <w:top w:val="single" w:sz="48" w:space="0" w:color="C7EDCC"/>
              <w:left w:val="single" w:sz="4" w:space="0" w:color="000000"/>
              <w:bottom w:val="single" w:sz="4" w:space="0" w:color="000000"/>
              <w:right w:val="single" w:sz="9" w:space="0" w:color="C7EDCC"/>
            </w:tcBorders>
            <w:shd w:val="clear" w:color="auto" w:fill="D3D3D3"/>
          </w:tcPr>
          <w:p>
            <w:pPr>
              <w:pStyle w:val="TableParagraph"/>
              <w:spacing w:line="103" w:lineRule="exact"/>
              <w:ind w:left="11" w:right="0"/>
              <w:jc w:val="left"/>
              <w:rPr>
                <w:rFonts w:ascii="宋体" w:hAnsi="宋体" w:cs="宋体" w:eastAsia="宋体" w:hint="default"/>
                <w:sz w:val="18"/>
                <w:szCs w:val="18"/>
              </w:rPr>
            </w:pPr>
            <w:r>
              <w:rPr>
                <w:rFonts w:ascii="宋体" w:hAnsi="宋体" w:cs="宋体" w:eastAsia="宋体" w:hint="default"/>
                <w:sz w:val="18"/>
                <w:szCs w:val="18"/>
              </w:rPr>
              <w:t>关联债务对公司经营成</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果及财务状况的影响</w:t>
            </w:r>
          </w:p>
        </w:tc>
        <w:tc>
          <w:tcPr>
            <w:tcW w:w="7666"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不会对本公司的经营成本和财务状况产生重大不利影响。</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728"/>
        <w:gridCol w:w="940"/>
        <w:gridCol w:w="937"/>
        <w:gridCol w:w="1313"/>
        <w:gridCol w:w="1076"/>
        <w:gridCol w:w="1049"/>
        <w:gridCol w:w="1061"/>
        <w:gridCol w:w="805"/>
        <w:gridCol w:w="785"/>
      </w:tblGrid>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9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2" w:right="8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8"/>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3" w:right="10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2" w:right="8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8"/>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5"/>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6"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浙江风盛传媒股份有 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2,834.22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50"/>
              <w:jc w:val="center"/>
              <w:rPr>
                <w:rFonts w:ascii="宋体" w:hAnsi="宋体" w:cs="宋体" w:eastAsia="宋体" w:hint="default"/>
                <w:sz w:val="18"/>
                <w:szCs w:val="18"/>
              </w:rPr>
            </w:pPr>
            <w:r>
              <w:rPr>
                <w:rFonts w:ascii="宋体" w:hAnsi="宋体" w:cs="宋体" w:eastAsia="宋体" w:hint="default"/>
                <w:sz w:val="18"/>
                <w:szCs w:val="18"/>
              </w:rPr>
              <w:t>中教未来国际教育科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1,351.8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4"/>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733"/>
        <w:gridCol w:w="920"/>
        <w:gridCol w:w="940"/>
        <w:gridCol w:w="1331"/>
        <w:gridCol w:w="1053"/>
        <w:gridCol w:w="1060"/>
        <w:gridCol w:w="1068"/>
        <w:gridCol w:w="796"/>
        <w:gridCol w:w="790"/>
      </w:tblGrid>
      <w:tr>
        <w:trPr>
          <w:trHeight w:val="362" w:hRule="exact"/>
        </w:trPr>
        <w:tc>
          <w:tcPr>
            <w:tcW w:w="1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56"/>
              <w:jc w:val="center"/>
              <w:rPr>
                <w:rFonts w:ascii="宋体" w:hAnsi="宋体" w:cs="宋体" w:eastAsia="宋体" w:hint="default"/>
                <w:sz w:val="18"/>
                <w:szCs w:val="18"/>
              </w:rPr>
            </w:pPr>
            <w:r>
              <w:rPr>
                <w:rFonts w:ascii="宋体" w:hAnsi="宋体" w:cs="宋体" w:eastAsia="宋体" w:hint="default"/>
                <w:sz w:val="18"/>
                <w:szCs w:val="18"/>
              </w:rPr>
              <w:t>技（北京）有限公司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杭州日报报业集团盛 元印务有限公司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8,000</w:t>
            </w:r>
          </w:p>
        </w:tc>
        <w:tc>
          <w:tcPr>
            <w:tcW w:w="1331"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11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960</w:t>
            </w:r>
          </w:p>
        </w:tc>
        <w:tc>
          <w:tcPr>
            <w:tcW w:w="1331"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11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中教未来国际教育科 技（北京）有限公司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1,600</w:t>
            </w:r>
          </w:p>
        </w:tc>
        <w:tc>
          <w:tcPr>
            <w:tcW w:w="1331"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11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71"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 w:right="106"/>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55"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2,834.22</w:t>
            </w:r>
          </w:p>
        </w:tc>
      </w:tr>
      <w:tr>
        <w:trPr>
          <w:trHeight w:val="714" w:hRule="exact"/>
        </w:trPr>
        <w:tc>
          <w:tcPr>
            <w:tcW w:w="26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71"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24,976</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 w:right="106"/>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55"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4,186.02</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33" w:type="dxa"/>
            <w:vMerge w:val="restart"/>
            <w:tcBorders>
              <w:top w:val="single" w:sz="4" w:space="0" w:color="000000"/>
              <w:left w:val="single" w:sz="4" w:space="0" w:color="000000"/>
              <w:right w:val="single" w:sz="4" w:space="0" w:color="000000"/>
            </w:tcBorders>
            <w:shd w:val="clear" w:color="auto" w:fill="D3D3D3"/>
          </w:tcPr>
          <w:p>
            <w:pPr/>
          </w:p>
        </w:tc>
        <w:tc>
          <w:tcPr>
            <w:tcW w:w="92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vMerge w:val="restart"/>
            <w:tcBorders>
              <w:top w:val="single" w:sz="4" w:space="0" w:color="000000"/>
              <w:left w:val="single" w:sz="4" w:space="0" w:color="000000"/>
              <w:right w:val="single" w:sz="4" w:space="0" w:color="000000"/>
            </w:tcBorders>
            <w:shd w:val="clear" w:color="auto" w:fill="D3D3D3"/>
          </w:tcPr>
          <w:p>
            <w:pPr/>
          </w:p>
        </w:tc>
        <w:tc>
          <w:tcPr>
            <w:tcW w:w="1331" w:type="dxa"/>
            <w:vMerge w:val="restart"/>
            <w:tcBorders>
              <w:top w:val="single" w:sz="4" w:space="0" w:color="000000"/>
              <w:left w:val="single" w:sz="4" w:space="0" w:color="000000"/>
              <w:right w:val="single" w:sz="4" w:space="0" w:color="000000"/>
            </w:tcBorders>
            <w:shd w:val="clear" w:color="auto" w:fill="D3D3D3"/>
          </w:tcPr>
          <w:p>
            <w:pPr/>
          </w:p>
        </w:tc>
        <w:tc>
          <w:tcPr>
            <w:tcW w:w="10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0" w:type="dxa"/>
            <w:vMerge w:val="restart"/>
            <w:tcBorders>
              <w:top w:val="single" w:sz="4" w:space="0" w:color="000000"/>
              <w:left w:val="single" w:sz="4" w:space="0" w:color="000000"/>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733" w:type="dxa"/>
            <w:vMerge/>
            <w:tcBorders>
              <w:left w:val="single" w:sz="4" w:space="0" w:color="000000"/>
              <w:bottom w:val="nil" w:sz="6" w:space="0" w:color="auto"/>
              <w:right w:val="single" w:sz="4" w:space="0" w:color="000000"/>
            </w:tcBorders>
            <w:shd w:val="clear" w:color="auto" w:fill="D3D3D3"/>
          </w:tcPr>
          <w:p>
            <w:pPr/>
          </w:p>
        </w:tc>
        <w:tc>
          <w:tcPr>
            <w:tcW w:w="920" w:type="dxa"/>
            <w:vMerge/>
            <w:tcBorders>
              <w:left w:val="single" w:sz="4" w:space="0" w:color="000000"/>
              <w:right w:val="single" w:sz="4" w:space="0" w:color="000000"/>
            </w:tcBorders>
            <w:shd w:val="clear" w:color="auto" w:fill="D3D3D3"/>
          </w:tcPr>
          <w:p>
            <w:pPr/>
          </w:p>
        </w:tc>
        <w:tc>
          <w:tcPr>
            <w:tcW w:w="940" w:type="dxa"/>
            <w:vMerge/>
            <w:tcBorders>
              <w:left w:val="single" w:sz="4" w:space="0" w:color="000000"/>
              <w:bottom w:val="nil" w:sz="6" w:space="0" w:color="auto"/>
              <w:right w:val="single" w:sz="4" w:space="0" w:color="000000"/>
            </w:tcBorders>
            <w:shd w:val="clear" w:color="auto" w:fill="D3D3D3"/>
          </w:tcPr>
          <w:p>
            <w:pPr/>
          </w:p>
        </w:tc>
        <w:tc>
          <w:tcPr>
            <w:tcW w:w="1331" w:type="dxa"/>
            <w:vMerge/>
            <w:tcBorders>
              <w:left w:val="single" w:sz="4" w:space="0" w:color="000000"/>
              <w:bottom w:val="nil" w:sz="6" w:space="0" w:color="auto"/>
              <w:right w:val="single" w:sz="4" w:space="0" w:color="000000"/>
            </w:tcBorders>
            <w:shd w:val="clear" w:color="auto" w:fill="D3D3D3"/>
          </w:tcPr>
          <w:p>
            <w:pPr/>
          </w:p>
        </w:tc>
        <w:tc>
          <w:tcPr>
            <w:tcW w:w="105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2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3D3D3"/>
          </w:tcPr>
          <w:p>
            <w:pPr/>
          </w:p>
        </w:tc>
        <w:tc>
          <w:tcPr>
            <w:tcW w:w="1068" w:type="dxa"/>
            <w:vMerge/>
            <w:tcBorders>
              <w:left w:val="single" w:sz="4" w:space="0" w:color="000000"/>
              <w:bottom w:val="nil" w:sz="6" w:space="0" w:color="auto"/>
              <w:right w:val="single" w:sz="4" w:space="0" w:color="000000"/>
            </w:tcBorders>
            <w:shd w:val="clear" w:color="auto" w:fill="D3D3D3"/>
          </w:tcPr>
          <w:p>
            <w:pPr/>
          </w:p>
        </w:tc>
        <w:tc>
          <w:tcPr>
            <w:tcW w:w="79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7" w:right="3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3D3D3"/>
          </w:tcPr>
          <w:p>
            <w:pPr/>
          </w:p>
        </w:tc>
        <w:tc>
          <w:tcPr>
            <w:tcW w:w="9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3" w:type="dxa"/>
            <w:vMerge/>
            <w:tcBorders>
              <w:left w:val="single" w:sz="4" w:space="0" w:color="000000"/>
              <w:right w:val="single" w:sz="4" w:space="0" w:color="000000"/>
            </w:tcBorders>
            <w:shd w:val="clear" w:color="auto" w:fill="D3D3D3"/>
          </w:tcPr>
          <w:p>
            <w:pPr/>
          </w:p>
        </w:tc>
        <w:tc>
          <w:tcPr>
            <w:tcW w:w="10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4" w:space="0" w:color="000000"/>
              <w:right w:val="single" w:sz="4" w:space="0" w:color="000000"/>
            </w:tcBorders>
            <w:shd w:val="clear" w:color="auto" w:fill="D3D3D3"/>
          </w:tcPr>
          <w:p>
            <w:pPr/>
          </w:p>
        </w:tc>
        <w:tc>
          <w:tcPr>
            <w:tcW w:w="790" w:type="dxa"/>
            <w:vMerge/>
            <w:tcBorders>
              <w:left w:val="single" w:sz="4" w:space="0" w:color="000000"/>
              <w:right w:val="single" w:sz="4" w:space="0" w:color="000000"/>
            </w:tcBorders>
            <w:shd w:val="clear" w:color="auto" w:fill="D3D3D3"/>
          </w:tcPr>
          <w:p>
            <w:pPr/>
          </w:p>
        </w:tc>
      </w:tr>
      <w:tr>
        <w:trPr>
          <w:trHeight w:val="156" w:hRule="exact"/>
        </w:trPr>
        <w:tc>
          <w:tcPr>
            <w:tcW w:w="1733" w:type="dxa"/>
            <w:vMerge w:val="restart"/>
            <w:tcBorders>
              <w:top w:val="nil" w:sz="6" w:space="0" w:color="auto"/>
              <w:left w:val="single" w:sz="4" w:space="0" w:color="000000"/>
              <w:right w:val="single" w:sz="4" w:space="0" w:color="000000"/>
            </w:tcBorders>
            <w:shd w:val="clear" w:color="auto" w:fill="D3D3D3"/>
          </w:tcPr>
          <w:p>
            <w:pPr/>
          </w:p>
        </w:tc>
        <w:tc>
          <w:tcPr>
            <w:tcW w:w="920" w:type="dxa"/>
            <w:vMerge/>
            <w:tcBorders>
              <w:left w:val="single" w:sz="4" w:space="0" w:color="000000"/>
              <w:right w:val="single" w:sz="4" w:space="0" w:color="000000"/>
            </w:tcBorders>
            <w:shd w:val="clear" w:color="auto" w:fill="D3D3D3"/>
          </w:tcPr>
          <w:p>
            <w:pPr/>
          </w:p>
        </w:tc>
        <w:tc>
          <w:tcPr>
            <w:tcW w:w="940" w:type="dxa"/>
            <w:vMerge w:val="restart"/>
            <w:tcBorders>
              <w:top w:val="nil" w:sz="6" w:space="0" w:color="auto"/>
              <w:left w:val="single" w:sz="4" w:space="0" w:color="000000"/>
              <w:right w:val="single" w:sz="4" w:space="0" w:color="000000"/>
            </w:tcBorders>
            <w:shd w:val="clear" w:color="auto" w:fill="D3D3D3"/>
          </w:tcPr>
          <w:p>
            <w:pPr/>
          </w:p>
        </w:tc>
        <w:tc>
          <w:tcPr>
            <w:tcW w:w="1331" w:type="dxa"/>
            <w:vMerge w:val="restart"/>
            <w:tcBorders>
              <w:top w:val="nil" w:sz="6" w:space="0" w:color="auto"/>
              <w:left w:val="single" w:sz="4" w:space="0" w:color="000000"/>
              <w:right w:val="single" w:sz="4" w:space="0" w:color="000000"/>
            </w:tcBorders>
            <w:shd w:val="clear" w:color="auto" w:fill="D3D3D3"/>
          </w:tcPr>
          <w:p>
            <w:pPr/>
          </w:p>
        </w:tc>
        <w:tc>
          <w:tcPr>
            <w:tcW w:w="1053" w:type="dxa"/>
            <w:vMerge/>
            <w:tcBorders>
              <w:left w:val="single" w:sz="4" w:space="0" w:color="000000"/>
              <w:bottom w:val="nil" w:sz="6" w:space="0" w:color="auto"/>
              <w:right w:val="single" w:sz="4" w:space="0" w:color="000000"/>
            </w:tcBorders>
            <w:shd w:val="clear" w:color="auto" w:fill="D3D3D3"/>
          </w:tcPr>
          <w:p>
            <w:pPr/>
          </w:p>
        </w:tc>
        <w:tc>
          <w:tcPr>
            <w:tcW w:w="1060" w:type="dxa"/>
            <w:vMerge w:val="restart"/>
            <w:tcBorders>
              <w:top w:val="nil" w:sz="6" w:space="0" w:color="auto"/>
              <w:left w:val="single" w:sz="4" w:space="0" w:color="000000"/>
              <w:right w:val="single" w:sz="4" w:space="0" w:color="000000"/>
            </w:tcBorders>
            <w:shd w:val="clear" w:color="auto" w:fill="D3D3D3"/>
          </w:tcPr>
          <w:p>
            <w:pPr/>
          </w:p>
        </w:tc>
        <w:tc>
          <w:tcPr>
            <w:tcW w:w="1068" w:type="dxa"/>
            <w:vMerge w:val="restart"/>
            <w:tcBorders>
              <w:top w:val="nil" w:sz="6" w:space="0" w:color="auto"/>
              <w:left w:val="single" w:sz="4" w:space="0" w:color="000000"/>
              <w:right w:val="single" w:sz="4" w:space="0" w:color="000000"/>
            </w:tcBorders>
            <w:shd w:val="clear" w:color="auto" w:fill="D3D3D3"/>
          </w:tcPr>
          <w:p>
            <w:pPr/>
          </w:p>
        </w:tc>
        <w:tc>
          <w:tcPr>
            <w:tcW w:w="796" w:type="dxa"/>
            <w:vMerge/>
            <w:tcBorders>
              <w:left w:val="single" w:sz="4" w:space="0" w:color="000000"/>
              <w:bottom w:val="nil" w:sz="6" w:space="0" w:color="auto"/>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733" w:type="dxa"/>
            <w:vMerge/>
            <w:tcBorders>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single" w:sz="4" w:space="0" w:color="000000"/>
              <w:right w:val="single" w:sz="4" w:space="0" w:color="000000"/>
            </w:tcBorders>
            <w:shd w:val="clear" w:color="auto" w:fill="D3D3D3"/>
          </w:tcPr>
          <w:p>
            <w:pPr/>
          </w:p>
        </w:tc>
        <w:tc>
          <w:tcPr>
            <w:tcW w:w="940" w:type="dxa"/>
            <w:vMerge/>
            <w:tcBorders>
              <w:left w:val="single" w:sz="4" w:space="0" w:color="000000"/>
              <w:bottom w:val="single" w:sz="4" w:space="0" w:color="000000"/>
              <w:right w:val="single" w:sz="4" w:space="0" w:color="000000"/>
            </w:tcBorders>
            <w:shd w:val="clear" w:color="auto" w:fill="D3D3D3"/>
          </w:tcPr>
          <w:p>
            <w:pPr/>
          </w:p>
        </w:tc>
        <w:tc>
          <w:tcPr>
            <w:tcW w:w="1331" w:type="dxa"/>
            <w:vMerge/>
            <w:tcBorders>
              <w:left w:val="single" w:sz="4" w:space="0" w:color="000000"/>
              <w:bottom w:val="single" w:sz="4" w:space="0" w:color="000000"/>
              <w:right w:val="single" w:sz="4" w:space="0" w:color="000000"/>
            </w:tcBorders>
            <w:shd w:val="clear" w:color="auto" w:fill="D3D3D3"/>
          </w:tcPr>
          <w:p>
            <w:pPr/>
          </w:p>
        </w:tc>
        <w:tc>
          <w:tcPr>
            <w:tcW w:w="10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0" w:type="dxa"/>
            <w:vMerge/>
            <w:tcBorders>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71" w:type="dxa"/>
            <w:gridSpan w:val="2"/>
            <w:tcBorders>
              <w:top w:val="single" w:sz="4" w:space="0" w:color="000000"/>
              <w:left w:val="single" w:sz="13" w:space="0" w:color="D3D3D3"/>
              <w:bottom w:val="single" w:sz="4" w:space="0" w:color="000000"/>
              <w:right w:val="single" w:sz="13" w:space="0" w:color="D3D3D3"/>
            </w:tcBorders>
          </w:tcPr>
          <w:p>
            <w:pP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 w:right="10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55"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2,834.22</w:t>
            </w:r>
          </w:p>
        </w:tc>
      </w:tr>
      <w:tr>
        <w:trPr>
          <w:trHeight w:val="714" w:hRule="exact"/>
        </w:trPr>
        <w:tc>
          <w:tcPr>
            <w:tcW w:w="26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71"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24,976</w:t>
            </w: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 w:right="106"/>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55"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4,186.02</w:t>
            </w:r>
          </w:p>
        </w:tc>
      </w:tr>
      <w:tr>
        <w:trPr>
          <w:trHeight w:val="402" w:hRule="exact"/>
        </w:trPr>
        <w:tc>
          <w:tcPr>
            <w:tcW w:w="492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68"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0"/>
          <w:cols w:num="2" w:equalWidth="0">
            <w:col w:w="1955" w:space="6784"/>
            <w:col w:w="219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58"/>
        <w:gridCol w:w="1981"/>
        <w:gridCol w:w="1909"/>
        <w:gridCol w:w="1850"/>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单项金额重大或安全性较低、流动性较差、不保本的高风险委托理财具体情况</w:t>
      </w:r>
    </w:p>
    <w:p>
      <w:pPr>
        <w:pStyle w:val="BodyText"/>
        <w:spacing w:line="340" w:lineRule="auto" w:before="116"/>
        <w:ind w:right="5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详见公司在巨潮资讯网 </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spacing w:val="-9"/>
            <w:u w:val="single" w:color="0000FF"/>
          </w:rPr>
          <w:t> </w:t>
        </w:r>
        <w:r>
          <w:rPr>
            <w:rFonts w:ascii="Times New Roman" w:hAnsi="Times New Roman" w:cs="Times New Roman" w:eastAsia="Times New Roman" w:hint="default"/>
            <w:color w:val="0000FF"/>
            <w:spacing w:val="-9"/>
          </w:rPr>
        </w:r>
      </w:hyperlink>
      <w:r>
        <w:rPr>
          <w:rFonts w:ascii="Times New Roman" w:hAnsi="Times New Roman" w:cs="Times New Roman" w:eastAsia="Times New Roman" w:hint="default"/>
          <w:color w:val="0000FF"/>
          <w:spacing w:val="-9"/>
        </w:rPr>
      </w:r>
      <w:r>
        <w:rPr/>
        <w:t>披露的</w:t>
      </w:r>
      <w:r>
        <w:rPr>
          <w:rFonts w:ascii="Times New Roman" w:hAnsi="Times New Roman" w:cs="Times New Roman" w:eastAsia="Times New Roman" w:hint="default"/>
        </w:rPr>
        <w:t>2019</w:t>
      </w:r>
      <w:r>
        <w:rPr/>
        <w:t>年度社会责任报告。</w:t>
      </w: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5711"/>
        <w:jc w:val="left"/>
      </w:pPr>
      <w:r>
        <w:rPr/>
        <w:t>上市公司及其子公司是否属于环境保护部门公布的重点排污单位 否</w:t>
      </w:r>
    </w:p>
    <w:p>
      <w:pPr>
        <w:pStyle w:val="BodyText"/>
        <w:spacing w:line="240" w:lineRule="auto" w:before="29"/>
        <w:ind w:left="513" w:right="0"/>
        <w:jc w:val="left"/>
      </w:pPr>
      <w:r>
        <w:rPr/>
        <w:t>本公司及子公司不属于环境保护部门公布的重点排污单位。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6" w:right="0"/>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13"/>
        <w:gridCol w:w="1267"/>
        <w:gridCol w:w="808"/>
        <w:gridCol w:w="894"/>
        <w:gridCol w:w="479"/>
        <w:gridCol w:w="1102"/>
        <w:gridCol w:w="479"/>
        <w:gridCol w:w="479"/>
        <w:gridCol w:w="1256"/>
        <w:gridCol w:w="806"/>
      </w:tblGrid>
      <w:tr>
        <w:trPr>
          <w:trHeight w:val="169" w:hRule="exact"/>
        </w:trPr>
        <w:tc>
          <w:tcPr>
            <w:tcW w:w="2113" w:type="dxa"/>
            <w:tcBorders>
              <w:top w:val="single" w:sz="4" w:space="0" w:color="000000"/>
              <w:left w:val="single" w:sz="4" w:space="0" w:color="000000"/>
              <w:bottom w:val="nil" w:sz="6" w:space="0" w:color="auto"/>
              <w:right w:val="single" w:sz="4" w:space="0" w:color="000000"/>
            </w:tcBorders>
            <w:shd w:val="clear" w:color="auto" w:fill="D3D3D3"/>
          </w:tcPr>
          <w:p>
            <w:pPr/>
          </w:p>
        </w:tc>
        <w:tc>
          <w:tcPr>
            <w:tcW w:w="207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5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32"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7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57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13" w:type="dxa"/>
            <w:vMerge w:val="restart"/>
            <w:tcBorders>
              <w:top w:val="nil" w:sz="6" w:space="0" w:color="auto"/>
              <w:left w:val="single" w:sz="4" w:space="0" w:color="000000"/>
              <w:right w:val="single" w:sz="4" w:space="0" w:color="000000"/>
            </w:tcBorders>
            <w:shd w:val="clear" w:color="auto" w:fill="D3D3D3"/>
          </w:tcPr>
          <w:p>
            <w:pPr/>
          </w:p>
        </w:tc>
        <w:tc>
          <w:tcPr>
            <w:tcW w:w="2075" w:type="dxa"/>
            <w:gridSpan w:val="2"/>
            <w:vMerge/>
            <w:tcBorders>
              <w:left w:val="single" w:sz="4" w:space="0" w:color="000000"/>
              <w:bottom w:val="single" w:sz="4" w:space="0" w:color="000000"/>
              <w:right w:val="single" w:sz="4" w:space="0" w:color="000000"/>
            </w:tcBorders>
            <w:shd w:val="clear" w:color="auto" w:fill="D3D3D3"/>
          </w:tcPr>
          <w:p>
            <w:pPr/>
          </w:p>
        </w:tc>
        <w:tc>
          <w:tcPr>
            <w:tcW w:w="3432" w:type="dxa"/>
            <w:gridSpan w:val="5"/>
            <w:vMerge/>
            <w:tcBorders>
              <w:left w:val="single" w:sz="4" w:space="0" w:color="000000"/>
              <w:bottom w:val="single" w:sz="4" w:space="0" w:color="000000"/>
              <w:right w:val="single" w:sz="4" w:space="0" w:color="000000"/>
            </w:tcBorders>
            <w:shd w:val="clear" w:color="auto" w:fill="D3D3D3"/>
          </w:tcPr>
          <w:p>
            <w:pPr/>
          </w:p>
        </w:tc>
        <w:tc>
          <w:tcPr>
            <w:tcW w:w="2063" w:type="dxa"/>
            <w:gridSpan w:val="2"/>
            <w:vMerge/>
            <w:tcBorders>
              <w:left w:val="single" w:sz="4" w:space="0" w:color="000000"/>
              <w:bottom w:val="single" w:sz="4" w:space="0" w:color="000000"/>
              <w:right w:val="single" w:sz="4" w:space="0" w:color="000000"/>
            </w:tcBorders>
            <w:shd w:val="clear" w:color="auto" w:fill="D3D3D3"/>
          </w:tcPr>
          <w:p>
            <w:pPr/>
          </w:p>
        </w:tc>
      </w:tr>
      <w:tr>
        <w:trPr>
          <w:trHeight w:val="159" w:hRule="exact"/>
        </w:trPr>
        <w:tc>
          <w:tcPr>
            <w:tcW w:w="2113" w:type="dxa"/>
            <w:vMerge/>
            <w:tcBorders>
              <w:left w:val="single" w:sz="4" w:space="0" w:color="000000"/>
              <w:bottom w:val="nil" w:sz="6" w:space="0" w:color="auto"/>
              <w:right w:val="single" w:sz="4" w:space="0" w:color="000000"/>
            </w:tcBorders>
            <w:shd w:val="clear" w:color="auto" w:fill="D3D3D3"/>
          </w:tcPr>
          <w:p>
            <w:pPr/>
          </w:p>
        </w:tc>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8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5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4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5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71" w:hRule="exact"/>
        </w:trPr>
        <w:tc>
          <w:tcPr>
            <w:tcW w:w="21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7"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c>
          <w:tcPr>
            <w:tcW w:w="479" w:type="dxa"/>
            <w:vMerge/>
            <w:tcBorders>
              <w:left w:val="single" w:sz="4" w:space="0" w:color="000000"/>
              <w:bottom w:val="single" w:sz="4" w:space="0" w:color="000000"/>
              <w:right w:val="single" w:sz="4" w:space="0" w:color="000000"/>
            </w:tcBorders>
            <w:shd w:val="clear" w:color="auto" w:fill="D3D3D3"/>
          </w:tcPr>
          <w:p>
            <w:pPr/>
          </w:p>
        </w:tc>
        <w:tc>
          <w:tcPr>
            <w:tcW w:w="1102" w:type="dxa"/>
            <w:vMerge/>
            <w:tcBorders>
              <w:left w:val="single" w:sz="4" w:space="0" w:color="000000"/>
              <w:bottom w:val="single" w:sz="4" w:space="0" w:color="000000"/>
              <w:right w:val="single" w:sz="4" w:space="0" w:color="000000"/>
            </w:tcBorders>
            <w:shd w:val="clear" w:color="auto" w:fill="D3D3D3"/>
          </w:tcPr>
          <w:p>
            <w:pPr/>
          </w:p>
        </w:tc>
        <w:tc>
          <w:tcPr>
            <w:tcW w:w="479" w:type="dxa"/>
            <w:vMerge/>
            <w:tcBorders>
              <w:left w:val="single" w:sz="4" w:space="0" w:color="000000"/>
              <w:bottom w:val="single" w:sz="4" w:space="0" w:color="000000"/>
              <w:right w:val="single" w:sz="4" w:space="0" w:color="000000"/>
            </w:tcBorders>
            <w:shd w:val="clear" w:color="auto" w:fill="D3D3D3"/>
          </w:tcPr>
          <w:p>
            <w:pPr/>
          </w:p>
        </w:tc>
        <w:tc>
          <w:tcPr>
            <w:tcW w:w="479" w:type="dxa"/>
            <w:vMerge/>
            <w:tcBorders>
              <w:left w:val="single" w:sz="4" w:space="0" w:color="000000"/>
              <w:bottom w:val="single" w:sz="4" w:space="0" w:color="000000"/>
              <w:right w:val="single" w:sz="4" w:space="0" w:color="000000"/>
            </w:tcBorders>
            <w:shd w:val="clear" w:color="auto" w:fill="D3D3D3"/>
          </w:tcPr>
          <w:p>
            <w:pPr/>
          </w:p>
        </w:tc>
        <w:tc>
          <w:tcPr>
            <w:tcW w:w="1256" w:type="dxa"/>
            <w:vMerge/>
            <w:tcBorders>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132,838,441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13.05%</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132,838,441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13.05%</w:t>
            </w: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132,491,604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13.02%</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132,491,604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13.02%</w:t>
            </w: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346,837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0.03%</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346,837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0.03%</w:t>
            </w: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346,837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0.03%</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346,837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0.03%</w:t>
            </w: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884,859,969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86.95%</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884,859,969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86.95%</w:t>
            </w: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884,859,969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86.95%</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884,859,969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86.95%</w:t>
            </w:r>
          </w:p>
        </w:tc>
      </w:tr>
      <w:tr>
        <w:trPr>
          <w:trHeight w:val="330" w:hRule="exact"/>
        </w:trPr>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c>
          <w:tcPr>
            <w:tcW w:w="894"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1,017,698,410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38" w:lineRule="auto" w:before="117"/>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3"/>
        <w:ind w:right="6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Heading3"/>
        <w:spacing w:line="240" w:lineRule="auto" w:before="35"/>
        <w:ind w:right="-19"/>
        <w:jc w:val="left"/>
        <w:rPr>
          <w:b w:val="0"/>
          <w:bCs w:val="0"/>
        </w:rPr>
      </w:pPr>
      <w:r>
        <w:rPr>
          <w:rFonts w:ascii="Times New Roman" w:hAnsi="Times New Roman" w:cs="Times New Roman" w:eastAsia="Times New Roman" w:hint="default"/>
        </w:rPr>
        <w:t>2</w:t>
      </w:r>
      <w:r>
        <w:rPr/>
        <w:t>、限售股份变动情况</w:t>
      </w:r>
      <w:r>
        <w:rPr>
          <w:b w:val="0"/>
          <w:bCs w:val="0"/>
        </w:rPr>
      </w:r>
    </w:p>
    <w:p>
      <w:pPr>
        <w:pStyle w:val="BodyText"/>
        <w:spacing w:line="240" w:lineRule="auto" w:before="48"/>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80" w:left="980" w:right="0"/>
          <w:cols w:num="2" w:equalWidth="0">
            <w:col w:w="2158" w:space="6760"/>
            <w:col w:w="2012"/>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55"/>
        <w:gridCol w:w="788"/>
        <w:gridCol w:w="934"/>
        <w:gridCol w:w="935"/>
        <w:gridCol w:w="787"/>
        <w:gridCol w:w="2460"/>
        <w:gridCol w:w="3296"/>
      </w:tblGrid>
      <w:tr>
        <w:trPr>
          <w:trHeight w:val="570" w:hRule="exact"/>
        </w:trPr>
        <w:tc>
          <w:tcPr>
            <w:tcW w:w="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41" w:right="41"/>
              <w:jc w:val="left"/>
              <w:rPr>
                <w:rFonts w:ascii="宋体" w:hAnsi="宋体" w:cs="宋体" w:eastAsia="宋体" w:hint="default"/>
                <w:sz w:val="18"/>
                <w:szCs w:val="18"/>
              </w:rPr>
            </w:pPr>
            <w:r>
              <w:rPr>
                <w:rFonts w:ascii="宋体" w:hAnsi="宋体" w:cs="宋体" w:eastAsia="宋体" w:hint="default"/>
                <w:sz w:val="18"/>
                <w:szCs w:val="18"/>
              </w:rPr>
              <w:t>股东 名称</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08" w:right="29"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01" w:right="101"/>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01" w:right="10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08" w:right="26"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2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8"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97" w:hRule="exact"/>
        </w:trPr>
        <w:tc>
          <w:tcPr>
            <w:tcW w:w="455" w:type="dxa"/>
            <w:tcBorders>
              <w:top w:val="single" w:sz="4" w:space="0" w:color="000000"/>
              <w:left w:val="single" w:sz="4" w:space="0" w:color="000000"/>
              <w:bottom w:val="nil" w:sz="6" w:space="0" w:color="auto"/>
              <w:right w:val="single" w:sz="4" w:space="0" w:color="000000"/>
            </w:tcBorders>
            <w:shd w:val="clear" w:color="auto" w:fill="C7EDCC"/>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934" w:type="dxa"/>
            <w:tcBorders>
              <w:top w:val="single" w:sz="4" w:space="0" w:color="000000"/>
              <w:left w:val="single" w:sz="4" w:space="0" w:color="000000"/>
              <w:bottom w:val="nil" w:sz="6" w:space="0" w:color="auto"/>
              <w:right w:val="single" w:sz="4" w:space="0" w:color="000000"/>
            </w:tcBorders>
          </w:tcPr>
          <w:p>
            <w:pPr/>
          </w:p>
        </w:tc>
        <w:tc>
          <w:tcPr>
            <w:tcW w:w="935"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c>
          <w:tcPr>
            <w:tcW w:w="24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高级管理人员离任申报之日起</w:t>
            </w:r>
          </w:p>
        </w:tc>
        <w:tc>
          <w:tcPr>
            <w:tcW w:w="329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；其余股</w:t>
            </w:r>
          </w:p>
        </w:tc>
      </w:tr>
      <w:tr>
        <w:trPr>
          <w:trHeight w:val="240" w:hRule="exact"/>
        </w:trPr>
        <w:tc>
          <w:tcPr>
            <w:tcW w:w="45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right="37"/>
              <w:jc w:val="center"/>
              <w:rPr>
                <w:rFonts w:ascii="宋体" w:hAnsi="宋体" w:cs="宋体" w:eastAsia="宋体" w:hint="default"/>
                <w:sz w:val="18"/>
                <w:szCs w:val="18"/>
              </w:rPr>
            </w:pPr>
            <w:r>
              <w:rPr>
                <w:rFonts w:ascii="宋体" w:hAnsi="宋体" w:cs="宋体" w:eastAsia="宋体" w:hint="default"/>
                <w:sz w:val="18"/>
                <w:szCs w:val="18"/>
              </w:rPr>
              <w:t>宋浩</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57,825</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19,275</w:t>
            </w:r>
          </w:p>
        </w:tc>
        <w:tc>
          <w:tcPr>
            <w:tcW w:w="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19,275</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57,825</w:t>
            </w:r>
          </w:p>
        </w:tc>
        <w:tc>
          <w:tcPr>
            <w:tcW w:w="24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个月内，所持本公司股份全部</w:t>
            </w:r>
          </w:p>
        </w:tc>
        <w:tc>
          <w:tcPr>
            <w:tcW w:w="32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份每年锁定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pacing w:val="-88"/>
                <w:sz w:val="18"/>
                <w:szCs w:val="18"/>
              </w:rPr>
              <w:t>，</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p>
        </w:tc>
      </w:tr>
      <w:tr>
        <w:trPr>
          <w:trHeight w:val="273" w:hRule="exact"/>
        </w:trPr>
        <w:tc>
          <w:tcPr>
            <w:tcW w:w="455" w:type="dxa"/>
            <w:tcBorders>
              <w:top w:val="nil" w:sz="6" w:space="0" w:color="auto"/>
              <w:left w:val="single" w:sz="4" w:space="0" w:color="000000"/>
              <w:bottom w:val="single" w:sz="4" w:space="0" w:color="000000"/>
              <w:right w:val="single" w:sz="4" w:space="0" w:color="000000"/>
            </w:tcBorders>
            <w:shd w:val="clear" w:color="auto" w:fill="C7EDCC"/>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934" w:type="dxa"/>
            <w:tcBorders>
              <w:top w:val="nil" w:sz="6" w:space="0" w:color="auto"/>
              <w:left w:val="single" w:sz="4" w:space="0" w:color="000000"/>
              <w:bottom w:val="single" w:sz="4" w:space="0" w:color="000000"/>
              <w:right w:val="single" w:sz="4" w:space="0" w:color="000000"/>
            </w:tcBorders>
          </w:tcPr>
          <w:p>
            <w:pPr/>
          </w:p>
        </w:tc>
        <w:tc>
          <w:tcPr>
            <w:tcW w:w="935"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c>
          <w:tcPr>
            <w:tcW w:w="24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锁定。</w:t>
            </w:r>
          </w:p>
        </w:tc>
        <w:tc>
          <w:tcPr>
            <w:tcW w:w="329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除限售。</w:t>
            </w:r>
          </w:p>
        </w:tc>
      </w:tr>
      <w:tr>
        <w:trPr>
          <w:trHeight w:val="330" w:hRule="exact"/>
        </w:trPr>
        <w:tc>
          <w:tcPr>
            <w:tcW w:w="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37"/>
              <w:jc w:val="center"/>
              <w:rPr>
                <w:rFonts w:ascii="宋体" w:hAnsi="宋体" w:cs="宋体" w:eastAsia="宋体" w:hint="default"/>
                <w:sz w:val="18"/>
                <w:szCs w:val="18"/>
              </w:rPr>
            </w:pPr>
            <w:r>
              <w:rPr>
                <w:rFonts w:ascii="宋体" w:hAnsi="宋体" w:cs="宋体" w:eastAsia="宋体" w:hint="default"/>
                <w:sz w:val="18"/>
                <w:szCs w:val="18"/>
              </w:rPr>
              <w:t>合计</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57,825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19,275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19,275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57,825</w:t>
            </w:r>
          </w:p>
        </w:tc>
        <w:tc>
          <w:tcPr>
            <w:tcW w:w="2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041"/>
        <w:jc w:val="right"/>
      </w:pPr>
      <w:r>
        <w:rPr/>
        <w:pict>
          <v:shape style="position:absolute;margin-left:55.080002pt;margin-top:-372.047974pt;width:485.4pt;height:39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5"/>
                    <w:gridCol w:w="220"/>
                    <w:gridCol w:w="901"/>
                    <w:gridCol w:w="428"/>
                    <w:gridCol w:w="776"/>
                    <w:gridCol w:w="928"/>
                    <w:gridCol w:w="352"/>
                    <w:gridCol w:w="485"/>
                    <w:gridCol w:w="956"/>
                    <w:gridCol w:w="247"/>
                    <w:gridCol w:w="708"/>
                    <w:gridCol w:w="407"/>
                    <w:gridCol w:w="859"/>
                    <w:gridCol w:w="364"/>
                    <w:gridCol w:w="899"/>
                  </w:tblGrid>
                  <w:tr>
                    <w:trPr>
                      <w:trHeight w:val="125" w:hRule="exact"/>
                    </w:trPr>
                    <w:tc>
                      <w:tcPr>
                        <w:tcW w:w="1165" w:type="dxa"/>
                        <w:vMerge w:val="restart"/>
                        <w:tcBorders>
                          <w:top w:val="single" w:sz="4" w:space="0" w:color="000000"/>
                          <w:left w:val="single" w:sz="4" w:space="0" w:color="000000"/>
                          <w:right w:val="single" w:sz="4" w:space="0" w:color="000000"/>
                        </w:tcBorders>
                        <w:shd w:val="clear" w:color="auto" w:fill="D3D3D3"/>
                      </w:tcPr>
                      <w:p>
                        <w:pPr/>
                      </w:p>
                    </w:tc>
                    <w:tc>
                      <w:tcPr>
                        <w:tcW w:w="1120" w:type="dxa"/>
                        <w:gridSpan w:val="2"/>
                        <w:vMerge w:val="restart"/>
                        <w:tcBorders>
                          <w:top w:val="single" w:sz="4" w:space="0" w:color="000000"/>
                          <w:left w:val="single" w:sz="9"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43,326</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79" w:type="dxa"/>
                        <w:gridSpan w:val="2"/>
                        <w:vMerge w:val="restart"/>
                        <w:tcBorders>
                          <w:top w:val="single" w:sz="4" w:space="0" w:color="000000"/>
                          <w:left w:val="single" w:sz="13"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740" w:right="0"/>
                          <w:jc w:val="left"/>
                          <w:rPr>
                            <w:rFonts w:ascii="Times New Roman" w:hAnsi="Times New Roman" w:cs="Times New Roman" w:eastAsia="Times New Roman" w:hint="default"/>
                            <w:sz w:val="18"/>
                            <w:szCs w:val="18"/>
                          </w:rPr>
                        </w:pPr>
                        <w:r>
                          <w:rPr>
                            <w:rFonts w:ascii="Times New Roman"/>
                            <w:sz w:val="18"/>
                          </w:rPr>
                          <w:t>39,930</w:t>
                        </w:r>
                      </w:p>
                    </w:tc>
                    <w:tc>
                      <w:tcPr>
                        <w:tcW w:w="1688" w:type="dxa"/>
                        <w:gridSpan w:val="3"/>
                        <w:vMerge w:val="restart"/>
                        <w:tcBorders>
                          <w:top w:val="single" w:sz="4" w:space="0" w:color="000000"/>
                          <w:left w:val="single" w:sz="4" w:space="0" w:color="000000"/>
                          <w:right w:val="single" w:sz="4" w:space="0" w:color="000000"/>
                        </w:tcBorders>
                        <w:shd w:val="clear" w:color="auto" w:fill="D3D3D3"/>
                      </w:tcPr>
                      <w:p>
                        <w:pPr/>
                      </w:p>
                    </w:tc>
                    <w:tc>
                      <w:tcPr>
                        <w:tcW w:w="1115"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2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11" w:right="119"/>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89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240" w:hRule="exact"/>
                    </w:trPr>
                    <w:tc>
                      <w:tcPr>
                        <w:tcW w:w="1165" w:type="dxa"/>
                        <w:vMerge/>
                        <w:tcBorders>
                          <w:left w:val="single" w:sz="4" w:space="0" w:color="000000"/>
                          <w:bottom w:val="nil" w:sz="6" w:space="0" w:color="auto"/>
                          <w:right w:val="single" w:sz="4" w:space="0" w:color="000000"/>
                        </w:tcBorders>
                        <w:shd w:val="clear" w:color="auto" w:fill="D3D3D3"/>
                      </w:tcPr>
                      <w:p>
                        <w:pPr/>
                      </w:p>
                    </w:tc>
                    <w:tc>
                      <w:tcPr>
                        <w:tcW w:w="1120" w:type="dxa"/>
                        <w:gridSpan w:val="2"/>
                        <w:vMerge/>
                        <w:tcBorders>
                          <w:left w:val="single" w:sz="9" w:space="0" w:color="D3D3D3"/>
                          <w:right w:val="single" w:sz="13" w:space="0" w:color="D3D3D3"/>
                        </w:tcBorders>
                      </w:tcPr>
                      <w:p>
                        <w:pPr/>
                      </w:p>
                    </w:tc>
                    <w:tc>
                      <w:tcPr>
                        <w:tcW w:w="120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1"/>
                          <w:ind w:left="11"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79" w:type="dxa"/>
                        <w:gridSpan w:val="2"/>
                        <w:vMerge/>
                        <w:tcBorders>
                          <w:left w:val="single" w:sz="13" w:space="0" w:color="D3D3D3"/>
                          <w:right w:val="single" w:sz="9" w:space="0" w:color="D3D3D3"/>
                        </w:tcBorders>
                      </w:tcPr>
                      <w:p>
                        <w:pPr/>
                      </w:p>
                    </w:tc>
                    <w:tc>
                      <w:tcPr>
                        <w:tcW w:w="1688" w:type="dxa"/>
                        <w:gridSpan w:val="3"/>
                        <w:vMerge/>
                        <w:tcBorders>
                          <w:left w:val="single" w:sz="4" w:space="0" w:color="000000"/>
                          <w:bottom w:val="nil" w:sz="6" w:space="0" w:color="auto"/>
                          <w:right w:val="single" w:sz="4" w:space="0" w:color="000000"/>
                        </w:tcBorders>
                        <w:shd w:val="clear" w:color="auto" w:fill="D3D3D3"/>
                      </w:tcPr>
                      <w:p>
                        <w:pPr/>
                      </w:p>
                    </w:tc>
                    <w:tc>
                      <w:tcPr>
                        <w:tcW w:w="1115"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560" w:hRule="exact"/>
                    </w:trPr>
                    <w:tc>
                      <w:tcPr>
                        <w:tcW w:w="11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21"/>
                          <w:ind w:left="22" w:right="5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20" w:type="dxa"/>
                        <w:gridSpan w:val="2"/>
                        <w:vMerge/>
                        <w:tcBorders>
                          <w:left w:val="single" w:sz="9" w:space="0" w:color="D3D3D3"/>
                          <w:right w:val="single" w:sz="13" w:space="0" w:color="D3D3D3"/>
                        </w:tcBorders>
                      </w:tcPr>
                      <w:p>
                        <w:pPr/>
                      </w:p>
                    </w:tc>
                    <w:tc>
                      <w:tcPr>
                        <w:tcW w:w="1204" w:type="dxa"/>
                        <w:gridSpan w:val="2"/>
                        <w:vMerge/>
                        <w:tcBorders>
                          <w:left w:val="single" w:sz="4" w:space="0" w:color="000000"/>
                          <w:right w:val="single" w:sz="4" w:space="0" w:color="000000"/>
                        </w:tcBorders>
                        <w:shd w:val="clear" w:color="auto" w:fill="D3D3D3"/>
                      </w:tcPr>
                      <w:p>
                        <w:pPr/>
                      </w:p>
                    </w:tc>
                    <w:tc>
                      <w:tcPr>
                        <w:tcW w:w="1279" w:type="dxa"/>
                        <w:gridSpan w:val="2"/>
                        <w:vMerge/>
                        <w:tcBorders>
                          <w:left w:val="single" w:sz="13" w:space="0" w:color="D3D3D3"/>
                          <w:right w:val="single" w:sz="9" w:space="0" w:color="D3D3D3"/>
                        </w:tcBorders>
                      </w:tcPr>
                      <w:p>
                        <w:pPr/>
                      </w:p>
                    </w:tc>
                    <w:tc>
                      <w:tcPr>
                        <w:tcW w:w="1688"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1115"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365" w:hRule="exact"/>
                    </w:trPr>
                    <w:tc>
                      <w:tcPr>
                        <w:tcW w:w="116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0" w:type="dxa"/>
                        <w:gridSpan w:val="2"/>
                        <w:vMerge/>
                        <w:tcBorders>
                          <w:left w:val="single" w:sz="9" w:space="0" w:color="D3D3D3"/>
                          <w:bottom w:val="single" w:sz="4" w:space="0" w:color="000000"/>
                          <w:right w:val="single" w:sz="13" w:space="0" w:color="D3D3D3"/>
                        </w:tcBorders>
                      </w:tcPr>
                      <w:p>
                        <w:pPr/>
                      </w:p>
                    </w:tc>
                    <w:tc>
                      <w:tcPr>
                        <w:tcW w:w="1204" w:type="dxa"/>
                        <w:gridSpan w:val="2"/>
                        <w:vMerge/>
                        <w:tcBorders>
                          <w:left w:val="single" w:sz="4" w:space="0" w:color="000000"/>
                          <w:bottom w:val="single" w:sz="4" w:space="0" w:color="000000"/>
                          <w:right w:val="single" w:sz="4" w:space="0" w:color="000000"/>
                        </w:tcBorders>
                        <w:shd w:val="clear" w:color="auto" w:fill="D3D3D3"/>
                      </w:tcPr>
                      <w:p>
                        <w:pPr/>
                      </w:p>
                    </w:tc>
                    <w:tc>
                      <w:tcPr>
                        <w:tcW w:w="1279" w:type="dxa"/>
                        <w:gridSpan w:val="2"/>
                        <w:vMerge/>
                        <w:tcBorders>
                          <w:left w:val="single" w:sz="13" w:space="0" w:color="D3D3D3"/>
                          <w:bottom w:val="single" w:sz="4" w:space="0" w:color="000000"/>
                          <w:right w:val="single" w:sz="9" w:space="0" w:color="D3D3D3"/>
                        </w:tcBorders>
                      </w:tcPr>
                      <w:p>
                        <w:pPr/>
                      </w:p>
                    </w:tc>
                    <w:tc>
                      <w:tcPr>
                        <w:tcW w:w="1688"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115" w:type="dxa"/>
                        <w:gridSpan w:val="2"/>
                        <w:vMerge/>
                        <w:tcBorders>
                          <w:left w:val="single" w:sz="9" w:space="0" w:color="D3D3D3"/>
                          <w:bottom w:val="single" w:sz="4" w:space="0" w:color="000000"/>
                          <w:right w:val="single" w:sz="9" w:space="0" w:color="D3D3D3"/>
                        </w:tcBorders>
                      </w:tcPr>
                      <w:p>
                        <w:pPr/>
                      </w:p>
                    </w:tc>
                    <w:tc>
                      <w:tcPr>
                        <w:tcW w:w="1222" w:type="dxa"/>
                        <w:gridSpan w:val="2"/>
                        <w:vMerge/>
                        <w:tcBorders>
                          <w:left w:val="single" w:sz="4" w:space="0" w:color="000000"/>
                          <w:bottom w:val="single" w:sz="4" w:space="0" w:color="000000"/>
                          <w:right w:val="single" w:sz="4" w:space="0" w:color="000000"/>
                        </w:tcBorders>
                        <w:shd w:val="clear" w:color="auto" w:fill="D3D3D3"/>
                      </w:tcPr>
                      <w:p>
                        <w:pPr/>
                      </w:p>
                    </w:tc>
                    <w:tc>
                      <w:tcPr>
                        <w:tcW w:w="899" w:type="dxa"/>
                        <w:vMerge/>
                        <w:tcBorders>
                          <w:left w:val="single" w:sz="10" w:space="0" w:color="D3D3D3"/>
                          <w:bottom w:val="single" w:sz="4" w:space="0" w:color="000000"/>
                          <w:right w:val="single" w:sz="4" w:space="0" w:color="000000"/>
                        </w:tcBorders>
                      </w:tcPr>
                      <w:p>
                        <w:pPr/>
                      </w:p>
                    </w:tc>
                  </w:tr>
                  <w:tr>
                    <w:trPr>
                      <w:trHeight w:val="330"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25" w:hRule="exact"/>
                    </w:trPr>
                    <w:tc>
                      <w:tcPr>
                        <w:tcW w:w="1385" w:type="dxa"/>
                        <w:gridSpan w:val="2"/>
                        <w:vMerge w:val="restart"/>
                        <w:tcBorders>
                          <w:top w:val="single" w:sz="4" w:space="0" w:color="000000"/>
                          <w:left w:val="single" w:sz="4" w:space="0" w:color="000000"/>
                          <w:right w:val="single" w:sz="4" w:space="0" w:color="000000"/>
                        </w:tcBorders>
                        <w:shd w:val="clear" w:color="auto" w:fill="D3D3D3"/>
                      </w:tcPr>
                      <w:p>
                        <w:pPr/>
                      </w:p>
                    </w:tc>
                    <w:tc>
                      <w:tcPr>
                        <w:tcW w:w="1328" w:type="dxa"/>
                        <w:gridSpan w:val="2"/>
                        <w:vMerge w:val="restart"/>
                        <w:tcBorders>
                          <w:top w:val="single" w:sz="4" w:space="0" w:color="000000"/>
                          <w:left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8" w:type="dxa"/>
                        <w:tcBorders>
                          <w:top w:val="single" w:sz="4" w:space="0" w:color="000000"/>
                          <w:left w:val="single" w:sz="4" w:space="0" w:color="000000"/>
                          <w:bottom w:val="nil" w:sz="6" w:space="0" w:color="auto"/>
                          <w:right w:val="single" w:sz="4" w:space="0" w:color="000000"/>
                        </w:tcBorders>
                        <w:shd w:val="clear" w:color="auto" w:fill="D3D3D3"/>
                      </w:tcPr>
                      <w:p>
                        <w:pPr/>
                      </w:p>
                    </w:tc>
                    <w:tc>
                      <w:tcPr>
                        <w:tcW w:w="8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53" w:right="5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2" w:right="2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28"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6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20" w:hRule="exact"/>
                    </w:trPr>
                    <w:tc>
                      <w:tcPr>
                        <w:tcW w:w="1385" w:type="dxa"/>
                        <w:gridSpan w:val="2"/>
                        <w:vMerge/>
                        <w:tcBorders>
                          <w:left w:val="single" w:sz="4" w:space="0" w:color="000000"/>
                          <w:bottom w:val="nil" w:sz="6" w:space="0" w:color="auto"/>
                          <w:right w:val="single" w:sz="4" w:space="0" w:color="000000"/>
                        </w:tcBorders>
                        <w:shd w:val="clear" w:color="auto" w:fill="D3D3D3"/>
                      </w:tcPr>
                      <w:p>
                        <w:pPr/>
                      </w:p>
                    </w:tc>
                    <w:tc>
                      <w:tcPr>
                        <w:tcW w:w="1328" w:type="dxa"/>
                        <w:gridSpan w:val="2"/>
                        <w:vMerge/>
                        <w:tcBorders>
                          <w:left w:val="single" w:sz="4" w:space="0" w:color="000000"/>
                          <w:bottom w:val="nil" w:sz="6" w:space="0" w:color="auto"/>
                          <w:right w:val="single" w:sz="4" w:space="0" w:color="000000"/>
                        </w:tcBorders>
                        <w:shd w:val="clear" w:color="auto" w:fill="D3D3D3"/>
                      </w:tcPr>
                      <w:p>
                        <w:pP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1"/>
                          <w:ind w:left="279" w:right="12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28"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before="21"/>
                          <w:ind w:left="175" w:right="2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3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5" w:type="dxa"/>
                        <w:gridSpan w:val="2"/>
                        <w:vMerge/>
                        <w:tcBorders>
                          <w:left w:val="single" w:sz="4" w:space="0" w:color="000000"/>
                          <w:right w:val="single" w:sz="4" w:space="0" w:color="000000"/>
                        </w:tcBorders>
                        <w:shd w:val="clear" w:color="auto" w:fill="D3D3D3"/>
                      </w:tcPr>
                      <w:p>
                        <w:pPr/>
                      </w:p>
                    </w:tc>
                    <w:tc>
                      <w:tcPr>
                        <w:tcW w:w="2528" w:type="dxa"/>
                        <w:gridSpan w:val="4"/>
                        <w:vMerge/>
                        <w:tcBorders>
                          <w:left w:val="single" w:sz="4" w:space="0" w:color="000000"/>
                          <w:right w:val="single" w:sz="4" w:space="0" w:color="000000"/>
                        </w:tcBorders>
                        <w:shd w:val="clear" w:color="auto" w:fill="D3D3D3"/>
                      </w:tcPr>
                      <w:p>
                        <w:pPr/>
                      </w:p>
                    </w:tc>
                  </w:tr>
                  <w:tr>
                    <w:trPr>
                      <w:trHeight w:val="123" w:hRule="exact"/>
                    </w:trPr>
                    <w:tc>
                      <w:tcPr>
                        <w:tcW w:w="138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6" w:type="dxa"/>
                        <w:vMerge/>
                        <w:tcBorders>
                          <w:left w:val="single" w:sz="4" w:space="0" w:color="000000"/>
                          <w:right w:val="single" w:sz="4" w:space="0" w:color="000000"/>
                        </w:tcBorders>
                        <w:shd w:val="clear" w:color="auto" w:fill="D3D3D3"/>
                      </w:tcPr>
                      <w:p>
                        <w:pPr/>
                      </w:p>
                    </w:tc>
                    <w:tc>
                      <w:tcPr>
                        <w:tcW w:w="928" w:type="dxa"/>
                        <w:vMerge/>
                        <w:tcBorders>
                          <w:left w:val="single" w:sz="4" w:space="0" w:color="000000"/>
                          <w:right w:val="single" w:sz="4" w:space="0" w:color="000000"/>
                        </w:tcBorders>
                        <w:shd w:val="clear" w:color="auto" w:fill="D3D3D3"/>
                      </w:tcPr>
                      <w:p>
                        <w:pPr/>
                      </w:p>
                    </w:tc>
                    <w:tc>
                      <w:tcPr>
                        <w:tcW w:w="83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5" w:type="dxa"/>
                        <w:gridSpan w:val="2"/>
                        <w:vMerge/>
                        <w:tcBorders>
                          <w:left w:val="single" w:sz="4" w:space="0" w:color="000000"/>
                          <w:right w:val="single" w:sz="4" w:space="0" w:color="000000"/>
                        </w:tcBorders>
                        <w:shd w:val="clear" w:color="auto" w:fill="D3D3D3"/>
                      </w:tcPr>
                      <w:p>
                        <w:pPr/>
                      </w:p>
                    </w:tc>
                    <w:tc>
                      <w:tcPr>
                        <w:tcW w:w="2528" w:type="dxa"/>
                        <w:gridSpan w:val="4"/>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85" w:type="dxa"/>
                        <w:gridSpan w:val="2"/>
                        <w:vMerge/>
                        <w:tcBorders>
                          <w:left w:val="single" w:sz="4" w:space="0" w:color="000000"/>
                          <w:bottom w:val="nil" w:sz="6" w:space="0" w:color="auto"/>
                          <w:right w:val="single" w:sz="4" w:space="0" w:color="000000"/>
                        </w:tcBorders>
                        <w:shd w:val="clear" w:color="auto" w:fill="D3D3D3"/>
                      </w:tcPr>
                      <w:p>
                        <w:pPr/>
                      </w:p>
                    </w:tc>
                    <w:tc>
                      <w:tcPr>
                        <w:tcW w:w="1328" w:type="dxa"/>
                        <w:gridSpan w:val="2"/>
                        <w:vMerge/>
                        <w:tcBorders>
                          <w:left w:val="single" w:sz="4" w:space="0" w:color="000000"/>
                          <w:bottom w:val="nil" w:sz="6" w:space="0" w:color="auto"/>
                          <w:right w:val="single" w:sz="4" w:space="0" w:color="000000"/>
                        </w:tcBorders>
                        <w:shd w:val="clear" w:color="auto" w:fill="D3D3D3"/>
                      </w:tcPr>
                      <w:p>
                        <w:pPr/>
                      </w:p>
                    </w:tc>
                    <w:tc>
                      <w:tcPr>
                        <w:tcW w:w="776" w:type="dxa"/>
                        <w:vMerge/>
                        <w:tcBorders>
                          <w:left w:val="single" w:sz="4" w:space="0" w:color="000000"/>
                          <w:right w:val="single" w:sz="4" w:space="0" w:color="000000"/>
                        </w:tcBorders>
                        <w:shd w:val="clear" w:color="auto" w:fill="D3D3D3"/>
                      </w:tcPr>
                      <w:p>
                        <w:pPr/>
                      </w:p>
                    </w:tc>
                    <w:tc>
                      <w:tcPr>
                        <w:tcW w:w="928" w:type="dxa"/>
                        <w:vMerge/>
                        <w:tcBorders>
                          <w:left w:val="single" w:sz="4" w:space="0" w:color="000000"/>
                          <w:right w:val="single" w:sz="4" w:space="0" w:color="000000"/>
                        </w:tcBorders>
                        <w:shd w:val="clear" w:color="auto" w:fill="D3D3D3"/>
                      </w:tcPr>
                      <w:p>
                        <w:pPr/>
                      </w:p>
                    </w:tc>
                    <w:tc>
                      <w:tcPr>
                        <w:tcW w:w="83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5" w:type="dxa"/>
                        <w:gridSpan w:val="2"/>
                        <w:vMerge/>
                        <w:tcBorders>
                          <w:left w:val="single" w:sz="4" w:space="0" w:color="000000"/>
                          <w:right w:val="single" w:sz="4" w:space="0" w:color="000000"/>
                        </w:tcBorders>
                        <w:shd w:val="clear" w:color="auto" w:fill="D3D3D3"/>
                      </w:tcPr>
                      <w:p>
                        <w:pPr/>
                      </w:p>
                    </w:tc>
                    <w:tc>
                      <w:tcPr>
                        <w:tcW w:w="12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left="2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138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76" w:type="dxa"/>
                        <w:vMerge/>
                        <w:tcBorders>
                          <w:left w:val="single" w:sz="4"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4" w:space="0" w:color="000000"/>
                        </w:tcBorders>
                        <w:shd w:val="clear" w:color="auto" w:fill="D3D3D3"/>
                      </w:tcPr>
                      <w:p>
                        <w:pPr/>
                      </w:p>
                    </w:tc>
                    <w:tc>
                      <w:tcPr>
                        <w:tcW w:w="836" w:type="dxa"/>
                        <w:gridSpan w:val="2"/>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5" w:type="dxa"/>
                        <w:gridSpan w:val="2"/>
                        <w:vMerge/>
                        <w:tcBorders>
                          <w:left w:val="single" w:sz="4" w:space="0" w:color="000000"/>
                          <w:bottom w:val="single" w:sz="4" w:space="0" w:color="000000"/>
                          <w:right w:val="single" w:sz="4" w:space="0" w:color="000000"/>
                        </w:tcBorders>
                        <w:shd w:val="clear" w:color="auto" w:fill="D3D3D3"/>
                      </w:tcPr>
                      <w:p>
                        <w:pPr/>
                      </w:p>
                    </w:tc>
                    <w:tc>
                      <w:tcPr>
                        <w:tcW w:w="1266" w:type="dxa"/>
                        <w:gridSpan w:val="2"/>
                        <w:vMerge/>
                        <w:tcBorders>
                          <w:left w:val="single" w:sz="4" w:space="0" w:color="000000"/>
                          <w:bottom w:val="single" w:sz="4" w:space="0" w:color="000000"/>
                          <w:right w:val="single" w:sz="4" w:space="0" w:color="000000"/>
                        </w:tcBorders>
                        <w:shd w:val="clear" w:color="auto" w:fill="D3D3D3"/>
                      </w:tcPr>
                      <w:p>
                        <w:pPr/>
                      </w:p>
                    </w:tc>
                    <w:tc>
                      <w:tcPr>
                        <w:tcW w:w="1262" w:type="dxa"/>
                        <w:gridSpan w:val="2"/>
                        <w:vMerge/>
                        <w:tcBorders>
                          <w:left w:val="single" w:sz="4" w:space="0" w:color="000000"/>
                          <w:bottom w:val="single" w:sz="4" w:space="0" w:color="000000"/>
                          <w:right w:val="single" w:sz="4" w:space="0" w:color="000000"/>
                        </w:tcBorders>
                        <w:shd w:val="clear" w:color="auto" w:fill="D3D3D3"/>
                      </w:tcPr>
                      <w:p>
                        <w:pPr/>
                      </w:p>
                    </w:tc>
                  </w:tr>
                  <w:tr>
                    <w:trPr>
                      <w:trHeight w:val="57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0"/>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6"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23"/>
                          <w:ind w:right="47"/>
                          <w:jc w:val="right"/>
                          <w:rPr>
                            <w:rFonts w:ascii="Times New Roman" w:hAnsi="Times New Roman" w:cs="Times New Roman" w:eastAsia="Times New Roman" w:hint="default"/>
                            <w:sz w:val="18"/>
                            <w:szCs w:val="18"/>
                          </w:rPr>
                        </w:pPr>
                        <w:r>
                          <w:rPr>
                            <w:rFonts w:ascii="Times New Roman"/>
                            <w:sz w:val="18"/>
                          </w:rPr>
                          <w:t>48.13%</w:t>
                        </w:r>
                      </w:p>
                    </w:tc>
                    <w:tc>
                      <w:tcPr>
                        <w:tcW w:w="928"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23"/>
                          <w:ind w:left="-5" w:right="19"/>
                          <w:jc w:val="right"/>
                          <w:rPr>
                            <w:rFonts w:ascii="Times New Roman" w:hAnsi="Times New Roman" w:cs="Times New Roman" w:eastAsia="Times New Roman" w:hint="default"/>
                            <w:sz w:val="18"/>
                            <w:szCs w:val="18"/>
                          </w:rPr>
                        </w:pPr>
                        <w:r>
                          <w:rPr>
                            <w:rFonts w:ascii="Times New Roman"/>
                            <w:sz w:val="18"/>
                          </w:rPr>
                          <w:t>489,771,977</w:t>
                        </w:r>
                      </w:p>
                    </w:tc>
                    <w:tc>
                      <w:tcPr>
                        <w:tcW w:w="836"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122,442,994</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367,328,983</w:t>
                        </w:r>
                      </w:p>
                    </w:tc>
                    <w:tc>
                      <w:tcPr>
                        <w:tcW w:w="1266" w:type="dxa"/>
                        <w:gridSpan w:val="2"/>
                        <w:tcBorders>
                          <w:top w:val="single" w:sz="34" w:space="0" w:color="D3D3D3"/>
                          <w:left w:val="single" w:sz="4" w:space="0" w:color="000000"/>
                          <w:bottom w:val="single" w:sz="4" w:space="0" w:color="000000"/>
                          <w:right w:val="single" w:sz="4" w:space="0" w:color="000000"/>
                        </w:tcBorders>
                      </w:tcPr>
                      <w:p>
                        <w:pPr/>
                      </w:p>
                    </w:tc>
                    <w:tc>
                      <w:tcPr>
                        <w:tcW w:w="1262" w:type="dxa"/>
                        <w:gridSpan w:val="2"/>
                        <w:tcBorders>
                          <w:top w:val="single" w:sz="34" w:space="0" w:color="D3D3D3"/>
                          <w:left w:val="single" w:sz="4" w:space="0" w:color="000000"/>
                          <w:bottom w:val="single" w:sz="4" w:space="0" w:color="000000"/>
                          <w:right w:val="single" w:sz="4" w:space="0" w:color="000000"/>
                        </w:tcBorders>
                      </w:tcPr>
                      <w:p>
                        <w:pPr/>
                      </w:p>
                    </w:tc>
                  </w:tr>
                  <w:tr>
                    <w:trPr>
                      <w:trHeight w:val="57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0"/>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4.85%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49,408,102</w:t>
                        </w:r>
                      </w:p>
                    </w:tc>
                    <w:tc>
                      <w:tcPr>
                        <w:tcW w:w="836"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49,408,102</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7"/>
                          <w:jc w:val="right"/>
                          <w:rPr>
                            <w:rFonts w:ascii="Times New Roman" w:hAnsi="Times New Roman" w:cs="Times New Roman" w:eastAsia="Times New Roman" w:hint="default"/>
                            <w:sz w:val="18"/>
                            <w:szCs w:val="18"/>
                          </w:rPr>
                        </w:pPr>
                        <w:r>
                          <w:rPr>
                            <w:rFonts w:ascii="Times New Roman"/>
                            <w:sz w:val="18"/>
                          </w:rPr>
                          <w:t>3.95%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40,194,438</w:t>
                        </w:r>
                      </w:p>
                    </w:tc>
                    <w:tc>
                      <w:tcPr>
                        <w:tcW w:w="836"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10,048,610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left"/>
                          <w:rPr>
                            <w:rFonts w:ascii="Times New Roman" w:hAnsi="Times New Roman" w:cs="Times New Roman" w:eastAsia="Times New Roman" w:hint="default"/>
                            <w:sz w:val="18"/>
                            <w:szCs w:val="18"/>
                          </w:rPr>
                        </w:pPr>
                        <w:r>
                          <w:rPr>
                            <w:rFonts w:ascii="Times New Roman"/>
                            <w:sz w:val="18"/>
                          </w:rPr>
                          <w:t>30,145,828</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0"/>
                          <w:jc w:val="left"/>
                          <w:rPr>
                            <w:rFonts w:ascii="宋体" w:hAnsi="宋体" w:cs="宋体" w:eastAsia="宋体" w:hint="default"/>
                            <w:sz w:val="18"/>
                            <w:szCs w:val="18"/>
                          </w:rPr>
                        </w:pPr>
                        <w:r>
                          <w:rPr>
                            <w:rFonts w:ascii="宋体" w:hAnsi="宋体" w:cs="宋体" w:eastAsia="宋体" w:hint="default"/>
                            <w:sz w:val="18"/>
                            <w:szCs w:val="18"/>
                          </w:rPr>
                          <w:t>浙江华立投资管 理有限公司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2.79%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28,409,869</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-3,599,531</w:t>
                        </w: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28,409,869</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0"/>
                          <w:jc w:val="left"/>
                          <w:rPr>
                            <w:rFonts w:ascii="宋体" w:hAnsi="宋体" w:cs="宋体" w:eastAsia="宋体" w:hint="default"/>
                            <w:sz w:val="18"/>
                            <w:szCs w:val="18"/>
                          </w:rPr>
                        </w:pPr>
                        <w:r>
                          <w:rPr>
                            <w:rFonts w:ascii="宋体" w:hAnsi="宋体" w:cs="宋体" w:eastAsia="宋体" w:hint="default"/>
                            <w:sz w:val="18"/>
                            <w:szCs w:val="18"/>
                          </w:rPr>
                          <w:t>华立医药集团有 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2.16%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22,000,000</w:t>
                        </w:r>
                      </w:p>
                    </w:tc>
                    <w:tc>
                      <w:tcPr>
                        <w:tcW w:w="836"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22,000,000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7"/>
                          <w:jc w:val="right"/>
                          <w:rPr>
                            <w:rFonts w:ascii="Times New Roman" w:hAnsi="Times New Roman" w:cs="Times New Roman" w:eastAsia="Times New Roman" w:hint="default"/>
                            <w:sz w:val="18"/>
                            <w:szCs w:val="18"/>
                          </w:rPr>
                        </w:pPr>
                        <w:r>
                          <w:rPr>
                            <w:rFonts w:ascii="Times New Roman"/>
                            <w:sz w:val="18"/>
                          </w:rPr>
                          <w:t>1.16%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11,819,080</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9" w:right="0"/>
                          <w:jc w:val="left"/>
                          <w:rPr>
                            <w:rFonts w:ascii="Times New Roman" w:hAnsi="Times New Roman" w:cs="Times New Roman" w:eastAsia="Times New Roman" w:hint="default"/>
                            <w:sz w:val="18"/>
                            <w:szCs w:val="18"/>
                          </w:rPr>
                        </w:pPr>
                        <w:r>
                          <w:rPr>
                            <w:rFonts w:ascii="Times New Roman"/>
                            <w:sz w:val="18"/>
                          </w:rPr>
                          <w:t>161,900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9" w:right="0"/>
                          <w:jc w:val="left"/>
                          <w:rPr>
                            <w:rFonts w:ascii="Times New Roman" w:hAnsi="Times New Roman" w:cs="Times New Roman" w:eastAsia="Times New Roman" w:hint="default"/>
                            <w:sz w:val="18"/>
                            <w:szCs w:val="18"/>
                          </w:rPr>
                        </w:pPr>
                        <w:r>
                          <w:rPr>
                            <w:rFonts w:ascii="Times New Roman"/>
                            <w:sz w:val="18"/>
                          </w:rPr>
                          <w:t>11,819,080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谭希宁</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7"/>
                          <w:jc w:val="right"/>
                          <w:rPr>
                            <w:rFonts w:ascii="Times New Roman" w:hAnsi="Times New Roman" w:cs="Times New Roman" w:eastAsia="Times New Roman" w:hint="default"/>
                            <w:sz w:val="18"/>
                            <w:szCs w:val="18"/>
                          </w:rPr>
                        </w:pPr>
                        <w:r>
                          <w:rPr>
                            <w:rFonts w:ascii="Times New Roman"/>
                            <w:sz w:val="18"/>
                          </w:rPr>
                          <w:t>0.71%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7,268,400</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9" w:right="0"/>
                          <w:jc w:val="left"/>
                          <w:rPr>
                            <w:rFonts w:ascii="Times New Roman" w:hAnsi="Times New Roman" w:cs="Times New Roman" w:eastAsia="Times New Roman" w:hint="default"/>
                            <w:sz w:val="18"/>
                            <w:szCs w:val="18"/>
                          </w:rPr>
                        </w:pPr>
                        <w:r>
                          <w:rPr>
                            <w:rFonts w:ascii="Times New Roman"/>
                            <w:sz w:val="18"/>
                          </w:rPr>
                          <w:t>358,400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7,268,400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0"/>
                          <w:jc w:val="left"/>
                          <w:rPr>
                            <w:rFonts w:ascii="宋体" w:hAnsi="宋体" w:cs="宋体" w:eastAsia="宋体" w:hint="default"/>
                            <w:sz w:val="18"/>
                            <w:szCs w:val="18"/>
                          </w:rPr>
                        </w:pPr>
                        <w:r>
                          <w:rPr>
                            <w:rFonts w:ascii="宋体" w:hAnsi="宋体" w:cs="宋体" w:eastAsia="宋体" w:hint="default"/>
                            <w:sz w:val="18"/>
                            <w:szCs w:val="18"/>
                          </w:rPr>
                          <w:t>山东万芝园食用 菌科技有限公司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0.44%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4,515,000</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609,436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4,515,000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王甲涛</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7"/>
                          <w:jc w:val="right"/>
                          <w:rPr>
                            <w:rFonts w:ascii="Times New Roman" w:hAnsi="Times New Roman" w:cs="Times New Roman" w:eastAsia="Times New Roman" w:hint="default"/>
                            <w:sz w:val="18"/>
                            <w:szCs w:val="18"/>
                          </w:rPr>
                        </w:pPr>
                        <w:r>
                          <w:rPr>
                            <w:rFonts w:ascii="Times New Roman"/>
                            <w:sz w:val="18"/>
                          </w:rPr>
                          <w:t>0.37%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3,730,200</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3" w:right="0"/>
                          <w:jc w:val="left"/>
                          <w:rPr>
                            <w:rFonts w:ascii="Times New Roman" w:hAnsi="Times New Roman" w:cs="Times New Roman" w:eastAsia="Times New Roman" w:hint="default"/>
                            <w:sz w:val="18"/>
                            <w:szCs w:val="18"/>
                          </w:rPr>
                        </w:pPr>
                        <w:r>
                          <w:rPr>
                            <w:rFonts w:ascii="Times New Roman"/>
                            <w:sz w:val="18"/>
                          </w:rPr>
                          <w:t>1,238,400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3,730,200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7"/>
                          <w:jc w:val="right"/>
                          <w:rPr>
                            <w:rFonts w:ascii="Times New Roman" w:hAnsi="Times New Roman" w:cs="Times New Roman" w:eastAsia="Times New Roman" w:hint="default"/>
                            <w:sz w:val="18"/>
                            <w:szCs w:val="18"/>
                          </w:rPr>
                        </w:pPr>
                        <w:r>
                          <w:rPr>
                            <w:rFonts w:ascii="Times New Roman"/>
                            <w:sz w:val="18"/>
                          </w:rPr>
                          <w:t>0.36%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3,690,529</w:t>
                        </w:r>
                      </w:p>
                    </w:tc>
                    <w:tc>
                      <w:tcPr>
                        <w:tcW w:w="836" w:type="dxa"/>
                        <w:gridSpan w:val="2"/>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left"/>
                          <w:rPr>
                            <w:rFonts w:ascii="Times New Roman" w:hAnsi="Times New Roman" w:cs="Times New Roman" w:eastAsia="Times New Roman" w:hint="default"/>
                            <w:sz w:val="18"/>
                            <w:szCs w:val="18"/>
                          </w:rPr>
                        </w:pPr>
                        <w:r>
                          <w:rPr>
                            <w:rFonts w:ascii="Times New Roman"/>
                            <w:sz w:val="18"/>
                          </w:rPr>
                          <w:t>3,690,529</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27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5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80"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3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杭州日报报业集团（杭州日报社）持有杭州日报报业集团有限公司和都市快报社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w:t>
                        </w:r>
                        <w:r>
                          <w:rPr>
                            <w:rFonts w:ascii="宋体" w:hAnsi="宋体" w:cs="宋体" w:eastAsia="宋体" w:hint="default"/>
                            <w:spacing w:val="-5"/>
                            <w:sz w:val="18"/>
                            <w:szCs w:val="18"/>
                          </w:rPr>
                          <w:t>权。华立集团股份有限公司持有浙江华立投资管理有限公司、华立医药集团有限公司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p>
                      <w:p>
                        <w:pPr>
                          <w:pStyle w:val="TableParagraph"/>
                          <w:spacing w:line="240" w:lineRule="exact"/>
                          <w:ind w:left="23" w:right="110"/>
                          <w:jc w:val="left"/>
                          <w:rPr>
                            <w:rFonts w:ascii="宋体" w:hAnsi="宋体" w:cs="宋体" w:eastAsia="宋体" w:hint="default"/>
                            <w:sz w:val="18"/>
                            <w:szCs w:val="18"/>
                          </w:rPr>
                        </w:pPr>
                        <w:r>
                          <w:rPr>
                            <w:rFonts w:ascii="宋体" w:hAnsi="宋体" w:cs="宋体" w:eastAsia="宋体" w:hint="default"/>
                            <w:spacing w:val="-5"/>
                            <w:sz w:val="18"/>
                            <w:szCs w:val="18"/>
                          </w:rPr>
                          <w:t>股权。公司未知其他前</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名股东之间是否存在关联关系或属于《上市公司收购管理办法 规定的一致行动人。</w:t>
                        </w:r>
                      </w:p>
                    </w:tc>
                  </w:tr>
                </w:tbl>
                <w:p>
                  <w:pPr/>
                </w:p>
              </w:txbxContent>
            </v:textbox>
            <w10:wrap type="none"/>
          </v:shape>
        </w:pict>
      </w:r>
      <w:r>
        <w:rPr/>
        <w:t>》</w:t>
      </w:r>
    </w:p>
    <w:p>
      <w:pPr>
        <w:spacing w:after="0" w:line="240" w:lineRule="auto"/>
        <w:jc w:val="righ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041"/>
        <w:jc w:val="right"/>
      </w:pPr>
      <w:r>
        <w:rPr/>
        <w:pict>
          <v:shape style="position:absolute;margin-left:55.080002pt;margin-top:-240.108017pt;width:485.4pt;height:30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3"/>
                    <w:gridCol w:w="4452"/>
                    <w:gridCol w:w="1266"/>
                    <w:gridCol w:w="1262"/>
                  </w:tblGrid>
                  <w:tr>
                    <w:trPr>
                      <w:trHeight w:val="330"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30" w:hRule="exact"/>
                    </w:trPr>
                    <w:tc>
                      <w:tcPr>
                        <w:tcW w:w="27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30" w:hRule="exact"/>
                    </w:trPr>
                    <w:tc>
                      <w:tcPr>
                        <w:tcW w:w="2713" w:type="dxa"/>
                        <w:vMerge/>
                        <w:tcBorders>
                          <w:left w:val="single" w:sz="4" w:space="0" w:color="000000"/>
                          <w:bottom w:val="single" w:sz="4" w:space="0" w:color="000000"/>
                          <w:right w:val="single" w:sz="4" w:space="0" w:color="000000"/>
                        </w:tcBorders>
                        <w:shd w:val="clear" w:color="auto" w:fill="D3D3D3"/>
                      </w:tcPr>
                      <w:p>
                        <w:pPr/>
                      </w:p>
                    </w:tc>
                    <w:tc>
                      <w:tcPr>
                        <w:tcW w:w="4452" w:type="dxa"/>
                        <w:vMerge/>
                        <w:tcBorders>
                          <w:left w:val="single" w:sz="4" w:space="0" w:color="000000"/>
                          <w:bottom w:val="single" w:sz="4" w:space="0" w:color="000000"/>
                          <w:right w:val="single" w:sz="4" w:space="0" w:color="000000"/>
                        </w:tcBorders>
                        <w:shd w:val="clear" w:color="auto" w:fill="D3D3D3"/>
                      </w:tcPr>
                      <w:p>
                        <w:pP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367,328,983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367,328,983</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49,408,102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49,408,102</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30,145,828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30,145,828</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浙江华立投资管理有限公司</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28,409,869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28,409,869</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22,000,000</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11,819,080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11,819,080</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谭希宁</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7,268,400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7,268,400</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山东万芝园食用菌科技有限公司</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4,515,000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4,515,000</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王甲涛</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3,730,200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3,730,200</w:t>
                        </w:r>
                      </w:p>
                    </w:tc>
                  </w:tr>
                  <w:tr>
                    <w:trPr>
                      <w:trHeight w:val="330"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3,690,529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3,690,529</w:t>
                        </w:r>
                      </w:p>
                    </w:tc>
                  </w:tr>
                  <w:tr>
                    <w:trPr>
                      <w:trHeight w:val="1050" w:hRule="exact"/>
                    </w:trPr>
                    <w:tc>
                      <w:tcPr>
                        <w:tcW w:w="2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240" w:lineRule="exact" w:before="13"/>
                          <w:ind w:left="22" w:right="6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80"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2" w:lineRule="exact" w:before="38"/>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杭州日报报业集团（杭州日报社）持有杭州日报报业集团有限公司和都市快报社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w:t>
                        </w:r>
                        <w:r>
                          <w:rPr>
                            <w:rFonts w:ascii="宋体" w:hAnsi="宋体" w:cs="宋体" w:eastAsia="宋体" w:hint="default"/>
                            <w:spacing w:val="-5"/>
                            <w:sz w:val="18"/>
                            <w:szCs w:val="18"/>
                          </w:rPr>
                          <w:t>权。华立集团股份有限公司持有浙江华立投资管理有限公司、华立医药集团有限公司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p>
                      <w:p>
                        <w:pPr>
                          <w:pStyle w:val="TableParagraph"/>
                          <w:spacing w:line="230" w:lineRule="auto"/>
                          <w:ind w:left="23" w:right="110"/>
                          <w:jc w:val="left"/>
                          <w:rPr>
                            <w:rFonts w:ascii="宋体" w:hAnsi="宋体" w:cs="宋体" w:eastAsia="宋体" w:hint="default"/>
                            <w:sz w:val="18"/>
                            <w:szCs w:val="18"/>
                          </w:rPr>
                        </w:pPr>
                        <w:r>
                          <w:rPr>
                            <w:rFonts w:ascii="宋体" w:hAnsi="宋体" w:cs="宋体" w:eastAsia="宋体" w:hint="default"/>
                            <w:spacing w:val="-5"/>
                            <w:sz w:val="18"/>
                            <w:szCs w:val="18"/>
                          </w:rPr>
                          <w:t>股权。公司未知其他前</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名股东之间是否存在关联关系或属于《上市公司收购管理办法 规定的一致行动人。</w:t>
                        </w:r>
                      </w:p>
                    </w:tc>
                  </w:tr>
                  <w:tr>
                    <w:trPr>
                      <w:trHeight w:val="810" w:hRule="exact"/>
                    </w:trPr>
                    <w:tc>
                      <w:tcPr>
                        <w:tcW w:w="2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before="158"/>
                          <w:ind w:left="22" w:right="6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业务情况说明</w:t>
                        </w:r>
                      </w:p>
                    </w:tc>
                    <w:tc>
                      <w:tcPr>
                        <w:tcW w:w="6980"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5" w:lineRule="exact" w:before="21"/>
                          <w:ind w:left="23" w:right="0"/>
                          <w:jc w:val="left"/>
                          <w:rPr>
                            <w:rFonts w:ascii="宋体" w:hAnsi="宋体" w:cs="宋体" w:eastAsia="宋体" w:hint="default"/>
                            <w:sz w:val="18"/>
                            <w:szCs w:val="18"/>
                          </w:rPr>
                        </w:pPr>
                        <w:r>
                          <w:rPr>
                            <w:rFonts w:ascii="宋体" w:hAnsi="宋体" w:cs="宋体" w:eastAsia="宋体" w:hint="default"/>
                            <w:sz w:val="18"/>
                            <w:szCs w:val="18"/>
                          </w:rPr>
                          <w:t>雷立军通过融资融券信用账户持有本公司</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1,654,980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股</w:t>
                        </w:r>
                        <w:r>
                          <w:rPr>
                            <w:rFonts w:ascii="宋体" w:hAnsi="宋体" w:cs="宋体" w:eastAsia="宋体" w:hint="default"/>
                            <w:sz w:val="18"/>
                            <w:szCs w:val="18"/>
                          </w:rPr>
                          <w:t>份</w:t>
                        </w:r>
                        <w:r>
                          <w:rPr>
                            <w:rFonts w:ascii="宋体" w:hAnsi="宋体" w:cs="宋体" w:eastAsia="宋体" w:hint="default"/>
                            <w:spacing w:val="-89"/>
                            <w:sz w:val="18"/>
                            <w:szCs w:val="18"/>
                          </w:rPr>
                          <w:t>；</w:t>
                        </w:r>
                        <w:r>
                          <w:rPr>
                            <w:rFonts w:ascii="宋体" w:hAnsi="宋体" w:cs="宋体" w:eastAsia="宋体" w:hint="default"/>
                            <w:sz w:val="18"/>
                            <w:szCs w:val="18"/>
                          </w:rPr>
                          <w:t>山东万芝园食用菌科技有限</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公司通过融资融券信用账户持有本公司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4,515,000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股股份；王甲涛通过融资融券信用账户</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53,000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股股份</w:t>
                        </w:r>
                        <w:r>
                          <w:rPr>
                            <w:rFonts w:ascii="宋体" w:hAnsi="宋体" w:cs="宋体" w:eastAsia="宋体" w:hint="default"/>
                            <w:spacing w:val="-92"/>
                            <w:sz w:val="18"/>
                            <w:szCs w:val="18"/>
                          </w:rPr>
                          <w:t>；</w:t>
                        </w:r>
                        <w:r>
                          <w:rPr>
                            <w:rFonts w:ascii="宋体" w:hAnsi="宋体" w:cs="宋体" w:eastAsia="宋体" w:hint="default"/>
                            <w:sz w:val="18"/>
                            <w:szCs w:val="18"/>
                          </w:rPr>
                          <w:t>王紫军通过融资融券信用账户持有本公司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1,629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股股份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44"/>
        <w:ind w:left="0" w:right="1041"/>
        <w:jc w:val="right"/>
      </w:pPr>
      <w:r>
        <w:rPr/>
        <w:t>。</w:t>
      </w:r>
    </w:p>
    <w:p>
      <w:pPr>
        <w:pStyle w:val="BodyText"/>
        <w:spacing w:line="240" w:lineRule="auto" w:before="12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8411"/>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147"/>
        <w:gridCol w:w="1121"/>
        <w:gridCol w:w="1560"/>
        <w:gridCol w:w="1276"/>
        <w:gridCol w:w="4551"/>
      </w:tblGrid>
      <w:tr>
        <w:trPr>
          <w:trHeight w:val="714" w:hRule="exact"/>
        </w:trPr>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05" w:right="78"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11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2"/>
              <w:jc w:val="left"/>
              <w:rPr>
                <w:rFonts w:ascii="宋体" w:hAnsi="宋体" w:cs="宋体" w:eastAsia="宋体" w:hint="default"/>
                <w:sz w:val="18"/>
                <w:szCs w:val="18"/>
              </w:rPr>
            </w:pPr>
            <w:r>
              <w:rPr>
                <w:rFonts w:ascii="宋体" w:hAnsi="宋体" w:cs="宋体" w:eastAsia="宋体" w:hint="default"/>
                <w:sz w:val="18"/>
                <w:szCs w:val="18"/>
              </w:rPr>
              <w:t>杭州日报报业 集团有限公司</w:t>
            </w: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78237846-1</w:t>
            </w:r>
          </w:p>
        </w:tc>
        <w:tc>
          <w:tcPr>
            <w:tcW w:w="45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
              <w:jc w:val="both"/>
              <w:rPr>
                <w:rFonts w:ascii="宋体" w:hAnsi="宋体" w:cs="宋体" w:eastAsia="宋体" w:hint="default"/>
                <w:sz w:val="18"/>
                <w:szCs w:val="18"/>
              </w:rPr>
            </w:pPr>
            <w:r>
              <w:rPr>
                <w:rFonts w:ascii="宋体" w:hAnsi="宋体" w:cs="宋体" w:eastAsia="宋体" w:hint="default"/>
                <w:sz w:val="18"/>
                <w:szCs w:val="18"/>
              </w:rPr>
              <w:t>一般经营项目：实业投资；设计、制作、代理、发布国内 </w:t>
            </w:r>
            <w:r>
              <w:rPr>
                <w:rFonts w:ascii="宋体" w:hAnsi="宋体" w:cs="宋体" w:eastAsia="宋体" w:hint="default"/>
                <w:spacing w:val="-7"/>
                <w:sz w:val="18"/>
                <w:szCs w:val="18"/>
              </w:rPr>
              <w:t>广告（除网络广告发布）；其他无需报经审批的一切合法项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目；含下属分支机构经营范围</w:t>
            </w:r>
          </w:p>
        </w:tc>
      </w:tr>
    </w:tbl>
    <w:p>
      <w:pPr>
        <w:pStyle w:val="BodyText"/>
        <w:spacing w:line="240" w:lineRule="auto" w:before="65"/>
        <w:ind w:right="0"/>
        <w:jc w:val="left"/>
      </w:pPr>
      <w:r>
        <w:rPr/>
        <w:t>控股股东报告期内变更</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871"/>
        <w:jc w:val="left"/>
      </w:pPr>
      <w:r>
        <w:rPr/>
        <w:t>实际控制人性质：地方国资管理机构 实际控制人类型：法人</w:t>
      </w:r>
    </w:p>
    <w:p>
      <w:pPr>
        <w:spacing w:after="0" w:line="360" w:lineRule="auto"/>
        <w:jc w:val="lef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1759"/>
        <w:gridCol w:w="1513"/>
        <w:gridCol w:w="2741"/>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2" w:right="8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29" w:hRule="exact"/>
        </w:trPr>
        <w:tc>
          <w:tcPr>
            <w:tcW w:w="241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vMerge w:val="restart"/>
            <w:tcBorders>
              <w:top w:val="single" w:sz="4" w:space="0" w:color="000000"/>
              <w:left w:val="single" w:sz="4" w:space="0" w:color="000000"/>
              <w:right w:val="single" w:sz="4" w:space="0" w:color="000000"/>
            </w:tcBorders>
            <w:shd w:val="clear" w:color="auto" w:fill="C7EDCC"/>
          </w:tcPr>
          <w:p>
            <w:pPr/>
          </w:p>
        </w:tc>
        <w:tc>
          <w:tcPr>
            <w:tcW w:w="1759" w:type="dxa"/>
            <w:vMerge w:val="restart"/>
            <w:tcBorders>
              <w:top w:val="single" w:sz="4" w:space="0" w:color="000000"/>
              <w:left w:val="single" w:sz="9" w:space="0" w:color="C7EDCC"/>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3" w:type="dxa"/>
            <w:vMerge w:val="restart"/>
            <w:tcBorders>
              <w:top w:val="single" w:sz="4" w:space="0" w:color="000000"/>
              <w:left w:val="single" w:sz="4" w:space="0" w:color="000000"/>
              <w:right w:val="single" w:sz="4" w:space="0" w:color="000000"/>
            </w:tcBorders>
            <w:shd w:val="clear" w:color="auto" w:fill="C7EDCC"/>
          </w:tcPr>
          <w:p>
            <w:pPr/>
          </w:p>
        </w:tc>
        <w:tc>
          <w:tcPr>
            <w:tcW w:w="2741"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传播新闻和其他信息，促进社会经 </w:t>
            </w:r>
            <w:r>
              <w:rPr>
                <w:rFonts w:ascii="宋体" w:hAnsi="宋体" w:cs="宋体" w:eastAsia="宋体" w:hint="default"/>
                <w:spacing w:val="-19"/>
                <w:sz w:val="18"/>
                <w:szCs w:val="18"/>
              </w:rPr>
              <w:t>济文化发展。《杭州日报》出版</w:t>
            </w:r>
            <w:r>
              <w:rPr>
                <w:rFonts w:ascii="宋体" w:hAnsi="宋体" w:cs="宋体" w:eastAsia="宋体" w:hint="default"/>
                <w:spacing w:val="1"/>
                <w:sz w:val="18"/>
                <w:szCs w:val="18"/>
              </w:rPr>
              <w:t> </w:t>
            </w:r>
            <w:r>
              <w:rPr>
                <w:rFonts w:ascii="宋体" w:hAnsi="宋体" w:cs="宋体" w:eastAsia="宋体" w:hint="default"/>
                <w:sz w:val="18"/>
                <w:szCs w:val="18"/>
              </w:rPr>
              <w:t>增</w:t>
            </w:r>
            <w:r>
              <w:rPr>
                <w:rFonts w:ascii="宋体" w:hAnsi="宋体" w:cs="宋体" w:eastAsia="宋体" w:hint="default"/>
                <w:sz w:val="18"/>
                <w:szCs w:val="18"/>
              </w:rPr>
              <w:t> 项出版、相关出版物出版、相关印 刷、相关发行、广告、新闻研究、 新闻培训、新闻业务交流、相关社 会服务</w:t>
            </w:r>
          </w:p>
        </w:tc>
      </w:tr>
      <w:tr>
        <w:trPr>
          <w:trHeight w:val="156" w:hRule="exact"/>
        </w:trPr>
        <w:tc>
          <w:tcPr>
            <w:tcW w:w="2410"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1134" w:type="dxa"/>
            <w:vMerge/>
            <w:tcBorders>
              <w:left w:val="single" w:sz="4" w:space="0" w:color="000000"/>
              <w:bottom w:val="nil" w:sz="6" w:space="0" w:color="auto"/>
              <w:right w:val="single" w:sz="4" w:space="0" w:color="000000"/>
            </w:tcBorders>
            <w:shd w:val="clear" w:color="auto" w:fill="C7EDCC"/>
          </w:tcPr>
          <w:p>
            <w:pPr/>
          </w:p>
        </w:tc>
        <w:tc>
          <w:tcPr>
            <w:tcW w:w="1759" w:type="dxa"/>
            <w:vMerge/>
            <w:tcBorders>
              <w:left w:val="single" w:sz="9" w:space="0" w:color="C7EDCC"/>
              <w:right w:val="single" w:sz="9" w:space="0" w:color="C7EDCC"/>
            </w:tcBorders>
          </w:tcPr>
          <w:p>
            <w:pPr/>
          </w:p>
        </w:tc>
        <w:tc>
          <w:tcPr>
            <w:tcW w:w="1513" w:type="dxa"/>
            <w:vMerge/>
            <w:tcBorders>
              <w:left w:val="single" w:sz="4" w:space="0" w:color="000000"/>
              <w:bottom w:val="nil" w:sz="6" w:space="0" w:color="auto"/>
              <w:right w:val="single" w:sz="4" w:space="0" w:color="000000"/>
            </w:tcBorders>
            <w:shd w:val="clear" w:color="auto" w:fill="C7EDCC"/>
          </w:tcPr>
          <w:p>
            <w:pPr/>
          </w:p>
        </w:tc>
        <w:tc>
          <w:tcPr>
            <w:tcW w:w="2741" w:type="dxa"/>
            <w:vMerge/>
            <w:tcBorders>
              <w:left w:val="single" w:sz="4" w:space="0" w:color="000000"/>
              <w:right w:val="single" w:sz="4" w:space="0" w:color="000000"/>
            </w:tcBorders>
            <w:shd w:val="clear" w:color="auto" w:fill="C7EDCC"/>
          </w:tcPr>
          <w:p>
            <w:pPr/>
          </w:p>
        </w:tc>
      </w:tr>
      <w:tr>
        <w:trPr>
          <w:trHeight w:val="392" w:hRule="exact"/>
        </w:trPr>
        <w:tc>
          <w:tcPr>
            <w:tcW w:w="2410" w:type="dxa"/>
            <w:vMerge/>
            <w:tcBorders>
              <w:left w:val="single" w:sz="4" w:space="0" w:color="000000"/>
              <w:right w:val="single" w:sz="4" w:space="0" w:color="000000"/>
            </w:tcBorders>
            <w:shd w:val="clear" w:color="auto" w:fill="C7EDCC"/>
          </w:tcPr>
          <w:p>
            <w:pP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759" w:type="dxa"/>
            <w:vMerge/>
            <w:tcBorders>
              <w:left w:val="single" w:sz="9" w:space="0" w:color="C7EDCC"/>
              <w:right w:val="single" w:sz="9" w:space="0" w:color="C7EDCC"/>
            </w:tcBorders>
          </w:tcPr>
          <w:p>
            <w:pPr/>
          </w:p>
        </w:tc>
        <w:tc>
          <w:tcPr>
            <w:tcW w:w="151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47010001-4</w:t>
            </w:r>
          </w:p>
        </w:tc>
        <w:tc>
          <w:tcPr>
            <w:tcW w:w="2741" w:type="dxa"/>
            <w:vMerge/>
            <w:tcBorders>
              <w:left w:val="single" w:sz="4" w:space="0" w:color="000000"/>
              <w:right w:val="single" w:sz="4" w:space="0" w:color="000000"/>
            </w:tcBorders>
            <w:shd w:val="clear" w:color="auto" w:fill="C7EDCC"/>
          </w:tcPr>
          <w:p>
            <w:pPr/>
          </w:p>
        </w:tc>
      </w:tr>
      <w:tr>
        <w:trPr>
          <w:trHeight w:val="156" w:hRule="exact"/>
        </w:trPr>
        <w:tc>
          <w:tcPr>
            <w:tcW w:w="2410" w:type="dxa"/>
            <w:vMerge/>
            <w:tcBorders>
              <w:left w:val="single" w:sz="4" w:space="0" w:color="000000"/>
              <w:bottom w:val="nil" w:sz="6" w:space="0" w:color="auto"/>
              <w:right w:val="single" w:sz="4" w:space="0" w:color="000000"/>
            </w:tcBorders>
            <w:shd w:val="clear" w:color="auto" w:fill="C7EDCC"/>
          </w:tcPr>
          <w:p>
            <w:pPr/>
          </w:p>
        </w:tc>
        <w:tc>
          <w:tcPr>
            <w:tcW w:w="1134" w:type="dxa"/>
            <w:vMerge w:val="restart"/>
            <w:tcBorders>
              <w:top w:val="nil" w:sz="6" w:space="0" w:color="auto"/>
              <w:left w:val="single" w:sz="4" w:space="0" w:color="000000"/>
              <w:right w:val="single" w:sz="4" w:space="0" w:color="000000"/>
            </w:tcBorders>
            <w:shd w:val="clear" w:color="auto" w:fill="C7EDCC"/>
          </w:tcPr>
          <w:p>
            <w:pPr/>
          </w:p>
        </w:tc>
        <w:tc>
          <w:tcPr>
            <w:tcW w:w="1759" w:type="dxa"/>
            <w:vMerge/>
            <w:tcBorders>
              <w:left w:val="single" w:sz="9" w:space="0" w:color="C7EDCC"/>
              <w:right w:val="single" w:sz="9" w:space="0" w:color="C7EDCC"/>
            </w:tcBorders>
          </w:tcPr>
          <w:p>
            <w:pPr/>
          </w:p>
        </w:tc>
        <w:tc>
          <w:tcPr>
            <w:tcW w:w="1513" w:type="dxa"/>
            <w:vMerge w:val="restart"/>
            <w:tcBorders>
              <w:top w:val="nil" w:sz="6" w:space="0" w:color="auto"/>
              <w:left w:val="single" w:sz="4" w:space="0" w:color="000000"/>
              <w:right w:val="single" w:sz="4" w:space="0" w:color="000000"/>
            </w:tcBorders>
            <w:shd w:val="clear" w:color="auto" w:fill="C7EDCC"/>
          </w:tcPr>
          <w:p>
            <w:pPr/>
          </w:p>
        </w:tc>
        <w:tc>
          <w:tcPr>
            <w:tcW w:w="2741" w:type="dxa"/>
            <w:vMerge/>
            <w:tcBorders>
              <w:left w:val="single" w:sz="4" w:space="0" w:color="000000"/>
              <w:right w:val="single" w:sz="4" w:space="0" w:color="000000"/>
            </w:tcBorders>
            <w:shd w:val="clear" w:color="auto" w:fill="C7EDCC"/>
          </w:tcPr>
          <w:p>
            <w:pPr/>
          </w:p>
        </w:tc>
      </w:tr>
      <w:tr>
        <w:trPr>
          <w:trHeight w:val="629" w:hRule="exact"/>
        </w:trPr>
        <w:tc>
          <w:tcPr>
            <w:tcW w:w="241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vMerge/>
            <w:tcBorders>
              <w:left w:val="single" w:sz="4" w:space="0" w:color="000000"/>
              <w:bottom w:val="single" w:sz="4" w:space="0" w:color="000000"/>
              <w:right w:val="single" w:sz="4" w:space="0" w:color="000000"/>
            </w:tcBorders>
            <w:shd w:val="clear" w:color="auto" w:fill="C7EDCC"/>
          </w:tcPr>
          <w:p>
            <w:pPr/>
          </w:p>
        </w:tc>
        <w:tc>
          <w:tcPr>
            <w:tcW w:w="1759" w:type="dxa"/>
            <w:vMerge/>
            <w:tcBorders>
              <w:left w:val="single" w:sz="9" w:space="0" w:color="C7EDCC"/>
              <w:bottom w:val="single" w:sz="4" w:space="0" w:color="000000"/>
              <w:right w:val="single" w:sz="9" w:space="0" w:color="C7EDCC"/>
            </w:tcBorders>
          </w:tcPr>
          <w:p>
            <w:pPr/>
          </w:p>
        </w:tc>
        <w:tc>
          <w:tcPr>
            <w:tcW w:w="1513" w:type="dxa"/>
            <w:vMerge/>
            <w:tcBorders>
              <w:left w:val="single" w:sz="4" w:space="0" w:color="000000"/>
              <w:bottom w:val="single" w:sz="4" w:space="0" w:color="000000"/>
              <w:right w:val="single" w:sz="4" w:space="0" w:color="000000"/>
            </w:tcBorders>
            <w:shd w:val="clear" w:color="auto" w:fill="C7EDCC"/>
          </w:tcPr>
          <w:p>
            <w:pPr/>
          </w:p>
        </w:tc>
        <w:tc>
          <w:tcPr>
            <w:tcW w:w="2741"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2410" w:type="dxa"/>
            <w:vMerge w:val="restart"/>
            <w:tcBorders>
              <w:top w:val="single" w:sz="4" w:space="0" w:color="000000"/>
              <w:left w:val="single" w:sz="4" w:space="0" w:color="000000"/>
              <w:right w:val="single" w:sz="10" w:space="0" w:color="C7EDCC"/>
            </w:tcBorders>
            <w:shd w:val="clear" w:color="auto" w:fill="D3D3D3"/>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47"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410" w:type="dxa"/>
            <w:vMerge/>
            <w:tcBorders>
              <w:left w:val="single" w:sz="4" w:space="0" w:color="000000"/>
              <w:right w:val="single" w:sz="10" w:space="0" w:color="C7EDCC"/>
            </w:tcBorders>
            <w:shd w:val="clear" w:color="auto" w:fill="D3D3D3"/>
          </w:tcPr>
          <w:p>
            <w:pPr/>
          </w:p>
        </w:tc>
        <w:tc>
          <w:tcPr>
            <w:tcW w:w="7147"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410" w:type="dxa"/>
            <w:vMerge/>
            <w:tcBorders>
              <w:left w:val="single" w:sz="4" w:space="0" w:color="000000"/>
              <w:bottom w:val="single" w:sz="4" w:space="0" w:color="000000"/>
              <w:right w:val="single" w:sz="10" w:space="0" w:color="C7EDCC"/>
            </w:tcBorders>
            <w:shd w:val="clear" w:color="auto" w:fill="D3D3D3"/>
          </w:tcPr>
          <w:p>
            <w:pPr/>
          </w:p>
        </w:tc>
        <w:tc>
          <w:tcPr>
            <w:tcW w:w="7147"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0"/>
        <w:jc w:val="left"/>
      </w:pPr>
      <w:r>
        <w:rPr/>
        <w:t>实际控制人报告期内变更</w:t>
      </w:r>
    </w:p>
    <w:p>
      <w:pPr>
        <w:pStyle w:val="BodyText"/>
        <w:spacing w:line="34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0"/>
          <w:szCs w:val="20"/>
        </w:rPr>
      </w:pPr>
    </w:p>
    <w:p>
      <w:pPr>
        <w:spacing w:line="3564" w:lineRule="exact"/>
        <w:ind w:left="2275"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262.75pt;height:178.25pt;mso-position-horizontal-relative:char;mso-position-vertical-relative:line" coordorigin="0,0" coordsize="5255,3565">
            <v:group style="position:absolute;left:520;top:1;width:2628;height:519" coordorigin="520,1" coordsize="2628,519">
              <v:shape style="position:absolute;left:520;top:1;width:2628;height:519" coordorigin="520,1" coordsize="2628,519" path="m520,520l3148,520,3148,1,520,1,520,520xe" filled="true" fillcolor="#99ccff" stroked="false">
                <v:path arrowok="t"/>
                <v:fill type="solid"/>
              </v:shape>
            </v:group>
            <v:group style="position:absolute;left:520;top:1;width:2628;height:519" coordorigin="520,1" coordsize="2628,519">
              <v:shape style="position:absolute;left:520;top:1;width:2628;height:519" coordorigin="520,1" coordsize="2628,519" path="m520,520l3148,520,3148,1,520,1,520,520xe" filled="false" stroked="true" strokeweight=".146pt" strokecolor="#000000">
                <v:path arrowok="t"/>
              </v:shape>
              <v:shape style="position:absolute;left:553;top:177;width:1354;height:194" type="#_x0000_t75" stroked="false">
                <v:imagedata r:id="rId14" o:title=""/>
              </v:shape>
              <v:shape style="position:absolute;left:2014;top:187;width:58;height:806" type="#_x0000_t75" stroked="false">
                <v:imagedata r:id="rId15" o:title=""/>
              </v:shape>
              <v:shape style="position:absolute;left:2097;top:177;width:932;height:830" type="#_x0000_t75" stroked="false">
                <v:imagedata r:id="rId16" o:title=""/>
              </v:shape>
            </v:group>
            <v:group style="position:absolute;left:711;top:520;width:1124;height:809" coordorigin="711,520" coordsize="1124,809">
              <v:shape style="position:absolute;left:711;top:520;width:1124;height:809" coordorigin="711,520" coordsize="1124,809" path="m1834,520l1834,651,711,651,711,1329e" filled="false" stroked="true" strokeweight=".732pt" strokecolor="#4677bf">
                <v:path arrowok="t"/>
              </v:shape>
            </v:group>
            <v:group style="position:absolute;left:1;top:1453;width:1418;height:519" coordorigin="1,1453" coordsize="1418,519">
              <v:shape style="position:absolute;left:1;top:1453;width:1418;height:519" coordorigin="1,1453" coordsize="1418,519" path="m1,1972l1419,1972,1419,1453,1,1453,1,1972xe" filled="true" fillcolor="#99ccff" stroked="false">
                <v:path arrowok="t"/>
                <v:fill type="solid"/>
              </v:shape>
            </v:group>
            <v:group style="position:absolute;left:1;top:1453;width:1418;height:519" coordorigin="1,1453" coordsize="1418,519">
              <v:shape style="position:absolute;left:1;top:1453;width:1418;height:519" coordorigin="1,1453" coordsize="1418,519" path="m1,1972l1419,1972,1419,1453,1,1453,1,1972xe" filled="false" stroked="true" strokeweight=".146pt" strokecolor="#000000">
                <v:path arrowok="t"/>
              </v:shape>
              <v:shape style="position:absolute;left:115;top:1511;width:1190;height:194" type="#_x0000_t75" stroked="false">
                <v:imagedata r:id="rId17" o:title=""/>
              </v:shape>
              <v:shape style="position:absolute;left:303;top:1731;width:816;height:317" type="#_x0000_t75" stroked="false">
                <v:imagedata r:id="rId18" o:title=""/>
              </v:shape>
            </v:group>
            <v:group style="position:absolute;left:665;top:1318;width:92;height:136" coordorigin="665,1318" coordsize="92,136">
              <v:shape style="position:absolute;left:665;top:1318;width:92;height:136" coordorigin="665,1318" coordsize="92,136" path="m756,1318l665,1318,711,1453,756,1318xe" filled="true" fillcolor="#4677bf" stroked="false">
                <v:path arrowok="t"/>
                <v:fill type="solid"/>
              </v:shape>
            </v:group>
            <v:group style="position:absolute;left:510;top:945;width:426;height:204" coordorigin="510,945" coordsize="426,204">
              <v:shape style="position:absolute;left:510;top:945;width:426;height:204" coordorigin="510,945" coordsize="426,204" path="m510,1149l936,1149,936,945,510,945,510,1149xe" filled="true" fillcolor="#ffffff" stroked="false">
                <v:path arrowok="t"/>
                <v:fill type="solid"/>
              </v:shape>
            </v:group>
            <v:group style="position:absolute;left:1834;top:520;width:914;height:809" coordorigin="1834,520" coordsize="914,809">
              <v:shape style="position:absolute;left:1834;top:520;width:914;height:809" coordorigin="1834,520" coordsize="914,809" path="m1834,520l1834,651,2747,651,2747,1329e" filled="false" stroked="true" strokeweight=".732pt" strokecolor="#4677bf">
                <v:path arrowok="t"/>
              </v:shape>
            </v:group>
            <v:group style="position:absolute;left:2142;top:1453;width:1210;height:519" coordorigin="2142,1453" coordsize="1210,519">
              <v:shape style="position:absolute;left:2142;top:1453;width:1210;height:519" coordorigin="2142,1453" coordsize="1210,519" path="m2142,1972l3352,1972,3352,1453,2142,1453,2142,1972xe" filled="true" fillcolor="#99ccff" stroked="false">
                <v:path arrowok="t"/>
                <v:fill type="solid"/>
              </v:shape>
            </v:group>
            <v:group style="position:absolute;left:2142;top:1453;width:1210;height:519" coordorigin="2142,1453" coordsize="1210,519">
              <v:shape style="position:absolute;left:2142;top:1453;width:1210;height:519" coordorigin="2142,1453" coordsize="1210,519" path="m2142,1972l3352,1972,3352,1453,2142,1453,2142,1972xe" filled="false" stroked="true" strokeweight=".146pt" strokecolor="#000000">
                <v:path arrowok="t"/>
              </v:shape>
              <v:shape style="position:absolute;left:2327;top:1629;width:845;height:317" type="#_x0000_t75" stroked="false">
                <v:imagedata r:id="rId19" o:title=""/>
              </v:shape>
            </v:group>
            <v:group style="position:absolute;left:2701;top:1318;width:92;height:136" coordorigin="2701,1318" coordsize="92,136">
              <v:shape style="position:absolute;left:2701;top:1318;width:92;height:136" coordorigin="2701,1318" coordsize="92,136" path="m2793,1318l2701,1318,2747,1453,2793,1318xe" filled="true" fillcolor="#4677bf" stroked="false">
                <v:path arrowok="t"/>
                <v:fill type="solid"/>
              </v:shape>
            </v:group>
            <v:group style="position:absolute;left:2512;top:965;width:426;height:204" coordorigin="2512,965" coordsize="426,204">
              <v:shape style="position:absolute;left:2512;top:965;width:426;height:204" coordorigin="2512,965" coordsize="426,204" path="m2512,1169l2938,1169,2938,965,2512,965,2512,1169xe" filled="true" fillcolor="#ffffff" stroked="false">
                <v:path arrowok="t"/>
                <v:fill type="solid"/>
              </v:shape>
            </v:group>
            <v:group style="position:absolute;left:711;top:1972;width:2045;height:980" coordorigin="711,1972" coordsize="2045,980">
              <v:shape style="position:absolute;left:711;top:1972;width:2045;height:980" coordorigin="711,1972" coordsize="2045,980" path="m711,1972l711,2681,2755,2681,2755,2951e" filled="false" stroked="true" strokeweight=".146pt" strokecolor="#4677bf">
                <v:path arrowok="t"/>
              </v:shape>
            </v:group>
            <v:group style="position:absolute;left:1451;top:3045;width:2609;height:519" coordorigin="1451,3045" coordsize="2609,519">
              <v:shape style="position:absolute;left:1451;top:3045;width:2609;height:519" coordorigin="1451,3045" coordsize="2609,519" path="m1451,3563l4060,3563,4060,3045,1451,3045,1451,3563xe" filled="true" fillcolor="#ffcc99" stroked="false">
                <v:path arrowok="t"/>
                <v:fill type="solid"/>
              </v:shape>
            </v:group>
            <v:group style="position:absolute;left:1451;top:3045;width:2609;height:519" coordorigin="1451,3045" coordsize="2609,519">
              <v:shape style="position:absolute;left:1451;top:3045;width:2609;height:519" coordorigin="1451,3045" coordsize="2609,519" path="m1451,3563l4060,3563,4060,3045,1451,3045,1451,3563xe" filled="false" stroked="true" strokeweight=".146pt" strokecolor="#000000">
                <v:path arrowok="t"/>
              </v:shape>
              <v:shape style="position:absolute;left:1734;top:3117;width:2035;height:137" type="#_x0000_t75" stroked="false">
                <v:imagedata r:id="rId20" o:title=""/>
              </v:shape>
              <v:shape style="position:absolute;left:1734;top:3253;width:2035;height:137" type="#_x0000_t75" stroked="false">
                <v:imagedata r:id="rId21" o:title=""/>
              </v:shape>
            </v:group>
            <v:group style="position:absolute;left:2722;top:2943;width:68;height:102" coordorigin="2722,2943" coordsize="68,102">
              <v:shape style="position:absolute;left:2722;top:2943;width:68;height:102" coordorigin="2722,2943" coordsize="68,102" path="m2789,2943l2722,2943,2755,3045,2789,2943xe" filled="true" fillcolor="#4677bf" stroked="false">
                <v:path arrowok="t"/>
                <v:fill type="solid"/>
              </v:shape>
            </v:group>
            <v:group style="position:absolute;left:411;top:2110;width:556;height:204" coordorigin="411,2110" coordsize="556,204">
              <v:shape style="position:absolute;left:411;top:2110;width:556;height:204" coordorigin="411,2110" coordsize="556,204" path="m411,2314l966,2314,966,2110,411,2110,411,2314xe" filled="true" fillcolor="#ffffff" stroked="false">
                <v:path arrowok="t"/>
                <v:fill type="solid"/>
              </v:shape>
            </v:group>
            <v:group style="position:absolute;left:2751;top:1970;width:2;height:110" coordorigin="2751,1970" coordsize="2,110">
              <v:shape style="position:absolute;left:2751;top:1970;width:2;height:110" coordorigin="2751,1970" coordsize="0,110" path="m2751,1970l2751,2080e" filled="false" stroked="true" strokeweight=".42pt" strokecolor="#4677bf">
                <v:path arrowok="t"/>
              </v:shape>
            </v:group>
            <v:group style="position:absolute;left:2751;top:2285;width:2;height:668" coordorigin="2751,2285" coordsize="2,668">
              <v:shape style="position:absolute;left:2751;top:2285;width:2;height:668" coordorigin="2751,2285" coordsize="0,668" path="m2751,2285l2751,2953e" filled="false" stroked="true" strokeweight=".42pt" strokecolor="#4677bf">
                <v:path arrowok="t"/>
              </v:shape>
            </v:group>
            <v:group style="position:absolute;left:2722;top:2943;width:68;height:102" coordorigin="2722,2943" coordsize="68,102">
              <v:shape style="position:absolute;left:2722;top:2943;width:68;height:102" coordorigin="2722,2943" coordsize="68,102" path="m2789,2943l2722,2943,2755,3045,2789,2943xe" filled="true" fillcolor="#4677bf" stroked="false">
                <v:path arrowok="t"/>
                <v:fill type="solid"/>
              </v:shape>
            </v:group>
            <v:group style="position:absolute;left:2525;top:2080;width:470;height:206" coordorigin="2525,2080" coordsize="470,206">
              <v:shape style="position:absolute;left:2525;top:2080;width:470;height:206" coordorigin="2525,2080" coordsize="470,206" path="m2525,2285l2994,2285,2994,2080,2525,2080,2525,2285xe" filled="true" fillcolor="#ffffff" stroked="false">
                <v:path arrowok="t"/>
                <v:fill type="solid"/>
              </v:shape>
            </v:group>
            <v:group style="position:absolute;left:4389;top:1453;width:864;height:519" coordorigin="4389,1453" coordsize="864,519">
              <v:shape style="position:absolute;left:4389;top:1453;width:864;height:519" coordorigin="4389,1453" coordsize="864,519" path="m4389,1972l5253,1972,5253,1453,4389,1453,4389,1972xe" filled="true" fillcolor="#e8eef7" stroked="false">
                <v:path arrowok="t"/>
                <v:fill type="solid"/>
              </v:shape>
            </v:group>
            <v:group style="position:absolute;left:4389;top:1453;width:864;height:519" coordorigin="4389,1453" coordsize="864,519">
              <v:shape style="position:absolute;left:4389;top:1453;width:864;height:519" coordorigin="4389,1453" coordsize="864,519" path="m4389,1972l5253,1972,5253,1453,4389,1453,4389,1972xe" filled="false" stroked="true" strokeweight=".146pt" strokecolor="#000000">
                <v:path arrowok="t"/>
              </v:shape>
              <v:shape style="position:absolute;left:4485;top:1629;width:672;height:324" type="#_x0000_t75" stroked="false">
                <v:imagedata r:id="rId22" o:title=""/>
              </v:shape>
            </v:group>
            <v:group style="position:absolute;left:2755;top:1972;width:2066;height:980" coordorigin="2755,1972" coordsize="2066,980">
              <v:shape style="position:absolute;left:2755;top:1972;width:2066;height:980" coordorigin="2755,1972" coordsize="2066,980" path="m4821,1972l4821,2681,2755,2681,2755,2951e" filled="false" stroked="true" strokeweight=".146pt" strokecolor="#4677bf">
                <v:path arrowok="t"/>
              </v:shape>
            </v:group>
            <v:group style="position:absolute;left:2722;top:2943;width:68;height:102" coordorigin="2722,2943" coordsize="68,102">
              <v:shape style="position:absolute;left:2722;top:2943;width:68;height:102" coordorigin="2722,2943" coordsize="68,102" path="m2789,2943l2722,2943,2755,3045,2789,2943xe" filled="true" fillcolor="#4677bf" stroked="false">
                <v:path arrowok="t"/>
                <v:fill type="solid"/>
              </v:shape>
            </v:group>
            <v:group style="position:absolute;left:4557;top:2073;width:555;height:204" coordorigin="4557,2073" coordsize="555,204">
              <v:shape style="position:absolute;left:4557;top:2073;width:555;height:204" coordorigin="4557,2073" coordsize="555,204" path="m4557,2277l5111,2277,5111,2073,4557,2073,4557,2277xe" filled="true" fillcolor="#ffffff" stroked="false">
                <v:path arrowok="t"/>
                <v:fill type="solid"/>
              </v:shape>
              <v:shape style="position:absolute;left:514;top:960;width:426;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100%</w:t>
                      </w:r>
                      <w:r>
                        <w:rPr>
                          <w:rFonts w:ascii="Times New Roman"/>
                          <w:sz w:val="17"/>
                        </w:rPr>
                      </w:r>
                    </w:p>
                  </w:txbxContent>
                </v:textbox>
                <w10:wrap type="none"/>
              </v:shape>
              <v:shape style="position:absolute;left:2515;top:980;width:428;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100%</w:t>
                      </w:r>
                      <w:r>
                        <w:rPr>
                          <w:rFonts w:ascii="Times New Roman"/>
                          <w:sz w:val="17"/>
                        </w:rPr>
                      </w:r>
                    </w:p>
                  </w:txbxContent>
                </v:textbox>
                <w10:wrap type="none"/>
              </v:shape>
              <v:shape style="position:absolute;left:415;top:2125;width:555;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48.13%</w:t>
                      </w:r>
                      <w:r>
                        <w:rPr>
                          <w:rFonts w:ascii="Times New Roman"/>
                          <w:sz w:val="17"/>
                        </w:rPr>
                      </w:r>
                    </w:p>
                  </w:txbxContent>
                </v:textbox>
                <w10:wrap type="none"/>
              </v:shape>
              <v:shape style="position:absolute;left:2529;top:2096;width:470;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3.95%</w:t>
                      </w:r>
                      <w:r>
                        <w:rPr>
                          <w:rFonts w:ascii="Times New Roman"/>
                          <w:sz w:val="17"/>
                        </w:rPr>
                      </w:r>
                    </w:p>
                  </w:txbxContent>
                </v:textbox>
                <w10:wrap type="none"/>
              </v:shape>
              <v:shape style="position:absolute;left:4560;top:2088;width:555;height:171" type="#_x0000_t202" filled="false" stroked="false">
                <v:textbox inset="0,0,0,0">
                  <w:txbxContent>
                    <w:p>
                      <w:pPr>
                        <w:spacing w:line="170" w:lineRule="exact" w:before="0"/>
                        <w:ind w:left="0" w:right="0" w:firstLine="0"/>
                        <w:jc w:val="left"/>
                        <w:rPr>
                          <w:rFonts w:ascii="Times New Roman" w:hAnsi="Times New Roman" w:cs="Times New Roman" w:eastAsia="Times New Roman" w:hint="default"/>
                          <w:sz w:val="17"/>
                          <w:szCs w:val="17"/>
                        </w:rPr>
                      </w:pPr>
                      <w:r>
                        <w:rPr>
                          <w:rFonts w:ascii="Times New Roman"/>
                          <w:b/>
                          <w:sz w:val="17"/>
                        </w:rPr>
                        <w:t>47.92%</w:t>
                      </w:r>
                      <w:r>
                        <w:rPr>
                          <w:rFonts w:ascii="Times New Roman"/>
                          <w:sz w:val="17"/>
                        </w:rPr>
                      </w:r>
                    </w:p>
                  </w:txbxContent>
                </v:textbox>
                <w10:wrap type="none"/>
              </v:shape>
              <v:shape style="position:absolute;left:1451;top:3045;width:2609;height:519" type="#_x0000_t202" filled="false" stroked="true" strokeweight=".146pt" strokecolor="#000000">
                <v:textbox inset="0,0,0,0">
                  <w:txbxContent>
                    <w:p>
                      <w:pPr>
                        <w:spacing w:line="240" w:lineRule="auto" w:before="1"/>
                        <w:rPr>
                          <w:rFonts w:ascii="宋体" w:hAnsi="宋体" w:cs="宋体" w:eastAsia="宋体" w:hint="default"/>
                          <w:sz w:val="20"/>
                          <w:szCs w:val="20"/>
                        </w:rPr>
                      </w:pPr>
                    </w:p>
                    <w:p>
                      <w:pPr>
                        <w:spacing w:before="0"/>
                        <w:ind w:left="0" w:right="0" w:firstLine="0"/>
                        <w:jc w:val="center"/>
                        <w:rPr>
                          <w:rFonts w:ascii="Times New Roman" w:hAnsi="Times New Roman" w:cs="Times New Roman" w:eastAsia="Times New Roman" w:hint="default"/>
                          <w:sz w:val="17"/>
                          <w:szCs w:val="17"/>
                        </w:rPr>
                      </w:pPr>
                      <w:r>
                        <w:rPr>
                          <w:rFonts w:ascii="Times New Roman"/>
                          <w:b/>
                          <w:sz w:val="17"/>
                        </w:rPr>
                        <w:t>(000607)</w:t>
                      </w:r>
                      <w:r>
                        <w:rPr>
                          <w:rFonts w:ascii="Times New Roman"/>
                          <w:sz w:val="17"/>
                        </w:rPr>
                      </w:r>
                    </w:p>
                  </w:txbxContent>
                </v:textbox>
                <w10:wrap type="none"/>
              </v:shape>
            </v:group>
          </v:group>
        </w:pict>
      </w:r>
      <w:r>
        <w:rPr>
          <w:rFonts w:ascii="宋体" w:hAnsi="宋体" w:cs="宋体" w:eastAsia="宋体" w:hint="default"/>
          <w:position w:val="-70"/>
          <w:sz w:val="20"/>
          <w:szCs w:val="20"/>
        </w:rPr>
      </w:r>
    </w:p>
    <w:p>
      <w:pPr>
        <w:spacing w:line="240" w:lineRule="auto" w:before="8"/>
        <w:rPr>
          <w:rFonts w:ascii="宋体" w:hAnsi="宋体" w:cs="宋体" w:eastAsia="宋体" w:hint="default"/>
          <w:sz w:val="19"/>
          <w:szCs w:val="19"/>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66" w:right="0"/>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4" w:right="0"/>
        <w:jc w:val="left"/>
        <w:rPr>
          <w:b w:val="0"/>
          <w:bCs w:val="0"/>
        </w:rPr>
      </w:pPr>
      <w:bookmarkStart w:name="_TOC_250005" w:id="8"/>
      <w:r>
        <w:rPr/>
        <w:t>第八节可转换公司债券相关情况</w:t>
      </w:r>
      <w:bookmarkEnd w:id="8"/>
      <w:r>
        <w:rPr>
          <w:b w:val="0"/>
          <w:bCs w:val="0"/>
        </w:rPr>
      </w:r>
    </w:p>
    <w:p>
      <w:pPr>
        <w:spacing w:line="240" w:lineRule="auto" w:before="8"/>
        <w:rPr>
          <w:rFonts w:ascii="宋体" w:hAnsi="宋体" w:cs="宋体" w:eastAsia="宋体" w:hint="default"/>
          <w:b/>
          <w:bCs/>
          <w:sz w:val="42"/>
          <w:szCs w:val="42"/>
        </w:rPr>
      </w:pPr>
    </w:p>
    <w:p>
      <w:pPr>
        <w:pStyle w:val="BodyText"/>
        <w:spacing w:line="338"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报告期公司不存在可转换公司债券。</w:t>
      </w:r>
    </w:p>
    <w:p>
      <w:pPr>
        <w:spacing w:after="0" w:line="338"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760" w:right="0"/>
        <w:jc w:val="left"/>
        <w:rPr>
          <w:b w:val="0"/>
          <w:bCs w:val="0"/>
        </w:rPr>
      </w:pPr>
      <w:bookmarkStart w:name="_TOC_250004" w:id="9"/>
      <w:r>
        <w:rPr/>
        <w:t>第九节董事、监事、高级管理人员和员工情况</w:t>
      </w:r>
      <w:bookmarkEnd w:id="9"/>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09"/>
        <w:gridCol w:w="808"/>
        <w:gridCol w:w="808"/>
        <w:gridCol w:w="806"/>
        <w:gridCol w:w="809"/>
        <w:gridCol w:w="806"/>
        <w:gridCol w:w="808"/>
        <w:gridCol w:w="809"/>
        <w:gridCol w:w="808"/>
        <w:gridCol w:w="808"/>
        <w:gridCol w:w="809"/>
        <w:gridCol w:w="808"/>
      </w:tblGrid>
      <w:tr>
        <w:trPr>
          <w:trHeight w:val="730" w:hRule="exact"/>
        </w:trPr>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218" w:right="3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218" w:right="3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39" w:right="3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8" w:right="3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17" w:lineRule="exact"/>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8" w:right="3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17" w:lineRule="exact"/>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24" w:right="37" w:firstLine="15"/>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5"/>
                <w:sz w:val="18"/>
                <w:szCs w:val="18"/>
              </w:rPr>
              <w:t>变动（股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4"/>
              <w:ind w:left="-123" w:right="37"/>
              <w:jc w:val="center"/>
              <w:rPr>
                <w:rFonts w:ascii="宋体" w:hAnsi="宋体" w:cs="宋体" w:eastAsia="宋体" w:hint="default"/>
                <w:sz w:val="18"/>
                <w:szCs w:val="18"/>
              </w:rPr>
            </w:pPr>
            <w:r>
              <w:rPr>
                <w:rFonts w:ascii="宋体" w:hAnsi="宋体" w:cs="宋体" w:eastAsia="宋体" w:hint="default"/>
                <w:spacing w:val="-4"/>
                <w:sz w:val="18"/>
                <w:szCs w:val="18"/>
              </w:rPr>
              <w:t>）数（股）</w:t>
            </w: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48</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48</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8"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董事、副</w:t>
            </w: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48</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76,275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76,275</w:t>
            </w: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董事、常</w:t>
            </w: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务副总经</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46</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77,175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77,175</w:t>
            </w: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50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8"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54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50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731" w:hRule="exact"/>
        </w:trPr>
        <w:tc>
          <w:tcPr>
            <w:tcW w:w="8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3"/>
              <w:ind w:left="22" w:right="5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55</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8"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43</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56</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47</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77,325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77,325</w:t>
            </w: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258"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48</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77,100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77,100</w:t>
            </w: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809"/>
        <w:gridCol w:w="808"/>
        <w:gridCol w:w="808"/>
        <w:gridCol w:w="806"/>
        <w:gridCol w:w="809"/>
        <w:gridCol w:w="806"/>
        <w:gridCol w:w="808"/>
        <w:gridCol w:w="809"/>
        <w:gridCol w:w="808"/>
        <w:gridCol w:w="808"/>
        <w:gridCol w:w="809"/>
        <w:gridCol w:w="808"/>
      </w:tblGrid>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理、财务</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47</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76,875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76,875</w:t>
            </w: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总监</w:t>
            </w: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258"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理、董事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33</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77,700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18"/>
                <w:szCs w:val="18"/>
              </w:rPr>
            </w:pPr>
            <w:r>
              <w:rPr>
                <w:rFonts w:ascii="Times New Roman"/>
                <w:sz w:val="18"/>
              </w:rPr>
              <w:t>77,700</w:t>
            </w: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257"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r>
      <w:tr>
        <w:trPr>
          <w:trHeight w:val="240"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51</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r>
      <w:tr>
        <w:trPr>
          <w:trHeight w:val="233"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r>
      <w:tr>
        <w:trPr>
          <w:trHeight w:val="251" w:hRule="exact"/>
        </w:trPr>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462,450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462,450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09"/>
        <w:gridCol w:w="1951"/>
        <w:gridCol w:w="602"/>
        <w:gridCol w:w="1700"/>
        <w:gridCol w:w="4594"/>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9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因个人原因，辞去副总经理职务</w:t>
            </w:r>
          </w:p>
        </w:tc>
      </w:tr>
      <w:tr>
        <w:trPr>
          <w:trHeight w:val="358" w:hRule="exact"/>
        </w:trPr>
        <w:tc>
          <w:tcPr>
            <w:tcW w:w="709" w:type="dxa"/>
            <w:tcBorders>
              <w:top w:val="single" w:sz="4" w:space="0" w:color="000000"/>
              <w:left w:val="single" w:sz="4" w:space="0" w:color="000000"/>
              <w:bottom w:val="nil" w:sz="6" w:space="0" w:color="auto"/>
              <w:right w:val="single" w:sz="4" w:space="0" w:color="000000"/>
            </w:tcBorders>
            <w:shd w:val="clear" w:color="auto" w:fill="C7EDCC"/>
          </w:tcPr>
          <w:p>
            <w:pPr/>
          </w:p>
        </w:tc>
        <w:tc>
          <w:tcPr>
            <w:tcW w:w="1951" w:type="dxa"/>
            <w:tcBorders>
              <w:top w:val="single" w:sz="4" w:space="0" w:color="000000"/>
              <w:left w:val="single" w:sz="4" w:space="0" w:color="000000"/>
              <w:bottom w:val="nil" w:sz="6" w:space="0" w:color="auto"/>
              <w:right w:val="single" w:sz="4" w:space="0" w:color="000000"/>
            </w:tcBorders>
            <w:shd w:val="clear" w:color="auto" w:fill="C7EDCC"/>
          </w:tcPr>
          <w:p>
            <w:pPr/>
          </w:p>
        </w:tc>
        <w:tc>
          <w:tcPr>
            <w:tcW w:w="602"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45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因工作调动，辞去第九届董事会副董事长、董事、战略与</w:t>
            </w:r>
          </w:p>
        </w:tc>
      </w:tr>
      <w:tr>
        <w:trPr>
          <w:trHeight w:val="318" w:hRule="exact"/>
        </w:trPr>
        <w:tc>
          <w:tcPr>
            <w:tcW w:w="7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9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投资委员会委员、审计委员会委员和关联交易控制委员会</w:t>
            </w:r>
          </w:p>
        </w:tc>
      </w:tr>
      <w:tr>
        <w:trPr>
          <w:trHeight w:val="351" w:hRule="exact"/>
        </w:trPr>
        <w:tc>
          <w:tcPr>
            <w:tcW w:w="709" w:type="dxa"/>
            <w:tcBorders>
              <w:top w:val="nil" w:sz="6" w:space="0" w:color="auto"/>
              <w:left w:val="single" w:sz="4" w:space="0" w:color="000000"/>
              <w:bottom w:val="single" w:sz="4" w:space="0" w:color="000000"/>
              <w:right w:val="single" w:sz="4" w:space="0" w:color="000000"/>
            </w:tcBorders>
            <w:shd w:val="clear" w:color="auto" w:fill="C7EDCC"/>
          </w:tcPr>
          <w:p>
            <w:pPr/>
          </w:p>
        </w:tc>
        <w:tc>
          <w:tcPr>
            <w:tcW w:w="1951" w:type="dxa"/>
            <w:tcBorders>
              <w:top w:val="nil" w:sz="6" w:space="0" w:color="auto"/>
              <w:left w:val="single" w:sz="4" w:space="0" w:color="000000"/>
              <w:bottom w:val="single" w:sz="4" w:space="0" w:color="000000"/>
              <w:right w:val="single" w:sz="4" w:space="0" w:color="000000"/>
            </w:tcBorders>
            <w:shd w:val="clear" w:color="auto" w:fill="C7EDCC"/>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45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委员职务</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9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董事、副董事长、总经理</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第九届董事会第六次会议选举为董事会副董事长</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9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第九届董事会第六次会议聘任为副总经理</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9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第九届董事会第六次会议聘任为副总经理</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21" w:hanging="360"/>
        <w:jc w:val="left"/>
      </w:pPr>
      <w:r>
        <w:rPr/>
        <w:t>公司现任董事、监事、高级管理人员专业背景、主要工作经历以及目前在公司的主要职责 董悦先生，</w:t>
      </w:r>
      <w:r>
        <w:rPr>
          <w:rFonts w:ascii="Times New Roman" w:hAnsi="Times New Roman" w:cs="Times New Roman" w:eastAsia="Times New Roman" w:hint="default"/>
        </w:rPr>
        <w:t>1972</w:t>
      </w:r>
      <w:r>
        <w:rPr/>
        <w:t>年生，公共管理硕士，中国国籍，无境外居住权。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月，任建德市市长、建德市委</w:t>
      </w:r>
    </w:p>
    <w:p>
      <w:pPr>
        <w:pStyle w:val="BodyText"/>
        <w:spacing w:line="214" w:lineRule="exact"/>
        <w:ind w:right="0"/>
        <w:jc w:val="both"/>
      </w:pPr>
      <w:r>
        <w:rPr/>
        <w:t>书记；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月，任中共杭州市委副秘书长、宣传部副部长、市文明办主任；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月，任中</w:t>
      </w:r>
    </w:p>
    <w:p>
      <w:pPr>
        <w:pStyle w:val="BodyText"/>
        <w:spacing w:line="300" w:lineRule="auto" w:before="63"/>
        <w:ind w:right="1138"/>
        <w:jc w:val="both"/>
      </w:pPr>
      <w:r>
        <w:rPr/>
        <w:t>共杭州市委宣传部副部长、市文明办主任；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月至今，任杭州日报报业集团党委书记、社长，杭州日报报业集团有限 公司董事长、总经理；第十届浙江省政协委员，第十六届团中央委员，中共十届、十一届、十二届杭州市委委员。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月至今，任浙江华媒控股股份有限公司董事长。</w:t>
      </w:r>
    </w:p>
    <w:p>
      <w:pPr>
        <w:pStyle w:val="BodyText"/>
        <w:spacing w:line="300" w:lineRule="auto" w:before="70"/>
        <w:ind w:right="1120" w:firstLine="360"/>
        <w:jc w:val="left"/>
      </w:pPr>
      <w:r>
        <w:rPr/>
        <w:t>张剑秋先生，</w:t>
      </w:r>
      <w:r>
        <w:rPr>
          <w:rFonts w:ascii="Times New Roman" w:hAnsi="Times New Roman" w:cs="Times New Roman" w:eastAsia="Times New Roman" w:hint="default"/>
        </w:rPr>
        <w:t>1972</w:t>
      </w:r>
      <w:r>
        <w:rPr>
          <w:rFonts w:ascii="Times New Roman" w:hAnsi="Times New Roman" w:cs="Times New Roman" w:eastAsia="Times New Roman" w:hint="default"/>
          <w:spacing w:val="26"/>
        </w:rPr>
        <w:t> </w:t>
      </w:r>
      <w:r>
        <w:rPr/>
        <w:t>年生，硕士，中国国籍，无境外居住权，主任编辑职称。</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月，任杭报集团发行 </w:t>
      </w:r>
      <w:r>
        <w:rPr>
          <w:spacing w:val="-5"/>
        </w:rPr>
        <w:t>中心主任、每日送电子商务有限公司总经理；</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月，任杭报集团编委、每日商报社社长；</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月，任杭州每日传媒有限公司总经理；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月，任杭州每日传媒有限公司董事长。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w:t>
      </w:r>
      <w:r>
        <w:rPr/>
        <w:t>月，任浙江华媒控股股份有限公司副总经理；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月至今，任浙江华媒控股股份有限公司总经理；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 </w:t>
      </w:r>
      <w:r>
        <w:rPr>
          <w:spacing w:val="-2"/>
        </w:rPr>
        <w:t>任杭州日报报业集团党委委员；</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月至今，任浙江华媒控股股份有限公司董事；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月至今，任浙江华媒控股股份</w:t>
      </w:r>
      <w:r>
        <w:rPr>
          <w:spacing w:val="-56"/>
        </w:rPr>
        <w:t> </w:t>
      </w:r>
      <w:r>
        <w:rPr>
          <w:spacing w:val="-56"/>
        </w:rPr>
      </w:r>
      <w:r>
        <w:rPr/>
        <w:t>有限公司副董事长。</w:t>
      </w:r>
    </w:p>
    <w:p>
      <w:pPr>
        <w:pStyle w:val="BodyText"/>
        <w:spacing w:line="300" w:lineRule="auto" w:before="70"/>
        <w:ind w:left="153" w:right="1031" w:firstLine="360"/>
        <w:jc w:val="left"/>
      </w:pPr>
      <w:r>
        <w:rPr>
          <w:spacing w:val="-3"/>
        </w:rPr>
        <w:t>张韶衡先生，</w:t>
      </w:r>
      <w:r>
        <w:rPr>
          <w:rFonts w:ascii="Times New Roman" w:hAnsi="Times New Roman" w:cs="Times New Roman" w:eastAsia="Times New Roman" w:hint="default"/>
          <w:spacing w:val="-3"/>
        </w:rPr>
        <w:t>1974</w:t>
      </w:r>
      <w:r>
        <w:rPr>
          <w:spacing w:val="-3"/>
        </w:rPr>
        <w:t>年出生，本科，中国国籍，无境外居住权。</w:t>
      </w:r>
      <w:r>
        <w:rPr>
          <w:rFonts w:ascii="Times New Roman" w:hAnsi="Times New Roman" w:cs="Times New Roman" w:eastAsia="Times New Roman" w:hint="default"/>
          <w:spacing w:val="-3"/>
        </w:rPr>
        <w:t>2009</w:t>
      </w:r>
      <w:r>
        <w:rPr>
          <w:spacing w:val="-3"/>
        </w:rPr>
        <w:t>年至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月，任杭报集团盛元印务有限公司董事、</w:t>
      </w:r>
      <w:r>
        <w:rPr/>
        <w:t> 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月至今，任杭报集团盛元印务有限公司董事长、杭报集团每日送电子商务有限公司董事长；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 </w:t>
      </w:r>
      <w:r>
        <w:rPr>
          <w:spacing w:val="-2"/>
        </w:rPr>
        <w:t>今，任浙江风盛传媒股份有限公司董事长。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月，任浙江华媒控股股份有限公司副总经理；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w:t>
      </w:r>
      <w:r>
        <w:rPr>
          <w:spacing w:val="-50"/>
        </w:rPr>
        <w:t> </w:t>
      </w:r>
      <w:r>
        <w:rPr/>
        <w:t>今，任浙江华媒控股股份有限公司常务副总经理；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月至今，任浙江华媒控股股份有限公司董事。</w:t>
      </w:r>
    </w:p>
    <w:p>
      <w:pPr>
        <w:pStyle w:val="BodyText"/>
        <w:spacing w:line="309" w:lineRule="auto" w:before="52"/>
        <w:ind w:left="153" w:right="1031" w:firstLine="360"/>
        <w:jc w:val="left"/>
      </w:pPr>
      <w:r>
        <w:rPr>
          <w:spacing w:val="-2"/>
        </w:rPr>
        <w:t>刘小斌先生，</w:t>
      </w:r>
      <w:r>
        <w:rPr>
          <w:rFonts w:ascii="Times New Roman" w:hAnsi="Times New Roman" w:cs="Times New Roman" w:eastAsia="Times New Roman" w:hint="default"/>
          <w:spacing w:val="-2"/>
        </w:rPr>
        <w:t>1970</w:t>
      </w:r>
      <w:r>
        <w:rPr>
          <w:spacing w:val="-2"/>
        </w:rPr>
        <w:t>年生，硕士，中国国籍，无境外居住权。历任浙江华立医药投资集团有限公司财务总监，浙江华智控</w:t>
      </w:r>
      <w:r>
        <w:rPr/>
        <w:t> 股股份有限公司董事长，昆药集团股份有限公司董事，健民药业集团股份有限公司董事，华立集团股份有限公司财务总监、 </w:t>
      </w:r>
      <w:r>
        <w:rPr>
          <w:spacing w:val="-2"/>
        </w:rPr>
        <w:t>副总裁，上海开创国际海洋资源股份有限公司董事、副董事长，上海华策投资有限公司董事长，云南南天电子信息产业股份</w:t>
      </w:r>
    </w:p>
    <w:p>
      <w:pPr>
        <w:spacing w:after="0" w:line="309"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有限公司董事，传化集团有限公司高级副总裁，浙江百瑞教育科技股份有限公司董事兼副总裁。现任华立集团股份有限公司</w:t>
      </w:r>
      <w:r>
        <w:rPr>
          <w:spacing w:val="-66"/>
        </w:rPr>
        <w:t> </w:t>
      </w:r>
      <w:r>
        <w:rPr>
          <w:spacing w:val="-66"/>
        </w:rPr>
      </w:r>
      <w:r>
        <w:rPr/>
        <w:t>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月至今，任浙江华媒控股股份有限公司董事。</w:t>
      </w:r>
    </w:p>
    <w:p>
      <w:pPr>
        <w:pStyle w:val="BodyText"/>
        <w:spacing w:line="300" w:lineRule="auto" w:before="35"/>
        <w:ind w:left="153" w:right="1131" w:firstLine="360"/>
        <w:jc w:val="both"/>
      </w:pPr>
      <w:r>
        <w:rPr>
          <w:spacing w:val="-2"/>
        </w:rPr>
        <w:t>叶雪芳女士，</w:t>
      </w:r>
      <w:r>
        <w:rPr>
          <w:rFonts w:ascii="Times New Roman" w:hAnsi="Times New Roman" w:cs="Times New Roman" w:eastAsia="Times New Roman" w:hint="default"/>
          <w:spacing w:val="-2"/>
        </w:rPr>
        <w:t>1966</w:t>
      </w:r>
      <w:r>
        <w:rPr>
          <w:spacing w:val="-2"/>
        </w:rPr>
        <w:t>年出生，硕士，教授、注册会计师、资产评估师，中国国籍，无境外居住权。浙江工商大学财务与会</w:t>
      </w:r>
      <w:r>
        <w:rPr/>
        <w:t> 计学院担任会计学教授，主讲审计学、舞弊审计、审计理论与实务等本科生、研究生课程；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月，任浙 江海亮股份有限公司独立董事；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月，任浙江华策影视股份有限公司独立董事；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月至今，任浙江 康恩贝制药股份有限公司独立董事。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0" w:lineRule="auto" w:before="52"/>
        <w:ind w:left="153" w:right="1128" w:firstLine="360"/>
        <w:jc w:val="both"/>
      </w:pPr>
      <w:r>
        <w:rPr>
          <w:spacing w:val="-5"/>
        </w:rPr>
        <w:t>蔡才河先生，</w:t>
      </w:r>
      <w:r>
        <w:rPr>
          <w:rFonts w:ascii="Times New Roman" w:hAnsi="Times New Roman" w:cs="Times New Roman" w:eastAsia="Times New Roman" w:hint="default"/>
          <w:spacing w:val="-5"/>
        </w:rPr>
        <w:t>1970</w:t>
      </w:r>
      <w:r>
        <w:rPr>
          <w:spacing w:val="-5"/>
        </w:rPr>
        <w:t>年出生，硕士，注册会计师、注册税务师，中国国籍，无境外居住权，浙江省第十二届政协委员。</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月，历任深圳发展银行</w:t>
      </w:r>
      <w:r>
        <w:rPr>
          <w:rFonts w:ascii="Times New Roman" w:hAnsi="Times New Roman" w:cs="Times New Roman" w:eastAsia="Times New Roman" w:hint="default"/>
          <w:spacing w:val="-1"/>
        </w:rPr>
        <w:t>/</w:t>
      </w:r>
      <w:r>
        <w:rPr>
          <w:spacing w:val="-1"/>
        </w:rPr>
        <w:t>平安银行杭州分行投资银行部总经理助理、副总经理、总经理；</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2016</w:t>
      </w:r>
      <w:r>
        <w:rPr>
          <w:spacing w:val="-1"/>
        </w:rPr>
        <w:t>年</w:t>
      </w:r>
      <w:r>
        <w:rPr>
          <w:spacing w:val="-72"/>
        </w:rPr>
        <w:t> </w:t>
      </w:r>
      <w:r>
        <w:rPr>
          <w:rFonts w:ascii="Times New Roman" w:hAnsi="Times New Roman" w:cs="Times New Roman" w:eastAsia="Times New Roman" w:hint="default"/>
          <w:spacing w:val="-2"/>
        </w:rPr>
        <w:t>2</w:t>
      </w:r>
      <w:r>
        <w:rPr>
          <w:spacing w:val="-2"/>
        </w:rPr>
        <w:t>月，任浙江省物产集团有限公司投资与金融产业部副部长、资金运营管理中心副主任；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月，任物产中</w:t>
      </w:r>
      <w:r>
        <w:rPr>
          <w:spacing w:val="-54"/>
        </w:rPr>
        <w:t> </w:t>
      </w:r>
      <w:r>
        <w:rPr>
          <w:spacing w:val="-54"/>
        </w:rPr>
      </w:r>
      <w:r>
        <w:rPr/>
        <w:t>大集团股份有限公司资金管理运营中心副总经理；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月，任物产中大集团财务有限公司副董事长、总经 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月至今，任物产中大集团财务有限公司董事长；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月至今，任物产中大集团股份有限公司资金运营中心 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7" w:lineRule="auto" w:before="51"/>
        <w:ind w:left="153" w:right="0" w:firstLine="360"/>
        <w:jc w:val="left"/>
      </w:pPr>
      <w:r>
        <w:rPr>
          <w:spacing w:val="-2"/>
        </w:rPr>
        <w:t>郭全中先生，</w:t>
      </w:r>
      <w:r>
        <w:rPr>
          <w:rFonts w:ascii="Times New Roman" w:hAnsi="Times New Roman" w:cs="Times New Roman" w:eastAsia="Times New Roman" w:hint="default"/>
          <w:spacing w:val="-2"/>
        </w:rPr>
        <w:t>1976</w:t>
      </w:r>
      <w:r>
        <w:rPr>
          <w:spacing w:val="-2"/>
        </w:rPr>
        <w:t>年出生，管理学博士、工商管理博士后，高级经济师，中国国籍，无境外居留权。曾任南方报业传媒</w:t>
      </w:r>
      <w:r>
        <w:rPr/>
        <w:t> </w:t>
      </w:r>
      <w:r>
        <w:rPr>
          <w:spacing w:val="-4"/>
        </w:rPr>
        <w:t>集团战略运营部副主任，中国新闻出版传媒集团有限公司董事会秘书、投资咨询部主任。现任中共中央党校（国家行政学院）</w:t>
      </w:r>
      <w:r>
        <w:rPr>
          <w:spacing w:val="-46"/>
        </w:rPr>
        <w:t> </w:t>
      </w:r>
      <w:r>
        <w:rPr>
          <w:spacing w:val="-46"/>
        </w:rPr>
      </w:r>
      <w:r>
        <w:rPr/>
        <w:t>高级经济师，华闻传媒投资集团股份有限公司、东方网力科技股份有限公司独立董事。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月至今，任浙江华媒控股股 份有限公司独立董事。</w:t>
      </w:r>
    </w:p>
    <w:p>
      <w:pPr>
        <w:pStyle w:val="BodyText"/>
        <w:spacing w:line="300" w:lineRule="auto" w:before="64"/>
        <w:ind w:left="153" w:right="1138" w:firstLine="360"/>
        <w:jc w:val="both"/>
      </w:pPr>
      <w:r>
        <w:rPr/>
        <w:t>沈旭微先生，</w:t>
      </w:r>
      <w:r>
        <w:rPr>
          <w:rFonts w:ascii="Times New Roman" w:hAnsi="Times New Roman" w:cs="Times New Roman" w:eastAsia="Times New Roman" w:hint="default"/>
        </w:rPr>
        <w:t>1967</w:t>
      </w:r>
      <w:r>
        <w:rPr/>
        <w:t>年出生，本科，中国国籍，无境外居住权。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月，任中共杭州市余杭区委常委、 统战部长，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月至今，任杭州日报报业集团党委副书记、副总编辑，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月，任杭州日报传媒有限公 司副董事长；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月至今，任杭州日报传媒有限公司董事长。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月至今，任浙江华媒控股股份有限公司监事会主 席。</w:t>
      </w:r>
    </w:p>
    <w:p>
      <w:pPr>
        <w:pStyle w:val="BodyText"/>
        <w:spacing w:line="302" w:lineRule="auto" w:before="71"/>
        <w:ind w:right="1138" w:firstLine="360"/>
        <w:jc w:val="both"/>
      </w:pPr>
      <w:r>
        <w:rPr/>
        <w:t>陈军雄先生，</w:t>
      </w:r>
      <w:r>
        <w:rPr>
          <w:rFonts w:ascii="Times New Roman" w:hAnsi="Times New Roman" w:cs="Times New Roman" w:eastAsia="Times New Roman" w:hint="default"/>
        </w:rPr>
        <w:t>1965</w:t>
      </w:r>
      <w:r>
        <w:rPr/>
        <w:t>年出生，硕士，中国国籍，无境外居住权。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月，任杭报集团都市快报社编委；</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11</w:t>
      </w:r>
      <w:r>
        <w:rPr/>
        <w:t>月至今，任浙江都市快报控股有限公司董事、副总经理。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月至今，任浙江华媒控股股份有限公司监事。</w:t>
      </w:r>
    </w:p>
    <w:p>
      <w:pPr>
        <w:pStyle w:val="BodyText"/>
        <w:spacing w:line="304" w:lineRule="auto" w:before="49"/>
        <w:ind w:right="1128" w:firstLine="360"/>
        <w:jc w:val="both"/>
      </w:pPr>
      <w:r>
        <w:rPr>
          <w:spacing w:val="-2"/>
        </w:rPr>
        <w:t>裴蓉女士，</w:t>
      </w:r>
      <w:r>
        <w:rPr>
          <w:rFonts w:ascii="Times New Roman" w:hAnsi="Times New Roman" w:cs="Times New Roman" w:eastAsia="Times New Roman" w:hint="default"/>
          <w:spacing w:val="-2"/>
        </w:rPr>
        <w:t>1971</w:t>
      </w:r>
      <w:r>
        <w:rPr>
          <w:spacing w:val="-2"/>
        </w:rPr>
        <w:t>年出生，硕士，中国注册会计师，国际注册内审师，中国国籍，无境外居住权。</w:t>
      </w:r>
      <w:r>
        <w:rPr>
          <w:rFonts w:ascii="Times New Roman" w:hAnsi="Times New Roman" w:cs="Times New Roman" w:eastAsia="Times New Roman" w:hint="default"/>
          <w:spacing w:val="-2"/>
        </w:rPr>
        <w:t>1992</w:t>
      </w:r>
      <w:r>
        <w:rPr>
          <w:spacing w:val="-2"/>
        </w:rPr>
        <w:t>年起参加工作，任</w:t>
      </w:r>
      <w:r>
        <w:rPr/>
        <w:t> </w:t>
      </w:r>
      <w:r>
        <w:rPr>
          <w:spacing w:val="-2"/>
        </w:rPr>
        <w:t>杭州侨兴织带机厂财务科副科长；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月进入华立集团工作，历任财务经理、审计室主任、审计部部长。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月起担</w:t>
      </w:r>
      <w:r>
        <w:rPr>
          <w:spacing w:val="-56"/>
        </w:rPr>
        <w:t> </w:t>
      </w:r>
      <w:r>
        <w:rPr>
          <w:spacing w:val="-56"/>
        </w:rPr>
      </w:r>
      <w:r>
        <w:rPr>
          <w:spacing w:val="-2"/>
        </w:rPr>
        <w:t>任营运总监、财务总监、副总裁。现任华立集团股份有限公司董事、总裁，华立医药集团有限公司董事，昆药集团股份有限</w:t>
      </w:r>
      <w:r>
        <w:rPr>
          <w:spacing w:val="-68"/>
        </w:rPr>
        <w:t> </w:t>
      </w:r>
      <w:r>
        <w:rPr>
          <w:spacing w:val="-68"/>
        </w:rPr>
      </w:r>
      <w:r>
        <w:rPr>
          <w:spacing w:val="-2"/>
        </w:rPr>
        <w:t>公司董事，健民药业集团股份有限公司董事，华立科技股份有限公司董事。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月至今，任浙江华媒控股股份有限公司</w:t>
      </w:r>
      <w:r>
        <w:rPr>
          <w:spacing w:val="-60"/>
        </w:rPr>
        <w:t> </w:t>
      </w:r>
      <w:r>
        <w:rPr>
          <w:spacing w:val="-60"/>
        </w:rPr>
      </w:r>
      <w:r>
        <w:rPr/>
        <w:t>监事。</w:t>
      </w:r>
    </w:p>
    <w:p>
      <w:pPr>
        <w:pStyle w:val="BodyText"/>
        <w:spacing w:line="300" w:lineRule="auto" w:before="66"/>
        <w:ind w:right="1128" w:firstLine="360"/>
        <w:jc w:val="both"/>
      </w:pPr>
      <w:r>
        <w:rPr>
          <w:spacing w:val="-2"/>
        </w:rPr>
        <w:t>邹箭峰先生，</w:t>
      </w:r>
      <w:r>
        <w:rPr>
          <w:rFonts w:ascii="Times New Roman" w:hAnsi="Times New Roman" w:cs="Times New Roman" w:eastAsia="Times New Roman" w:hint="default"/>
          <w:spacing w:val="-2"/>
        </w:rPr>
        <w:t>1977</w:t>
      </w:r>
      <w:r>
        <w:rPr>
          <w:spacing w:val="-2"/>
        </w:rPr>
        <w:t>年出生，本科，中国国籍，无境外居住权。</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月，任浙江华媒投资有限公司投资部</w:t>
      </w:r>
      <w:r>
        <w:rPr/>
        <w:t> </w:t>
      </w:r>
      <w:r>
        <w:rPr>
          <w:spacing w:val="-2"/>
        </w:rPr>
        <w:t>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月，任杭报金都创意产业发展有限公司副总经理；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月，任浙江华媒投资有限</w:t>
      </w:r>
      <w:r>
        <w:rPr>
          <w:spacing w:val="-47"/>
        </w:rPr>
        <w:t> </w:t>
      </w:r>
      <w:r>
        <w:rPr>
          <w:spacing w:val="-47"/>
        </w:rPr>
      </w:r>
      <w:r>
        <w:rPr>
          <w:spacing w:val="-2"/>
        </w:rPr>
        <w:t>公司副总经理；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月，任浙江华媒控股股份有限公司投融资部主任；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月起至今，任浙江华媒投资</w:t>
      </w:r>
      <w:r>
        <w:rPr>
          <w:spacing w:val="-50"/>
        </w:rPr>
        <w:t> </w:t>
      </w:r>
      <w:r>
        <w:rPr>
          <w:spacing w:val="-50"/>
        </w:rPr>
      </w:r>
      <w:r>
        <w:rPr/>
        <w:t>有限公司副总经理。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月起至今，任浙江华媒控股股份有限公司职工监事。</w:t>
      </w:r>
    </w:p>
    <w:p>
      <w:pPr>
        <w:pStyle w:val="BodyText"/>
        <w:spacing w:line="300" w:lineRule="auto" w:before="52"/>
        <w:ind w:right="1138" w:firstLine="360"/>
        <w:jc w:val="both"/>
      </w:pPr>
      <w:r>
        <w:rPr/>
        <w:t>洪晓明先生，</w:t>
      </w:r>
      <w:r>
        <w:rPr>
          <w:rFonts w:ascii="Times New Roman" w:hAnsi="Times New Roman" w:cs="Times New Roman" w:eastAsia="Times New Roman" w:hint="default"/>
        </w:rPr>
        <w:t>1964</w:t>
      </w:r>
      <w:r>
        <w:rPr/>
        <w:t>年出生，本科，主任编辑，中国国籍，无境外居住权。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月，任杭州日报报业集团新 闻研究所编辑、主管；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月，任杭报集团经营管理办公室（总经理办公室）主管、主任助理；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月，任浙江华媒控股股份有限公司总经理办公室副主任；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月，任浙江华媒控股股份有限 公司董事会办公室副主任；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月，任浙江华媒控股股份有限公司董事会办公室主任。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 任浙江华媒控股有限公司顾问。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月至今，任浙江华媒控股股份有限公司职工监事。</w:t>
      </w:r>
    </w:p>
    <w:p>
      <w:pPr>
        <w:pStyle w:val="BodyText"/>
        <w:spacing w:line="300" w:lineRule="auto" w:before="51"/>
        <w:ind w:right="1138" w:firstLine="360"/>
        <w:jc w:val="both"/>
      </w:pPr>
      <w:r>
        <w:rPr/>
        <w:t>于国清先生，</w:t>
      </w:r>
      <w:r>
        <w:rPr>
          <w:rFonts w:ascii="Times New Roman" w:hAnsi="Times New Roman" w:cs="Times New Roman" w:eastAsia="Times New Roman" w:hint="default"/>
        </w:rPr>
        <w:t>1973</w:t>
      </w:r>
      <w:r>
        <w:rPr/>
        <w:t>年出生，硕士，中国国籍，无境外居住权。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月，任杭报集团杭州日报编委、办公室 主任；</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月，任杭报集团总编辑办公室主任；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月，任杭报集团每日送电子商务有限 公司董事、总经理。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月至今，任浙江华媒控股股份有限公司副总经理。</w:t>
      </w:r>
    </w:p>
    <w:p>
      <w:pPr>
        <w:pStyle w:val="BodyText"/>
        <w:spacing w:line="302" w:lineRule="auto" w:before="51"/>
        <w:ind w:right="1041" w:firstLine="360"/>
        <w:jc w:val="both"/>
      </w:pPr>
      <w:r>
        <w:rPr>
          <w:spacing w:val="-4"/>
        </w:rPr>
        <w:t>郭勤勇先生，</w:t>
      </w:r>
      <w:r>
        <w:rPr>
          <w:rFonts w:ascii="Times New Roman" w:hAnsi="Times New Roman" w:cs="Times New Roman" w:eastAsia="Times New Roman" w:hint="default"/>
          <w:spacing w:val="-4"/>
        </w:rPr>
        <w:t>1973</w:t>
      </w:r>
      <w:r>
        <w:rPr>
          <w:rFonts w:ascii="Times New Roman" w:hAnsi="Times New Roman" w:cs="Times New Roman" w:eastAsia="Times New Roman" w:hint="default"/>
          <w:spacing w:val="7"/>
        </w:rPr>
        <w:t> </w:t>
      </w:r>
      <w:r>
        <w:rPr>
          <w:spacing w:val="-5"/>
        </w:rPr>
        <w:t>年出生，本科，中国国籍，无境外居住权。</w:t>
      </w:r>
      <w:r>
        <w:rPr>
          <w:rFonts w:ascii="Times New Roman" w:hAnsi="Times New Roman" w:cs="Times New Roman" w:eastAsia="Times New Roman" w:hint="default"/>
          <w:spacing w:val="-5"/>
        </w:rPr>
        <w:t>2009</w:t>
      </w:r>
      <w:r>
        <w:rPr>
          <w:spacing w:val="-5"/>
        </w:rPr>
        <w:t>年至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月，任杭报集团资产运营中心主任。</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12</w:t>
      </w:r>
      <w:r>
        <w:rPr>
          <w:spacing w:val="-2"/>
        </w:rPr>
        <w:t>月至今，任浙江华媒控股股份有限公司财务总监。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月至今，任浙江华媒控股股份有限公司财务总监、副总经理。</w:t>
      </w:r>
    </w:p>
    <w:p>
      <w:pPr>
        <w:pStyle w:val="BodyText"/>
        <w:spacing w:line="300" w:lineRule="auto" w:before="50"/>
        <w:ind w:left="153" w:right="1128" w:firstLine="360"/>
        <w:jc w:val="both"/>
      </w:pPr>
      <w:r>
        <w:rPr>
          <w:spacing w:val="-2"/>
        </w:rPr>
        <w:t>高坚强先生，</w:t>
      </w:r>
      <w:r>
        <w:rPr>
          <w:rFonts w:ascii="Times New Roman" w:hAnsi="Times New Roman" w:cs="Times New Roman" w:eastAsia="Times New Roman" w:hint="default"/>
          <w:spacing w:val="-2"/>
        </w:rPr>
        <w:t>1987</w:t>
      </w:r>
      <w:r>
        <w:rPr>
          <w:spacing w:val="-2"/>
        </w:rPr>
        <w:t>年出生，硕士，中国注册会计师，中国国籍，无境外居住权。</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月任安永会计师事务</w:t>
      </w:r>
      <w:r>
        <w:rPr/>
        <w:t> </w:t>
      </w:r>
      <w:r>
        <w:rPr>
          <w:spacing w:val="-2"/>
        </w:rPr>
        <w:t>所审计师；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月任浙江晶盛机电股份有限公司董事会办公室主任兼证券事务代表。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w:t>
      </w:r>
    </w:p>
    <w:p>
      <w:pPr>
        <w:spacing w:after="0" w:line="300" w:lineRule="auto"/>
        <w:jc w:val="both"/>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444" w:right="0" w:hanging="291"/>
        <w:jc w:val="left"/>
      </w:pPr>
      <w:r>
        <w:rPr/>
        <w:t>浙江华媒控股股份有限公司董事会秘书。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月至今，任浙江华媒控股股份有限公司董事会秘书、副总经理。 王柏华先生，</w:t>
      </w:r>
      <w:r>
        <w:rPr>
          <w:rFonts w:ascii="Times New Roman" w:hAnsi="Times New Roman" w:cs="Times New Roman" w:eastAsia="Times New Roman" w:hint="default"/>
        </w:rPr>
        <w:t>1969</w:t>
      </w:r>
      <w:r>
        <w:rPr/>
        <w:t>年出生，本科，中国国籍，无境外居住权。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月任萧山日报副总编辑；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p>
    <w:p>
      <w:pPr>
        <w:pStyle w:val="BodyText"/>
        <w:spacing w:line="230" w:lineRule="exact"/>
        <w:ind w:right="0"/>
        <w:jc w:val="left"/>
      </w:pPr>
      <w:r>
        <w:rPr/>
        <w:t>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月任萧山日报副社长、杭州萧山日报传媒有限公司总经理；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月任萧山日报社长、杭州萧山日</w:t>
      </w:r>
    </w:p>
    <w:p>
      <w:pPr>
        <w:pStyle w:val="BodyText"/>
        <w:spacing w:line="302" w:lineRule="auto" w:before="63"/>
        <w:ind w:right="1120"/>
        <w:jc w:val="left"/>
      </w:pPr>
      <w:r>
        <w:rPr/>
        <w:t>报传媒有限公司副董事长。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月至今任浙江华媒控股股份有限公司副总经理，杭州文化产权交易所有限公司董事长、</w:t>
      </w:r>
      <w:r>
        <w:rPr>
          <w:spacing w:val="-83"/>
        </w:rPr>
        <w:t> </w:t>
      </w:r>
      <w:r>
        <w:rPr>
          <w:spacing w:val="-83"/>
        </w:rPr>
      </w:r>
      <w:r>
        <w:rPr/>
        <w:t>总经理。</w:t>
      </w:r>
    </w:p>
    <w:p>
      <w:pPr>
        <w:pStyle w:val="BodyText"/>
        <w:spacing w:line="240" w:lineRule="auto" w:before="70"/>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229"/>
        <w:gridCol w:w="2340"/>
        <w:gridCol w:w="1832"/>
        <w:gridCol w:w="1571"/>
        <w:gridCol w:w="1278"/>
        <w:gridCol w:w="1444"/>
      </w:tblGrid>
      <w:tr>
        <w:trPr>
          <w:trHeight w:val="714" w:hRule="exact"/>
        </w:trPr>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6" w:right="95"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6" w:right="8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7"/>
        <w:gridCol w:w="2975"/>
        <w:gridCol w:w="1552"/>
        <w:gridCol w:w="1615"/>
        <w:gridCol w:w="1134"/>
        <w:gridCol w:w="1444"/>
      </w:tblGrid>
      <w:tr>
        <w:trPr>
          <w:trHeight w:val="714" w:hRule="exact"/>
        </w:trPr>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7" w:right="107"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6" w:right="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党委书记、社长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华数数字电视传媒集团有限公司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杭报集团每日送电子商务有限公司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 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浙江康恩贝制药股份有限公司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物产中大集团财务有限公司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物产中大集团股份有限公司资金管理 运营中心</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国家行政学院社会和文化教研部</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高级经济师</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东方网力科技股份有限公司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7"/>
        <w:gridCol w:w="2975"/>
        <w:gridCol w:w="1552"/>
        <w:gridCol w:w="1615"/>
        <w:gridCol w:w="1134"/>
        <w:gridCol w:w="1444"/>
      </w:tblGrid>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副总编辑</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 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浙江饭美科技有限公司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华立科技股份有限公司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华立医药集团有限公司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杭州钱塘书报刊有限公司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杭州华媒文化发展有限公司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杭州华媒股权投资有限公司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杭州中大源新股权投资有限公司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江苏吴中实业股份有限公司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浙江华媒优培资产管理有限公司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杭州市企业上市与并购促进会</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7"/>
        <w:gridCol w:w="2975"/>
        <w:gridCol w:w="1552"/>
        <w:gridCol w:w="1615"/>
        <w:gridCol w:w="1134"/>
        <w:gridCol w:w="1444"/>
      </w:tblGrid>
      <w:tr>
        <w:trPr>
          <w:trHeight w:val="402" w:hRule="exact"/>
        </w:trPr>
        <w:tc>
          <w:tcPr>
            <w:tcW w:w="9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29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杭州融益文化发展有限公司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031" w:hanging="360"/>
        <w:jc w:val="left"/>
      </w:pPr>
      <w:r>
        <w:rPr/>
        <w:t>董事、监事、高级管理人员报酬的决策程序、确定依据、实际支付情况 公司第七届董事会第十七次会议、</w:t>
      </w:r>
      <w:r>
        <w:rPr>
          <w:rFonts w:ascii="Times New Roman" w:hAnsi="Times New Roman" w:cs="Times New Roman" w:eastAsia="Times New Roman" w:hint="default"/>
        </w:rPr>
        <w:t>2014</w:t>
      </w:r>
      <w:r>
        <w:rPr/>
        <w:t>年年度股东大会审议通过《董事、监事及高级管理人员薪酬管理制度》，董事、</w:t>
      </w:r>
    </w:p>
    <w:p>
      <w:pPr>
        <w:pStyle w:val="BodyText"/>
        <w:spacing w:line="202" w:lineRule="exact"/>
        <w:ind w:left="153" w:right="0"/>
        <w:jc w:val="left"/>
      </w:pPr>
      <w:r>
        <w:rPr/>
        <w:t>监事、高级管理人员的薪酬根据该制度执行。</w:t>
      </w:r>
    </w:p>
    <w:p>
      <w:pPr>
        <w:pStyle w:val="BodyText"/>
        <w:spacing w:line="302" w:lineRule="auto" w:before="116"/>
        <w:ind w:left="153" w:right="0" w:firstLine="360"/>
        <w:jc w:val="left"/>
      </w:pPr>
      <w:r>
        <w:rPr>
          <w:rFonts w:ascii="Times New Roman" w:hAnsi="Times New Roman" w:cs="Times New Roman" w:eastAsia="Times New Roman" w:hint="default"/>
          <w:spacing w:val="-1"/>
        </w:rPr>
        <w:t>2019</w:t>
      </w:r>
      <w:r>
        <w:rPr>
          <w:spacing w:val="-1"/>
        </w:rPr>
        <w:t>年度高级管理人员实行年薪制，主要构成为基础年薪（占比</w:t>
      </w:r>
      <w:r>
        <w:rPr>
          <w:rFonts w:ascii="Times New Roman" w:hAnsi="Times New Roman" w:cs="Times New Roman" w:eastAsia="Times New Roman" w:hint="default"/>
          <w:spacing w:val="-1"/>
        </w:rPr>
        <w:t>70%</w:t>
      </w:r>
      <w:r>
        <w:rPr>
          <w:spacing w:val="-1"/>
        </w:rPr>
        <w:t>）和绩效年薪（占比</w:t>
      </w:r>
      <w:r>
        <w:rPr>
          <w:rFonts w:ascii="Times New Roman" w:hAnsi="Times New Roman" w:cs="Times New Roman" w:eastAsia="Times New Roman" w:hint="default"/>
          <w:spacing w:val="-1"/>
        </w:rPr>
        <w:t>30%</w:t>
      </w:r>
      <w:r>
        <w:rPr>
          <w:spacing w:val="-1"/>
        </w:rPr>
        <w:t>）。在公司实现当年利润</w:t>
      </w:r>
      <w:r>
        <w:rPr/>
        <w:t> 承诺的前提下，对高管进行超额奖励；同时以公司利润指标为核心，引入风险扣罚机制。</w:t>
      </w:r>
    </w:p>
    <w:p>
      <w:pPr>
        <w:pStyle w:val="BodyText"/>
        <w:spacing w:line="338" w:lineRule="auto" w:before="69"/>
        <w:ind w:left="153" w:right="2651" w:firstLine="360"/>
        <w:jc w:val="left"/>
      </w:pPr>
      <w:r>
        <w:rPr/>
        <w:t>各高级管理人员的年薪标准结合具体岗位职责和工作目标，并参考</w:t>
      </w:r>
      <w:r>
        <w:rPr>
          <w:rFonts w:ascii="Times New Roman" w:hAnsi="Times New Roman" w:cs="Times New Roman" w:eastAsia="Times New Roman" w:hint="default"/>
        </w:rPr>
        <w:t>2018</w:t>
      </w:r>
      <w:r>
        <w:rPr/>
        <w:t>年度行业薪酬水平而确定。 公司报告期内董事、监事和高级管理人员报酬情况</w:t>
      </w:r>
    </w:p>
    <w:p>
      <w:pPr>
        <w:pStyle w:val="BodyText"/>
        <w:spacing w:line="240" w:lineRule="auto" w:before="4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892"/>
        <w:gridCol w:w="842"/>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董悦</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刘小斌</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沈旭微</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8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552.31</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9"/>
        <w:gridCol w:w="4787"/>
      </w:tblGrid>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54</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2,743</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2,797</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2,797</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357</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217</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121</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媒体人员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220</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683</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421</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发行人员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778</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2,797</w:t>
            </w:r>
          </w:p>
        </w:tc>
      </w:tr>
      <w:tr>
        <w:trPr>
          <w:trHeight w:val="330"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126</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1,158</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405</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中专技工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89</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1,019</w:t>
            </w:r>
          </w:p>
        </w:tc>
      </w:tr>
      <w:tr>
        <w:trPr>
          <w:trHeight w:val="330" w:hRule="exact"/>
        </w:trPr>
        <w:tc>
          <w:tcPr>
            <w:tcW w:w="4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131" w:firstLine="360"/>
        <w:jc w:val="both"/>
      </w:pPr>
      <w:r>
        <w:rPr>
          <w:spacing w:val="-1"/>
        </w:rPr>
        <w:t>公司根据职工的职能和职级确定相应的薪酬形式，主要包括年薪制和组合工资制（岗位</w:t>
      </w:r>
      <w:r>
        <w:rPr>
          <w:rFonts w:ascii="Times New Roman" w:hAnsi="Times New Roman" w:cs="Times New Roman" w:eastAsia="Times New Roman" w:hint="default"/>
          <w:spacing w:val="-1"/>
        </w:rPr>
        <w:t>+</w:t>
      </w:r>
      <w:r>
        <w:rPr>
          <w:spacing w:val="-1"/>
        </w:rPr>
        <w:t>绩效）。公司严格按照国家和</w:t>
      </w:r>
      <w:r>
        <w:rPr/>
        <w:t> </w:t>
      </w:r>
      <w:r>
        <w:rPr>
          <w:spacing w:val="-2"/>
        </w:rPr>
        <w:t>地方法律法规以及公司制度为职工缴纳社会保险和住房公积金，并为职工提供丰富和完善的福利计划，包括就餐补贴、高温</w:t>
      </w:r>
      <w:r>
        <w:rPr>
          <w:spacing w:val="-66"/>
        </w:rPr>
        <w:t> </w:t>
      </w:r>
      <w:r>
        <w:rPr>
          <w:spacing w:val="-66"/>
        </w:rPr>
      </w:r>
      <w:r>
        <w:rPr/>
        <w:t>补贴、年度体检、带薪休假、带薪病假、婚育礼金、节日慰问、女工保险等。</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3" w:right="1131" w:firstLine="360"/>
        <w:jc w:val="both"/>
      </w:pPr>
      <w:r>
        <w:rPr>
          <w:spacing w:val="-2"/>
        </w:rPr>
        <w:t>公司注重职工的职业技能提升和个人职业发展。报告期内，公司（含全资子公司和控股子公司，不含参股公司）组织各</w:t>
      </w:r>
      <w:r>
        <w:rPr/>
        <w:t> </w:t>
      </w:r>
      <w:r>
        <w:rPr>
          <w:spacing w:val="-2"/>
        </w:rPr>
        <w:t>级、各类培训百余项，受训职工近</w:t>
      </w:r>
      <w:r>
        <w:rPr>
          <w:rFonts w:ascii="Times New Roman" w:hAnsi="Times New Roman" w:cs="Times New Roman" w:eastAsia="Times New Roman" w:hint="default"/>
          <w:spacing w:val="-2"/>
        </w:rPr>
        <w:t>2000</w:t>
      </w:r>
      <w:r>
        <w:rPr>
          <w:spacing w:val="-2"/>
        </w:rPr>
        <w:t>人次，采用内部授课、外部游学、头脑风暴、同行交流等多种形式，内容覆盖新员工</w:t>
      </w:r>
      <w:r>
        <w:rPr>
          <w:spacing w:val="-61"/>
        </w:rPr>
        <w:t> </w:t>
      </w:r>
      <w:r>
        <w:rPr>
          <w:spacing w:val="-61"/>
        </w:rPr>
      </w:r>
      <w:r>
        <w:rPr/>
        <w:t>培训、业务技能、职业资格、内部管控、职业生涯、领导能力等各个方面。</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99"/>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spacing w:val="-2"/>
        </w:rPr>
        <w:t>报告期内，公司严格按照《公司法》、《证券法》、《上市公司治理准则》、《深圳证券交易所股票上市规则》、《企</w:t>
      </w:r>
      <w:r>
        <w:rPr/>
        <w:t> </w:t>
      </w:r>
      <w:r>
        <w:rPr>
          <w:spacing w:val="-2"/>
        </w:rPr>
        <w:t>业内部控制基本规范》及其配套指引等有关法律法规、规范性文件的要求，不断完善公司法人治理结构，健全内部管理和控</w:t>
      </w:r>
      <w:r>
        <w:rPr>
          <w:spacing w:val="-66"/>
        </w:rPr>
        <w:t> </w:t>
      </w:r>
      <w:r>
        <w:rPr>
          <w:spacing w:val="-66"/>
        </w:rPr>
      </w:r>
      <w:r>
        <w:rPr/>
        <w:t>制制度，规范公司运作，加强内幕信息管理，强化信息披露工作。</w:t>
      </w:r>
    </w:p>
    <w:p>
      <w:pPr>
        <w:pStyle w:val="BodyText"/>
        <w:spacing w:line="360" w:lineRule="auto" w:before="19"/>
        <w:ind w:left="153" w:right="3551" w:firstLine="360"/>
        <w:jc w:val="left"/>
      </w:pPr>
      <w:r>
        <w:rPr/>
        <w:t>公司治理实际情况与《公司法》和中国证监会相关规定的要求不存在差异。 公司治理的实际状况与中国证监会发布的有关上市公司治理的规范性文件是否存在重大差异</w:t>
      </w:r>
    </w:p>
    <w:p>
      <w:pPr>
        <w:pStyle w:val="BodyText"/>
        <w:spacing w:line="338" w:lineRule="auto" w:before="27"/>
        <w:ind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31" w:firstLine="360"/>
        <w:jc w:val="both"/>
      </w:pPr>
      <w:r>
        <w:rPr>
          <w:spacing w:val="-2"/>
        </w:rPr>
        <w:t>公司与控股股东在业务、人员、资产、机构、财务上已经做到</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，具有独立完整的业务及自主经营能力，不存在</w:t>
      </w:r>
      <w:r>
        <w:rPr/>
        <w:t> 向控股股东报送未公开信息等有违公司治理准则的非规范行为。</w:t>
      </w:r>
    </w:p>
    <w:p>
      <w:pPr>
        <w:pStyle w:val="BodyText"/>
        <w:spacing w:line="240" w:lineRule="auto" w:before="70"/>
        <w:ind w:left="514" w:right="0"/>
        <w:jc w:val="left"/>
      </w:pPr>
      <w:r>
        <w:rPr>
          <w:rFonts w:ascii="Times New Roman" w:hAnsi="Times New Roman" w:cs="Times New Roman" w:eastAsia="Times New Roman" w:hint="default"/>
        </w:rPr>
        <w:t>1</w:t>
      </w:r>
      <w:r>
        <w:rPr/>
        <w:t>、业务方面：公司独立于控股股东，具有独立完整的业务及自主经营能力。</w:t>
      </w:r>
    </w:p>
    <w:p>
      <w:pPr>
        <w:pStyle w:val="BodyText"/>
        <w:spacing w:line="302" w:lineRule="auto" w:before="101"/>
        <w:ind w:right="1128" w:firstLine="360"/>
        <w:jc w:val="both"/>
      </w:pPr>
      <w:r>
        <w:rPr>
          <w:rFonts w:ascii="Times New Roman" w:hAnsi="Times New Roman" w:cs="Times New Roman" w:eastAsia="Times New Roman" w:hint="default"/>
        </w:rPr>
        <w:t>2</w:t>
      </w:r>
      <w:r>
        <w:rPr/>
        <w:t>、人员方面：公司在人事、薪酬管理方面进行独立管理；公司与所有员工均签定了劳动合同；公司股东推荐的董事、 监事通过合法程序任职，没有干预公司董事会和股东大会作出的人事任免决定的情形。</w:t>
      </w:r>
    </w:p>
    <w:p>
      <w:pPr>
        <w:pStyle w:val="BodyText"/>
        <w:spacing w:line="312" w:lineRule="auto" w:before="68"/>
        <w:ind w:right="1128" w:firstLine="360"/>
        <w:jc w:val="both"/>
      </w:pPr>
      <w:r>
        <w:rPr>
          <w:rFonts w:ascii="Times New Roman" w:hAnsi="Times New Roman" w:cs="Times New Roman" w:eastAsia="Times New Roman" w:hint="default"/>
        </w:rPr>
        <w:t>3</w:t>
      </w:r>
      <w:r>
        <w:rPr/>
        <w:t>、资产方面：公司拥有独立于控股股东的生产系统、辅助生产系统和配套设施等；公司拥有独立的采购和销售系统。 </w:t>
      </w:r>
      <w:r>
        <w:rPr>
          <w:spacing w:val="-2"/>
        </w:rPr>
        <w:t>公司与控股股东及其他关联方资产权属清晰，不存在控股股东及其他关联方违规占用公司资产、资产及其他资源的情形。公</w:t>
      </w:r>
      <w:r>
        <w:rPr>
          <w:spacing w:val="-66"/>
        </w:rPr>
        <w:t> </w:t>
      </w:r>
      <w:r>
        <w:rPr>
          <w:spacing w:val="-66"/>
        </w:rPr>
      </w:r>
      <w:r>
        <w:rPr>
          <w:spacing w:val="-2"/>
        </w:rPr>
        <w:t>司不存在以资产或信誉为各股东的债务提供担保，也未以公司名义的借款、授信额度转借给各股东。公司对所有资产具有完</w:t>
      </w:r>
      <w:r>
        <w:rPr>
          <w:spacing w:val="-66"/>
        </w:rPr>
        <w:t> </w:t>
      </w:r>
      <w:r>
        <w:rPr>
          <w:spacing w:val="-66"/>
        </w:rPr>
      </w:r>
      <w:r>
        <w:rPr/>
        <w:t>全的控制支配权，不存在资产、资金被控股股东占用而损害公司利益的情形。</w:t>
      </w:r>
    </w:p>
    <w:p>
      <w:pPr>
        <w:pStyle w:val="BodyText"/>
        <w:spacing w:line="302" w:lineRule="auto" w:before="62"/>
        <w:ind w:right="1041" w:firstLine="360"/>
        <w:jc w:val="both"/>
      </w:pPr>
      <w:r>
        <w:rPr>
          <w:rFonts w:ascii="Times New Roman" w:hAnsi="Times New Roman" w:cs="Times New Roman" w:eastAsia="Times New Roman" w:hint="default"/>
          <w:spacing w:val="-2"/>
        </w:rPr>
        <w:t>4</w:t>
      </w:r>
      <w:r>
        <w:rPr>
          <w:spacing w:val="-2"/>
        </w:rPr>
        <w:t>、机构方面：公司具有完整、独立的法人治理结构，公司的股东大会、董事会、监事会、经营管理机构等均依法设立，</w:t>
      </w:r>
      <w:r>
        <w:rPr/>
        <w:t> 并规范运作；不存在与控股股东合署办公的情况。</w:t>
      </w:r>
    </w:p>
    <w:p>
      <w:pPr>
        <w:pStyle w:val="BodyText"/>
        <w:spacing w:line="302" w:lineRule="auto" w:before="68"/>
        <w:ind w:right="1128" w:firstLine="360"/>
        <w:jc w:val="both"/>
      </w:pPr>
      <w:r>
        <w:rPr>
          <w:rFonts w:ascii="Times New Roman" w:hAnsi="Times New Roman" w:cs="Times New Roman" w:eastAsia="Times New Roman" w:hint="default"/>
        </w:rPr>
        <w:t>5</w:t>
      </w:r>
      <w:r>
        <w:rPr/>
        <w:t>、财务方面：公司设有独立的财务部门，建立了独立的会计核算体系和财务管理制度，开立了独立的银行帐户和税务 登记号，独立经营纳税。</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402"/>
        <w:gridCol w:w="1207"/>
        <w:gridCol w:w="1399"/>
        <w:gridCol w:w="1636"/>
        <w:gridCol w:w="1637"/>
        <w:gridCol w:w="1401"/>
      </w:tblGrid>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445"/>
        <w:gridCol w:w="1178"/>
        <w:gridCol w:w="1180"/>
        <w:gridCol w:w="1178"/>
        <w:gridCol w:w="1180"/>
        <w:gridCol w:w="1178"/>
        <w:gridCol w:w="1180"/>
        <w:gridCol w:w="1175"/>
      </w:tblGrid>
      <w:tr>
        <w:trPr>
          <w:trHeight w:val="402" w:hRule="exact"/>
        </w:trPr>
        <w:tc>
          <w:tcPr>
            <w:tcW w:w="969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15" w:right="42"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15" w:right="42"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94" w:right="42"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 w:right="42"/>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1" w:right="41"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6" w:hRule="exact"/>
        </w:trPr>
        <w:tc>
          <w:tcPr>
            <w:tcW w:w="14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独立董事对公司有关建议均已被采纳。</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0" w:firstLine="290"/>
        <w:jc w:val="left"/>
      </w:pPr>
      <w:r>
        <w:rPr>
          <w:rFonts w:ascii="Times New Roman" w:hAnsi="Times New Roman" w:cs="Times New Roman" w:eastAsia="Times New Roman" w:hint="default"/>
        </w:rPr>
        <w:t>1</w:t>
      </w:r>
      <w:r>
        <w:rPr/>
        <w:t>、报告期内，公司董事会下设战略与投资委员会根据《公司法》、《上市公司治理准则》等相关法律、法规、规范性 </w:t>
      </w:r>
      <w:r>
        <w:rPr>
          <w:spacing w:val="-2"/>
        </w:rPr>
        <w:t>文件及《公司章程》、《战略与投资委员会工作细则》的要求，主要负责对公司长期发展战略和重大投资决策进行研究并提</w:t>
      </w:r>
      <w:r>
        <w:rPr>
          <w:spacing w:val="-67"/>
        </w:rPr>
        <w:t> </w:t>
      </w:r>
      <w:r>
        <w:rPr>
          <w:spacing w:val="-67"/>
        </w:rPr>
      </w:r>
      <w:r>
        <w:rPr/>
        <w:t>出建议。报告期内，战略与投资委员会共召开</w:t>
      </w:r>
      <w:r>
        <w:rPr>
          <w:rFonts w:ascii="Times New Roman" w:hAnsi="Times New Roman" w:cs="Times New Roman" w:eastAsia="Times New Roman" w:hint="default"/>
        </w:rPr>
        <w:t>1</w:t>
      </w:r>
      <w:r>
        <w:rPr/>
        <w:t>次会议，具体如下：</w:t>
      </w:r>
    </w:p>
    <w:p>
      <w:pPr>
        <w:pStyle w:val="BodyText"/>
        <w:spacing w:line="240" w:lineRule="auto" w:before="5"/>
        <w:ind w:left="444" w:right="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26</w:t>
      </w:r>
      <w:r>
        <w:rPr>
          <w:spacing w:val="-5"/>
        </w:rPr>
        <w:t>日，战略与投资委员会召开</w:t>
      </w:r>
      <w:r>
        <w:rPr>
          <w:rFonts w:ascii="Times New Roman" w:hAnsi="Times New Roman" w:cs="Times New Roman" w:eastAsia="Times New Roman" w:hint="default"/>
          <w:spacing w:val="-5"/>
        </w:rPr>
        <w:t>2019</w:t>
      </w:r>
      <w:r>
        <w:rPr>
          <w:spacing w:val="-5"/>
        </w:rPr>
        <w:t>年第一次会议，审议：《关于对外投资设立子公司的议案（华媒文化）》、</w:t>
      </w:r>
    </w:p>
    <w:p>
      <w:pPr>
        <w:pStyle w:val="BodyText"/>
        <w:spacing w:line="240" w:lineRule="auto" w:before="63"/>
        <w:ind w:left="153" w:right="0"/>
        <w:jc w:val="left"/>
      </w:pPr>
      <w:r>
        <w:rPr/>
        <w:t>《关于对外投资设立子公司的议案（华媒智谷）》，并出具了同意的审核意见。</w:t>
      </w:r>
    </w:p>
    <w:p>
      <w:pPr>
        <w:pStyle w:val="BodyText"/>
        <w:spacing w:line="240" w:lineRule="auto" w:before="76"/>
        <w:ind w:left="444" w:right="0"/>
        <w:jc w:val="left"/>
      </w:pPr>
      <w:r>
        <w:rPr>
          <w:rFonts w:ascii="Times New Roman" w:hAnsi="Times New Roman" w:cs="Times New Roman" w:eastAsia="Times New Roman" w:hint="default"/>
        </w:rPr>
        <w:t>2</w:t>
      </w:r>
      <w:r>
        <w:rPr/>
        <w:t>、报告期内，公司董事会下设审计委员会根据《公司法》、《上市公司治理准则》等相关法律、法规、规范性文件及</w:t>
      </w:r>
    </w:p>
    <w:p>
      <w:pPr>
        <w:pStyle w:val="BodyText"/>
        <w:spacing w:line="316" w:lineRule="auto" w:before="63"/>
        <w:ind w:left="153" w:right="0"/>
        <w:jc w:val="left"/>
      </w:pPr>
      <w:r>
        <w:rPr>
          <w:spacing w:val="-2"/>
        </w:rPr>
        <w:t>《公司章程》、《审计委员会工作细则》的要求，主要负责公司内、外部审计、监督和核查工作。报告期内，审计委员会共</w:t>
      </w:r>
      <w:r>
        <w:rPr>
          <w:spacing w:val="-69"/>
        </w:rPr>
        <w:t> </w:t>
      </w:r>
      <w:r>
        <w:rPr>
          <w:spacing w:val="-69"/>
        </w:rPr>
      </w:r>
      <w:r>
        <w:rPr/>
        <w:t>召开三次会议，具体如下：</w:t>
      </w:r>
    </w:p>
    <w:p>
      <w:pPr>
        <w:pStyle w:val="BodyText"/>
        <w:spacing w:line="300" w:lineRule="auto" w:before="19"/>
        <w:ind w:left="153" w:right="0" w:firstLine="29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日，审计委员会召开</w:t>
      </w:r>
      <w:r>
        <w:rPr>
          <w:rFonts w:ascii="Times New Roman" w:hAnsi="Times New Roman" w:cs="Times New Roman" w:eastAsia="Times New Roman" w:hint="default"/>
          <w:spacing w:val="-2"/>
        </w:rPr>
        <w:t>2019</w:t>
      </w:r>
      <w:r>
        <w:rPr>
          <w:spacing w:val="-2"/>
        </w:rPr>
        <w:t>年第一次会议，审议：《</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1"/>
        </w:rPr>
        <w:t> </w:t>
      </w:r>
      <w:r>
        <w:rPr>
          <w:spacing w:val="-2"/>
        </w:rPr>
        <w:t>年度报告全文及其摘要》、《</w:t>
      </w:r>
      <w:r>
        <w:rPr>
          <w:rFonts w:ascii="Times New Roman" w:hAnsi="Times New Roman" w:cs="Times New Roman" w:eastAsia="Times New Roman" w:hint="default"/>
          <w:spacing w:val="-2"/>
        </w:rPr>
        <w:t>2019</w:t>
      </w:r>
      <w:r>
        <w:rPr>
          <w:spacing w:val="-2"/>
        </w:rPr>
        <w:t>年第一季度报</w:t>
      </w:r>
      <w:r>
        <w:rPr/>
        <w:t> </w:t>
      </w:r>
      <w:r>
        <w:rPr>
          <w:spacing w:val="-2"/>
        </w:rPr>
        <w:t>告全文及其正文》、《</w:t>
      </w:r>
      <w:r>
        <w:rPr>
          <w:rFonts w:ascii="Times New Roman" w:hAnsi="Times New Roman" w:cs="Times New Roman" w:eastAsia="Times New Roman" w:hint="default"/>
          <w:spacing w:val="-2"/>
        </w:rPr>
        <w:t>2018</w:t>
      </w:r>
      <w:r>
        <w:rPr>
          <w:spacing w:val="-2"/>
        </w:rPr>
        <w:t>年度财务决算报告》、《</w:t>
      </w:r>
      <w:r>
        <w:rPr>
          <w:rFonts w:ascii="Times New Roman" w:hAnsi="Times New Roman" w:cs="Times New Roman" w:eastAsia="Times New Roman" w:hint="default"/>
          <w:spacing w:val="-2"/>
        </w:rPr>
        <w:t>2018</w:t>
      </w:r>
      <w:r>
        <w:rPr>
          <w:spacing w:val="-2"/>
        </w:rPr>
        <w:t>年度利润分配预案》、《关于</w:t>
      </w:r>
      <w:r>
        <w:rPr>
          <w:rFonts w:ascii="Times New Roman" w:hAnsi="Times New Roman" w:cs="Times New Roman" w:eastAsia="Times New Roman" w:hint="default"/>
          <w:spacing w:val="-2"/>
        </w:rPr>
        <w:t>2018</w:t>
      </w:r>
      <w:r>
        <w:rPr>
          <w:spacing w:val="-2"/>
        </w:rPr>
        <w:t>年度日常关联交易执行情况和追</w:t>
      </w:r>
    </w:p>
    <w:p>
      <w:pPr>
        <w:spacing w:after="0" w:line="30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加</w:t>
      </w:r>
      <w:r>
        <w:rPr>
          <w:rFonts w:ascii="Times New Roman" w:hAnsi="Times New Roman" w:cs="Times New Roman" w:eastAsia="Times New Roman" w:hint="default"/>
        </w:rPr>
        <w:t>2019</w:t>
      </w:r>
      <w:r>
        <w:rPr/>
        <w:t>年度日常关联交易预计的议案》、《关于会计政策变更》、《关于计提资产减值准备》、《关于核销资产的议案》、</w:t>
      </w:r>
    </w:p>
    <w:p>
      <w:pPr>
        <w:pStyle w:val="BodyText"/>
        <w:spacing w:line="300" w:lineRule="auto" w:before="63"/>
        <w:ind w:left="153" w:right="1130"/>
        <w:jc w:val="both"/>
      </w:pPr>
      <w:r>
        <w:rPr>
          <w:spacing w:val="-2"/>
        </w:rPr>
        <w:t>《</w:t>
      </w:r>
      <w:r>
        <w:rPr>
          <w:rFonts w:ascii="Times New Roman" w:hAnsi="Times New Roman" w:cs="Times New Roman" w:eastAsia="Times New Roman" w:hint="default"/>
          <w:spacing w:val="-2"/>
        </w:rPr>
        <w:t>2018</w:t>
      </w:r>
      <w:r>
        <w:rPr>
          <w:spacing w:val="-2"/>
        </w:rPr>
        <w:t>年度内部控制评价报告》、《关于使用自有闲置资金购买理财产品的议案》、《关于子公司萧文置业接受财务资助暨</w:t>
      </w:r>
      <w:r>
        <w:rPr>
          <w:spacing w:val="-64"/>
        </w:rPr>
        <w:t> </w:t>
      </w:r>
      <w:r>
        <w:rPr>
          <w:spacing w:val="-64"/>
        </w:rPr>
      </w:r>
      <w:r>
        <w:rPr>
          <w:spacing w:val="-2"/>
        </w:rPr>
        <w:t>关联交易的议案》、《关于聘请</w:t>
      </w:r>
      <w:r>
        <w:rPr>
          <w:rFonts w:ascii="Times New Roman" w:hAnsi="Times New Roman" w:cs="Times New Roman" w:eastAsia="Times New Roman" w:hint="default"/>
          <w:spacing w:val="-2"/>
        </w:rPr>
        <w:t>2019</w:t>
      </w:r>
      <w:r>
        <w:rPr>
          <w:spacing w:val="-2"/>
        </w:rPr>
        <w:t>年度审计机构》、《关于聘请</w:t>
      </w:r>
      <w:r>
        <w:rPr>
          <w:rFonts w:ascii="Times New Roman" w:hAnsi="Times New Roman" w:cs="Times New Roman" w:eastAsia="Times New Roman" w:hint="default"/>
          <w:spacing w:val="-2"/>
        </w:rPr>
        <w:t>2019</w:t>
      </w:r>
      <w:r>
        <w:rPr>
          <w:spacing w:val="-2"/>
        </w:rPr>
        <w:t>年度内部控制审计机构》议案，并出具了同意的审核</w:t>
      </w:r>
      <w:r>
        <w:rPr>
          <w:spacing w:val="-59"/>
        </w:rPr>
        <w:t> </w:t>
      </w:r>
      <w:r>
        <w:rPr>
          <w:spacing w:val="-59"/>
        </w:rPr>
      </w:r>
      <w:r>
        <w:rPr/>
        <w:t>意见。</w:t>
      </w:r>
    </w:p>
    <w:p>
      <w:pPr>
        <w:pStyle w:val="BodyText"/>
        <w:spacing w:line="300" w:lineRule="auto" w:before="31"/>
        <w:ind w:left="153" w:right="0" w:firstLine="29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日，审计委员会召开</w:t>
      </w:r>
      <w:r>
        <w:rPr>
          <w:rFonts w:ascii="Times New Roman" w:hAnsi="Times New Roman" w:cs="Times New Roman" w:eastAsia="Times New Roman" w:hint="default"/>
          <w:spacing w:val="-1"/>
        </w:rPr>
        <w:t>2019</w:t>
      </w:r>
      <w:r>
        <w:rPr>
          <w:spacing w:val="-1"/>
        </w:rPr>
        <w:t>年第二次会议，审议：《</w:t>
      </w:r>
      <w:r>
        <w:rPr>
          <w:rFonts w:ascii="Times New Roman" w:hAnsi="Times New Roman" w:cs="Times New Roman" w:eastAsia="Times New Roman" w:hint="default"/>
          <w:spacing w:val="-1"/>
        </w:rPr>
        <w:t>2019</w:t>
      </w:r>
      <w:r>
        <w:rPr>
          <w:spacing w:val="-1"/>
        </w:rPr>
        <w:t>年半年度报告全文及其摘要》及《关于政策变更</w:t>
      </w:r>
      <w:r>
        <w:rPr/>
        <w:t> 的议案》的议案，并出具了同意的审核意见。</w:t>
      </w:r>
    </w:p>
    <w:p>
      <w:pPr>
        <w:pStyle w:val="BodyText"/>
        <w:spacing w:line="240" w:lineRule="auto" w:before="31"/>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spacing w:val="-45"/>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t>月</w:t>
      </w:r>
      <w:r>
        <w:rPr>
          <w:rFonts w:ascii="Times New Roman" w:hAnsi="Times New Roman" w:cs="Times New Roman" w:eastAsia="Times New Roman" w:hint="default"/>
        </w:rPr>
        <w:t>29</w:t>
      </w:r>
      <w:r>
        <w:rPr/>
        <w:t>日</w:t>
      </w:r>
      <w:r>
        <w:rPr>
          <w:spacing w:val="-45"/>
        </w:rPr>
        <w:t>，</w:t>
      </w:r>
      <w:r>
        <w:rPr/>
        <w:t>审计委员会召开</w:t>
      </w:r>
      <w:r>
        <w:rPr>
          <w:rFonts w:ascii="Times New Roman" w:hAnsi="Times New Roman" w:cs="Times New Roman" w:eastAsia="Times New Roman" w:hint="default"/>
        </w:rPr>
        <w:t>2019</w:t>
      </w:r>
      <w:r>
        <w:rPr/>
        <w:t>年第三次会议</w:t>
      </w:r>
      <w:r>
        <w:rPr>
          <w:spacing w:val="-45"/>
        </w:rPr>
        <w:t>，</w:t>
      </w:r>
      <w:r>
        <w:rPr/>
        <w:t>审议</w:t>
      </w:r>
      <w:r>
        <w:rPr>
          <w:spacing w:val="-89"/>
        </w:rPr>
        <w:t>：</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9</w:t>
      </w:r>
      <w:r>
        <w:rPr/>
        <w:t>年第三季度报告全文及其正文</w:t>
      </w:r>
      <w:r>
        <w:rPr>
          <w:spacing w:val="-45"/>
        </w:rPr>
        <w:t>》</w:t>
      </w:r>
      <w:r>
        <w:rPr>
          <w:spacing w:val="-89"/>
        </w:rPr>
        <w:t>、</w:t>
      </w:r>
      <w:r>
        <w:rPr/>
        <w:t>《关于</w:t>
      </w:r>
      <w:r>
        <w:rPr>
          <w:spacing w:val="1"/>
        </w:rPr>
        <w:t>变</w:t>
      </w:r>
      <w:r>
        <w:rPr/>
        <w:t>更</w:t>
      </w:r>
      <w:r>
        <w:rPr>
          <w:spacing w:val="-17"/>
        </w:rPr>
        <w:t> </w:t>
      </w:r>
      <w:r>
        <w:rPr>
          <w:rFonts w:ascii="Times New Roman" w:hAnsi="Times New Roman" w:cs="Times New Roman" w:eastAsia="Times New Roman" w:hint="default"/>
        </w:rPr>
        <w:t>2019</w:t>
      </w:r>
    </w:p>
    <w:p>
      <w:pPr>
        <w:pStyle w:val="BodyText"/>
        <w:spacing w:line="300" w:lineRule="auto" w:before="63"/>
        <w:ind w:left="153" w:right="1113"/>
        <w:jc w:val="left"/>
      </w:pPr>
      <w:r>
        <w:rPr/>
        <w:t>年度财务报表审计机构的议案》、《关于变更</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年度内部控制审计机构的议案》、《关于政策变更的议案》的议案，并 出具了同意的审核意见。</w:t>
      </w:r>
    </w:p>
    <w:p>
      <w:pPr>
        <w:pStyle w:val="BodyText"/>
        <w:spacing w:line="240" w:lineRule="auto" w:before="31"/>
        <w:ind w:left="444" w:right="0"/>
        <w:jc w:val="left"/>
      </w:pPr>
      <w:r>
        <w:rPr>
          <w:rFonts w:ascii="Times New Roman" w:hAnsi="Times New Roman" w:cs="Times New Roman" w:eastAsia="Times New Roman" w:hint="default"/>
        </w:rPr>
        <w:t>3</w:t>
      </w:r>
      <w:r>
        <w:rPr/>
        <w:t>、报告期内，公司董事会下设提名委员会根据《公司法》、《上市公司治理准则》等相关法律、法规、规范性文件及</w:t>
      </w:r>
    </w:p>
    <w:p>
      <w:pPr>
        <w:pStyle w:val="BodyText"/>
        <w:spacing w:line="316" w:lineRule="auto" w:before="63"/>
        <w:ind w:left="153" w:right="0"/>
        <w:jc w:val="left"/>
      </w:pPr>
      <w:r>
        <w:rPr>
          <w:spacing w:val="-2"/>
        </w:rPr>
        <w:t>《公司章程》、《提名委员会工作细则》的要求，主要负责对公司董事、高级管理人员的人选、选择标准等进行审查并提出</w:t>
      </w:r>
      <w:r>
        <w:rPr>
          <w:spacing w:val="-65"/>
        </w:rPr>
        <w:t> </w:t>
      </w:r>
      <w:r>
        <w:rPr>
          <w:spacing w:val="-65"/>
        </w:rPr>
      </w:r>
      <w:r>
        <w:rPr/>
        <w:t>建议。报告期内，提名委员会共计召开</w:t>
      </w:r>
      <w:r>
        <w:rPr>
          <w:rFonts w:ascii="Times New Roman" w:hAnsi="Times New Roman" w:cs="Times New Roman" w:eastAsia="Times New Roman" w:hint="default"/>
        </w:rPr>
        <w:t>1</w:t>
      </w:r>
      <w:r>
        <w:rPr/>
        <w:t>次会议，具体如下：</w:t>
      </w:r>
    </w:p>
    <w:p>
      <w:pPr>
        <w:pStyle w:val="BodyText"/>
        <w:spacing w:line="300" w:lineRule="auto"/>
        <w:ind w:left="153" w:right="1191" w:firstLine="29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日，提名委员会召开</w:t>
      </w:r>
      <w:r>
        <w:rPr>
          <w:rFonts w:ascii="Times New Roman" w:hAnsi="Times New Roman" w:cs="Times New Roman" w:eastAsia="Times New Roman" w:hint="default"/>
        </w:rPr>
        <w:t>2019</w:t>
      </w:r>
      <w:r>
        <w:rPr/>
        <w:t>年第一次会议，审议：《关于选举公司副董事长的议案》、《关于聘任公司副总 经理的议案》共</w:t>
      </w:r>
      <w:r>
        <w:rPr>
          <w:rFonts w:ascii="Times New Roman" w:hAnsi="Times New Roman" w:cs="Times New Roman" w:eastAsia="Times New Roman" w:hint="default"/>
        </w:rPr>
        <w:t>2</w:t>
      </w:r>
      <w:r>
        <w:rPr/>
        <w:t>项议案，并均出具了同意的核查意见。</w:t>
      </w:r>
    </w:p>
    <w:p>
      <w:pPr>
        <w:pStyle w:val="BodyText"/>
        <w:spacing w:line="307" w:lineRule="auto" w:before="13"/>
        <w:ind w:left="153" w:right="1121" w:firstLine="290"/>
        <w:jc w:val="left"/>
      </w:pPr>
      <w:r>
        <w:rPr>
          <w:rFonts w:ascii="Times New Roman" w:hAnsi="Times New Roman" w:cs="Times New Roman" w:eastAsia="Times New Roman" w:hint="default"/>
        </w:rPr>
        <w:t>4</w:t>
      </w:r>
      <w:r>
        <w:rPr/>
        <w:t>、报告期内，公司董事会下设薪酬与考核委员会根据《公司法》、《上市公司治理准则》等相关法律、法规、规范性 </w:t>
      </w:r>
      <w:r>
        <w:rPr>
          <w:spacing w:val="-2"/>
        </w:rPr>
        <w:t>文件及《公司章程》、《薪酬与考核委员会工作细则》的要求，主要负责制定公司董事及高级管理人员的考核标准并进行考</w:t>
      </w:r>
      <w:r>
        <w:rPr>
          <w:spacing w:val="-67"/>
        </w:rPr>
        <w:t> </w:t>
      </w:r>
      <w:r>
        <w:rPr>
          <w:spacing w:val="-67"/>
        </w:rPr>
      </w:r>
      <w:r>
        <w:rPr/>
        <w:t>核，负责制定、审查公司董事及高级管理人员的薪酬政策与方案。报告期内，薪酬与考核委员会共计召开</w:t>
      </w:r>
      <w:r>
        <w:rPr>
          <w:rFonts w:ascii="Times New Roman" w:hAnsi="Times New Roman" w:cs="Times New Roman" w:eastAsia="Times New Roman" w:hint="default"/>
        </w:rPr>
        <w:t>1</w:t>
      </w:r>
      <w:r>
        <w:rPr/>
        <w:t>次会议，具体如 下：</w:t>
      </w:r>
    </w:p>
    <w:p>
      <w:pPr>
        <w:pStyle w:val="BodyText"/>
        <w:spacing w:line="300" w:lineRule="auto" w:before="26"/>
        <w:ind w:left="153" w:right="1191" w:firstLine="29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日，薪酬与考核委员会召开</w:t>
      </w:r>
      <w:r>
        <w:rPr>
          <w:rFonts w:ascii="Times New Roman" w:hAnsi="Times New Roman" w:cs="Times New Roman" w:eastAsia="Times New Roman" w:hint="default"/>
        </w:rPr>
        <w:t>2019</w:t>
      </w:r>
      <w:r>
        <w:rPr/>
        <w:t>年第一次会议，审议：《</w:t>
      </w:r>
      <w:r>
        <w:rPr>
          <w:rFonts w:ascii="Times New Roman" w:hAnsi="Times New Roman" w:cs="Times New Roman" w:eastAsia="Times New Roman" w:hint="default"/>
        </w:rPr>
        <w:t>2018</w:t>
      </w:r>
      <w:r>
        <w:rPr/>
        <w:t>年度高管薪酬分配方案》及《</w:t>
      </w:r>
      <w:r>
        <w:rPr>
          <w:rFonts w:ascii="Times New Roman" w:hAnsi="Times New Roman" w:cs="Times New Roman" w:eastAsia="Times New Roman" w:hint="default"/>
        </w:rPr>
        <w:t>2019</w:t>
      </w:r>
      <w:r>
        <w:rPr/>
        <w:t>年度高管 薪酬与考核方案》共</w:t>
      </w:r>
      <w:r>
        <w:rPr>
          <w:rFonts w:ascii="Times New Roman" w:hAnsi="Times New Roman" w:cs="Times New Roman" w:eastAsia="Times New Roman" w:hint="default"/>
        </w:rPr>
        <w:t>2</w:t>
      </w:r>
      <w:r>
        <w:rPr/>
        <w:t>项议案，并均出具了同意的核查意见。</w:t>
      </w:r>
    </w:p>
    <w:p>
      <w:pPr>
        <w:pStyle w:val="BodyText"/>
        <w:spacing w:line="312" w:lineRule="auto" w:before="13"/>
        <w:ind w:left="153" w:right="0" w:firstLine="290"/>
        <w:jc w:val="left"/>
      </w:pPr>
      <w:r>
        <w:rPr>
          <w:rFonts w:ascii="Times New Roman" w:hAnsi="Times New Roman" w:cs="Times New Roman" w:eastAsia="Times New Roman" w:hint="default"/>
        </w:rPr>
        <w:t>5</w:t>
      </w:r>
      <w:r>
        <w:rPr/>
        <w:t>、报告期内，公司董事会下设关联交易控制委员会根据《公司法》、《上市公司治理准则》等相关法律、法规、规范 </w:t>
      </w:r>
      <w:r>
        <w:rPr>
          <w:spacing w:val="-2"/>
        </w:rPr>
        <w:t>性文件及《公司章程》、《关联交易控制委员会工作细则》的要求，主要负责对公司须提交董事会或股东大会审议的关联交</w:t>
      </w:r>
      <w:r>
        <w:rPr>
          <w:spacing w:val="-69"/>
        </w:rPr>
        <w:t> </w:t>
      </w:r>
      <w:r>
        <w:rPr>
          <w:spacing w:val="-69"/>
        </w:rPr>
      </w:r>
      <w:r>
        <w:rPr>
          <w:spacing w:val="-2"/>
        </w:rPr>
        <w:t>易事项的客观性、公允性及合理性进行审核，并对经董事会或股东大会审议批准的关联交易的执行情况进行监督管理。报告</w:t>
      </w:r>
      <w:r>
        <w:rPr>
          <w:spacing w:val="-66"/>
        </w:rPr>
        <w:t> </w:t>
      </w:r>
      <w:r>
        <w:rPr>
          <w:spacing w:val="-66"/>
        </w:rPr>
      </w:r>
      <w:r>
        <w:rPr/>
        <w:t>期内，关联交易控制委员会共计召开</w:t>
      </w:r>
      <w:r>
        <w:rPr>
          <w:rFonts w:ascii="Times New Roman" w:hAnsi="Times New Roman" w:cs="Times New Roman" w:eastAsia="Times New Roman" w:hint="default"/>
        </w:rPr>
        <w:t>3</w:t>
      </w:r>
      <w:r>
        <w:rPr/>
        <w:t>次会议，具体如下：</w:t>
      </w:r>
    </w:p>
    <w:p>
      <w:pPr>
        <w:pStyle w:val="BodyText"/>
        <w:spacing w:line="240" w:lineRule="auto" w:before="3"/>
        <w:ind w:left="444"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rFonts w:ascii="Times New Roman" w:hAnsi="Times New Roman" w:cs="Times New Roman" w:eastAsia="Times New Roman" w:hint="default"/>
        </w:rPr>
        <w:t>)2019</w:t>
      </w:r>
      <w:r>
        <w:rPr/>
        <w:t>年</w:t>
      </w:r>
      <w:r>
        <w:rPr>
          <w:rFonts w:ascii="Times New Roman" w:hAnsi="Times New Roman" w:cs="Times New Roman" w:eastAsia="Times New Roman" w:hint="default"/>
          <w:spacing w:val="-2"/>
        </w:rPr>
        <w:t>4</w:t>
      </w:r>
      <w:r>
        <w:rPr/>
        <w:t>月</w:t>
      </w:r>
      <w:r>
        <w:rPr>
          <w:rFonts w:ascii="Times New Roman" w:hAnsi="Times New Roman" w:cs="Times New Roman" w:eastAsia="Times New Roman" w:hint="default"/>
        </w:rPr>
        <w:t>26</w:t>
      </w:r>
      <w:r>
        <w:rPr/>
        <w:t>日</w:t>
      </w:r>
      <w:r>
        <w:rPr>
          <w:spacing w:val="-63"/>
        </w:rPr>
        <w:t>，</w:t>
      </w:r>
      <w:r>
        <w:rPr/>
        <w:t>关联交易控制委员会召开</w:t>
      </w:r>
      <w:r>
        <w:rPr>
          <w:rFonts w:ascii="Times New Roman" w:hAnsi="Times New Roman" w:cs="Times New Roman" w:eastAsia="Times New Roman" w:hint="default"/>
        </w:rPr>
        <w:t>2019</w:t>
      </w:r>
      <w:r>
        <w:rPr/>
        <w:t>年第一次会议</w:t>
      </w:r>
      <w:r>
        <w:rPr>
          <w:spacing w:val="-63"/>
        </w:rPr>
        <w:t>，</w:t>
      </w:r>
      <w:r>
        <w:rPr/>
        <w:t>审议</w:t>
      </w:r>
      <w:r>
        <w:rPr>
          <w:spacing w:val="-125"/>
        </w:rPr>
        <w:t>：</w:t>
      </w:r>
      <w:r>
        <w:rPr/>
        <w:t>《关于</w:t>
      </w:r>
      <w:r>
        <w:rPr>
          <w:rFonts w:ascii="Times New Roman" w:hAnsi="Times New Roman" w:cs="Times New Roman" w:eastAsia="Times New Roman" w:hint="default"/>
        </w:rPr>
        <w:t>2018</w:t>
      </w:r>
      <w:r>
        <w:rPr/>
        <w:t>年度日常关联交易执行情况和追加</w:t>
      </w:r>
      <w:r>
        <w:rPr>
          <w:rFonts w:ascii="Times New Roman" w:hAnsi="Times New Roman" w:cs="Times New Roman" w:eastAsia="Times New Roman" w:hint="default"/>
        </w:rPr>
        <w:t>2019</w:t>
      </w:r>
    </w:p>
    <w:p>
      <w:pPr>
        <w:pStyle w:val="BodyText"/>
        <w:spacing w:line="240" w:lineRule="auto" w:before="63"/>
        <w:ind w:left="153" w:right="0"/>
        <w:jc w:val="both"/>
      </w:pPr>
      <w:r>
        <w:rPr/>
        <w:t>年度日常关联交易预计的议案》、《关于子公司萧文置业接受财务资助暨关联交易的议案》，并出具了同意的核查意见。</w:t>
      </w:r>
    </w:p>
    <w:p>
      <w:pPr>
        <w:pStyle w:val="BodyText"/>
        <w:spacing w:line="300" w:lineRule="auto" w:before="76"/>
        <w:ind w:left="153" w:right="0" w:firstLine="290"/>
        <w:jc w:val="left"/>
      </w:pPr>
      <w:r>
        <w:rPr>
          <w:rFonts w:ascii="Times New Roman" w:hAnsi="Times New Roman" w:cs="Times New Roman" w:eastAsia="Times New Roman" w:hint="default"/>
          <w:spacing w:val="-3"/>
        </w:rPr>
        <w:t>2)2019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日，关联交易控制委员会召开</w:t>
      </w:r>
      <w:r>
        <w:rPr>
          <w:rFonts w:ascii="Times New Roman" w:hAnsi="Times New Roman" w:cs="Times New Roman" w:eastAsia="Times New Roman" w:hint="default"/>
          <w:spacing w:val="-3"/>
        </w:rPr>
        <w:t>2019</w:t>
      </w:r>
      <w:r>
        <w:rPr>
          <w:spacing w:val="-3"/>
        </w:rPr>
        <w:t>年第二次会议，审议：《关于追加</w:t>
      </w:r>
      <w:r>
        <w:rPr>
          <w:rFonts w:ascii="Times New Roman" w:hAnsi="Times New Roman" w:cs="Times New Roman" w:eastAsia="Times New Roman" w:hint="default"/>
          <w:spacing w:val="-3"/>
        </w:rPr>
        <w:t>2019</w:t>
      </w:r>
      <w:r>
        <w:rPr>
          <w:spacing w:val="-3"/>
        </w:rPr>
        <w:t>年度日常关联交易预计的议案》，</w:t>
      </w:r>
      <w:r>
        <w:rPr/>
        <w:t> 并出具了同意的核查意见。</w:t>
      </w:r>
    </w:p>
    <w:p>
      <w:pPr>
        <w:pStyle w:val="BodyText"/>
        <w:spacing w:line="240" w:lineRule="auto" w:before="31"/>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3)2019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日，关联交易控制委员会召开</w:t>
      </w:r>
      <w:r>
        <w:rPr>
          <w:rFonts w:ascii="Times New Roman" w:hAnsi="Times New Roman" w:cs="Times New Roman" w:eastAsia="Times New Roman" w:hint="default"/>
        </w:rPr>
        <w:t>2019</w:t>
      </w:r>
      <w:r>
        <w:rPr/>
        <w:t>年第三次会议，审议：《关于签署</w:t>
      </w:r>
      <w:r>
        <w:rPr>
          <w:rFonts w:ascii="Times New Roman" w:hAnsi="Times New Roman" w:cs="Times New Roman" w:eastAsia="Times New Roman" w:hint="default"/>
        </w:rPr>
        <w:t>&lt;</w:t>
      </w:r>
      <w:r>
        <w:rPr/>
        <w:t>收入分成协议之补充协议（二）</w:t>
      </w:r>
      <w:r>
        <w:rPr>
          <w:rFonts w:ascii="Times New Roman" w:hAnsi="Times New Roman" w:cs="Times New Roman" w:eastAsia="Times New Roman" w:hint="default"/>
        </w:rPr>
        <w:t>&gt;</w:t>
      </w:r>
    </w:p>
    <w:p>
      <w:pPr>
        <w:pStyle w:val="BodyText"/>
        <w:spacing w:line="240" w:lineRule="auto" w:before="63"/>
        <w:ind w:left="153" w:right="0"/>
        <w:jc w:val="both"/>
      </w:pPr>
      <w:r>
        <w:rPr/>
        <w:t>的议案》，并出具了同意的核查意见。</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131"/>
        <w:jc w:val="left"/>
      </w:pPr>
      <w:r>
        <w:rPr/>
        <w:t>报告期内，公司对高级管理人员的业绩和履职情况进行年度考评，并根据考评结果决定本年度的薪酬。 公司目前尚未建立股权激励机制，公司将不断完善内部激励与约束机制，逐渐建立起短期激励与长期激励相结合的</w:t>
      </w:r>
      <w:r>
        <w:rPr>
          <w:rFonts w:ascii="Times New Roman" w:hAnsi="Times New Roman" w:cs="Times New Roman" w:eastAsia="Times New Roman" w:hint="default"/>
        </w:rPr>
        <w:t>“</w:t>
      </w:r>
      <w:r>
        <w:rPr/>
        <w:t>利</w:t>
      </w:r>
    </w:p>
    <w:p>
      <w:pPr>
        <w:pStyle w:val="BodyText"/>
        <w:spacing w:line="216" w:lineRule="exact"/>
        <w:ind w:right="0"/>
        <w:jc w:val="both"/>
      </w:pPr>
      <w:r>
        <w:rPr/>
        <w:t>益共享、风险共担</w:t>
      </w:r>
      <w:r>
        <w:rPr>
          <w:rFonts w:ascii="Times New Roman" w:hAnsi="Times New Roman" w:cs="Times New Roman" w:eastAsia="Times New Roman" w:hint="default"/>
        </w:rPr>
        <w:t>”</w:t>
      </w:r>
      <w:r>
        <w:rPr/>
        <w:t>的激励体系，推动管理层与公司、股东利益的紧密结合。</w:t>
      </w:r>
    </w:p>
    <w:p>
      <w:pPr>
        <w:spacing w:after="0" w:line="216" w:lineRule="exact"/>
        <w:jc w:val="both"/>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九、内部控制情况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7.029995pt;margin-top:-164.407974pt;width:478.55pt;height:486.5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895"/>
                    <w:gridCol w:w="2488"/>
                    <w:gridCol w:w="3898"/>
                  </w:tblGrid>
                  <w:tr>
                    <w:trPr>
                      <w:trHeight w:val="331"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9"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5" w:type="dxa"/>
                        <w:gridSpan w:val="2"/>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570"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11" w:right="8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99.95%</w:t>
                        </w:r>
                      </w:p>
                    </w:tc>
                  </w:tr>
                  <w:tr>
                    <w:trPr>
                      <w:trHeight w:val="571"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11" w:right="8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9"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463"/>
                          <w:jc w:val="right"/>
                          <w:rPr>
                            <w:rFonts w:ascii="宋体" w:hAnsi="宋体" w:cs="宋体" w:eastAsia="宋体" w:hint="default"/>
                            <w:sz w:val="18"/>
                            <w:szCs w:val="18"/>
                          </w:rPr>
                        </w:pPr>
                        <w:r>
                          <w:rPr>
                            <w:rFonts w:ascii="宋体" w:hAnsi="宋体" w:cs="宋体" w:eastAsia="宋体" w:hint="default"/>
                            <w:sz w:val="18"/>
                            <w:szCs w:val="18"/>
                          </w:rPr>
                          <w:t>类别</w:t>
                        </w:r>
                      </w:p>
                    </w:tc>
                    <w:tc>
                      <w:tcPr>
                        <w:tcW w:w="43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05" w:hRule="exact"/>
                    </w:trPr>
                    <w:tc>
                      <w:tcPr>
                        <w:tcW w:w="1276" w:type="dxa"/>
                        <w:tcBorders>
                          <w:top w:val="single" w:sz="4" w:space="0" w:color="000000"/>
                          <w:left w:val="single" w:sz="4" w:space="0" w:color="000000"/>
                          <w:bottom w:val="nil" w:sz="6" w:space="0" w:color="auto"/>
                          <w:right w:val="single" w:sz="13" w:space="0" w:color="C7EDCC"/>
                        </w:tcBorders>
                        <w:shd w:val="clear" w:color="auto" w:fill="D3D3D3"/>
                      </w:tcPr>
                      <w:p>
                        <w:pPr/>
                      </w:p>
                    </w:tc>
                    <w:tc>
                      <w:tcPr>
                        <w:tcW w:w="4382" w:type="dxa"/>
                        <w:gridSpan w:val="2"/>
                        <w:vMerge w:val="restart"/>
                        <w:tcBorders>
                          <w:top w:val="single" w:sz="4" w:space="0" w:color="000000"/>
                          <w:left w:val="single" w:sz="9" w:space="0" w:color="D3D3D3"/>
                          <w:right w:val="single" w:sz="4" w:space="0" w:color="000000"/>
                        </w:tcBorders>
                        <w:shd w:val="clear" w:color="auto" w:fill="C7EDCC"/>
                      </w:tcPr>
                      <w:p>
                        <w:pPr>
                          <w:pStyle w:val="TableParagraph"/>
                          <w:spacing w:line="240" w:lineRule="exact" w:before="40"/>
                          <w:ind w:left="5" w:right="8"/>
                          <w:jc w:val="left"/>
                          <w:rPr>
                            <w:rFonts w:ascii="宋体" w:hAnsi="宋体" w:cs="宋体" w:eastAsia="宋体" w:hint="default"/>
                            <w:sz w:val="18"/>
                            <w:szCs w:val="18"/>
                          </w:rPr>
                        </w:pPr>
                        <w:r>
                          <w:rPr>
                            <w:rFonts w:ascii="宋体" w:hAnsi="宋体" w:cs="宋体" w:eastAsia="宋体" w:hint="default"/>
                            <w:sz w:val="18"/>
                            <w:szCs w:val="18"/>
                          </w:rPr>
                          <w:t>重大缺陷：单独缺陷或连同其他缺陷导致不能及时防止 </w:t>
                        </w:r>
                        <w:r>
                          <w:rPr>
                            <w:rFonts w:ascii="宋体" w:hAnsi="宋体" w:cs="宋体" w:eastAsia="宋体" w:hint="default"/>
                            <w:spacing w:val="-3"/>
                            <w:sz w:val="18"/>
                            <w:szCs w:val="18"/>
                          </w:rPr>
                          <w:t>或发现并纠正财务报告中的重大错报。出现下列情形的</w:t>
                        </w:r>
                        <w:r>
                          <w:rPr>
                            <w:rFonts w:ascii="宋体" w:hAnsi="宋体" w:cs="宋体" w:eastAsia="宋体" w:hint="default"/>
                            <w:sz w:val="18"/>
                            <w:szCs w:val="18"/>
                          </w:rPr>
                          <w:t> 认定为重大缺陷：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董事、监事和高级管理人员舞弊；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企业更正已公布的财务报告；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外部审计披露的重大</w:t>
                        </w:r>
                        <w:r>
                          <w:rPr>
                            <w:rFonts w:ascii="宋体" w:hAnsi="宋体" w:cs="宋体" w:eastAsia="宋体" w:hint="default"/>
                            <w:spacing w:val="-76"/>
                            <w:sz w:val="18"/>
                            <w:szCs w:val="18"/>
                          </w:rPr>
                          <w:t> </w:t>
                        </w:r>
                        <w:r>
                          <w:rPr>
                            <w:rFonts w:ascii="宋体" w:hAnsi="宋体" w:cs="宋体" w:eastAsia="宋体" w:hint="default"/>
                            <w:sz w:val="18"/>
                            <w:szCs w:val="18"/>
                          </w:rPr>
                          <w:t>错报而不是由公司首先发现的；</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企业审计委员会和内 部审计机构对内部控制的监督无效；</w:t>
                        </w:r>
                        <w:r>
                          <w:rPr>
                            <w:rFonts w:ascii="Times New Roman" w:hAnsi="Times New Roman" w:cs="Times New Roman" w:eastAsia="Times New Roman" w:hint="default"/>
                            <w:sz w:val="18"/>
                            <w:szCs w:val="18"/>
                          </w:rPr>
                          <w:t>(5)</w:t>
                        </w:r>
                        <w:r>
                          <w:rPr>
                            <w:rFonts w:ascii="宋体" w:hAnsi="宋体" w:cs="宋体" w:eastAsia="宋体" w:hint="default"/>
                            <w:sz w:val="18"/>
                            <w:szCs w:val="18"/>
                          </w:rPr>
                          <w:t>已经发现并报告 给管理层的重大内部控制缺陷在经过合理的时间后，并 未加以改正。重要缺陷：单独缺陷或连同其他缺陷导致 不能及时防止或发现并纠正财务报告中虽然未达到和超 </w:t>
                        </w:r>
                        <w:r>
                          <w:rPr>
                            <w:rFonts w:ascii="宋体" w:hAnsi="宋体" w:cs="宋体" w:eastAsia="宋体" w:hint="default"/>
                            <w:spacing w:val="-3"/>
                            <w:sz w:val="18"/>
                            <w:szCs w:val="18"/>
                          </w:rPr>
                          <w:t>过重要性水平，仍应引起管理层重视的错报。一般缺陷</w:t>
                        </w:r>
                        <w:r>
                          <w:rPr>
                            <w:rFonts w:ascii="宋体" w:hAnsi="宋体" w:cs="宋体" w:eastAsia="宋体" w:hint="default"/>
                            <w:sz w:val="18"/>
                            <w:szCs w:val="18"/>
                          </w:rPr>
                          <w:t> 不构成重大缺陷或重要缺陷的其他内部控制缺陷。</w:t>
                        </w:r>
                      </w:p>
                    </w:tc>
                    <w:tc>
                      <w:tcPr>
                        <w:tcW w:w="3898" w:type="dxa"/>
                        <w:vMerge w:val="restart"/>
                        <w:tcBorders>
                          <w:top w:val="single" w:sz="4" w:space="0" w:color="000000"/>
                          <w:left w:val="single" w:sz="4" w:space="0" w:color="000000"/>
                          <w:right w:val="single" w:sz="4" w:space="0" w:color="000000"/>
                        </w:tcBorders>
                        <w:shd w:val="clear" w:color="auto" w:fill="C7EDCC"/>
                      </w:tcPr>
                      <w:p>
                        <w:pPr>
                          <w:pStyle w:val="TableParagraph"/>
                          <w:spacing w:line="178" w:lineRule="exact" w:before="142"/>
                          <w:ind w:left="22" w:right="0"/>
                          <w:jc w:val="both"/>
                          <w:rPr>
                            <w:rFonts w:ascii="宋体" w:hAnsi="宋体" w:cs="宋体" w:eastAsia="宋体" w:hint="default"/>
                            <w:sz w:val="18"/>
                            <w:szCs w:val="18"/>
                          </w:rPr>
                        </w:pPr>
                        <w:r>
                          <w:rPr>
                            <w:rFonts w:ascii="宋体" w:hAnsi="宋体" w:cs="宋体" w:eastAsia="宋体" w:hint="default"/>
                            <w:sz w:val="18"/>
                            <w:szCs w:val="18"/>
                          </w:rPr>
                          <w:t>出现以下情形的，认定为重大缺陷，其他情形按</w:t>
                        </w:r>
                      </w:p>
                      <w:p>
                        <w:pPr>
                          <w:pStyle w:val="TableParagraph"/>
                          <w:spacing w:line="12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2" w:right="0"/>
                          <w:jc w:val="both"/>
                          <w:rPr>
                            <w:rFonts w:ascii="宋体" w:hAnsi="宋体" w:cs="宋体" w:eastAsia="宋体" w:hint="default"/>
                            <w:sz w:val="18"/>
                            <w:szCs w:val="18"/>
                          </w:rPr>
                        </w:pPr>
                        <w:r>
                          <w:rPr>
                            <w:rFonts w:ascii="宋体" w:hAnsi="宋体" w:cs="宋体" w:eastAsia="宋体" w:hint="default"/>
                            <w:spacing w:val="-6"/>
                            <w:sz w:val="18"/>
                            <w:szCs w:val="18"/>
                          </w:rPr>
                          <w:t>影响程度分别确定为重要缺陷或一般缺陷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）企</w:t>
                        </w:r>
                        <w:r>
                          <w:rPr>
                            <w:rFonts w:ascii="宋体" w:hAnsi="宋体" w:cs="宋体" w:eastAsia="宋体" w:hint="default"/>
                            <w:sz w:val="18"/>
                            <w:szCs w:val="18"/>
                          </w:rPr>
                        </w:r>
                      </w:p>
                      <w:p>
                        <w:pPr>
                          <w:pStyle w:val="TableParagraph"/>
                          <w:spacing w:line="240" w:lineRule="exact" w:before="13"/>
                          <w:ind w:left="22" w:right="83"/>
                          <w:jc w:val="both"/>
                          <w:rPr>
                            <w:rFonts w:ascii="宋体" w:hAnsi="宋体" w:cs="宋体" w:eastAsia="宋体" w:hint="default"/>
                            <w:sz w:val="18"/>
                            <w:szCs w:val="18"/>
                          </w:rPr>
                        </w:pPr>
                        <w:r>
                          <w:rPr>
                            <w:rFonts w:ascii="宋体" w:hAnsi="宋体" w:cs="宋体" w:eastAsia="宋体" w:hint="default"/>
                            <w:sz w:val="18"/>
                            <w:szCs w:val="18"/>
                          </w:rPr>
                          <w:t>业决策程序不科学，如决策失误，导致并购不成 </w:t>
                        </w:r>
                        <w:r>
                          <w:rPr>
                            <w:rFonts w:ascii="宋体" w:hAnsi="宋体" w:cs="宋体" w:eastAsia="宋体" w:hint="default"/>
                            <w:spacing w:val="-10"/>
                            <w:sz w:val="18"/>
                            <w:szCs w:val="18"/>
                          </w:rPr>
                          <w:t>功；（</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）违犯国家法律、法规，如环境污染；（</w:t>
                        </w:r>
                        <w:r>
                          <w:rPr>
                            <w:rFonts w:ascii="Times New Roman" w:hAnsi="Times New Roman" w:cs="Times New Roman" w:eastAsia="Times New Roman" w:hint="default"/>
                            <w:spacing w:val="-10"/>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pacing w:val="-5"/>
                            <w:sz w:val="18"/>
                            <w:szCs w:val="18"/>
                          </w:rPr>
                          <w:t>管理人员或技术人员纷纷流失；（</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）媒体负面新</w:t>
                        </w:r>
                        <w:r>
                          <w:rPr>
                            <w:rFonts w:ascii="宋体" w:hAnsi="宋体" w:cs="宋体" w:eastAsia="宋体" w:hint="default"/>
                            <w:spacing w:val="-70"/>
                            <w:sz w:val="18"/>
                            <w:szCs w:val="18"/>
                          </w:rPr>
                          <w:t> </w:t>
                        </w:r>
                        <w:r>
                          <w:rPr>
                            <w:rFonts w:ascii="宋体" w:hAnsi="宋体" w:cs="宋体" w:eastAsia="宋体" w:hint="default"/>
                            <w:spacing w:val="-5"/>
                            <w:sz w:val="18"/>
                            <w:szCs w:val="18"/>
                          </w:rPr>
                          <w:t>闻频现；（</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）内部控制评价的结果特别是重大或</w:t>
                        </w:r>
                        <w:r>
                          <w:rPr>
                            <w:rFonts w:ascii="宋体" w:hAnsi="宋体" w:cs="宋体" w:eastAsia="宋体" w:hint="default"/>
                            <w:spacing w:val="-70"/>
                            <w:sz w:val="18"/>
                            <w:szCs w:val="18"/>
                          </w:rPr>
                          <w:t> </w:t>
                        </w:r>
                        <w:r>
                          <w:rPr>
                            <w:rFonts w:ascii="宋体" w:hAnsi="宋体" w:cs="宋体" w:eastAsia="宋体" w:hint="default"/>
                            <w:spacing w:val="-5"/>
                            <w:sz w:val="18"/>
                            <w:szCs w:val="18"/>
                          </w:rPr>
                          <w:t>重要缺陷未得到整改；（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）重要业务缺乏制度控</w:t>
                        </w:r>
                        <w:r>
                          <w:rPr>
                            <w:rFonts w:ascii="宋体" w:hAnsi="宋体" w:cs="宋体" w:eastAsia="宋体" w:hint="default"/>
                            <w:spacing w:val="-70"/>
                            <w:sz w:val="18"/>
                            <w:szCs w:val="18"/>
                          </w:rPr>
                          <w:t> </w:t>
                        </w:r>
                        <w:r>
                          <w:rPr>
                            <w:rFonts w:ascii="宋体" w:hAnsi="宋体" w:cs="宋体" w:eastAsia="宋体" w:hint="default"/>
                            <w:spacing w:val="-5"/>
                            <w:sz w:val="18"/>
                            <w:szCs w:val="18"/>
                          </w:rPr>
                          <w:t>制或制度系统性失效；（</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）并购重组失败，或新</w:t>
                        </w:r>
                        <w:r>
                          <w:rPr>
                            <w:rFonts w:ascii="宋体" w:hAnsi="宋体" w:cs="宋体" w:eastAsia="宋体" w:hint="default"/>
                            <w:spacing w:val="-70"/>
                            <w:sz w:val="18"/>
                            <w:szCs w:val="18"/>
                          </w:rPr>
                          <w:t> </w:t>
                        </w:r>
                        <w:r>
                          <w:rPr>
                            <w:rFonts w:ascii="宋体" w:hAnsi="宋体" w:cs="宋体" w:eastAsia="宋体" w:hint="default"/>
                            <w:spacing w:val="-5"/>
                            <w:sz w:val="18"/>
                            <w:szCs w:val="18"/>
                          </w:rPr>
                          <w:t>扩充下属单位经营难以为继；（</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）发生重大负面</w:t>
                        </w:r>
                      </w:p>
                      <w:p>
                        <w:pPr>
                          <w:pStyle w:val="TableParagraph"/>
                          <w:spacing w:line="4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22" w:right="0"/>
                          <w:jc w:val="both"/>
                          <w:rPr>
                            <w:rFonts w:ascii="宋体" w:hAnsi="宋体" w:cs="宋体" w:eastAsia="宋体" w:hint="default"/>
                            <w:sz w:val="18"/>
                            <w:szCs w:val="18"/>
                          </w:rPr>
                        </w:pPr>
                        <w:r>
                          <w:rPr>
                            <w:rFonts w:ascii="宋体" w:hAnsi="宋体" w:cs="宋体" w:eastAsia="宋体" w:hint="default"/>
                            <w:sz w:val="18"/>
                            <w:szCs w:val="18"/>
                          </w:rPr>
                          <w:t>事项，并对企业定期报告披露造成负面影响。</w:t>
                        </w:r>
                      </w:p>
                    </w:tc>
                  </w:tr>
                  <w:tr>
                    <w:trPr>
                      <w:trHeight w:val="320" w:hRule="exact"/>
                    </w:trPr>
                    <w:tc>
                      <w:tcPr>
                        <w:tcW w:w="1276"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21"/>
                          <w:ind w:right="521"/>
                          <w:jc w:val="right"/>
                          <w:rPr>
                            <w:rFonts w:ascii="宋体" w:hAnsi="宋体" w:cs="宋体" w:eastAsia="宋体" w:hint="default"/>
                            <w:sz w:val="18"/>
                            <w:szCs w:val="18"/>
                          </w:rPr>
                        </w:pPr>
                        <w:r>
                          <w:rPr>
                            <w:rFonts w:ascii="宋体" w:hAnsi="宋体" w:cs="宋体" w:eastAsia="宋体" w:hint="default"/>
                            <w:sz w:val="18"/>
                            <w:szCs w:val="18"/>
                          </w:rPr>
                          <w:t>定性标准</w:t>
                        </w:r>
                      </w:p>
                    </w:tc>
                    <w:tc>
                      <w:tcPr>
                        <w:tcW w:w="4382" w:type="dxa"/>
                        <w:gridSpan w:val="2"/>
                        <w:vMerge/>
                        <w:tcBorders>
                          <w:left w:val="single" w:sz="9" w:space="0" w:color="D3D3D3"/>
                          <w:right w:val="single" w:sz="4" w:space="0" w:color="000000"/>
                        </w:tcBorders>
                        <w:shd w:val="clear" w:color="auto" w:fill="C7EDCC"/>
                      </w:tcPr>
                      <w:p>
                        <w:pPr/>
                      </w:p>
                    </w:tc>
                    <w:tc>
                      <w:tcPr>
                        <w:tcW w:w="3898" w:type="dxa"/>
                        <w:vMerge/>
                        <w:tcBorders>
                          <w:left w:val="single" w:sz="4" w:space="0" w:color="000000"/>
                          <w:right w:val="single" w:sz="4" w:space="0" w:color="000000"/>
                        </w:tcBorders>
                        <w:shd w:val="clear" w:color="auto" w:fill="C7EDCC"/>
                      </w:tcPr>
                      <w:p>
                        <w:pPr/>
                      </w:p>
                    </w:tc>
                  </w:tr>
                  <w:tr>
                    <w:trPr>
                      <w:trHeight w:val="1205" w:hRule="exact"/>
                    </w:trPr>
                    <w:tc>
                      <w:tcPr>
                        <w:tcW w:w="1276" w:type="dxa"/>
                        <w:tcBorders>
                          <w:top w:val="nil" w:sz="6" w:space="0" w:color="auto"/>
                          <w:left w:val="single" w:sz="4" w:space="0" w:color="000000"/>
                          <w:bottom w:val="single" w:sz="4" w:space="0" w:color="000000"/>
                          <w:right w:val="single" w:sz="13" w:space="0" w:color="C7EDCC"/>
                        </w:tcBorders>
                        <w:shd w:val="clear" w:color="auto" w:fill="D3D3D3"/>
                      </w:tcPr>
                      <w:p>
                        <w:pPr/>
                      </w:p>
                    </w:tc>
                    <w:tc>
                      <w:tcPr>
                        <w:tcW w:w="4382" w:type="dxa"/>
                        <w:gridSpan w:val="2"/>
                        <w:vMerge/>
                        <w:tcBorders>
                          <w:left w:val="single" w:sz="9" w:space="0" w:color="D3D3D3"/>
                          <w:bottom w:val="single" w:sz="4" w:space="0" w:color="000000"/>
                          <w:right w:val="single" w:sz="4" w:space="0" w:color="000000"/>
                        </w:tcBorders>
                        <w:shd w:val="clear" w:color="auto" w:fill="C7EDCC"/>
                      </w:tcPr>
                      <w:p>
                        <w:pPr/>
                      </w:p>
                    </w:tc>
                    <w:tc>
                      <w:tcPr>
                        <w:tcW w:w="3898" w:type="dxa"/>
                        <w:vMerge/>
                        <w:tcBorders>
                          <w:left w:val="single" w:sz="4" w:space="0" w:color="000000"/>
                          <w:bottom w:val="single" w:sz="4" w:space="0" w:color="000000"/>
                          <w:right w:val="single" w:sz="4" w:space="0" w:color="000000"/>
                        </w:tcBorders>
                        <w:shd w:val="clear" w:color="auto" w:fill="C7EDCC"/>
                      </w:tcPr>
                      <w:p>
                        <w:pPr/>
                      </w:p>
                    </w:tc>
                  </w:tr>
                  <w:tr>
                    <w:trPr>
                      <w:trHeight w:val="726" w:hRule="exact"/>
                    </w:trPr>
                    <w:tc>
                      <w:tcPr>
                        <w:tcW w:w="1276" w:type="dxa"/>
                        <w:tcBorders>
                          <w:top w:val="single" w:sz="4" w:space="0" w:color="000000"/>
                          <w:left w:val="single" w:sz="4" w:space="0" w:color="000000"/>
                          <w:bottom w:val="nil" w:sz="6" w:space="0" w:color="auto"/>
                          <w:right w:val="single" w:sz="13" w:space="0" w:color="C7EDCC"/>
                        </w:tcBorders>
                        <w:shd w:val="clear" w:color="auto" w:fill="D3D3D3"/>
                      </w:tcPr>
                      <w:p>
                        <w:pPr/>
                      </w:p>
                    </w:tc>
                    <w:tc>
                      <w:tcPr>
                        <w:tcW w:w="4382" w:type="dxa"/>
                        <w:gridSpan w:val="2"/>
                        <w:vMerge w:val="restart"/>
                        <w:tcBorders>
                          <w:top w:val="single" w:sz="4" w:space="0" w:color="000000"/>
                          <w:left w:val="single" w:sz="9" w:space="0" w:color="D3D3D3"/>
                          <w:right w:val="single" w:sz="4" w:space="0" w:color="000000"/>
                        </w:tcBorders>
                        <w:shd w:val="clear" w:color="auto" w:fill="C7EDCC"/>
                      </w:tcPr>
                      <w:p>
                        <w:pPr>
                          <w:pStyle w:val="TableParagraph"/>
                          <w:spacing w:line="240" w:lineRule="exact" w:before="40"/>
                          <w:ind w:left="5" w:right="22"/>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或潜在错报金额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 </w:t>
                        </w:r>
                        <w:r>
                          <w:rPr>
                            <w:rFonts w:ascii="宋体" w:hAnsi="宋体" w:cs="宋体" w:eastAsia="宋体" w:hint="default"/>
                            <w:sz w:val="18"/>
                            <w:szCs w:val="18"/>
                          </w:rPr>
                          <w:t>未达到重大缺陷定量标准，但利润总额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潜在错报风 险＜利润总额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潜在错报风险＜资 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潜在错报风险＜营业收入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潜在错报未达到重大缺陷、重要缺陷标 准</w:t>
                        </w:r>
                      </w:p>
                    </w:tc>
                    <w:tc>
                      <w:tcPr>
                        <w:tcW w:w="3898"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exact" w:before="40"/>
                          <w:ind w:left="22" w:right="23"/>
                          <w:jc w:val="left"/>
                          <w:rPr>
                            <w:rFonts w:ascii="宋体" w:hAnsi="宋体" w:cs="宋体" w:eastAsia="宋体" w:hint="default"/>
                            <w:sz w:val="18"/>
                            <w:szCs w:val="18"/>
                          </w:rPr>
                        </w:pPr>
                        <w:r>
                          <w:rPr>
                            <w:rFonts w:ascii="宋体" w:hAnsi="宋体" w:cs="宋体" w:eastAsia="宋体" w:hint="default"/>
                            <w:sz w:val="18"/>
                            <w:szCs w:val="18"/>
                          </w:rPr>
                          <w:t>重大缺陷：直接财产损失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或直接财 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或直接财产损失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。重要缺陷：未达到重大缺陷定量标准，但利 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 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直接财产损失＜资产总额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 入</w:t>
                        </w:r>
                        <w:r>
                          <w:rPr>
                            <w:rFonts w:ascii="宋体" w:hAnsi="宋体" w:cs="宋体" w:eastAsia="宋体" w:hint="default"/>
                            <w:spacing w:val="-54"/>
                            <w:sz w:val="18"/>
                            <w:szCs w:val="18"/>
                          </w:rPr>
                          <w:t> </w:t>
                        </w:r>
                        <w:r>
                          <w:rPr>
                            <w:rFonts w:ascii="Times New Roman" w:hAnsi="Times New Roman" w:cs="Times New Roman" w:eastAsia="Times New Roman" w:hint="default"/>
                            <w:spacing w:val="-1"/>
                            <w:w w:val="100"/>
                            <w:sz w:val="18"/>
                            <w:szCs w:val="18"/>
                          </w:rPr>
                          <w:t>0.5%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直接财产损失＜营业收入</w:t>
                        </w:r>
                        <w:r>
                          <w:rPr>
                            <w:rFonts w:ascii="宋体" w:hAnsi="宋体" w:cs="宋体" w:eastAsia="宋体" w:hint="default"/>
                            <w:spacing w:val="-54"/>
                            <w:w w:val="100"/>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。一般缺陷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直接财产损失未达到重大缺陷、重要缺陷标准</w:t>
                        </w:r>
                      </w:p>
                    </w:tc>
                  </w:tr>
                  <w:tr>
                    <w:trPr>
                      <w:trHeight w:val="320" w:hRule="exact"/>
                    </w:trPr>
                    <w:tc>
                      <w:tcPr>
                        <w:tcW w:w="1276"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21"/>
                          <w:ind w:right="521"/>
                          <w:jc w:val="right"/>
                          <w:rPr>
                            <w:rFonts w:ascii="宋体" w:hAnsi="宋体" w:cs="宋体" w:eastAsia="宋体" w:hint="default"/>
                            <w:sz w:val="18"/>
                            <w:szCs w:val="18"/>
                          </w:rPr>
                        </w:pPr>
                        <w:r>
                          <w:rPr>
                            <w:rFonts w:ascii="宋体" w:hAnsi="宋体" w:cs="宋体" w:eastAsia="宋体" w:hint="default"/>
                            <w:sz w:val="18"/>
                            <w:szCs w:val="18"/>
                          </w:rPr>
                          <w:t>定量标准</w:t>
                        </w:r>
                      </w:p>
                    </w:tc>
                    <w:tc>
                      <w:tcPr>
                        <w:tcW w:w="4382" w:type="dxa"/>
                        <w:gridSpan w:val="2"/>
                        <w:vMerge/>
                        <w:tcBorders>
                          <w:left w:val="single" w:sz="9" w:space="0" w:color="D3D3D3"/>
                          <w:right w:val="single" w:sz="4" w:space="0" w:color="000000"/>
                        </w:tcBorders>
                        <w:shd w:val="clear" w:color="auto" w:fill="C7EDCC"/>
                      </w:tcPr>
                      <w:p>
                        <w:pPr/>
                      </w:p>
                    </w:tc>
                    <w:tc>
                      <w:tcPr>
                        <w:tcW w:w="3898" w:type="dxa"/>
                        <w:vMerge/>
                        <w:tcBorders>
                          <w:left w:val="single" w:sz="4" w:space="0" w:color="000000"/>
                          <w:right w:val="single" w:sz="4" w:space="0" w:color="000000"/>
                        </w:tcBorders>
                        <w:shd w:val="clear" w:color="auto" w:fill="C7EDCC"/>
                      </w:tcPr>
                      <w:p>
                        <w:pPr/>
                      </w:p>
                    </w:tc>
                  </w:tr>
                  <w:tr>
                    <w:trPr>
                      <w:trHeight w:val="725" w:hRule="exact"/>
                    </w:trPr>
                    <w:tc>
                      <w:tcPr>
                        <w:tcW w:w="1276" w:type="dxa"/>
                        <w:tcBorders>
                          <w:top w:val="nil" w:sz="6" w:space="0" w:color="auto"/>
                          <w:left w:val="single" w:sz="4" w:space="0" w:color="000000"/>
                          <w:bottom w:val="single" w:sz="4" w:space="0" w:color="000000"/>
                          <w:right w:val="single" w:sz="13" w:space="0" w:color="C7EDCC"/>
                        </w:tcBorders>
                        <w:shd w:val="clear" w:color="auto" w:fill="D3D3D3"/>
                      </w:tcPr>
                      <w:p>
                        <w:pPr/>
                      </w:p>
                    </w:tc>
                    <w:tc>
                      <w:tcPr>
                        <w:tcW w:w="4382" w:type="dxa"/>
                        <w:gridSpan w:val="2"/>
                        <w:vMerge/>
                        <w:tcBorders>
                          <w:left w:val="single" w:sz="9" w:space="0" w:color="D3D3D3"/>
                          <w:bottom w:val="single" w:sz="4" w:space="0" w:color="000000"/>
                          <w:right w:val="single" w:sz="4" w:space="0" w:color="000000"/>
                        </w:tcBorders>
                        <w:shd w:val="clear" w:color="auto" w:fill="C7EDCC"/>
                      </w:tcPr>
                      <w:p>
                        <w:pPr/>
                      </w:p>
                    </w:tc>
                    <w:tc>
                      <w:tcPr>
                        <w:tcW w:w="3898" w:type="dxa"/>
                        <w:vMerge/>
                        <w:tcBorders>
                          <w:left w:val="single" w:sz="4" w:space="0" w:color="000000"/>
                          <w:bottom w:val="single" w:sz="4" w:space="0" w:color="000000"/>
                          <w:right w:val="single" w:sz="4" w:space="0" w:color="000000"/>
                        </w:tcBorders>
                        <w:shd w:val="clear" w:color="auto" w:fill="C7EDCC"/>
                      </w:tcPr>
                      <w:p>
                        <w:pPr/>
                      </w:p>
                    </w:tc>
                  </w:tr>
                  <w:tr>
                    <w:trPr>
                      <w:trHeight w:val="570" w:hRule="exact"/>
                    </w:trPr>
                    <w:tc>
                      <w:tcPr>
                        <w:tcW w:w="12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4" w:lineRule="auto" w:before="22"/>
                          <w:ind w:left="11" w:right="-17"/>
                          <w:jc w:val="left"/>
                          <w:rPr>
                            <w:rFonts w:ascii="宋体" w:hAnsi="宋体" w:cs="宋体" w:eastAsia="宋体" w:hint="default"/>
                            <w:sz w:val="18"/>
                            <w:szCs w:val="18"/>
                          </w:rPr>
                        </w:pPr>
                        <w:r>
                          <w:rPr>
                            <w:rFonts w:ascii="宋体" w:hAnsi="宋体" w:cs="宋体" w:eastAsia="宋体" w:hint="default"/>
                            <w:sz w:val="18"/>
                            <w:szCs w:val="18"/>
                          </w:rPr>
                          <w:t>财务报告重大 缺陷数量（个）</w:t>
                        </w:r>
                      </w:p>
                    </w:tc>
                    <w:tc>
                      <w:tcPr>
                        <w:tcW w:w="8280" w:type="dxa"/>
                        <w:gridSpan w:val="3"/>
                        <w:tcBorders>
                          <w:top w:val="single" w:sz="4" w:space="0" w:color="000000"/>
                          <w:left w:val="single" w:sz="9"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11" w:right="173"/>
                          <w:jc w:val="left"/>
                          <w:rPr>
                            <w:rFonts w:ascii="宋体" w:hAnsi="宋体" w:cs="宋体" w:eastAsia="宋体" w:hint="default"/>
                            <w:sz w:val="18"/>
                            <w:szCs w:val="18"/>
                          </w:rPr>
                        </w:pPr>
                        <w:r>
                          <w:rPr>
                            <w:rFonts w:ascii="宋体" w:hAnsi="宋体" w:cs="宋体" w:eastAsia="宋体" w:hint="default"/>
                            <w:sz w:val="18"/>
                            <w:szCs w:val="18"/>
                          </w:rPr>
                          <w:t>非财务报告重 大缺陷数量</w:t>
                        </w:r>
                      </w:p>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28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127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4" w:lineRule="auto" w:before="22"/>
                          <w:ind w:left="11" w:right="-17"/>
                          <w:jc w:val="left"/>
                          <w:rPr>
                            <w:rFonts w:ascii="宋体" w:hAnsi="宋体" w:cs="宋体" w:eastAsia="宋体" w:hint="default"/>
                            <w:sz w:val="18"/>
                            <w:szCs w:val="18"/>
                          </w:rPr>
                        </w:pPr>
                        <w:r>
                          <w:rPr>
                            <w:rFonts w:ascii="宋体" w:hAnsi="宋体" w:cs="宋体" w:eastAsia="宋体" w:hint="default"/>
                            <w:sz w:val="18"/>
                            <w:szCs w:val="18"/>
                          </w:rPr>
                          <w:t>财务报告重要 缺陷数量（个）</w:t>
                        </w:r>
                      </w:p>
                    </w:tc>
                    <w:tc>
                      <w:tcPr>
                        <w:tcW w:w="8280" w:type="dxa"/>
                        <w:gridSpan w:val="3"/>
                        <w:tcBorders>
                          <w:top w:val="single" w:sz="4" w:space="0" w:color="000000"/>
                          <w:left w:val="single" w:sz="9"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11"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11" w:right="173"/>
                          <w:jc w:val="left"/>
                          <w:rPr>
                            <w:rFonts w:ascii="宋体" w:hAnsi="宋体" w:cs="宋体" w:eastAsia="宋体" w:hint="default"/>
                            <w:sz w:val="18"/>
                            <w:szCs w:val="18"/>
                          </w:rPr>
                        </w:pPr>
                        <w:r>
                          <w:rPr>
                            <w:rFonts w:ascii="宋体" w:hAnsi="宋体" w:cs="宋体" w:eastAsia="宋体" w:hint="default"/>
                            <w:sz w:val="18"/>
                            <w:szCs w:val="18"/>
                          </w:rPr>
                          <w:t>非财务报告重 要缺陷数量</w:t>
                        </w:r>
                      </w:p>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28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139"/>
        <w:jc w:val="right"/>
      </w:pPr>
      <w:r>
        <w:rPr/>
        <w:t>：</w:t>
      </w:r>
    </w:p>
    <w:p>
      <w:pPr>
        <w:spacing w:after="0" w:line="240" w:lineRule="auto"/>
        <w:jc w:val="righ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十、内部控制审计报告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我们认为，浙江华媒控股股份有限公司于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 保持了有效的财务报告内部控制。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40" w:lineRule="auto" w:before="116"/>
        <w:ind w:right="4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6" w:right="0"/>
        <w:jc w:val="left"/>
        <w:rPr>
          <w:b w:val="0"/>
          <w:bCs w:val="0"/>
        </w:rPr>
      </w:pPr>
      <w:bookmarkStart w:name="_TOC_250002" w:id="11"/>
      <w:r>
        <w:rPr/>
        <w:t>第十一节公司债券相关情况</w:t>
      </w:r>
      <w:bookmarkEnd w:id="11"/>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593"/>
        <w:gridCol w:w="481"/>
        <w:gridCol w:w="665"/>
        <w:gridCol w:w="798"/>
        <w:gridCol w:w="799"/>
        <w:gridCol w:w="785"/>
        <w:gridCol w:w="532"/>
        <w:gridCol w:w="3029"/>
      </w:tblGrid>
      <w:tr>
        <w:trPr>
          <w:trHeight w:val="714" w:hRule="exact"/>
        </w:trPr>
        <w:tc>
          <w:tcPr>
            <w:tcW w:w="2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41"/>
              <w:jc w:val="left"/>
              <w:rPr>
                <w:rFonts w:ascii="宋体" w:hAnsi="宋体" w:cs="宋体" w:eastAsia="宋体" w:hint="default"/>
                <w:sz w:val="18"/>
                <w:szCs w:val="18"/>
              </w:rPr>
            </w:pPr>
            <w:r>
              <w:rPr>
                <w:rFonts w:ascii="宋体" w:hAnsi="宋体" w:cs="宋体" w:eastAsia="宋体" w:hint="default"/>
                <w:sz w:val="18"/>
                <w:szCs w:val="18"/>
              </w:rPr>
              <w:t>债券 简称</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4" w:right="49" w:hanging="180"/>
              <w:jc w:val="left"/>
              <w:rPr>
                <w:rFonts w:ascii="宋体" w:hAnsi="宋体" w:cs="宋体" w:eastAsia="宋体" w:hint="default"/>
                <w:sz w:val="18"/>
                <w:szCs w:val="18"/>
              </w:rPr>
            </w:pPr>
            <w:r>
              <w:rPr>
                <w:rFonts w:ascii="宋体" w:hAnsi="宋体" w:cs="宋体" w:eastAsia="宋体" w:hint="default"/>
                <w:sz w:val="18"/>
                <w:szCs w:val="18"/>
              </w:rPr>
              <w:t>债券代 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3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6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0" w:hRule="exact"/>
        </w:trPr>
        <w:tc>
          <w:tcPr>
            <w:tcW w:w="2593" w:type="dxa"/>
            <w:vMerge w:val="restart"/>
            <w:tcBorders>
              <w:top w:val="single" w:sz="4" w:space="0" w:color="000000"/>
              <w:left w:val="single" w:sz="4" w:space="0" w:color="000000"/>
              <w:right w:val="single" w:sz="4" w:space="0" w:color="000000"/>
            </w:tcBorders>
            <w:shd w:val="clear" w:color="auto" w:fill="C7EDCC"/>
          </w:tcPr>
          <w:p>
            <w:pPr>
              <w:pStyle w:val="TableParagraph"/>
              <w:spacing w:line="309" w:lineRule="auto" w:before="51"/>
              <w:ind w:left="2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年面向合格投资者公开发行公司 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481" w:type="dxa"/>
            <w:tcBorders>
              <w:top w:val="single" w:sz="4" w:space="0" w:color="000000"/>
              <w:left w:val="single" w:sz="4" w:space="0" w:color="000000"/>
              <w:bottom w:val="nil" w:sz="6" w:space="0" w:color="auto"/>
              <w:right w:val="single" w:sz="4" w:space="0" w:color="000000"/>
            </w:tcBorders>
            <w:shd w:val="clear" w:color="auto" w:fill="C7EDCC"/>
          </w:tcPr>
          <w:p>
            <w:pPr/>
          </w:p>
        </w:tc>
        <w:tc>
          <w:tcPr>
            <w:tcW w:w="665"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9" w:space="0" w:color="C7EDCC"/>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2" w:type="dxa"/>
            <w:vMerge w:val="restart"/>
            <w:tcBorders>
              <w:top w:val="single" w:sz="4" w:space="0" w:color="000000"/>
              <w:left w:val="single" w:sz="4" w:space="0" w:color="000000"/>
              <w:right w:val="single" w:sz="13" w:space="0" w:color="C7ED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w:t>
            </w:r>
          </w:p>
        </w:tc>
        <w:tc>
          <w:tcPr>
            <w:tcW w:w="302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pacing w:val="-4"/>
                <w:sz w:val="18"/>
                <w:szCs w:val="18"/>
              </w:rPr>
              <w:t>采用单利按年计息，不计复利，每年付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息一次，到期一次还本，最后一期利息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随本金的兑付一起支付。</w:t>
            </w:r>
          </w:p>
        </w:tc>
      </w:tr>
      <w:tr>
        <w:trPr>
          <w:trHeight w:val="156" w:hRule="exact"/>
        </w:trPr>
        <w:tc>
          <w:tcPr>
            <w:tcW w:w="2593" w:type="dxa"/>
            <w:vMerge/>
            <w:tcBorders>
              <w:left w:val="single" w:sz="4" w:space="0" w:color="000000"/>
              <w:right w:val="single" w:sz="4" w:space="0" w:color="000000"/>
            </w:tcBorders>
            <w:shd w:val="clear" w:color="auto" w:fill="C7EDCC"/>
          </w:tcPr>
          <w:p>
            <w:pPr/>
          </w:p>
        </w:tc>
        <w:tc>
          <w:tcPr>
            <w:tcW w:w="481"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华</w:t>
            </w:r>
          </w:p>
          <w:p>
            <w:pPr>
              <w:pStyle w:val="TableParagraph"/>
              <w:spacing w:line="240" w:lineRule="auto" w:before="63"/>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665" w:type="dxa"/>
            <w:vMerge/>
            <w:tcBorders>
              <w:left w:val="single" w:sz="4" w:space="0" w:color="000000"/>
              <w:bottom w:val="nil" w:sz="6" w:space="0" w:color="auto"/>
              <w:right w:val="single" w:sz="4" w:space="0" w:color="000000"/>
            </w:tcBorders>
            <w:shd w:val="clear" w:color="auto" w:fill="C7EDCC"/>
          </w:tcPr>
          <w:p>
            <w:pPr/>
          </w:p>
        </w:tc>
        <w:tc>
          <w:tcPr>
            <w:tcW w:w="798" w:type="dxa"/>
            <w:vMerge/>
            <w:tcBorders>
              <w:left w:val="single" w:sz="9" w:space="0" w:color="C7EDCC"/>
              <w:right w:val="single" w:sz="4" w:space="0" w:color="000000"/>
            </w:tcBorders>
          </w:tcPr>
          <w:p>
            <w:pPr/>
          </w:p>
        </w:tc>
        <w:tc>
          <w:tcPr>
            <w:tcW w:w="799"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532" w:type="dxa"/>
            <w:vMerge/>
            <w:tcBorders>
              <w:left w:val="single" w:sz="4" w:space="0" w:color="000000"/>
              <w:right w:val="single" w:sz="13" w:space="0" w:color="C7EDCC"/>
            </w:tcBorders>
          </w:tcPr>
          <w:p>
            <w:pPr/>
          </w:p>
        </w:tc>
        <w:tc>
          <w:tcPr>
            <w:tcW w:w="3029" w:type="dxa"/>
            <w:vMerge/>
            <w:tcBorders>
              <w:left w:val="single" w:sz="4" w:space="0" w:color="000000"/>
              <w:right w:val="single" w:sz="4" w:space="0" w:color="000000"/>
            </w:tcBorders>
            <w:shd w:val="clear" w:color="auto" w:fill="C7EDCC"/>
          </w:tcPr>
          <w:p>
            <w:pPr/>
          </w:p>
        </w:tc>
      </w:tr>
      <w:tr>
        <w:trPr>
          <w:trHeight w:val="393" w:hRule="exact"/>
        </w:trPr>
        <w:tc>
          <w:tcPr>
            <w:tcW w:w="2593" w:type="dxa"/>
            <w:vMerge/>
            <w:tcBorders>
              <w:left w:val="single" w:sz="4" w:space="0" w:color="000000"/>
              <w:right w:val="single" w:sz="4" w:space="0" w:color="000000"/>
            </w:tcBorders>
            <w:shd w:val="clear" w:color="auto" w:fill="C7EDCC"/>
          </w:tcPr>
          <w:p>
            <w:pPr/>
          </w:p>
        </w:tc>
        <w:tc>
          <w:tcPr>
            <w:tcW w:w="481" w:type="dxa"/>
            <w:vMerge/>
            <w:tcBorders>
              <w:left w:val="single" w:sz="4" w:space="0" w:color="000000"/>
              <w:right w:val="single" w:sz="4" w:space="0" w:color="000000"/>
            </w:tcBorders>
            <w:shd w:val="clear" w:color="auto" w:fill="C7EDCC"/>
          </w:tcPr>
          <w:p>
            <w:pPr/>
          </w:p>
        </w:tc>
        <w:tc>
          <w:tcPr>
            <w:tcW w:w="66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112975</w:t>
            </w:r>
          </w:p>
        </w:tc>
        <w:tc>
          <w:tcPr>
            <w:tcW w:w="798" w:type="dxa"/>
            <w:vMerge/>
            <w:tcBorders>
              <w:left w:val="single" w:sz="9" w:space="0" w:color="C7EDCC"/>
              <w:right w:val="single" w:sz="4" w:space="0" w:color="000000"/>
            </w:tcBorders>
          </w:tcPr>
          <w:p>
            <w:pPr/>
          </w:p>
        </w:tc>
        <w:tc>
          <w:tcPr>
            <w:tcW w:w="799"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532" w:type="dxa"/>
            <w:vMerge/>
            <w:tcBorders>
              <w:left w:val="single" w:sz="4" w:space="0" w:color="000000"/>
              <w:right w:val="single" w:sz="13" w:space="0" w:color="C7EDCC"/>
            </w:tcBorders>
          </w:tcPr>
          <w:p>
            <w:pPr/>
          </w:p>
        </w:tc>
        <w:tc>
          <w:tcPr>
            <w:tcW w:w="3029" w:type="dxa"/>
            <w:vMerge/>
            <w:tcBorders>
              <w:left w:val="single" w:sz="4" w:space="0" w:color="000000"/>
              <w:right w:val="single" w:sz="4" w:space="0" w:color="000000"/>
            </w:tcBorders>
            <w:shd w:val="clear" w:color="auto" w:fill="C7EDCC"/>
          </w:tcPr>
          <w:p>
            <w:pPr/>
          </w:p>
        </w:tc>
      </w:tr>
      <w:tr>
        <w:trPr>
          <w:trHeight w:val="156" w:hRule="exact"/>
        </w:trPr>
        <w:tc>
          <w:tcPr>
            <w:tcW w:w="2593" w:type="dxa"/>
            <w:vMerge/>
            <w:tcBorders>
              <w:left w:val="single" w:sz="4" w:space="0" w:color="000000"/>
              <w:right w:val="single" w:sz="4" w:space="0" w:color="000000"/>
            </w:tcBorders>
            <w:shd w:val="clear" w:color="auto" w:fill="C7EDCC"/>
          </w:tcPr>
          <w:p>
            <w:pPr/>
          </w:p>
        </w:tc>
        <w:tc>
          <w:tcPr>
            <w:tcW w:w="481" w:type="dxa"/>
            <w:vMerge/>
            <w:tcBorders>
              <w:left w:val="single" w:sz="4" w:space="0" w:color="000000"/>
              <w:bottom w:val="nil" w:sz="6" w:space="0" w:color="auto"/>
              <w:right w:val="single" w:sz="4" w:space="0" w:color="000000"/>
            </w:tcBorders>
            <w:shd w:val="clear" w:color="auto" w:fill="C7EDCC"/>
          </w:tcPr>
          <w:p>
            <w:pPr/>
          </w:p>
        </w:tc>
        <w:tc>
          <w:tcPr>
            <w:tcW w:w="665" w:type="dxa"/>
            <w:vMerge w:val="restart"/>
            <w:tcBorders>
              <w:top w:val="nil" w:sz="6" w:space="0" w:color="auto"/>
              <w:left w:val="single" w:sz="4" w:space="0" w:color="000000"/>
              <w:right w:val="single" w:sz="4" w:space="0" w:color="000000"/>
            </w:tcBorders>
            <w:shd w:val="clear" w:color="auto" w:fill="C7EDCC"/>
          </w:tcPr>
          <w:p>
            <w:pPr/>
          </w:p>
        </w:tc>
        <w:tc>
          <w:tcPr>
            <w:tcW w:w="798" w:type="dxa"/>
            <w:vMerge/>
            <w:tcBorders>
              <w:left w:val="single" w:sz="9" w:space="0" w:color="C7EDCC"/>
              <w:right w:val="single" w:sz="4" w:space="0" w:color="000000"/>
            </w:tcBorders>
          </w:tcPr>
          <w:p>
            <w:pPr/>
          </w:p>
        </w:tc>
        <w:tc>
          <w:tcPr>
            <w:tcW w:w="799"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c>
          <w:tcPr>
            <w:tcW w:w="532" w:type="dxa"/>
            <w:vMerge/>
            <w:tcBorders>
              <w:left w:val="single" w:sz="4" w:space="0" w:color="000000"/>
              <w:right w:val="single" w:sz="13" w:space="0" w:color="C7EDCC"/>
            </w:tcBorders>
          </w:tcPr>
          <w:p>
            <w:pPr/>
          </w:p>
        </w:tc>
        <w:tc>
          <w:tcPr>
            <w:tcW w:w="3029" w:type="dxa"/>
            <w:vMerge/>
            <w:tcBorders>
              <w:left w:val="single" w:sz="4" w:space="0" w:color="000000"/>
              <w:right w:val="single" w:sz="4" w:space="0" w:color="000000"/>
            </w:tcBorders>
            <w:shd w:val="clear" w:color="auto" w:fill="C7EDCC"/>
          </w:tcPr>
          <w:p>
            <w:pPr/>
          </w:p>
        </w:tc>
      </w:tr>
      <w:tr>
        <w:trPr>
          <w:trHeight w:val="160" w:hRule="exact"/>
        </w:trPr>
        <w:tc>
          <w:tcPr>
            <w:tcW w:w="2593" w:type="dxa"/>
            <w:vMerge/>
            <w:tcBorders>
              <w:left w:val="single" w:sz="4" w:space="0" w:color="000000"/>
              <w:bottom w:val="single" w:sz="4" w:space="0" w:color="000000"/>
              <w:right w:val="single" w:sz="4" w:space="0" w:color="000000"/>
            </w:tcBorders>
            <w:shd w:val="clear" w:color="auto" w:fill="C7EDCC"/>
          </w:tcPr>
          <w:p>
            <w:pPr/>
          </w:p>
        </w:tc>
        <w:tc>
          <w:tcPr>
            <w:tcW w:w="481" w:type="dxa"/>
            <w:tcBorders>
              <w:top w:val="nil" w:sz="6" w:space="0" w:color="auto"/>
              <w:left w:val="single" w:sz="4" w:space="0" w:color="000000"/>
              <w:bottom w:val="single" w:sz="4" w:space="0" w:color="000000"/>
              <w:right w:val="single" w:sz="4" w:space="0" w:color="000000"/>
            </w:tcBorders>
            <w:shd w:val="clear" w:color="auto" w:fill="C7EDCC"/>
          </w:tcPr>
          <w:p>
            <w:pPr/>
          </w:p>
        </w:tc>
        <w:tc>
          <w:tcPr>
            <w:tcW w:w="665"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9" w:space="0" w:color="C7EDCC"/>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13" w:space="0" w:color="C7EDCC"/>
            </w:tcBorders>
          </w:tcPr>
          <w:p>
            <w:pPr/>
          </w:p>
        </w:tc>
        <w:tc>
          <w:tcPr>
            <w:tcW w:w="3029"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074" w:type="dxa"/>
            <w:gridSpan w:val="2"/>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6608" w:type="dxa"/>
            <w:gridSpan w:val="6"/>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074" w:type="dxa"/>
            <w:gridSpan w:val="2"/>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6608" w:type="dxa"/>
            <w:gridSpan w:val="6"/>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74" w:type="dxa"/>
            <w:gridSpan w:val="2"/>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6608" w:type="dxa"/>
            <w:gridSpan w:val="6"/>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报告期内，本次公司债未到付息日。</w:t>
            </w:r>
          </w:p>
        </w:tc>
      </w:tr>
      <w:tr>
        <w:trPr>
          <w:trHeight w:val="316" w:hRule="exact"/>
        </w:trPr>
        <w:tc>
          <w:tcPr>
            <w:tcW w:w="3074" w:type="dxa"/>
            <w:gridSpan w:val="2"/>
            <w:vMerge w:val="restart"/>
            <w:tcBorders>
              <w:top w:val="single" w:sz="4" w:space="0" w:color="000000"/>
              <w:left w:val="single" w:sz="4" w:space="0" w:color="000000"/>
              <w:right w:val="single" w:sz="10" w:space="0" w:color="C7EDCC"/>
            </w:tcBorders>
            <w:shd w:val="clear" w:color="auto" w:fill="D3D3D3"/>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公司债券附发行人或投资者选择权条 </w:t>
            </w:r>
            <w:r>
              <w:rPr>
                <w:rFonts w:ascii="宋体" w:hAnsi="宋体" w:cs="宋体" w:eastAsia="宋体" w:hint="default"/>
                <w:spacing w:val="-2"/>
                <w:sz w:val="18"/>
                <w:szCs w:val="18"/>
              </w:rPr>
              <w:t>款、可交换条款等特殊条款的，报告期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内相关条款的执行情况</w:t>
            </w:r>
          </w:p>
        </w:tc>
        <w:tc>
          <w:tcPr>
            <w:tcW w:w="6608" w:type="dxa"/>
            <w:gridSpan w:val="6"/>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93" w:hRule="exact"/>
        </w:trPr>
        <w:tc>
          <w:tcPr>
            <w:tcW w:w="3074" w:type="dxa"/>
            <w:gridSpan w:val="2"/>
            <w:vMerge/>
            <w:tcBorders>
              <w:left w:val="single" w:sz="4" w:space="0" w:color="000000"/>
              <w:right w:val="single" w:sz="10" w:space="0" w:color="C7EDCC"/>
            </w:tcBorders>
            <w:shd w:val="clear" w:color="auto" w:fill="D3D3D3"/>
          </w:tcPr>
          <w:p>
            <w:pPr/>
          </w:p>
        </w:tc>
        <w:tc>
          <w:tcPr>
            <w:tcW w:w="6608" w:type="dxa"/>
            <w:gridSpan w:val="6"/>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6" w:hRule="exact"/>
        </w:trPr>
        <w:tc>
          <w:tcPr>
            <w:tcW w:w="3074" w:type="dxa"/>
            <w:gridSpan w:val="2"/>
            <w:vMerge/>
            <w:tcBorders>
              <w:left w:val="single" w:sz="4" w:space="0" w:color="000000"/>
              <w:bottom w:val="single" w:sz="4" w:space="0" w:color="000000"/>
              <w:right w:val="single" w:sz="10" w:space="0" w:color="C7EDCC"/>
            </w:tcBorders>
            <w:shd w:val="clear" w:color="auto" w:fill="D3D3D3"/>
          </w:tcPr>
          <w:p>
            <w:pPr/>
          </w:p>
        </w:tc>
        <w:tc>
          <w:tcPr>
            <w:tcW w:w="6608" w:type="dxa"/>
            <w:gridSpan w:val="6"/>
            <w:tcBorders>
              <w:top w:val="nil" w:sz="6" w:space="0" w:color="auto"/>
              <w:left w:val="single" w:sz="13" w:space="0" w:color="D3D3D3"/>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785"/>
        <w:gridCol w:w="412"/>
        <w:gridCol w:w="1196"/>
        <w:gridCol w:w="1196"/>
        <w:gridCol w:w="1195"/>
        <w:gridCol w:w="1196"/>
        <w:gridCol w:w="1196"/>
      </w:tblGrid>
      <w:tr>
        <w:trPr>
          <w:trHeight w:val="40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17" w:hRule="exact"/>
        </w:trPr>
        <w:tc>
          <w:tcPr>
            <w:tcW w:w="11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vMerge w:val="restart"/>
            <w:tcBorders>
              <w:top w:val="single" w:sz="4" w:space="0" w:color="000000"/>
              <w:left w:val="single" w:sz="10" w:space="0" w:color="D3D3D3"/>
              <w:right w:val="single" w:sz="10" w:space="0" w:color="D3D3D3"/>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5" w:right="73"/>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9" w:space="0" w:color="D3D3D3"/>
              <w:right w:val="single" w:sz="9" w:space="0" w:color="D3D3D3"/>
            </w:tcBorders>
            <w:shd w:val="clear" w:color="auto" w:fill="C7EDCC"/>
          </w:tcPr>
          <w:p>
            <w:pPr>
              <w:pStyle w:val="TableParagraph"/>
              <w:spacing w:line="316" w:lineRule="auto" w:before="51"/>
              <w:ind w:left="16" w:right="74"/>
              <w:jc w:val="left"/>
              <w:rPr>
                <w:rFonts w:ascii="宋体" w:hAnsi="宋体" w:cs="宋体" w:eastAsia="宋体" w:hint="default"/>
                <w:sz w:val="18"/>
                <w:szCs w:val="18"/>
              </w:rPr>
            </w:pPr>
            <w:r>
              <w:rPr>
                <w:rFonts w:ascii="宋体" w:hAnsi="宋体" w:cs="宋体" w:eastAsia="宋体" w:hint="default"/>
                <w:sz w:val="18"/>
                <w:szCs w:val="18"/>
              </w:rPr>
              <w:t>上海市静安区 新闸路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博华广场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层</w:t>
            </w:r>
          </w:p>
        </w:tc>
        <w:tc>
          <w:tcPr>
            <w:tcW w:w="1196" w:type="dxa"/>
            <w:tcBorders>
              <w:top w:val="single" w:sz="4" w:space="0" w:color="000000"/>
              <w:left w:val="single" w:sz="13" w:space="0" w:color="C7EDCC"/>
              <w:bottom w:val="nil" w:sz="6" w:space="0" w:color="auto"/>
              <w:right w:val="single" w:sz="4" w:space="0" w:color="000000"/>
            </w:tcBorders>
            <w:shd w:val="clear" w:color="auto" w:fill="D3D3D3"/>
          </w:tcPr>
          <w:p>
            <w:pPr/>
          </w:p>
        </w:tc>
        <w:tc>
          <w:tcPr>
            <w:tcW w:w="1195" w:type="dxa"/>
            <w:vMerge w:val="restart"/>
            <w:tcBorders>
              <w:top w:val="single" w:sz="4" w:space="0" w:color="000000"/>
              <w:left w:val="single" w:sz="9" w:space="0" w:color="D3D3D3"/>
              <w:right w:val="single" w:sz="9" w:space="0" w:color="D3D3D3"/>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 w:right="0"/>
              <w:jc w:val="left"/>
              <w:rPr>
                <w:rFonts w:ascii="宋体" w:hAnsi="宋体" w:cs="宋体" w:eastAsia="宋体" w:hint="default"/>
                <w:sz w:val="18"/>
                <w:szCs w:val="18"/>
              </w:rPr>
            </w:pPr>
            <w:r>
              <w:rPr>
                <w:rFonts w:ascii="宋体" w:hAnsi="宋体" w:cs="宋体" w:eastAsia="宋体" w:hint="default"/>
                <w:sz w:val="18"/>
                <w:szCs w:val="18"/>
              </w:rPr>
              <w:t>薛歆</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021-38676666</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10" w:space="0" w:color="D3D3D3"/>
              <w:right w:val="single" w:sz="10" w:space="0" w:color="D3D3D3"/>
            </w:tcBorders>
            <w:shd w:val="clear" w:color="auto" w:fill="C7EDCC"/>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vMerge/>
            <w:tcBorders>
              <w:left w:val="single" w:sz="9" w:space="0" w:color="D3D3D3"/>
              <w:right w:val="single" w:sz="9" w:space="0" w:color="D3D3D3"/>
            </w:tcBorders>
            <w:shd w:val="clear" w:color="auto" w:fill="C7EDCC"/>
          </w:tcPr>
          <w:p>
            <w:pPr/>
          </w:p>
        </w:tc>
        <w:tc>
          <w:tcPr>
            <w:tcW w:w="1196" w:type="dxa"/>
            <w:tcBorders>
              <w:top w:val="nil" w:sz="6" w:space="0" w:color="auto"/>
              <w:left w:val="single" w:sz="13" w:space="0" w:color="C7EDCC"/>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5" w:type="dxa"/>
            <w:vMerge/>
            <w:tcBorders>
              <w:left w:val="single" w:sz="9" w:space="0" w:color="D3D3D3"/>
              <w:right w:val="single" w:sz="9" w:space="0" w:color="D3D3D3"/>
            </w:tcBorders>
            <w:shd w:val="clear" w:color="auto" w:fill="C7EDCC"/>
          </w:tcPr>
          <w:p>
            <w:pP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3D3D3"/>
              <w:right w:val="single" w:sz="4" w:space="0" w:color="000000"/>
            </w:tcBorders>
            <w:shd w:val="clear" w:color="auto" w:fill="C7EDCC"/>
          </w:tcPr>
          <w:p>
            <w:pPr/>
          </w:p>
        </w:tc>
      </w:tr>
      <w:tr>
        <w:trPr>
          <w:trHeight w:val="317" w:hRule="exact"/>
        </w:trPr>
        <w:tc>
          <w:tcPr>
            <w:tcW w:w="11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vMerge/>
            <w:tcBorders>
              <w:left w:val="single" w:sz="10" w:space="0" w:color="D3D3D3"/>
              <w:bottom w:val="single" w:sz="4" w:space="0" w:color="000000"/>
              <w:right w:val="single" w:sz="10" w:space="0" w:color="D3D3D3"/>
            </w:tcBorders>
            <w:shd w:val="clear" w:color="auto" w:fill="C7EDCC"/>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9" w:space="0" w:color="D3D3D3"/>
              <w:bottom w:val="single" w:sz="4" w:space="0" w:color="000000"/>
              <w:right w:val="single" w:sz="9" w:space="0" w:color="D3D3D3"/>
            </w:tcBorders>
            <w:shd w:val="clear" w:color="auto" w:fill="C7EDCC"/>
          </w:tcPr>
          <w:p>
            <w:pPr/>
          </w:p>
        </w:tc>
        <w:tc>
          <w:tcPr>
            <w:tcW w:w="1196" w:type="dxa"/>
            <w:tcBorders>
              <w:top w:val="nil" w:sz="6" w:space="0" w:color="auto"/>
              <w:left w:val="single" w:sz="13" w:space="0" w:color="C7EDCC"/>
              <w:bottom w:val="single" w:sz="4" w:space="0" w:color="000000"/>
              <w:right w:val="single" w:sz="4" w:space="0" w:color="000000"/>
            </w:tcBorders>
            <w:shd w:val="clear" w:color="auto" w:fill="D3D3D3"/>
          </w:tcPr>
          <w:p>
            <w:pPr/>
          </w:p>
        </w:tc>
        <w:tc>
          <w:tcPr>
            <w:tcW w:w="1195" w:type="dxa"/>
            <w:vMerge/>
            <w:tcBorders>
              <w:left w:val="single" w:sz="9" w:space="0" w:color="D3D3D3"/>
              <w:bottom w:val="single" w:sz="4" w:space="0" w:color="000000"/>
              <w:right w:val="single" w:sz="9" w:space="0" w:color="D3D3D3"/>
            </w:tcBorders>
            <w:shd w:val="clear" w:color="auto" w:fill="C7EDCC"/>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2" w:hRule="exact"/>
        </w:trPr>
        <w:tc>
          <w:tcPr>
            <w:tcW w:w="119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13" w:space="0" w:color="D3D3D3"/>
              <w:bottom w:val="single" w:sz="4" w:space="0" w:color="000000"/>
              <w:right w:val="single" w:sz="9"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上海新世纪资信评估投资服务有限公司</w:t>
            </w:r>
          </w:p>
        </w:tc>
        <w:tc>
          <w:tcPr>
            <w:tcW w:w="1196" w:type="dxa"/>
            <w:tcBorders>
              <w:top w:val="single" w:sz="4" w:space="0" w:color="000000"/>
              <w:left w:val="single" w:sz="13" w:space="0" w:color="C7EDCC"/>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上海市黄浦区汉口路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号华盛大厦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17" w:hRule="exact"/>
        </w:trPr>
        <w:tc>
          <w:tcPr>
            <w:tcW w:w="3171" w:type="dxa"/>
            <w:gridSpan w:val="3"/>
            <w:vMerge w:val="restart"/>
            <w:tcBorders>
              <w:top w:val="single" w:sz="4" w:space="0" w:color="000000"/>
              <w:left w:val="single" w:sz="4" w:space="0" w:color="000000"/>
              <w:right w:val="single" w:sz="9" w:space="0" w:color="C7EDCC"/>
            </w:tcBorders>
            <w:shd w:val="clear" w:color="auto" w:fill="D3D3D3"/>
          </w:tcPr>
          <w:p>
            <w:pPr>
              <w:pStyle w:val="TableParagraph"/>
              <w:spacing w:line="319" w:lineRule="auto" w:before="51"/>
              <w:ind w:left="11" w:right="81"/>
              <w:jc w:val="both"/>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履行的程序、对投资者利益的影响等</w:t>
            </w:r>
          </w:p>
        </w:tc>
        <w:tc>
          <w:tcPr>
            <w:tcW w:w="6391" w:type="dxa"/>
            <w:gridSpan w:val="6"/>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92" w:hRule="exact"/>
        </w:trPr>
        <w:tc>
          <w:tcPr>
            <w:tcW w:w="3171" w:type="dxa"/>
            <w:gridSpan w:val="3"/>
            <w:vMerge/>
            <w:tcBorders>
              <w:left w:val="single" w:sz="4" w:space="0" w:color="000000"/>
              <w:right w:val="single" w:sz="9" w:space="0" w:color="C7EDCC"/>
            </w:tcBorders>
            <w:shd w:val="clear" w:color="auto" w:fill="D3D3D3"/>
          </w:tcPr>
          <w:p>
            <w:pPr/>
          </w:p>
        </w:tc>
        <w:tc>
          <w:tcPr>
            <w:tcW w:w="6391" w:type="dxa"/>
            <w:gridSpan w:val="6"/>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pacing w:val="-17"/>
                <w:sz w:val="18"/>
                <w:szCs w:val="18"/>
              </w:rPr>
              <w:t>、不适用</w:t>
            </w:r>
          </w:p>
        </w:tc>
      </w:tr>
      <w:tr>
        <w:trPr>
          <w:trHeight w:val="317" w:hRule="exact"/>
        </w:trPr>
        <w:tc>
          <w:tcPr>
            <w:tcW w:w="3171" w:type="dxa"/>
            <w:gridSpan w:val="3"/>
            <w:vMerge/>
            <w:tcBorders>
              <w:left w:val="single" w:sz="4" w:space="0" w:color="000000"/>
              <w:bottom w:val="single" w:sz="4" w:space="0" w:color="000000"/>
              <w:right w:val="single" w:sz="9" w:space="0" w:color="C7EDCC"/>
            </w:tcBorders>
            <w:shd w:val="clear" w:color="auto" w:fill="D3D3D3"/>
          </w:tcPr>
          <w:p>
            <w:pPr/>
          </w:p>
        </w:tc>
        <w:tc>
          <w:tcPr>
            <w:tcW w:w="6391" w:type="dxa"/>
            <w:gridSpan w:val="6"/>
            <w:tcBorders>
              <w:top w:val="nil" w:sz="6" w:space="0" w:color="auto"/>
              <w:left w:val="single" w:sz="13" w:space="0" w:color="D3D3D3"/>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三、公司债券募集资金使用情况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before="84"/>
        <w:ind w:left="0" w:right="1137"/>
        <w:jc w:val="right"/>
      </w:pPr>
      <w:r>
        <w:rPr/>
        <w:pict>
          <v:shape style="position:absolute;margin-left:56.459999pt;margin-top:-17.447893pt;width:478.55pt;height:79.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5"/>
                    <w:gridCol w:w="6371"/>
                  </w:tblGrid>
                  <w:tr>
                    <w:trPr>
                      <w:trHeight w:val="357" w:hRule="exact"/>
                    </w:trPr>
                    <w:tc>
                      <w:tcPr>
                        <w:tcW w:w="3185" w:type="dxa"/>
                        <w:vMerge w:val="restart"/>
                        <w:tcBorders>
                          <w:top w:val="single" w:sz="4" w:space="0" w:color="000000"/>
                          <w:left w:val="single" w:sz="4" w:space="0" w:color="000000"/>
                          <w:right w:val="single" w:sz="13" w:space="0" w:color="C7EDCC"/>
                        </w:tcBorders>
                        <w:shd w:val="clear" w:color="auto" w:fill="D3D3D3"/>
                      </w:tcPr>
                      <w:p>
                        <w:pPr>
                          <w:pStyle w:val="TableParagraph"/>
                          <w:spacing w:line="316" w:lineRule="auto" w:before="71"/>
                          <w:ind w:left="22" w:right="78"/>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1" w:type="dxa"/>
                        <w:tcBorders>
                          <w:top w:val="single" w:sz="4" w:space="0" w:color="000000"/>
                          <w:left w:val="single" w:sz="4" w:space="0" w:color="000000"/>
                          <w:bottom w:val="single" w:sz="16" w:space="0" w:color="FFFFFF"/>
                          <w:right w:val="single" w:sz="4" w:space="0" w:color="000000"/>
                        </w:tcBorders>
                        <w:shd w:val="clear" w:color="auto" w:fill="C7EDCC"/>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本次发行债券募集资金扣除发行费用后，</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亿元用于偿还公司债务。</w:t>
                        </w:r>
                      </w:p>
                    </w:tc>
                  </w:tr>
                  <w:tr>
                    <w:trPr>
                      <w:trHeight w:val="417" w:hRule="exact"/>
                    </w:trPr>
                    <w:tc>
                      <w:tcPr>
                        <w:tcW w:w="3185" w:type="dxa"/>
                        <w:vMerge/>
                        <w:tcBorders>
                          <w:left w:val="single" w:sz="4" w:space="0" w:color="000000"/>
                          <w:bottom w:val="single" w:sz="4" w:space="0" w:color="000000"/>
                          <w:right w:val="single" w:sz="13" w:space="0" w:color="C7EDCC"/>
                        </w:tcBorders>
                        <w:shd w:val="clear" w:color="auto" w:fill="D3D3D3"/>
                      </w:tcPr>
                      <w:p>
                        <w:pPr/>
                      </w:p>
                    </w:tc>
                    <w:tc>
                      <w:tcPr>
                        <w:tcW w:w="6371" w:type="dxa"/>
                        <w:tcBorders>
                          <w:top w:val="single" w:sz="16" w:space="0" w:color="FFFFFF"/>
                          <w:left w:val="single" w:sz="4" w:space="0" w:color="000000"/>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上述资金的使用，均按照深交所上市公司相关监管要求，履行了相应的决策程序</w:t>
                        </w:r>
                      </w:p>
                    </w:tc>
                  </w:tr>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p>
              </w:txbxContent>
            </v:textbox>
            <w10:wrap type="none"/>
          </v:shape>
        </w:pict>
      </w:r>
      <w:r>
        <w:rPr/>
        <w:t>。</w:t>
      </w:r>
    </w:p>
    <w:p>
      <w:pPr>
        <w:spacing w:after="0" w:line="240" w:lineRule="auto"/>
        <w:jc w:val="right"/>
        <w:sectPr>
          <w:pgSz w:w="11910" w:h="16840"/>
          <w:pgMar w:header="747" w:footer="982" w:top="1060" w:bottom="1180" w:left="980" w:right="0"/>
        </w:sectPr>
      </w:pPr>
    </w:p>
    <w:p>
      <w:pPr>
        <w:spacing w:line="240" w:lineRule="auto" w:before="2"/>
        <w:rPr>
          <w:rFonts w:ascii="宋体" w:hAnsi="宋体" w:cs="宋体" w:eastAsia="宋体" w:hint="default"/>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26;top:14;width:2;height:705" coordorigin="26,14" coordsize="2,705">
              <v:shape style="position:absolute;left:26;top:14;width:2;height:705" coordorigin="26,14" coordsize="0,705" path="m26,14l26,719e" filled="false" stroked="true" strokeweight="1.140pt" strokecolor="#d3d3d3">
                <v:path arrowok="t"/>
              </v:shape>
            </v:group>
            <v:group style="position:absolute;left:3183;top:14;width:2;height:705" coordorigin="3183,14" coordsize="2,705">
              <v:shape style="position:absolute;left:3183;top:14;width:2;height:705" coordorigin="3183,14" coordsize="0,705" path="m3183,14l3183,719e" filled="false" stroked="true" strokeweight="1.140pt" strokecolor="#d3d3d3">
                <v:path arrowok="t"/>
              </v:shape>
            </v:group>
            <v:group style="position:absolute;left:37;top:14;width:3135;height:353" coordorigin="37,14" coordsize="3135,353">
              <v:shape style="position:absolute;left:37;top:14;width:3135;height:353" coordorigin="37,14" coordsize="3135,353" path="m37,367l3172,367,3172,14,37,14,37,367xe" filled="true" fillcolor="#d3d3d3" stroked="false">
                <v:path arrowok="t"/>
                <v:fill type="solid"/>
              </v:shape>
            </v:group>
            <v:group style="position:absolute;left:37;top:367;width:3135;height:352" coordorigin="37,367" coordsize="3135,352">
              <v:shape style="position:absolute;left:37;top:367;width:3135;height:352" coordorigin="37,367" coordsize="3135,352" path="m37,719l3172,719,3172,367,37,367,37,719xe" filled="true" fillcolor="#d3d3d3" stroked="false">
                <v:path arrowok="t"/>
                <v:fill type="solid"/>
              </v:shape>
            </v:group>
            <v:group style="position:absolute;left:3204;top:563;width:6369;height:156" coordorigin="3204,563" coordsize="6369,156">
              <v:shape style="position:absolute;left:3204;top:563;width:6369;height:156" coordorigin="3204,563" coordsize="6369,156" path="m3204,719l9572,719,9572,563,3204,563,3204,719xe" filled="true" fillcolor="#c7edcc" stroked="false">
                <v:path arrowok="t"/>
                <v:fill type="solid"/>
              </v:shape>
            </v:group>
            <v:group style="position:absolute;left:3216;top:171;width:2;height:392" coordorigin="3216,171" coordsize="2,392">
              <v:shape style="position:absolute;left:3216;top:171;width:2;height:392" coordorigin="3216,171" coordsize="0,392" path="m3216,171l3216,563e" filled="false" stroked="true" strokeweight="1.2pt" strokecolor="#c7edcc">
                <v:path arrowok="t"/>
              </v:shape>
            </v:group>
            <v:group style="position:absolute;left:3204;top:15;width:6369;height:156" coordorigin="3204,15" coordsize="6369,156">
              <v:shape style="position:absolute;left:3204;top:15;width:6369;height:156" coordorigin="3204,15" coordsize="6369,156" path="m3204,171l9572,171,9572,15,3204,15,3204,171xe" filled="true" fillcolor="#c7edcc" stroked="false">
                <v:path arrowok="t"/>
                <v:fill type="solid"/>
              </v:shape>
            </v:group>
            <v:group style="position:absolute;left:9561;top:170;width:2;height:393" coordorigin="9561,170" coordsize="2,393">
              <v:shape style="position:absolute;left:9561;top:170;width:2;height:393" coordorigin="9561,170" coordsize="0,393" path="m9561,170l9561,563e" filled="false" stroked="true" strokeweight="1.140pt" strokecolor="#c7edcc">
                <v:path arrowok="t"/>
              </v:shape>
            </v:group>
            <v:group style="position:absolute;left:3228;top:170;width:6322;height:393" coordorigin="3228,170" coordsize="6322,393">
              <v:shape style="position:absolute;left:3228;top:170;width:6322;height:393" coordorigin="3228,170" coordsize="6322,393" path="m3228,563l9550,563,9550,170,3228,170,3228,563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3190;height:2" coordorigin="5,724" coordsize="3190,2">
              <v:shape style="position:absolute;left:5;top:724;width:3190;height:2" coordorigin="5,724" coordsize="3190,0" path="m5,724l3194,724e" filled="false" stroked="true" strokeweight=".47998pt" strokecolor="#000000">
                <v:path arrowok="t"/>
              </v:shape>
            </v:group>
            <v:group style="position:absolute;left:3199;top:14;width:2;height:714" coordorigin="3199,14" coordsize="2,714">
              <v:shape style="position:absolute;left:3199;top:14;width:2;height:714" coordorigin="3199,14" coordsize="0,714" path="m3199,14l3199,728e" filled="false" stroked="true" strokeweight=".48pt" strokecolor="#000000">
                <v:path arrowok="t"/>
              </v:shape>
            </v:group>
            <v:group style="position:absolute;left:3204;top:724;width:6369;height:2" coordorigin="3204,724" coordsize="6369,2">
              <v:shape style="position:absolute;left:3204;top:724;width:6369;height:2" coordorigin="3204,724" coordsize="6369,0" path="m3204,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3190;height:714" type="#_x0000_t202" filled="false" stroked="false">
                <v:textbox inset="0,0,0,0">
                  <w:txbxContent>
                    <w:p>
                      <w:pPr>
                        <w:spacing w:line="319" w:lineRule="auto" w:before="56"/>
                        <w:ind w:left="27" w:right="101" w:firstLine="0"/>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xbxContent>
                </v:textbox>
                <w10:wrap type="none"/>
              </v:shape>
              <v:shape style="position:absolute;left:3228;top:27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group>
          </v:group>
        </w:pict>
      </w:r>
      <w:r>
        <w:rPr>
          <w:rFonts w:ascii="宋体" w:hAnsi="宋体" w:cs="宋体" w:eastAsia="宋体" w:hint="default"/>
          <w:position w:val="-14"/>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129" w:firstLine="360"/>
        <w:jc w:val="both"/>
      </w:pPr>
      <w:r>
        <w:rPr>
          <w:spacing w:val="-2"/>
        </w:rPr>
        <w:t>报告期内，公司聘请了上海新世纪资信评估投资服务有限公司，经评定，公司的主体信用等级为</w:t>
      </w:r>
      <w:r>
        <w:rPr>
          <w:rFonts w:ascii="Times New Roman" w:hAnsi="Times New Roman" w:cs="Times New Roman" w:eastAsia="Times New Roman" w:hint="default"/>
          <w:spacing w:val="-2"/>
        </w:rPr>
        <w:t>AA+</w:t>
      </w:r>
      <w:r>
        <w:rPr>
          <w:spacing w:val="-2"/>
        </w:rPr>
        <w:t>，本期公司债券的</w:t>
      </w:r>
      <w:r>
        <w:rPr/>
        <w:t> 信用等级为</w:t>
      </w:r>
      <w:r>
        <w:rPr>
          <w:rFonts w:ascii="Times New Roman" w:hAnsi="Times New Roman" w:cs="Times New Roman" w:eastAsia="Times New Roman" w:hint="default"/>
        </w:rPr>
        <w:t>AA+</w:t>
      </w:r>
      <w:r>
        <w:rPr/>
        <w:t>。详见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日在巨潮资讯网披露的《</w:t>
      </w:r>
      <w:r>
        <w:rPr>
          <w:rFonts w:ascii="Times New Roman" w:hAnsi="Times New Roman" w:cs="Times New Roman" w:eastAsia="Times New Roman" w:hint="default"/>
        </w:rPr>
        <w:t>2019</w:t>
      </w:r>
      <w:r>
        <w:rPr/>
        <w:t>年面向合格投资者公开发行公司债券</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信用评级报</w:t>
      </w:r>
      <w:r>
        <w:rPr>
          <w:spacing w:val="-37"/>
        </w:rPr>
        <w:t> </w:t>
      </w:r>
      <w:r>
        <w:rPr>
          <w:spacing w:val="-37"/>
        </w:rPr>
      </w:r>
      <w:r>
        <w:rPr/>
        <w:t>告》。</w:t>
      </w:r>
    </w:p>
    <w:p>
      <w:pPr>
        <w:pStyle w:val="BodyText"/>
        <w:spacing w:line="316" w:lineRule="auto" w:before="151"/>
        <w:ind w:right="1131" w:firstLine="360"/>
        <w:jc w:val="both"/>
      </w:pPr>
      <w:r>
        <w:rPr>
          <w:spacing w:val="-2"/>
        </w:rPr>
        <w:t>根据中国证监会相关规定、评级行业惯例以及评级机构评级制度相关规定，自首次评级报告出具之日（以评级报告上注</w:t>
      </w:r>
      <w:r>
        <w:rPr/>
        <w:t> </w:t>
      </w:r>
      <w:r>
        <w:rPr>
          <w:spacing w:val="-2"/>
        </w:rPr>
        <w:t>明日期为准）起，评级机构将在本期债券信用级别有效期内或者本期债券存续期内，持续关注本期债券发行人外部经营环境</w:t>
      </w:r>
      <w:r>
        <w:rPr>
          <w:spacing w:val="-66"/>
        </w:rPr>
        <w:t> </w:t>
      </w:r>
      <w:r>
        <w:rPr>
          <w:spacing w:val="-66"/>
        </w:rPr>
      </w:r>
      <w:r>
        <w:rPr>
          <w:spacing w:val="-2"/>
        </w:rPr>
        <w:t>变化、经营或财务状况变化以及本期债券偿债保障情况等因素，以对本期债券的信用风险进行持续跟踪。跟踪评级包括定期</w:t>
      </w:r>
      <w:r>
        <w:rPr>
          <w:spacing w:val="-66"/>
        </w:rPr>
        <w:t> </w:t>
      </w:r>
      <w:r>
        <w:rPr>
          <w:spacing w:val="-66"/>
        </w:rPr>
      </w:r>
      <w:r>
        <w:rPr/>
        <w:t>和不定期跟踪评级。</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报告期内，公司的公司债增信机制、偿债计划及其他偿债保障措施未发生变更，按照募集说明书的相关承诺正常履行。</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按照规定正常履行。</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按照规定正常履行。</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八、截至报告期末公司近</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-44.24%</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全部债务比</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-63.93%</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-32.73%</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利息保障倍数</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-56.13%</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、本报告期息税折旧摊销前利润同比</w:t>
      </w:r>
      <w:r>
        <w:rPr>
          <w:rFonts w:ascii="Times New Roman" w:hAnsi="Times New Roman" w:cs="Times New Roman" w:eastAsia="Times New Roman" w:hint="default"/>
        </w:rPr>
        <w:t>2018</w:t>
      </w:r>
      <w:r>
        <w:rPr/>
        <w:t>年下降</w:t>
      </w:r>
      <w:r>
        <w:rPr>
          <w:rFonts w:ascii="Times New Roman" w:hAnsi="Times New Roman" w:cs="Times New Roman" w:eastAsia="Times New Roman" w:hint="default"/>
        </w:rPr>
        <w:t>44.24%</w:t>
      </w:r>
      <w:r>
        <w:rPr/>
        <w:t>，主要系本期利润总额同比下降</w:t>
      </w:r>
      <w:r>
        <w:rPr>
          <w:rFonts w:ascii="Times New Roman" w:hAnsi="Times New Roman" w:cs="Times New Roman" w:eastAsia="Times New Roman" w:hint="default"/>
        </w:rPr>
        <w:t>61.82%</w:t>
      </w:r>
      <w:r>
        <w:rPr/>
        <w:t>，且利息费用同比增长</w:t>
      </w:r>
    </w:p>
    <w:p>
      <w:pPr>
        <w:pStyle w:val="BodyText"/>
        <w:spacing w:line="240" w:lineRule="auto" w:before="63"/>
        <w:ind w:right="0"/>
        <w:jc w:val="left"/>
      </w:pPr>
      <w:r>
        <w:rPr>
          <w:rFonts w:ascii="Times New Roman" w:hAnsi="Times New Roman" w:cs="Times New Roman" w:eastAsia="Times New Roman" w:hint="default"/>
        </w:rPr>
        <w:t>23.02%</w:t>
      </w:r>
      <w:r>
        <w:rPr/>
        <w:t>。</w:t>
      </w:r>
    </w:p>
    <w:p>
      <w:pPr>
        <w:pStyle w:val="BodyText"/>
        <w:spacing w:line="300" w:lineRule="auto" w:before="63"/>
        <w:ind w:right="0"/>
        <w:jc w:val="left"/>
      </w:pPr>
      <w:r>
        <w:rPr>
          <w:rFonts w:ascii="Times New Roman" w:hAnsi="Times New Roman" w:cs="Times New Roman" w:eastAsia="Times New Roman" w:hint="default"/>
          <w:spacing w:val="-1"/>
        </w:rPr>
        <w:t>2</w:t>
      </w:r>
      <w:r>
        <w:rPr>
          <w:spacing w:val="-1"/>
        </w:rPr>
        <w:t>、本报告期利息保障倍数同比</w:t>
      </w:r>
      <w:r>
        <w:rPr>
          <w:rFonts w:ascii="Times New Roman" w:hAnsi="Times New Roman" w:cs="Times New Roman" w:eastAsia="Times New Roman" w:hint="default"/>
          <w:spacing w:val="-1"/>
        </w:rPr>
        <w:t>2018</w:t>
      </w:r>
      <w:r>
        <w:rPr>
          <w:spacing w:val="-1"/>
        </w:rPr>
        <w:t>年下降</w:t>
      </w:r>
      <w:r>
        <w:rPr>
          <w:rFonts w:ascii="Times New Roman" w:hAnsi="Times New Roman" w:cs="Times New Roman" w:eastAsia="Times New Roman" w:hint="default"/>
          <w:spacing w:val="-1"/>
        </w:rPr>
        <w:t>63.93%</w:t>
      </w:r>
      <w:r>
        <w:rPr>
          <w:spacing w:val="-1"/>
        </w:rPr>
        <w:t>，主要系本期息税前利润同比</w:t>
      </w:r>
      <w:r>
        <w:rPr>
          <w:rFonts w:ascii="Times New Roman" w:hAnsi="Times New Roman" w:cs="Times New Roman" w:eastAsia="Times New Roman" w:hint="default"/>
          <w:spacing w:val="-1"/>
        </w:rPr>
        <w:t>2018</w:t>
      </w:r>
      <w:r>
        <w:rPr>
          <w:spacing w:val="-1"/>
        </w:rPr>
        <w:t>年下降</w:t>
      </w:r>
      <w:r>
        <w:rPr>
          <w:rFonts w:ascii="Times New Roman" w:hAnsi="Times New Roman" w:cs="Times New Roman" w:eastAsia="Times New Roman" w:hint="default"/>
          <w:spacing w:val="-1"/>
        </w:rPr>
        <w:t>54.23%</w:t>
      </w:r>
      <w:r>
        <w:rPr>
          <w:spacing w:val="-1"/>
        </w:rPr>
        <w:t>，且利息费用（含资本化</w:t>
      </w:r>
      <w:r>
        <w:rPr>
          <w:spacing w:val="-50"/>
        </w:rPr>
        <w:t> </w:t>
      </w:r>
      <w:r>
        <w:rPr>
          <w:spacing w:val="-50"/>
        </w:rPr>
      </w:r>
      <w:r>
        <w:rPr/>
        <w:t>利息）同比增长</w:t>
      </w:r>
      <w:r>
        <w:rPr>
          <w:rFonts w:ascii="Times New Roman" w:hAnsi="Times New Roman" w:cs="Times New Roman" w:eastAsia="Times New Roman" w:hint="default"/>
        </w:rPr>
        <w:t>27.04%</w:t>
      </w:r>
      <w:r>
        <w:rPr/>
        <w:t>。 </w:t>
      </w:r>
      <w:r>
        <w:rPr>
          <w:rFonts w:ascii="Times New Roman" w:hAnsi="Times New Roman" w:cs="Times New Roman" w:eastAsia="Times New Roman" w:hint="default"/>
          <w:spacing w:val="-1"/>
        </w:rPr>
        <w:t>3</w:t>
      </w:r>
      <w:r>
        <w:rPr>
          <w:spacing w:val="-1"/>
        </w:rPr>
        <w:t>、本报告期现金利息保障倍数同比</w:t>
      </w:r>
      <w:r>
        <w:rPr>
          <w:rFonts w:ascii="Times New Roman" w:hAnsi="Times New Roman" w:cs="Times New Roman" w:eastAsia="Times New Roman" w:hint="default"/>
          <w:spacing w:val="-1"/>
        </w:rPr>
        <w:t>2018</w:t>
      </w:r>
      <w:r>
        <w:rPr>
          <w:spacing w:val="-1"/>
        </w:rPr>
        <w:t>年下降</w:t>
      </w:r>
      <w:r>
        <w:rPr>
          <w:rFonts w:ascii="Times New Roman" w:hAnsi="Times New Roman" w:cs="Times New Roman" w:eastAsia="Times New Roman" w:hint="default"/>
          <w:spacing w:val="-1"/>
        </w:rPr>
        <w:t>32.73%</w:t>
      </w:r>
      <w:r>
        <w:rPr>
          <w:spacing w:val="-1"/>
        </w:rPr>
        <w:t>，主要系本期经营活动产生的现金流量净额同比下降</w:t>
      </w:r>
      <w:r>
        <w:rPr>
          <w:rFonts w:ascii="Times New Roman" w:hAnsi="Times New Roman" w:cs="Times New Roman" w:eastAsia="Times New Roman" w:hint="default"/>
          <w:spacing w:val="-1"/>
        </w:rPr>
        <w:t>17.04%</w:t>
      </w:r>
      <w:r>
        <w:rPr>
          <w:spacing w:val="-1"/>
        </w:rPr>
        <w:t>，且本期</w:t>
      </w:r>
      <w:r>
        <w:rPr>
          <w:spacing w:val="-55"/>
        </w:rPr>
        <w:t> </w:t>
      </w:r>
      <w:r>
        <w:rPr>
          <w:spacing w:val="-55"/>
        </w:rPr>
      </w:r>
      <w:r>
        <w:rPr/>
        <w:t>现金利息支出同比增加</w:t>
      </w:r>
      <w:r>
        <w:rPr>
          <w:rFonts w:ascii="Times New Roman" w:hAnsi="Times New Roman" w:cs="Times New Roman" w:eastAsia="Times New Roman" w:hint="default"/>
        </w:rPr>
        <w:t>29.00%</w:t>
      </w:r>
      <w:r>
        <w:rPr/>
        <w:t>。 </w:t>
      </w:r>
      <w:r>
        <w:rPr>
          <w:rFonts w:ascii="Times New Roman" w:hAnsi="Times New Roman" w:cs="Times New Roman" w:eastAsia="Times New Roman" w:hint="default"/>
        </w:rPr>
        <w:t>4</w:t>
      </w:r>
      <w:r>
        <w:rPr/>
        <w:t>、本期</w:t>
      </w:r>
      <w:r>
        <w:rPr>
          <w:rFonts w:ascii="Times New Roman" w:hAnsi="Times New Roman" w:cs="Times New Roman" w:eastAsia="Times New Roman" w:hint="default"/>
        </w:rPr>
        <w:t>EBITDA</w:t>
      </w:r>
      <w:r>
        <w:rPr/>
        <w:t>利息保障倍数同比</w:t>
      </w:r>
      <w:r>
        <w:rPr>
          <w:rFonts w:ascii="Times New Roman" w:hAnsi="Times New Roman" w:cs="Times New Roman" w:eastAsia="Times New Roman" w:hint="default"/>
        </w:rPr>
        <w:t>2018</w:t>
      </w:r>
      <w:r>
        <w:rPr/>
        <w:t>年下降</w:t>
      </w:r>
      <w:r>
        <w:rPr>
          <w:rFonts w:ascii="Times New Roman" w:hAnsi="Times New Roman" w:cs="Times New Roman" w:eastAsia="Times New Roman" w:hint="default"/>
        </w:rPr>
        <w:t>56.13%</w:t>
      </w:r>
      <w:r>
        <w:rPr/>
        <w:t>，主要系本期息税折旧摊销前利润同比</w:t>
      </w:r>
      <w:r>
        <w:rPr>
          <w:rFonts w:ascii="Times New Roman" w:hAnsi="Times New Roman" w:cs="Times New Roman" w:eastAsia="Times New Roman" w:hint="default"/>
        </w:rPr>
        <w:t>2018</w:t>
      </w:r>
      <w:r>
        <w:rPr/>
        <w:t>年下降</w:t>
      </w:r>
      <w:r>
        <w:rPr>
          <w:rFonts w:ascii="Times New Roman" w:hAnsi="Times New Roman" w:cs="Times New Roman" w:eastAsia="Times New Roman" w:hint="default"/>
        </w:rPr>
        <w:t>44.24%</w:t>
      </w:r>
      <w:r>
        <w:rPr/>
        <w:t>，且利息费 用（含资本化利息）同比增长</w:t>
      </w:r>
      <w:r>
        <w:rPr>
          <w:rFonts w:ascii="Times New Roman" w:hAnsi="Times New Roman" w:cs="Times New Roman" w:eastAsia="Times New Roman" w:hint="default"/>
        </w:rPr>
        <w:t>27.04%</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24" w:firstLine="420"/>
        <w:jc w:val="left"/>
      </w:pPr>
      <w:r>
        <w:rPr>
          <w:spacing w:val="-1"/>
        </w:rPr>
        <w:t>华媒控股第八届董事会第二十七次会议、</w:t>
      </w:r>
      <w:r>
        <w:rPr>
          <w:rFonts w:ascii="Times New Roman" w:hAnsi="Times New Roman" w:cs="Times New Roman" w:eastAsia="Times New Roman" w:hint="default"/>
          <w:spacing w:val="-1"/>
        </w:rPr>
        <w:t>2018</w:t>
      </w:r>
      <w:r>
        <w:rPr>
          <w:spacing w:val="-1"/>
        </w:rPr>
        <w:t>年第一次临时股东大会审议通过了《关于拟发行超短期融资劵的议案》。</w:t>
      </w:r>
      <w:r>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日，华媒控股收到中国银行间市场交易商协会出具的《接受注册通知书》（中市协注</w:t>
      </w:r>
      <w:r>
        <w:rPr>
          <w:rFonts w:ascii="Times New Roman" w:hAnsi="Times New Roman" w:cs="Times New Roman" w:eastAsia="Times New Roman" w:hint="default"/>
          <w:spacing w:val="-2"/>
        </w:rPr>
        <w:t>[2018]SCP305</w:t>
      </w:r>
      <w:r>
        <w:rPr>
          <w:spacing w:val="-2"/>
        </w:rPr>
        <w:t>号），接受</w:t>
      </w:r>
      <w:r>
        <w:rPr>
          <w:spacing w:val="-42"/>
        </w:rPr>
        <w:t> </w:t>
      </w:r>
      <w:r>
        <w:rPr>
          <w:spacing w:val="-42"/>
        </w:rPr>
      </w:r>
      <w:r>
        <w:rPr/>
        <w:t>公司超短期融资券注册，额度为</w:t>
      </w:r>
      <w:r>
        <w:rPr>
          <w:rFonts w:ascii="Times New Roman" w:hAnsi="Times New Roman" w:cs="Times New Roman" w:eastAsia="Times New Roman" w:hint="default"/>
        </w:rPr>
        <w:t>5</w:t>
      </w:r>
      <w:r>
        <w:rPr/>
        <w:t>亿元，有效期</w:t>
      </w:r>
      <w:r>
        <w:rPr>
          <w:rFonts w:ascii="Times New Roman" w:hAnsi="Times New Roman" w:cs="Times New Roman" w:eastAsia="Times New Roman" w:hint="default"/>
        </w:rPr>
        <w:t>2</w:t>
      </w:r>
      <w:r>
        <w:rPr/>
        <w:t>年。</w:t>
      </w:r>
    </w:p>
    <w:p>
      <w:pPr>
        <w:pStyle w:val="BodyText"/>
        <w:spacing w:line="240" w:lineRule="auto" w:before="13"/>
        <w:ind w:left="57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日，发行</w:t>
      </w:r>
      <w:r>
        <w:rPr>
          <w:rFonts w:ascii="Times New Roman" w:hAnsi="Times New Roman" w:cs="Times New Roman" w:eastAsia="Times New Roman" w:hint="default"/>
        </w:rPr>
        <w:t>2019</w:t>
      </w:r>
      <w:r>
        <w:rPr/>
        <w:t>年度第一期超短期融资券，发行总额</w:t>
      </w:r>
      <w:r>
        <w:rPr>
          <w:rFonts w:ascii="Times New Roman" w:hAnsi="Times New Roman" w:cs="Times New Roman" w:eastAsia="Times New Roman" w:hint="default"/>
        </w:rPr>
        <w:t>2.5</w:t>
      </w:r>
      <w:r>
        <w:rPr/>
        <w:t>亿元，利率</w:t>
      </w:r>
      <w:r>
        <w:rPr>
          <w:rFonts w:ascii="Times New Roman" w:hAnsi="Times New Roman" w:cs="Times New Roman" w:eastAsia="Times New Roman" w:hint="default"/>
        </w:rPr>
        <w:t>3.9%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日完成本息兑付。</w:t>
      </w:r>
    </w:p>
    <w:p>
      <w:pPr>
        <w:pStyle w:val="BodyText"/>
        <w:spacing w:line="240" w:lineRule="auto" w:before="63"/>
        <w:ind w:left="57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日，发行</w:t>
      </w:r>
      <w:r>
        <w:rPr>
          <w:rFonts w:ascii="Times New Roman" w:hAnsi="Times New Roman" w:cs="Times New Roman" w:eastAsia="Times New Roman" w:hint="default"/>
        </w:rPr>
        <w:t>2019</w:t>
      </w:r>
      <w:r>
        <w:rPr/>
        <w:t>年度第二期超短期融资券，发行总额</w:t>
      </w:r>
      <w:r>
        <w:rPr>
          <w:rFonts w:ascii="Times New Roman" w:hAnsi="Times New Roman" w:cs="Times New Roman" w:eastAsia="Times New Roman" w:hint="default"/>
        </w:rPr>
        <w:t>1.5</w:t>
      </w:r>
      <w:r>
        <w:rPr/>
        <w:t>亿元，利率</w:t>
      </w:r>
      <w:r>
        <w:rPr>
          <w:rFonts w:ascii="Times New Roman" w:hAnsi="Times New Roman" w:cs="Times New Roman" w:eastAsia="Times New Roman" w:hint="default"/>
        </w:rPr>
        <w:t>3.4%</w:t>
      </w:r>
      <w:r>
        <w:rPr/>
        <w:t>，截至本资产负债日，暂未到期。</w:t>
      </w:r>
    </w:p>
    <w:p>
      <w:pPr>
        <w:pStyle w:val="BodyText"/>
        <w:spacing w:line="240" w:lineRule="auto" w:before="63"/>
        <w:ind w:left="57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日，发行</w:t>
      </w:r>
      <w:r>
        <w:rPr>
          <w:rFonts w:ascii="Times New Roman" w:hAnsi="Times New Roman" w:cs="Times New Roman" w:eastAsia="Times New Roman" w:hint="default"/>
        </w:rPr>
        <w:t>2019</w:t>
      </w:r>
      <w:r>
        <w:rPr/>
        <w:t>年度第三期超短期融资券，发行总额</w:t>
      </w:r>
      <w:r>
        <w:rPr>
          <w:rFonts w:ascii="Times New Roman" w:hAnsi="Times New Roman" w:cs="Times New Roman" w:eastAsia="Times New Roman" w:hint="default"/>
        </w:rPr>
        <w:t>1</w:t>
      </w:r>
      <w:r>
        <w:rPr/>
        <w:t>亿元，利率</w:t>
      </w:r>
      <w:r>
        <w:rPr>
          <w:rFonts w:ascii="Times New Roman" w:hAnsi="Times New Roman" w:cs="Times New Roman" w:eastAsia="Times New Roman" w:hint="default"/>
        </w:rPr>
        <w:t>3.2%</w:t>
      </w:r>
      <w:r>
        <w:rPr/>
        <w:t>，截至本资产负债日，暂未到期。</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151" w:firstLine="42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日，公司（含子公司）已获得银行授信</w:t>
      </w:r>
      <w:r>
        <w:rPr>
          <w:rFonts w:ascii="Times New Roman" w:hAnsi="Times New Roman" w:cs="Times New Roman" w:eastAsia="Times New Roman" w:hint="default"/>
        </w:rPr>
        <w:t>291,600</w:t>
      </w:r>
      <w:r>
        <w:rPr/>
        <w:t>万元，已使用授信</w:t>
      </w:r>
      <w:r>
        <w:rPr>
          <w:rFonts w:ascii="Times New Roman" w:hAnsi="Times New Roman" w:cs="Times New Roman" w:eastAsia="Times New Roman" w:hint="default"/>
        </w:rPr>
        <w:t>12,754</w:t>
      </w:r>
      <w:r>
        <w:rPr/>
        <w:t>万元。报告期内，公司按时 偿还银行贷款，不存在展期及减免等情况</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报告期内，公司按照募集说明书的相关承诺正常履行。</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2"/>
      <w:r>
        <w:rPr/>
        <w:t>第十二节</w:t>
      </w:r>
      <w:r>
        <w:rPr>
          <w:spacing w:val="-7"/>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洪烨、孙俊</w:t>
            </w:r>
          </w:p>
        </w:tc>
      </w:tr>
    </w:tbl>
    <w:p>
      <w:pPr>
        <w:pStyle w:val="BodyText"/>
        <w:spacing w:line="357" w:lineRule="auto" w:before="51"/>
        <w:ind w:left="4433" w:right="5409"/>
        <w:jc w:val="center"/>
      </w:pPr>
      <w:r>
        <w:rPr/>
        <w:t>审计报告正文 审 计 报</w:t>
      </w:r>
      <w:r>
        <w:rPr>
          <w:spacing w:val="-53"/>
        </w:rPr>
        <w:t> </w:t>
      </w:r>
      <w:r>
        <w:rPr/>
        <w:t>告</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633" w:right="-19" w:hanging="480"/>
        <w:jc w:val="left"/>
      </w:pPr>
      <w:r>
        <w:rPr/>
        <w:t>浙江华媒控股股份有限公司全体股东： 一、审计意见</w:t>
      </w:r>
    </w:p>
    <w:p>
      <w:pPr>
        <w:pStyle w:val="BodyText"/>
        <w:spacing w:line="240" w:lineRule="auto" w:before="44"/>
        <w:ind w:left="153" w:right="0"/>
        <w:jc w:val="left"/>
      </w:pPr>
      <w:r>
        <w:rPr/>
        <w:br w:type="column"/>
      </w:r>
      <w:r>
        <w:rPr/>
        <w:t>中汇会审【</w:t>
      </w:r>
      <w:r>
        <w:rPr>
          <w:rFonts w:ascii="Times New Roman" w:hAnsi="Times New Roman" w:cs="Times New Roman" w:eastAsia="Times New Roman" w:hint="default"/>
        </w:rPr>
        <w:t>2020</w:t>
      </w:r>
      <w:r>
        <w:rPr/>
        <w:t>】</w:t>
      </w:r>
      <w:r>
        <w:rPr>
          <w:rFonts w:ascii="Times New Roman" w:hAnsi="Times New Roman" w:cs="Times New Roman" w:eastAsia="Times New Roman" w:hint="default"/>
        </w:rPr>
        <w:t>2500</w:t>
      </w:r>
      <w:r>
        <w:rPr/>
        <w:t>号</w:t>
      </w:r>
    </w:p>
    <w:p>
      <w:pPr>
        <w:spacing w:after="0" w:line="240" w:lineRule="auto"/>
        <w:jc w:val="left"/>
        <w:sectPr>
          <w:type w:val="continuous"/>
          <w:pgSz w:w="11910" w:h="16840"/>
          <w:pgMar w:top="1060" w:bottom="1180" w:left="980" w:right="0"/>
          <w:cols w:num="2" w:equalWidth="0">
            <w:col w:w="3214" w:space="4444"/>
            <w:col w:w="3272"/>
          </w:cols>
        </w:sectPr>
      </w:pPr>
    </w:p>
    <w:p>
      <w:pPr>
        <w:pStyle w:val="BodyText"/>
        <w:spacing w:line="300" w:lineRule="auto" w:before="19"/>
        <w:ind w:right="1030" w:firstLine="479"/>
        <w:jc w:val="left"/>
      </w:pPr>
      <w:r>
        <w:rPr/>
        <w:t>我们审计了浙江华媒控股股份有限公司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华媒控股公司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w:t>
      </w:r>
      <w:r>
        <w:rPr>
          <w:spacing w:val="1"/>
        </w:rPr>
        <w:t> </w:t>
      </w:r>
      <w:r>
        <w:rPr/>
        <w:t>产负债表，</w:t>
      </w:r>
      <w:r>
        <w:rPr>
          <w:rFonts w:ascii="Times New Roman" w:hAnsi="Times New Roman" w:cs="Times New Roman" w:eastAsia="Times New Roman" w:hint="default"/>
        </w:rPr>
        <w:t>2019</w:t>
      </w:r>
      <w:r>
        <w:rPr/>
        <w:t>年度的合并及母公司利润表、合并及母公司现金流量表、合并及母公司股东权益变动表以及财务报表附注。</w:t>
      </w:r>
    </w:p>
    <w:p>
      <w:pPr>
        <w:pStyle w:val="BodyText"/>
        <w:spacing w:line="300" w:lineRule="auto" w:before="13"/>
        <w:ind w:right="0" w:firstLine="480"/>
        <w:jc w:val="left"/>
      </w:pPr>
      <w:r>
        <w:rPr>
          <w:spacing w:val="-1"/>
        </w:rPr>
        <w:t>我们认为，后附的财务报表在所有重大方面按照企业会计准则的规定编制，公允反映了华媒控股公司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634" w:right="1110"/>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步阐述了我们在这些准则下的责任。按照中国注册会计师职业道德守则，我们独立于华媒控股公司，并履行了职业道德方面</w:t>
      </w:r>
      <w:r>
        <w:rPr>
          <w:spacing w:val="-66"/>
        </w:rPr>
        <w:t> </w:t>
      </w:r>
      <w:r>
        <w:rPr>
          <w:spacing w:val="-66"/>
        </w:rPr>
      </w:r>
      <w:r>
        <w:rPr/>
        <w:t>的其他责任。我们相信，我们获取的审计证据是充分、适当的，为发表审计意见提供了基础。</w:t>
      </w:r>
    </w:p>
    <w:p>
      <w:pPr>
        <w:pStyle w:val="BodyText"/>
        <w:spacing w:line="316" w:lineRule="auto" w:before="19"/>
        <w:ind w:left="634" w:right="0"/>
        <w:jc w:val="left"/>
      </w:pPr>
      <w:r>
        <w:rPr/>
        <w:t>三、关键审计事项 </w:t>
      </w:r>
      <w:r>
        <w:rPr>
          <w:spacing w:val="-1"/>
        </w:rPr>
        <w:t>关键审计事项是我们根据职业判断，认为对本期财务报表审计最为重要的事项。这些事项的应对以对财务报表整体进</w:t>
      </w:r>
    </w:p>
    <w:p>
      <w:pPr>
        <w:pStyle w:val="BodyText"/>
        <w:spacing w:line="316" w:lineRule="auto" w:before="19"/>
        <w:ind w:right="1117"/>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BodyText"/>
        <w:spacing w:line="309" w:lineRule="auto" w:before="19"/>
        <w:ind w:left="634" w:right="2410"/>
        <w:jc w:val="left"/>
      </w:pPr>
      <w:r>
        <w:rPr>
          <w:rFonts w:ascii="宋体" w:hAnsi="宋体" w:cs="宋体" w:eastAsia="宋体" w:hint="default"/>
          <w:b/>
          <w:bCs/>
        </w:rPr>
        <w:t>（一）商誉减值</w:t>
      </w:r>
      <w:r>
        <w:rPr>
          <w:rFonts w:ascii="宋体" w:hAnsi="宋体" w:cs="宋体" w:eastAsia="宋体" w:hint="default"/>
          <w:b/>
          <w:bCs/>
          <w:w w:val="99"/>
        </w:rPr>
        <w:t> </w:t>
      </w:r>
      <w:r>
        <w:rPr/>
        <w:t>关于长期资产减值政策详见财务报表附注三</w: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t>，关于商誉披露详见财务报表附注五（十六）。 </w:t>
      </w:r>
      <w:r>
        <w:rPr>
          <w:rFonts w:ascii="Times New Roman" w:hAnsi="Times New Roman" w:cs="Times New Roman" w:eastAsia="Times New Roman" w:hint="default"/>
        </w:rPr>
        <w:t>1</w:t>
      </w:r>
      <w:r>
        <w:rPr/>
        <w:t>、事项描述</w:t>
      </w:r>
    </w:p>
    <w:p>
      <w:pPr>
        <w:pStyle w:val="BodyText"/>
        <w:spacing w:line="309" w:lineRule="auto" w:before="5"/>
        <w:ind w:right="1128" w:firstLine="47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日，华媒控股公司合并财务报表中商誉账面余额为</w:t>
      </w:r>
      <w:r>
        <w:rPr>
          <w:rFonts w:ascii="Times New Roman" w:hAnsi="Times New Roman" w:cs="Times New Roman" w:eastAsia="Times New Roman" w:hint="default"/>
        </w:rPr>
        <w:t>57,557.99</w:t>
      </w:r>
      <w:r>
        <w:rPr/>
        <w:t>万元，商誉减值准备金额为</w:t>
      </w:r>
      <w:r>
        <w:rPr>
          <w:rFonts w:ascii="Times New Roman" w:hAnsi="Times New Roman" w:cs="Times New Roman" w:eastAsia="Times New Roman" w:hint="default"/>
        </w:rPr>
        <w:t>2,302.72</w:t>
      </w:r>
      <w:r>
        <w:rPr/>
        <w:t>万元。</w:t>
      </w:r>
      <w:r>
        <w:rPr>
          <w:spacing w:val="1"/>
        </w:rPr>
        <w:t> </w:t>
      </w:r>
      <w:r>
        <w:rPr>
          <w:spacing w:val="-2"/>
        </w:rPr>
        <w:t>因商誉减值测试涉及管理层主观判断和重大会计估计，且测试结果对财务报表影响重大，我们将商誉减值测试作为关键审计</w:t>
      </w:r>
      <w:r>
        <w:rPr>
          <w:spacing w:val="-64"/>
        </w:rPr>
        <w:t> </w:t>
      </w:r>
      <w:r>
        <w:rPr>
          <w:spacing w:val="-64"/>
        </w:rPr>
      </w:r>
      <w:r>
        <w:rPr/>
        <w:t>事项。</w:t>
      </w:r>
    </w:p>
    <w:p>
      <w:pPr>
        <w:pStyle w:val="BodyText"/>
        <w:spacing w:line="300" w:lineRule="auto" w:before="24"/>
        <w:ind w:left="634" w:right="8110"/>
        <w:jc w:val="left"/>
      </w:pPr>
      <w:r>
        <w:rPr>
          <w:rFonts w:ascii="Times New Roman" w:hAnsi="Times New Roman" w:cs="Times New Roman" w:eastAsia="Times New Roman" w:hint="default"/>
        </w:rPr>
        <w:t>2</w:t>
      </w:r>
      <w:r>
        <w:rPr/>
        <w:t>、审计应对 我们执行的主要审计程序：</w:t>
      </w:r>
    </w:p>
    <w:p>
      <w:pPr>
        <w:pStyle w:val="BodyText"/>
        <w:spacing w:line="300" w:lineRule="auto" w:before="31"/>
        <w:ind w:right="1127" w:firstLine="480"/>
        <w:jc w:val="both"/>
      </w:pPr>
      <w:r>
        <w:rPr/>
        <w:t>（</w:t>
      </w:r>
      <w:r>
        <w:rPr>
          <w:rFonts w:ascii="Times New Roman" w:hAnsi="Times New Roman" w:cs="Times New Roman" w:eastAsia="Times New Roman" w:hint="default"/>
        </w:rPr>
        <w:t>1</w:t>
      </w:r>
      <w:r>
        <w:rPr/>
        <w:t>）我们评估管理层对华媒控股公司商誉所属资产组的认定和进行减值测试时采用的关键假设和方法，检查相关的</w:t>
      </w:r>
      <w:r>
        <w:rPr>
          <w:spacing w:val="1"/>
        </w:rPr>
        <w:t> </w:t>
      </w:r>
      <w:r>
        <w:rPr/>
        <w:t>假设和方法的合理性；</w:t>
      </w:r>
    </w:p>
    <w:p>
      <w:pPr>
        <w:pStyle w:val="BodyText"/>
        <w:spacing w:line="300" w:lineRule="auto" w:before="31"/>
        <w:ind w:right="1127" w:firstLine="480"/>
        <w:jc w:val="both"/>
      </w:pPr>
      <w:r>
        <w:rPr/>
        <w:t>（</w:t>
      </w:r>
      <w:r>
        <w:rPr>
          <w:rFonts w:ascii="Times New Roman" w:hAnsi="Times New Roman" w:cs="Times New Roman" w:eastAsia="Times New Roman" w:hint="default"/>
        </w:rPr>
        <w:t>2</w:t>
      </w:r>
      <w:r>
        <w:rPr/>
        <w:t>）我们与公司管理层及外部评估专家讨论，了解减值测试结果最为敏感的假设并进行分析，分析检查管理层采用</w:t>
      </w:r>
      <w:r>
        <w:rPr>
          <w:spacing w:val="1"/>
        </w:rPr>
        <w:t> </w:t>
      </w:r>
      <w:r>
        <w:rPr/>
        <w:t>的假设的恰当性及相关披露是否适当。我们评价了评估机构的专业资质、胜任能力和独立性；</w:t>
      </w:r>
    </w:p>
    <w:p>
      <w:pPr>
        <w:pStyle w:val="BodyText"/>
        <w:spacing w:line="240" w:lineRule="auto" w:before="31"/>
        <w:ind w:left="634" w:right="0"/>
        <w:jc w:val="left"/>
      </w:pPr>
      <w:r>
        <w:rPr/>
        <w:t>（</w:t>
      </w:r>
      <w:r>
        <w:rPr>
          <w:rFonts w:ascii="Times New Roman" w:hAnsi="Times New Roman" w:cs="Times New Roman" w:eastAsia="Times New Roman" w:hint="default"/>
        </w:rPr>
        <w:t>3</w:t>
      </w:r>
      <w:r>
        <w:rPr/>
        <w:t>）获取外部独立评估机构出具的评估报告，评价商誉减值测试过程中所采用方法的恰当性、关键假设和重要参数</w:t>
      </w:r>
    </w:p>
    <w:p>
      <w:pPr>
        <w:spacing w:after="0" w:line="240" w:lineRule="auto"/>
        <w:jc w:val="left"/>
        <w:sectPr>
          <w:type w:val="continuous"/>
          <w:pgSz w:w="11910" w:h="16840"/>
          <w:pgMar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（如增长率、折现率等）的合理性；</w:t>
      </w:r>
    </w:p>
    <w:p>
      <w:pPr>
        <w:pStyle w:val="BodyText"/>
        <w:spacing w:line="240" w:lineRule="auto" w:before="76"/>
        <w:ind w:left="633" w:right="0"/>
        <w:jc w:val="left"/>
      </w:pPr>
      <w:r>
        <w:rPr/>
        <w:t>（</w:t>
      </w:r>
      <w:r>
        <w:rPr>
          <w:rFonts w:ascii="Times New Roman" w:hAnsi="Times New Roman" w:cs="Times New Roman" w:eastAsia="Times New Roman" w:hint="default"/>
        </w:rPr>
        <w:t>4</w:t>
      </w:r>
      <w:r>
        <w:rPr/>
        <w:t>）重新测算商誉减值测试结果的计算准确性；</w:t>
      </w:r>
    </w:p>
    <w:p>
      <w:pPr>
        <w:pStyle w:val="BodyText"/>
        <w:spacing w:line="240" w:lineRule="auto" w:before="63"/>
        <w:ind w:left="633" w:right="0"/>
        <w:jc w:val="left"/>
      </w:pPr>
      <w:r>
        <w:rPr/>
        <w:t>（</w:t>
      </w:r>
      <w:r>
        <w:rPr>
          <w:rFonts w:ascii="Times New Roman" w:hAnsi="Times New Roman" w:cs="Times New Roman" w:eastAsia="Times New Roman" w:hint="default"/>
        </w:rPr>
        <w:t>5</w:t>
      </w:r>
      <w:r>
        <w:rPr/>
        <w:t>）评价财务报表附注中与商誉减值相关的披露。</w:t>
      </w:r>
    </w:p>
    <w:p>
      <w:pPr>
        <w:pStyle w:val="Heading4"/>
        <w:spacing w:line="240" w:lineRule="auto" w:before="63"/>
        <w:ind w:left="1114" w:right="0"/>
        <w:jc w:val="left"/>
        <w:rPr>
          <w:b w:val="0"/>
          <w:bCs w:val="0"/>
        </w:rPr>
      </w:pPr>
      <w:r>
        <w:rPr/>
        <w:t>（二）收入确认</w:t>
      </w:r>
      <w:r>
        <w:rPr>
          <w:b w:val="0"/>
          <w:bCs w:val="0"/>
        </w:rPr>
      </w:r>
    </w:p>
    <w:p>
      <w:pPr>
        <w:pStyle w:val="BodyText"/>
        <w:spacing w:line="300" w:lineRule="auto" w:before="76"/>
        <w:ind w:left="634" w:right="1079"/>
        <w:jc w:val="left"/>
      </w:pPr>
      <w:r>
        <w:rPr/>
        <w:t>关于收入确认会计政策详见财务报表附注三</w:t>
      </w:r>
      <w:r>
        <w:rPr>
          <w:spacing w:val="-19"/>
        </w:rPr>
        <w:t> </w:t>
      </w: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t>，关于收入分类及发生额披露详见财务报表附注五（三十七）。 </w:t>
      </w:r>
      <w:r>
        <w:rPr>
          <w:rFonts w:ascii="Times New Roman" w:hAnsi="Times New Roman" w:cs="Times New Roman" w:eastAsia="Times New Roman" w:hint="default"/>
        </w:rPr>
        <w:t>1</w:t>
      </w:r>
      <w:r>
        <w:rPr/>
        <w:t>、事项描述 收入的真实性对公司经营业绩影响重大，因此将收入作为关键审计事项。我们将以公司选用的会计政策为出发点，结</w:t>
      </w:r>
    </w:p>
    <w:p>
      <w:pPr>
        <w:pStyle w:val="BodyText"/>
        <w:spacing w:line="240" w:lineRule="auto" w:before="31"/>
        <w:ind w:right="0"/>
        <w:jc w:val="left"/>
      </w:pPr>
      <w:r>
        <w:rPr/>
        <w:t>合公司营业收入的特点，判断会计政策选用的准确性。公司收入类型主要为</w:t>
      </w:r>
      <w:r>
        <w:rPr>
          <w:rFonts w:ascii="Times New Roman" w:hAnsi="Times New Roman" w:cs="Times New Roman" w:eastAsia="Times New Roman" w:hint="default"/>
        </w:rPr>
        <w:t>4</w:t>
      </w:r>
      <w:r>
        <w:rPr/>
        <w:t>大类：（</w:t>
      </w:r>
      <w:r>
        <w:rPr>
          <w:rFonts w:ascii="Times New Roman" w:hAnsi="Times New Roman" w:cs="Times New Roman" w:eastAsia="Times New Roman" w:hint="default"/>
        </w:rPr>
        <w:t>1</w:t>
      </w:r>
      <w:r>
        <w:rPr/>
        <w:t>）报刊发行收入（</w:t>
      </w:r>
      <w:r>
        <w:rPr>
          <w:rFonts w:ascii="Times New Roman" w:hAnsi="Times New Roman" w:cs="Times New Roman" w:eastAsia="Times New Roman" w:hint="default"/>
        </w:rPr>
        <w:t>2</w:t>
      </w:r>
      <w:r>
        <w:rPr/>
        <w:t>）广告策划收入</w:t>
      </w:r>
    </w:p>
    <w:p>
      <w:pPr>
        <w:pStyle w:val="BodyText"/>
        <w:spacing w:line="300" w:lineRule="auto" w:before="63"/>
        <w:ind w:left="634" w:right="7870" w:hanging="480"/>
        <w:jc w:val="left"/>
      </w:pPr>
      <w:r>
        <w:rPr/>
        <w:t>（</w:t>
      </w:r>
      <w:r>
        <w:rPr>
          <w:rFonts w:ascii="Times New Roman" w:hAnsi="Times New Roman" w:cs="Times New Roman" w:eastAsia="Times New Roman" w:hint="default"/>
        </w:rPr>
        <w:t>3</w:t>
      </w:r>
      <w:r>
        <w:rPr/>
        <w:t>）印刷收入（</w:t>
      </w:r>
      <w:r>
        <w:rPr>
          <w:rFonts w:ascii="Times New Roman" w:hAnsi="Times New Roman" w:cs="Times New Roman" w:eastAsia="Times New Roman" w:hint="default"/>
        </w:rPr>
        <w:t>4</w:t>
      </w:r>
      <w:r>
        <w:rPr/>
        <w:t>）教育培训收入。 </w:t>
      </w:r>
      <w:r>
        <w:rPr>
          <w:rFonts w:ascii="Times New Roman" w:hAnsi="Times New Roman" w:cs="Times New Roman" w:eastAsia="Times New Roman" w:hint="default"/>
        </w:rPr>
        <w:t>2</w:t>
      </w:r>
      <w:r>
        <w:rPr/>
        <w:t>、审计应对 我们执行的主要审计程序：</w:t>
      </w:r>
    </w:p>
    <w:p>
      <w:pPr>
        <w:pStyle w:val="BodyText"/>
        <w:spacing w:line="240" w:lineRule="auto" w:before="31"/>
        <w:ind w:left="634" w:right="0"/>
        <w:jc w:val="left"/>
      </w:pPr>
      <w:r>
        <w:rPr/>
        <w:t>（</w:t>
      </w:r>
      <w:r>
        <w:rPr>
          <w:rFonts w:ascii="Times New Roman" w:hAnsi="Times New Roman" w:cs="Times New Roman" w:eastAsia="Times New Roman" w:hint="default"/>
        </w:rPr>
        <w:t>1</w:t>
      </w:r>
      <w:r>
        <w:rPr/>
        <w:t>）获取公司销售与收款循环内部控制制度，并针对其中的关键控制点设计控制测试，测试其内部控制有效性；</w:t>
      </w:r>
    </w:p>
    <w:p>
      <w:pPr>
        <w:pStyle w:val="BodyText"/>
        <w:spacing w:line="240" w:lineRule="auto" w:before="63"/>
        <w:ind w:left="634" w:right="0"/>
        <w:jc w:val="left"/>
      </w:pPr>
      <w:r>
        <w:rPr/>
        <w:t>（</w:t>
      </w:r>
      <w:r>
        <w:rPr>
          <w:rFonts w:ascii="Times New Roman" w:hAnsi="Times New Roman" w:cs="Times New Roman" w:eastAsia="Times New Roman" w:hint="default"/>
        </w:rPr>
        <w:t>2</w:t>
      </w:r>
      <w:r>
        <w:rPr/>
        <w:t>）运用分析性复核，将数据与上年数据，同行业可比公司进行比较；</w:t>
      </w:r>
    </w:p>
    <w:p>
      <w:pPr>
        <w:pStyle w:val="BodyText"/>
        <w:spacing w:line="240" w:lineRule="auto" w:before="63"/>
        <w:ind w:left="634" w:right="0"/>
        <w:jc w:val="left"/>
      </w:pPr>
      <w:r>
        <w:rPr/>
        <w:t>（</w:t>
      </w:r>
      <w:r>
        <w:rPr>
          <w:rFonts w:ascii="Times New Roman" w:hAnsi="Times New Roman" w:cs="Times New Roman" w:eastAsia="Times New Roman" w:hint="default"/>
        </w:rPr>
        <w:t>3</w:t>
      </w:r>
      <w:r>
        <w:rPr/>
        <w:t>）报刊发行收入着重检查报纸投递情况和收款情况；</w:t>
      </w:r>
    </w:p>
    <w:p>
      <w:pPr>
        <w:pStyle w:val="BodyText"/>
        <w:spacing w:line="240" w:lineRule="auto" w:before="63"/>
        <w:ind w:left="634" w:right="0"/>
        <w:jc w:val="left"/>
      </w:pPr>
      <w:r>
        <w:rPr/>
        <w:t>（</w:t>
      </w:r>
      <w:r>
        <w:rPr>
          <w:rFonts w:ascii="Times New Roman" w:hAnsi="Times New Roman" w:cs="Times New Roman" w:eastAsia="Times New Roman" w:hint="default"/>
        </w:rPr>
        <w:t>4</w:t>
      </w:r>
      <w:r>
        <w:rPr/>
        <w:t>）广告及策划收入着重检查广告合同，广告刊登情况；</w:t>
      </w:r>
    </w:p>
    <w:p>
      <w:pPr>
        <w:pStyle w:val="BodyText"/>
        <w:spacing w:line="240" w:lineRule="auto" w:before="63"/>
        <w:ind w:left="634" w:right="0"/>
        <w:jc w:val="left"/>
      </w:pPr>
      <w:r>
        <w:rPr/>
        <w:t>（</w:t>
      </w:r>
      <w:r>
        <w:rPr>
          <w:rFonts w:ascii="Times New Roman" w:hAnsi="Times New Roman" w:cs="Times New Roman" w:eastAsia="Times New Roman" w:hint="default"/>
        </w:rPr>
        <w:t>5</w:t>
      </w:r>
      <w:r>
        <w:rPr/>
        <w:t>）印刷收入着重检查印刷合同，订单，运输记录和验收记录；</w:t>
      </w:r>
    </w:p>
    <w:p>
      <w:pPr>
        <w:pStyle w:val="BodyText"/>
        <w:spacing w:line="240" w:lineRule="auto" w:before="63"/>
        <w:ind w:left="634" w:right="0"/>
        <w:jc w:val="left"/>
      </w:pPr>
      <w:r>
        <w:rPr/>
        <w:t>（</w:t>
      </w:r>
      <w:r>
        <w:rPr>
          <w:rFonts w:ascii="Times New Roman" w:hAnsi="Times New Roman" w:cs="Times New Roman" w:eastAsia="Times New Roman" w:hint="default"/>
        </w:rPr>
        <w:t>6</w:t>
      </w:r>
      <w:r>
        <w:rPr/>
        <w:t>）教育培训收入着重检查与高校的合作协议，学费收取情况，与高校的结算单，教师授课情况，学生考勤记录；</w:t>
      </w:r>
    </w:p>
    <w:p>
      <w:pPr>
        <w:pStyle w:val="BodyText"/>
        <w:spacing w:line="240" w:lineRule="auto" w:before="63"/>
        <w:ind w:left="634" w:right="0"/>
        <w:jc w:val="left"/>
      </w:pPr>
      <w:r>
        <w:rPr/>
        <w:t>（</w:t>
      </w:r>
      <w:r>
        <w:rPr>
          <w:rFonts w:ascii="Times New Roman" w:hAnsi="Times New Roman" w:cs="Times New Roman" w:eastAsia="Times New Roman" w:hint="default"/>
        </w:rPr>
        <w:t>7</w:t>
      </w:r>
      <w:r>
        <w:rPr/>
        <w:t>）对大额的交易额和应收账款余额进行函证确认。</w:t>
      </w:r>
    </w:p>
    <w:p>
      <w:pPr>
        <w:pStyle w:val="BodyText"/>
        <w:spacing w:line="316" w:lineRule="auto" w:before="63"/>
        <w:ind w:left="634" w:right="1090" w:firstLine="480"/>
        <w:jc w:val="left"/>
      </w:pPr>
      <w:r>
        <w:rPr>
          <w:rFonts w:ascii="宋体" w:hAnsi="宋体" w:cs="宋体" w:eastAsia="宋体" w:hint="default"/>
          <w:b/>
          <w:bCs/>
        </w:rPr>
        <w:t>（三）长期股权投资减值</w:t>
      </w:r>
      <w:r>
        <w:rPr>
          <w:rFonts w:ascii="宋体" w:hAnsi="宋体" w:cs="宋体" w:eastAsia="宋体" w:hint="default"/>
          <w:b/>
          <w:bCs/>
          <w:spacing w:val="1"/>
          <w:w w:val="99"/>
        </w:rPr>
        <w:t> </w:t>
      </w:r>
      <w:r>
        <w:rPr/>
        <w:t>关于长期资产减值政策详见财务报表附注三（二十五），关于长期股权投资发生额披露详见财务报表附注五（十）。 </w:t>
      </w:r>
      <w:r>
        <w:rPr>
          <w:rFonts w:ascii="Times New Roman" w:hAnsi="Times New Roman" w:cs="Times New Roman" w:eastAsia="Times New Roman" w:hint="default"/>
        </w:rPr>
        <w:t>1</w:t>
      </w:r>
      <w:r>
        <w:rPr/>
        <w:t>、事项描述</w:t>
      </w:r>
    </w:p>
    <w:p>
      <w:pPr>
        <w:pStyle w:val="BodyText"/>
        <w:spacing w:line="309" w:lineRule="auto"/>
        <w:ind w:right="1129"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日，华媒控股公司合并财务报表中长期股权投资账面余额为</w:t>
      </w:r>
      <w:r>
        <w:rPr>
          <w:rFonts w:ascii="Times New Roman" w:hAnsi="Times New Roman" w:cs="Times New Roman" w:eastAsia="Times New Roman" w:hint="default"/>
        </w:rPr>
        <w:t>66,445.12</w:t>
      </w:r>
      <w:r>
        <w:rPr/>
        <w:t>万元，减值准备金额为</w:t>
      </w:r>
      <w:r>
        <w:rPr>
          <w:rFonts w:ascii="Times New Roman" w:hAnsi="Times New Roman" w:cs="Times New Roman" w:eastAsia="Times New Roman" w:hint="default"/>
        </w:rPr>
        <w:t>6,139.58</w:t>
      </w:r>
      <w:r>
        <w:rPr/>
        <w:t>万 </w:t>
      </w:r>
      <w:r>
        <w:rPr>
          <w:spacing w:val="-2"/>
        </w:rPr>
        <w:t>元。股权投资减值测试涉及管理层的主观判断和重大会计估计，且测试结果对财务报表影响重大，因此将其作为关键审计事</w:t>
      </w:r>
      <w:r>
        <w:rPr>
          <w:spacing w:val="-66"/>
        </w:rPr>
        <w:t> </w:t>
      </w:r>
      <w:r>
        <w:rPr>
          <w:spacing w:val="-66"/>
        </w:rPr>
      </w:r>
      <w:r>
        <w:rPr/>
        <w:t>项。</w:t>
      </w:r>
    </w:p>
    <w:p>
      <w:pPr>
        <w:pStyle w:val="BodyText"/>
        <w:spacing w:line="300" w:lineRule="auto" w:before="24"/>
        <w:ind w:left="634" w:right="8110"/>
        <w:jc w:val="left"/>
      </w:pPr>
      <w:r>
        <w:rPr>
          <w:rFonts w:ascii="Times New Roman" w:hAnsi="Times New Roman" w:cs="Times New Roman" w:eastAsia="Times New Roman" w:hint="default"/>
        </w:rPr>
        <w:t>2</w:t>
      </w:r>
      <w:r>
        <w:rPr/>
        <w:t>、审计应对 我们执行的主要审计程序：</w:t>
      </w:r>
    </w:p>
    <w:p>
      <w:pPr>
        <w:pStyle w:val="BodyText"/>
        <w:spacing w:line="300" w:lineRule="auto" w:before="31"/>
        <w:ind w:right="1127" w:firstLine="480"/>
        <w:jc w:val="both"/>
      </w:pPr>
      <w:r>
        <w:rPr/>
        <w:t>（</w:t>
      </w:r>
      <w:r>
        <w:rPr>
          <w:rFonts w:ascii="Times New Roman" w:hAnsi="Times New Roman" w:cs="Times New Roman" w:eastAsia="Times New Roman" w:hint="default"/>
        </w:rPr>
        <w:t>1</w:t>
      </w:r>
      <w:r>
        <w:rPr/>
        <w:t>）我们获取并复核了公司管理层评价股权投资是否存在减值迹象所依据的资料，考虑了管理层评价减值迹象存在</w:t>
      </w:r>
      <w:r>
        <w:rPr>
          <w:spacing w:val="1"/>
        </w:rPr>
        <w:t> </w:t>
      </w:r>
      <w:r>
        <w:rPr/>
        <w:t>的恰当性和完整性；</w:t>
      </w:r>
    </w:p>
    <w:p>
      <w:pPr>
        <w:pStyle w:val="BodyText"/>
        <w:spacing w:line="309" w:lineRule="auto" w:before="31"/>
        <w:ind w:right="1127" w:firstLine="480"/>
        <w:jc w:val="both"/>
      </w:pPr>
      <w:r>
        <w:rPr/>
        <w:t>（</w:t>
      </w:r>
      <w:r>
        <w:rPr>
          <w:rFonts w:ascii="Times New Roman" w:hAnsi="Times New Roman" w:cs="Times New Roman" w:eastAsia="Times New Roman" w:hint="default"/>
        </w:rPr>
        <w:t>2</w:t>
      </w:r>
      <w:r>
        <w:rPr/>
        <w:t>）对重要的被投资单位由项目组成员执行审计程序，对非重要的被投资单位获取审计报告或财务报表，对长期股</w:t>
      </w:r>
      <w:r>
        <w:rPr>
          <w:spacing w:val="1"/>
        </w:rPr>
        <w:t> </w:t>
      </w:r>
      <w:r>
        <w:rPr>
          <w:spacing w:val="-2"/>
        </w:rPr>
        <w:t>权投资期末金额与被投资单位净资产份额进行比较，尤其对溢价收购部分关注期末长期股权投资是否存在减值迹象，考虑了</w:t>
      </w:r>
      <w:r>
        <w:rPr>
          <w:spacing w:val="-64"/>
        </w:rPr>
        <w:t> </w:t>
      </w:r>
      <w:r>
        <w:rPr>
          <w:spacing w:val="-64"/>
        </w:rPr>
      </w:r>
      <w:r>
        <w:rPr/>
        <w:t>管理层评价减值迹象是否存在所作出的判断；</w:t>
      </w:r>
    </w:p>
    <w:p>
      <w:pPr>
        <w:pStyle w:val="BodyText"/>
        <w:spacing w:line="300" w:lineRule="auto" w:before="24"/>
        <w:ind w:right="1127" w:firstLine="480"/>
        <w:jc w:val="both"/>
      </w:pPr>
      <w:r>
        <w:rPr/>
        <w:t>（</w:t>
      </w:r>
      <w:r>
        <w:rPr>
          <w:rFonts w:ascii="Times New Roman" w:hAnsi="Times New Roman" w:cs="Times New Roman" w:eastAsia="Times New Roman" w:hint="default"/>
        </w:rPr>
        <w:t>3</w:t>
      </w:r>
      <w:r>
        <w:rPr/>
        <w:t>）对发生减值的长期股权投资，我们测试了管理层计提减值准备的金额，检查了财务报表附注中对资产减值相关</w:t>
      </w:r>
      <w:r>
        <w:rPr>
          <w:spacing w:val="1"/>
        </w:rPr>
        <w:t> </w:t>
      </w:r>
      <w:r>
        <w:rPr/>
        <w:t>信息的列报和披露。</w:t>
      </w:r>
    </w:p>
    <w:p>
      <w:pPr>
        <w:pStyle w:val="BodyText"/>
        <w:spacing w:line="316" w:lineRule="auto" w:before="31"/>
        <w:ind w:left="634" w:right="1117"/>
        <w:jc w:val="left"/>
      </w:pPr>
      <w:r>
        <w:rPr/>
        <w:t>四、其他信息 华媒控股公司管理层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w:t>
      </w:r>
      <w:r>
        <w:rPr>
          <w:rFonts w:ascii="Times New Roman" w:hAnsi="Times New Roman" w:cs="Times New Roman" w:eastAsia="Times New Roman" w:hint="default"/>
        </w:rPr>
        <w:t>2019</w:t>
      </w:r>
      <w:r>
        <w:rPr/>
        <w:t>年度报告报告中涵盖的信息，但不包括财</w:t>
      </w:r>
    </w:p>
    <w:p>
      <w:pPr>
        <w:pStyle w:val="BodyText"/>
        <w:spacing w:line="316" w:lineRule="auto"/>
        <w:ind w:left="634" w:right="1117" w:hanging="480"/>
        <w:jc w:val="left"/>
      </w:pPr>
      <w:r>
        <w:rPr/>
        <w:t>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3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pStyle w:val="BodyText"/>
        <w:spacing w:line="316" w:lineRule="auto" w:before="76"/>
        <w:ind w:left="634" w:right="0"/>
        <w:jc w:val="left"/>
      </w:pPr>
      <w:r>
        <w:rPr/>
        <w:t>五、管理层和治理层对财务报表的责任 </w:t>
      </w:r>
      <w:r>
        <w:rPr>
          <w:spacing w:val="-1"/>
        </w:rPr>
        <w:t>管理层负责按照企业会计准则的规定编制财务报表，使其实现公允反映，并设计、执行和维护必要的内部控制，以使</w:t>
      </w:r>
    </w:p>
    <w:p>
      <w:pPr>
        <w:pStyle w:val="BodyText"/>
        <w:spacing w:line="240" w:lineRule="auto" w:before="19"/>
        <w:ind w:right="0"/>
        <w:jc w:val="left"/>
      </w:pPr>
      <w:r>
        <w:rPr/>
        <w:t>财务报表不存在由于舞弊或错误导致的重大错报。</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0" w:firstLine="480"/>
        <w:jc w:val="both"/>
      </w:pPr>
      <w:r>
        <w:rPr>
          <w:spacing w:val="-1"/>
        </w:rPr>
        <w:t>在编制财务报表时，管理层负责评估华媒控股公司的持续经营能力，披露与持续经营相关的事项，并运用持续经营假</w:t>
      </w:r>
      <w:r>
        <w:rPr/>
        <w:t> 设，除非管理层计划清算华媒控股公司、终止运营或别无其他现实的选择。</w:t>
      </w:r>
    </w:p>
    <w:p>
      <w:pPr>
        <w:pStyle w:val="BodyText"/>
        <w:spacing w:line="309" w:lineRule="auto" w:before="19"/>
        <w:ind w:left="633" w:right="1117"/>
        <w:jc w:val="left"/>
      </w:pPr>
      <w:r>
        <w:rPr/>
        <w:t>华媒控股公司治理层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负责监督华媒控股公司的财务报告过程。 六、注册会计师对财务报表审计的责任 </w:t>
      </w:r>
      <w:r>
        <w:rPr>
          <w:spacing w:val="-1"/>
        </w:rPr>
        <w:t>我们的目标是对财务报表整体是否不存在由于舞弊或错误导致的重大错报获取合理保证，并出具包含审计意见的审计</w:t>
      </w:r>
    </w:p>
    <w:p>
      <w:pPr>
        <w:pStyle w:val="BodyText"/>
        <w:spacing w:line="316" w:lineRule="auto" w:before="24"/>
        <w:ind w:left="153" w:right="1130"/>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3" w:right="0"/>
        <w:jc w:val="left"/>
      </w:pPr>
      <w:r>
        <w:rPr/>
        <w:t>在按照审计准则执行审计工作的过程中，我们运用职业判断，并保持职业怀疑。同时，我们也执行以下工作：</w:t>
      </w:r>
    </w:p>
    <w:p>
      <w:pPr>
        <w:pStyle w:val="BodyText"/>
        <w:spacing w:line="309" w:lineRule="auto" w:before="76"/>
        <w:ind w:left="153" w:right="1048"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了解与审计相关的内部控制，以设计恰当的审计程序。</w:t>
      </w:r>
    </w:p>
    <w:p>
      <w:pPr>
        <w:pStyle w:val="BodyText"/>
        <w:spacing w:line="240" w:lineRule="auto" w:before="63"/>
        <w:ind w:left="63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评价管理层选用会计政策的恰当性和作出会计估计及相关披露的合理性。</w:t>
      </w:r>
    </w:p>
    <w:p>
      <w:pPr>
        <w:pStyle w:val="BodyText"/>
        <w:spacing w:line="312" w:lineRule="auto" w:before="63"/>
        <w:ind w:left="153" w:right="1128"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对管理层使用持续经营假设的恰当性得出结论。同时，根据获取的审计证据，就可能导致对华媒控股公司持续经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论基于截至审计报告日可获得的信息。然而，未来的事项或情况可能导致华媒控股公司不能持续经营。</w:t>
      </w:r>
    </w:p>
    <w:p>
      <w:pPr>
        <w:pStyle w:val="BodyText"/>
        <w:spacing w:line="240" w:lineRule="auto" w:before="22"/>
        <w:ind w:left="633"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评价财务报表的总体列报、结构和内容，并评价财务报表是否公允反映相关交易和事项。</w:t>
      </w:r>
    </w:p>
    <w:p>
      <w:pPr>
        <w:pStyle w:val="BodyText"/>
        <w:spacing w:line="300" w:lineRule="auto" w:before="63"/>
        <w:ind w:left="153" w:right="1128"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就华媒控股公司中实体或业务活动的财务信息获取充分、适当的审计证据，以对财务报表发表审计意见。我们负 责指导、监督和执行集团审计，并对审计意见承担全部责任。</w:t>
      </w:r>
    </w:p>
    <w:p>
      <w:pPr>
        <w:pStyle w:val="BodyText"/>
        <w:spacing w:line="316" w:lineRule="auto" w:before="31"/>
        <w:ind w:left="153" w:right="1130"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left="153" w:right="1130"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16" w:lineRule="auto"/>
        <w:ind w:left="153" w:right="1130"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4356" w:val="left" w:leader="none"/>
        </w:tabs>
        <w:spacing w:line="240" w:lineRule="auto"/>
        <w:ind w:left="633" w:right="0"/>
        <w:jc w:val="left"/>
      </w:pPr>
      <w:r>
        <w:rPr/>
        <w:t>中汇会计师事务所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中国注册会计师：洪烨</w:t>
      </w:r>
    </w:p>
    <w:p>
      <w:pPr>
        <w:pStyle w:val="BodyText"/>
        <w:spacing w:line="240" w:lineRule="auto" w:before="63"/>
        <w:ind w:left="423" w:right="1304"/>
        <w:jc w:val="center"/>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pStyle w:val="BodyText"/>
        <w:tabs>
          <w:tab w:pos="4370" w:val="left" w:leader="none"/>
        </w:tabs>
        <w:spacing w:line="300" w:lineRule="auto" w:before="63"/>
        <w:ind w:left="4383" w:right="4469" w:hanging="2670"/>
        <w:jc w:val="left"/>
      </w:pPr>
      <w:r>
        <w:rPr/>
        <w:t>中国</w:t>
      </w:r>
      <w:r>
        <w:rPr>
          <w:rFonts w:ascii="Times New Roman" w:hAnsi="Times New Roman" w:cs="Times New Roman" w:eastAsia="Times New Roman" w:hint="default"/>
        </w:rPr>
        <w:t>·</w:t>
      </w:r>
      <w:r>
        <w:rPr/>
        <w:t>杭州</w:t>
        <w:tab/>
        <w:t>中国注册会计师：孙俊 报告日期：</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p>
      <w:pPr>
        <w:spacing w:after="0" w:line="300" w:lineRule="auto"/>
        <w:jc w:val="left"/>
        <w:sectPr>
          <w:pgSz w:w="11910" w:h="16840"/>
          <w:pgMar w:header="747" w:footer="982" w:top="1060" w:bottom="1180" w:left="980" w:right="0"/>
        </w:sectPr>
      </w:pPr>
    </w:p>
    <w:p>
      <w:pPr>
        <w:pStyle w:val="Heading2"/>
        <w:spacing w:line="240" w:lineRule="auto" w:before="30"/>
        <w:ind w:right="0"/>
        <w:jc w:val="left"/>
        <w:rPr>
          <w:b w:val="0"/>
          <w:bCs w:val="0"/>
        </w:rPr>
      </w:pPr>
      <w:r>
        <w:rPr/>
        <w:pict>
          <v:shape style="position:absolute;margin-left:534.119873pt;margin-top:806.796997pt;width:61pt;height:26.8pt;mso-position-horizontal-relative:page;mso-position-vertical-relative:page;z-index:-1247392"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left="0" w:right="0"/>
                    <w:jc w:val="left"/>
                    <w:rPr>
                      <w:rFonts w:ascii="Times New Roman" w:hAnsi="Times New Roman" w:cs="Times New Roman" w:eastAsia="Times New Roman" w:hint="default"/>
                    </w:rPr>
                  </w:pPr>
                  <w:r>
                    <w:rPr>
                      <w:rFonts w:ascii="Times New Roman"/>
                    </w:rPr>
                    <w:t>7</w:t>
                  </w:r>
                </w:p>
              </w:txbxContent>
            </v:textbox>
            <w10:wrap type="none"/>
          </v:shape>
        </w:pict>
      </w:r>
      <w:r>
        <w:rPr/>
        <w:pict>
          <v:group style="position:absolute;margin-left:55.200001pt;margin-top:2.25591pt;width:484.95pt;height:.1pt;mso-position-horizontal-relative:page;mso-position-vertical-relative:paragraph;z-index:-1247368" coordorigin="1104,45" coordsize="9699,2">
            <v:shape style="position:absolute;left:1104;top:45;width:9699;height:2" coordorigin="1104,45" coordsize="9699,0" path="m1104,45l10802,45e" filled="false" stroked="true" strokeweight=".72003pt" strokecolor="#000000">
              <v:path arrowok="t"/>
            </v:shape>
            <w10:wrap type="none"/>
          </v:group>
        </w:pict>
      </w:r>
      <w:r>
        <w:rPr/>
        <w:pict>
          <v:shape style="position:absolute;margin-left:535.609985pt;margin-top:806.796997pt;width:59.499296pt;height:26.797393pt;mso-position-horizontal-relative:page;mso-position-vertical-relative:page;z-index:1744" type="#_x0000_t75" stroked="false">
            <v:imagedata r:id="rId24" o:title=""/>
          </v:shape>
        </w:pict>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编制单位：浙江华媒控股股份有限公司</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800,225,004.17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894,104,918.75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182,448,916.91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2,011,267.77</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820,278.05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7,204,008.80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381,229,929.90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371,732,276.99</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19,114,852.91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25,570,871.95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22,573,360.52</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90,184,821.22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86,187,580.58</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69,131.80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523,888.90</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27,040,166.52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41,915,530.99</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61,523,972.77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140,181,902.58</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1,588,158,814.40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1,565,910,846.98</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85,585,686.64</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603,055,430.62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649,780,455.57</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134,950,686.64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24,445,233.99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17,353,491.43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171,508,899.41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192,256,636.44</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314,694,227.66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237,237,966.42</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83,516,279.71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85,112,323.99</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552,552,701.72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575,579,932.05</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52,438,342.79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33,202,728.45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3,842,576.58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2,417,962.61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33,532,742.94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48,476,158.80</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1,974,537,122.06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1,927,003,342.40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3,562,695,936.46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3,492,914,189.38</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84" w:header="747" w:top="1060" w:bottom="380" w:left="980" w:right="0"/>
        </w:sectPr>
      </w:pPr>
    </w:p>
    <w:p>
      <w:pPr>
        <w:spacing w:line="240" w:lineRule="auto" w:before="12"/>
        <w:rPr>
          <w:rFonts w:ascii="宋体" w:hAnsi="宋体" w:cs="宋体" w:eastAsia="宋体" w:hint="default"/>
          <w:sz w:val="2"/>
          <w:szCs w:val="2"/>
        </w:rPr>
      </w:pPr>
      <w:r>
        <w:rPr/>
        <w:pict>
          <v:shape style="position:absolute;margin-left:534.119873pt;margin-top:806.796997pt;width:61pt;height:26.8pt;mso-position-horizontal-relative:page;mso-position-vertical-relative:page;z-index:-1247320" type="#_x0000_t202" filled="false" stroked="false">
            <v:textbox inset="0,0,0,0">
              <w:txbxContent>
                <w:p>
                  <w:pPr>
                    <w:spacing w:line="240" w:lineRule="auto" w:before="9"/>
                    <w:rPr>
                      <w:rFonts w:ascii="宋体" w:hAnsi="宋体" w:cs="宋体" w:eastAsia="宋体" w:hint="default"/>
                      <w:sz w:val="22"/>
                      <w:szCs w:val="22"/>
                    </w:rPr>
                  </w:pPr>
                </w:p>
                <w:p>
                  <w:pPr>
                    <w:pStyle w:val="BodyText"/>
                    <w:spacing w:line="240" w:lineRule="auto"/>
                    <w:ind w:left="0" w:right="0"/>
                    <w:jc w:val="left"/>
                    <w:rPr>
                      <w:rFonts w:ascii="Times New Roman" w:hAnsi="Times New Roman" w:cs="Times New Roman" w:eastAsia="Times New Roman" w:hint="default"/>
                    </w:rPr>
                  </w:pPr>
                  <w:r>
                    <w:rPr>
                      <w:rFonts w:ascii="Times New Roman"/>
                    </w:rPr>
                    <w:t>8</w:t>
                  </w:r>
                </w:p>
              </w:txbxContent>
            </v:textbox>
            <w10:wrap type="none"/>
          </v:shape>
        </w:pict>
      </w:r>
      <w:r>
        <w:rPr/>
        <w:pict>
          <v:shape style="position:absolute;margin-left:535.609985pt;margin-top:806.796997pt;width:59.499296pt;height:26.797393pt;mso-position-horizontal-relative:page;mso-position-vertical-relative:page;z-index:1792" type="#_x0000_t75" stroked="false">
            <v:imagedata r:id="rId24" o:title=""/>
          </v:shape>
        </w:pict>
      </w:r>
    </w:p>
    <w:tbl>
      <w:tblPr>
        <w:tblW w:w="0" w:type="auto"/>
        <w:jc w:val="left"/>
        <w:tblInd w:w="120" w:type="dxa"/>
        <w:tblLayout w:type="fixed"/>
        <w:tblCellMar>
          <w:top w:w="0" w:type="dxa"/>
          <w:left w:w="0" w:type="dxa"/>
          <w:bottom w:w="0" w:type="dxa"/>
          <w:right w:w="0" w:type="dxa"/>
        </w:tblCellMar>
        <w:tblLook w:val="01E0"/>
      </w:tblPr>
      <w:tblGrid>
        <w:gridCol w:w="2939"/>
        <w:gridCol w:w="3317"/>
        <w:gridCol w:w="3300"/>
      </w:tblGrid>
      <w:tr>
        <w:trPr>
          <w:trHeight w:val="264" w:hRule="exact"/>
        </w:trPr>
        <w:tc>
          <w:tcPr>
            <w:tcW w:w="2939"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15"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44,009,613.13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216,450,000.00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37,557,061.15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52,234,777.00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251,632,271.06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155,516,048.21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396,671,999.21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359,616,459.27</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100,549,251.88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90,276,382.79</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17,747,264.68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31,745,099.85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242,843,802.23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249,009,106.02</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414,136.59</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3,224,408.33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11,061,765.67</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28,280,023.75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30,250,000.00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253,652,876.71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1,372,944,163.80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1,185,097,873.14</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30,380,023.75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201,916,780.82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2,905,562.44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3,242,056.24</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102,739.82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116,287.93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207,025,083.08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33,738,367.92</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1,579,969,246.88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1,218,836,241.06</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-232,321,322.73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-147,973,114.31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-3,098,311.81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2,322,335.12</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71,286,408.39</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878,537,971.62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1,030,858,968.80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1,660,816,747.08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1,974,193,008.00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321,909,942.50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299,884,940.32</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1,982,726,689.58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2,274,077,948.32</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3,562,695,936.46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3,492,914,189.38</w:t>
            </w:r>
          </w:p>
        </w:tc>
      </w:tr>
    </w:tbl>
    <w:p>
      <w:pPr>
        <w:pStyle w:val="BodyText"/>
        <w:tabs>
          <w:tab w:pos="3533" w:val="left" w:leader="none"/>
          <w:tab w:pos="7853" w:val="left" w:leader="none"/>
        </w:tabs>
        <w:spacing w:line="217" w:lineRule="exact"/>
        <w:ind w:left="114" w:right="0"/>
        <w:jc w:val="left"/>
      </w:pPr>
      <w:r>
        <w:rPr/>
        <w:t>法定代表人：董悦</w:t>
        <w:tab/>
        <w:t>主管会计工作负责人：郭勤勇</w:t>
        <w:tab/>
        <w:t>会计机构负责人：王健</w:t>
      </w:r>
    </w:p>
    <w:p>
      <w:pPr>
        <w:spacing w:after="0" w:line="217" w:lineRule="exact"/>
        <w:jc w:val="left"/>
        <w:sectPr>
          <w:pgSz w:w="11910" w:h="16840"/>
          <w:pgMar w:header="747" w:footer="184" w:top="1060" w:bottom="38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118,102,565.47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35,278,451.26</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1,193,838.21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312,237.03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51,600.00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518,258,815.07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493,124,991.91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500,000.01</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8,759.28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10,526.00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825,112.44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35,060,927.68</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638,440,690.47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563,787,133.88</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3,190,853,630.13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2,932,814,951.62</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350,176.95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273,910.34</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219,930.04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318,532.60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8,524,165.93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110,026.75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1,440,971.40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1,782,020.00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3,201,388,874.45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2,935,299,441.31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3,839,829,564.92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3,499,086,575.19</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2" w:header="747" w:top="1060" w:bottom="1180" w:left="980" w:right="0"/>
          <w:pgNumType w:start="69"/>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857,749.78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3,500.00</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1,037,456.17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3,819,879.95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3,578,663.14</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550,725.07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1,033,960.23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631,837,599.95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322,948,831.74</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170,087.36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238,166.81</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2,244,408.33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10,081,765.67</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253,652,876.71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891,756,287.63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482,564,955.11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201,916,780.82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201,916,780.82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1,093,673,068.45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482,564,955.11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1,585,395,265.29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1,809,704,919.76</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-2,309,261.81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2,322,335.12</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53,068,207.84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53,068,207.84</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92,303,875.15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133,727,747.36</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2,746,156,496.47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3,016,521,620.08</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3,839,829,564.92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3,499,086,575.19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241.259995pt;margin-top:568.710022pt;width:128.5500pt;height:16.1500pt;mso-position-horizontal-relative:page;mso-position-vertical-relative:page;z-index:-1247248" coordorigin="4825,11374" coordsize="2571,323">
            <v:group style="position:absolute;left:4837;top:11386;width:2;height:300" coordorigin="4837,11386" coordsize="2,300">
              <v:shape style="position:absolute;left:4837;top:11386;width:2;height:300" coordorigin="4837,11386" coordsize="0,300" path="m4837,11386l4837,11686e" filled="false" stroked="true" strokeweight="1.140pt" strokecolor="#ffffff">
                <v:path arrowok="t"/>
              </v:shape>
            </v:group>
            <v:group style="position:absolute;left:4848;top:11386;width:2548;height:300" coordorigin="4848,11386" coordsize="2548,300">
              <v:shape style="position:absolute;left:4848;top:11386;width:2548;height:300" coordorigin="4848,11386" coordsize="2548,300" path="m4848,11686l7396,11686,7396,11386,4848,11386,4848,11686xe" filled="true" fillcolor="#ffffff" stroked="false">
                <v:path arrowok="t"/>
                <v:fill type="solid"/>
              </v:shape>
            </v:group>
            <w10:wrap type="none"/>
          </v:group>
        </w:pict>
      </w: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2616"/>
        <w:gridCol w:w="3277"/>
      </w:tblGrid>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1,822,062,332.55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1,749,493,401.78</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1,822,062,332.55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1,749,493,401.78</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2"/>
              <w:jc w:val="right"/>
              <w:rPr>
                <w:rFonts w:ascii="Times New Roman" w:hAnsi="Times New Roman" w:cs="Times New Roman" w:eastAsia="Times New Roman" w:hint="default"/>
                <w:sz w:val="18"/>
                <w:szCs w:val="18"/>
              </w:rPr>
            </w:pPr>
            <w:r>
              <w:rPr>
                <w:rFonts w:ascii="Times New Roman"/>
                <w:spacing w:val="-1"/>
                <w:sz w:val="18"/>
              </w:rPr>
              <w:t>1,734,291,125.78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2"/>
              <w:jc w:val="right"/>
              <w:rPr>
                <w:rFonts w:ascii="Times New Roman" w:hAnsi="Times New Roman" w:cs="Times New Roman" w:eastAsia="Times New Roman" w:hint="default"/>
                <w:sz w:val="18"/>
                <w:szCs w:val="18"/>
              </w:rPr>
            </w:pPr>
            <w:r>
              <w:rPr>
                <w:rFonts w:ascii="Times New Roman"/>
                <w:spacing w:val="-1"/>
                <w:sz w:val="18"/>
              </w:rPr>
              <w:t>1,614,034,222.57</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1,351,738,575.97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1,266,925,773.62</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18,843,539.39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20,087,230.17</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134,968,523.95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131,802,895.47</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199,257,914.87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173,195,696.01</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14,847,838.93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10,612,874.73</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14,634,732.67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11,409,752.57</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20,483,042.44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16,649,875.35</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29"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6,794,006.26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6,266,693.63</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34,096,012.23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10,968,146.32</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44,394,163.61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52,640,000.66</w:t>
            </w:r>
          </w:p>
        </w:tc>
      </w:tr>
      <w:tr>
        <w:trPr>
          <w:trHeight w:val="6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27,550,398.03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38,118,512.76</w:t>
            </w: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091"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确认收益</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01"/>
              <w:jc w:val="righ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681,275.86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11,267.77</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180"/>
              <w:jc w:val="right"/>
              <w:rPr>
                <w:rFonts w:ascii="宋体" w:hAnsi="宋体" w:cs="宋体" w:eastAsia="宋体" w:hint="default"/>
                <w:sz w:val="18"/>
                <w:szCs w:val="18"/>
              </w:rPr>
            </w:pP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-28,538,461.37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80"/>
              <w:jc w:val="right"/>
              <w:rPr>
                <w:rFonts w:ascii="宋体" w:hAnsi="宋体" w:cs="宋体" w:eastAsia="宋体" w:hint="default"/>
                <w:sz w:val="18"/>
                <w:szCs w:val="18"/>
              </w:rPr>
            </w:pP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-83,978,931.29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-29,171,149.46</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180"/>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398,411.56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-233,295.06</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54,823,677.37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169,674,149.44</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10,485,600.40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1,486,889.53</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554,459.41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1,561,430.99</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64,754,818.36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169,599,607.98</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6,864,056.77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15,192,776.10</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57,890,761.59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154,406,831.88</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91"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6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r>
        <w:rPr/>
        <w:pict>
          <v:group style="position:absolute;margin-left:241.259995pt;margin-top:71.910004pt;width:128.5500pt;height:31.7pt;mso-position-horizontal-relative:page;mso-position-vertical-relative:page;z-index:-1247224" coordorigin="4825,1438" coordsize="2571,634">
            <v:group style="position:absolute;left:4837;top:1450;width:2;height:300" coordorigin="4837,1450" coordsize="2,300">
              <v:shape style="position:absolute;left:4837;top:1450;width:2;height:300" coordorigin="4837,1450" coordsize="0,300" path="m4837,1450l4837,1750e" filled="false" stroked="true" strokeweight="1.140pt" strokecolor="#ffffff">
                <v:path arrowok="t"/>
              </v:shape>
            </v:group>
            <v:group style="position:absolute;left:4848;top:1450;width:2548;height:300" coordorigin="4848,1450" coordsize="2548,300">
              <v:shape style="position:absolute;left:4848;top:1450;width:2548;height:300" coordorigin="4848,1450" coordsize="2548,300" path="m4848,1750l7396,1750,7396,1450,4848,1450,4848,1750xe" filled="true" fillcolor="#ffffff" stroked="false">
                <v:path arrowok="t"/>
                <v:fill type="solid"/>
              </v:shape>
            </v:group>
            <v:group style="position:absolute;left:4837;top:1760;width:2;height:300" coordorigin="4837,1760" coordsize="2,300">
              <v:shape style="position:absolute;left:4837;top:1760;width:2;height:300" coordorigin="4837,1760" coordsize="0,300" path="m4837,1760l4837,2060e" filled="false" stroked="true" strokeweight="1.140pt" strokecolor="#ffffff">
                <v:path arrowok="t"/>
              </v:shape>
            </v:group>
            <v:group style="position:absolute;left:4848;top:1760;width:2548;height:300" coordorigin="4848,1760" coordsize="2548,300">
              <v:shape style="position:absolute;left:4848;top:1760;width:2548;height:300" coordorigin="4848,1760" coordsize="2548,300" path="m4848,2060l7396,2060,7396,1760,4848,1760,4848,206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663"/>
        <w:gridCol w:w="2616"/>
        <w:gridCol w:w="3277"/>
      </w:tblGrid>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10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tabs>
                <w:tab w:pos="1535" w:val="left" w:leader="none"/>
              </w:tabs>
              <w:spacing w:line="240" w:lineRule="auto" w:before="29"/>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57,890,761.59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154,406,831.88</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0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91"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6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18,904,455.37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103,889,816.40</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38,986,306.22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50,517,015.48</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-5,986,596.93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132,213.68</w:t>
            </w: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4" w:lineRule="auto" w:before="29"/>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 额</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-5,420,646.93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132,213.68</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41"/>
              <w:jc w:val="righ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-789,050.00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其他权益工具投资公允价值变动</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-789,050.00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企业自身信用风险公允价值变动</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-4,631,596.93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132,213.68</w:t>
            </w: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-4,631,596.93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132,213.68</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8" w:lineRule="auto" w:before="29"/>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 售金融资产损益</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616"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41"/>
              <w:jc w:val="righ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-565,950.00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51,904,164.66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154,539,045.56</w:t>
            </w: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13,483,808.44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104,022,030.08</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38,420,356.22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50,517,015.48</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6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11"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0.10</w:t>
            </w:r>
          </w:p>
        </w:tc>
      </w:tr>
      <w:tr>
        <w:trPr>
          <w:trHeight w:val="310" w:hRule="exact"/>
        </w:trPr>
        <w:tc>
          <w:tcPr>
            <w:tcW w:w="3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0.10</w:t>
            </w:r>
          </w:p>
        </w:tc>
      </w:tr>
    </w:tbl>
    <w:p>
      <w:pPr>
        <w:pStyle w:val="BodyText"/>
        <w:spacing w:line="240" w:lineRule="exact"/>
        <w:ind w:left="153" w:right="1124"/>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w:t>
      </w:r>
      <w:r>
        <w:rPr>
          <w:rFonts w:ascii="Times New Roman" w:hAnsi="Times New Roman" w:cs="Times New Roman" w:eastAsia="Times New Roman" w:hint="default"/>
          <w:spacing w:val="23"/>
        </w:rPr>
        <w:t> </w:t>
      </w:r>
      <w:r>
        <w:rPr>
          <w:spacing w:val="-4"/>
        </w:rPr>
        <w:t>元，上期被合并方实现的净利润为：</w:t>
      </w:r>
      <w:r>
        <w:rPr>
          <w:rFonts w:ascii="Times New Roman" w:hAnsi="Times New Roman" w:cs="Times New Roman" w:eastAsia="Times New Roman" w:hint="default"/>
          <w:spacing w:val="-4"/>
        </w:rPr>
        <w:t>-2,346,279.62</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元。</w:t>
      </w:r>
    </w:p>
    <w:p>
      <w:pPr>
        <w:spacing w:line="240" w:lineRule="auto" w:before="12"/>
        <w:rPr>
          <w:rFonts w:ascii="宋体" w:hAnsi="宋体" w:cs="宋体" w:eastAsia="宋体" w:hint="default"/>
          <w:sz w:val="16"/>
          <w:szCs w:val="16"/>
        </w:rPr>
      </w:pPr>
    </w:p>
    <w:p>
      <w:pPr>
        <w:pStyle w:val="BodyText"/>
        <w:tabs>
          <w:tab w:pos="3573" w:val="left" w:leader="none"/>
          <w:tab w:pos="7893" w:val="left" w:leader="none"/>
        </w:tabs>
        <w:spacing w:line="240" w:lineRule="auto"/>
        <w:ind w:left="153" w:right="0"/>
        <w:jc w:val="left"/>
      </w:pPr>
      <w:r>
        <w:rPr/>
        <w:t>法定代表人：董悦</w:t>
        <w:tab/>
        <w:t>主管会计工作负责人：郭勤勇</w:t>
        <w:tab/>
        <w:t>会计机构负责人：王健</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r>
        <w:rPr/>
        <w:pict>
          <v:shape style="position:absolute;margin-left:534.119873pt;margin-top:806.796997pt;width:61pt;height:26.8pt;mso-position-horizontal-relative:page;mso-position-vertical-relative:page;z-index:-1247200" type="#_x0000_t202" filled="false" stroked="false">
            <v:textbox inset="0,0,0,0">
              <w:txbxContent>
                <w:p>
                  <w:pPr>
                    <w:pStyle w:val="BodyText"/>
                    <w:spacing w:line="240" w:lineRule="auto" w:before="13"/>
                    <w:ind w:left="0" w:right="0"/>
                    <w:jc w:val="left"/>
                    <w:rPr>
                      <w:rFonts w:ascii="Times New Roman" w:hAnsi="Times New Roman" w:cs="Times New Roman" w:eastAsia="Times New Roman" w:hint="default"/>
                    </w:rPr>
                  </w:pPr>
                  <w:r>
                    <w:rPr>
                      <w:rFonts w:ascii="Times New Roman"/>
                    </w:rPr>
                    <w:t>3</w:t>
                  </w:r>
                </w:p>
              </w:txbxContent>
            </v:textbox>
            <w10:wrap type="none"/>
          </v:shape>
        </w:pict>
      </w:r>
      <w:r>
        <w:rPr/>
        <w:pict>
          <v:group style="position:absolute;margin-left:255.419998pt;margin-top:459.690002pt;width:147.2pt;height:25.65pt;mso-position-horizontal-relative:page;mso-position-vertical-relative:page;z-index:-1247176" coordorigin="5108,9194" coordsize="2944,513">
            <v:group style="position:absolute;left:5120;top:9205;width:2;height:240" coordorigin="5120,9205" coordsize="2,240">
              <v:shape style="position:absolute;left:5120;top:9205;width:2;height:240" coordorigin="5120,9205" coordsize="0,240" path="m5120,9205l5120,9445e" filled="false" stroked="true" strokeweight="1.140pt" strokecolor="#ffffff">
                <v:path arrowok="t"/>
              </v:shape>
            </v:group>
            <v:group style="position:absolute;left:5131;top:9205;width:2921;height:240" coordorigin="5131,9205" coordsize="2921,240">
              <v:shape style="position:absolute;left:5131;top:9205;width:2921;height:240" coordorigin="5131,9205" coordsize="2921,240" path="m5131,9445l8052,9445,8052,9205,5131,9205,5131,9445xe" filled="true" fillcolor="#ffffff" stroked="false">
                <v:path arrowok="t"/>
                <v:fill type="solid"/>
              </v:shape>
            </v:group>
            <v:group style="position:absolute;left:5120;top:9455;width:2;height:240" coordorigin="5120,9455" coordsize="2,240">
              <v:shape style="position:absolute;left:5120;top:9455;width:2;height:240" coordorigin="5120,9455" coordsize="0,240" path="m5120,9455l5120,9695e" filled="false" stroked="true" strokeweight="1.140pt" strokecolor="#ffffff">
                <v:path arrowok="t"/>
              </v:shape>
            </v:group>
            <v:group style="position:absolute;left:5131;top:9455;width:2921;height:240" coordorigin="5131,9455" coordsize="2921,240">
              <v:shape style="position:absolute;left:5131;top:9455;width:2921;height:240" coordorigin="5131,9455" coordsize="2921,240" path="m5131,9695l8052,9695,8052,9455,5131,9455,5131,9695xe" filled="true" fillcolor="#ffffff" stroked="false">
                <v:path arrowok="t"/>
                <v:fill type="solid"/>
              </v:shape>
            </v:group>
            <w10:wrap type="none"/>
          </v:group>
        </w:pict>
      </w:r>
    </w:p>
    <w:p>
      <w:pPr>
        <w:spacing w:line="240" w:lineRule="auto" w:before="9"/>
        <w:rPr>
          <w:rFonts w:ascii="宋体" w:hAnsi="宋体" w:cs="宋体" w:eastAsia="宋体" w:hint="default"/>
          <w:sz w:val="27"/>
          <w:szCs w:val="27"/>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946"/>
        <w:gridCol w:w="2988"/>
        <w:gridCol w:w="2622"/>
      </w:tblGrid>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10,946,811.95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5,836,617.36</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5,664,118.74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0.00</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667,688.55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45,132.42</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34,089,942.81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26,284,216.79</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16,011,471.53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9,480,248.46</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16,145,887.23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10,190,501.97</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right="31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562,758.02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777,392.41</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12,291,083.90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1,420,442.53</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6,417,689.09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3,983,347.34</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right="11"/>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183,460.62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1,816,462.63</w:t>
            </w:r>
          </w:p>
        </w:tc>
      </w:tr>
      <w:tr>
        <w:trPr>
          <w:trHeight w:val="49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ind w:left="11" w:right="14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 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right="163"/>
              <w:jc w:val="right"/>
              <w:rPr>
                <w:rFonts w:ascii="宋体" w:hAnsi="宋体" w:cs="宋体" w:eastAsia="宋体" w:hint="default"/>
                <w:sz w:val="18"/>
                <w:szCs w:val="18"/>
              </w:rPr>
            </w:pPr>
            <w:r>
              <w:rPr>
                <w:rFonts w:ascii="宋体" w:hAnsi="宋体" w:cs="宋体" w:eastAsia="宋体" w:hint="default"/>
                <w:spacing w:val="-1"/>
                <w:sz w:val="18"/>
                <w:szCs w:val="18"/>
              </w:rPr>
              <w:t>净敞口套期收益（损失以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right="-15"/>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731"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-1,889,581.00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731"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147.50</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-28,667,217.69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-24,569,042.94</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195,339.90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1.06</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-28,471,878.85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-24,569,042.94</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-28,471,878.85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-24,569,042.94</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333" w:right="0"/>
              <w:jc w:val="left"/>
              <w:rPr>
                <w:rFonts w:ascii="宋体" w:hAnsi="宋体" w:cs="宋体" w:eastAsia="宋体" w:hint="default"/>
                <w:sz w:val="18"/>
                <w:szCs w:val="18"/>
              </w:rPr>
            </w:pPr>
            <w:r>
              <w:rPr>
                <w:rFonts w:ascii="宋体" w:hAnsi="宋体" w:cs="宋体" w:eastAsia="宋体" w:hint="default"/>
                <w:spacing w:val="-4"/>
                <w:sz w:val="18"/>
                <w:szCs w:val="18"/>
              </w:rPr>
              <w:t>（一）持续经营净利润（净亏损以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28"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333" w:right="0"/>
              <w:jc w:val="left"/>
              <w:rPr>
                <w:rFonts w:ascii="宋体" w:hAnsi="宋体" w:cs="宋体" w:eastAsia="宋体" w:hint="default"/>
                <w:sz w:val="18"/>
                <w:szCs w:val="18"/>
              </w:rPr>
            </w:pPr>
            <w:r>
              <w:rPr>
                <w:rFonts w:ascii="宋体" w:hAnsi="宋体" w:cs="宋体" w:eastAsia="宋体" w:hint="default"/>
                <w:spacing w:val="-4"/>
                <w:sz w:val="18"/>
                <w:szCs w:val="18"/>
              </w:rPr>
              <w:t>（二）终止经营净利润（净亏损以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28"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132,213.68</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8"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132,213.68</w:t>
            </w: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132,213.68</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2"/>
              <w:ind w:left="11" w:right="18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 金融资产损益</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9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-33,103,475.78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-24,436,829.26</w:t>
            </w: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88" w:type="dxa"/>
            <w:tcBorders>
              <w:top w:val="single" w:sz="4" w:space="0" w:color="000000"/>
              <w:left w:val="single" w:sz="13" w:space="0" w:color="D3D3D3"/>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719" w:header="747" w:top="1060" w:bottom="92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79"/>
        <w:gridCol w:w="2877"/>
        <w:gridCol w:w="3300"/>
      </w:tblGrid>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1,832,446,337.97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1,819,792,016.43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114,909,120.94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121,880,640.28</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1,947,355,458.91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1,941,672,656.71</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1,020,854,254.64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1,037,738,280.25</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427,306,327.61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379,034,982.62</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64,434,913.86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63,422,871.56</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215,506,735.18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197,197,117.42</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1,728,102,231.29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1,677,393,251.85</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219,253,227.62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264,279,404.86</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908,591,237.19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450,844,286.57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37,077,085.48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34,417,795.39</w:t>
            </w: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75"/>
                <w:sz w:val="18"/>
                <w:szCs w:val="18"/>
              </w:rPr>
              <w:t>、</w:t>
            </w:r>
            <w:r>
              <w:rPr>
                <w:rFonts w:ascii="宋体" w:hAnsi="宋体" w:cs="宋体" w:eastAsia="宋体" w:hint="default"/>
                <w:sz w:val="18"/>
                <w:szCs w:val="18"/>
              </w:rPr>
              <w:t>无形资产和其他长期资</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865,648.34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1,978,677.48</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2" w:header="747" w:top="1060" w:bottom="1180" w:left="980" w:right="0"/>
          <w:pgNumType w:start="74"/>
        </w:sectPr>
      </w:pPr>
    </w:p>
    <w:p>
      <w:pPr>
        <w:spacing w:line="240" w:lineRule="auto" w:before="0"/>
        <w:rPr>
          <w:rFonts w:ascii="Times New Roman" w:hAnsi="Times New Roman" w:cs="Times New Roman" w:eastAsia="Times New Roman" w:hint="default"/>
          <w:sz w:val="20"/>
          <w:szCs w:val="20"/>
        </w:rPr>
      </w:pPr>
      <w:r>
        <w:rPr/>
        <w:pict>
          <v:group style="position:absolute;margin-left:227.039993pt;margin-top:514.799988pt;width:142.75pt;height:28pt;mso-position-horizontal-relative:page;mso-position-vertical-relative:page;z-index:-1247152" coordorigin="4541,10296" coordsize="2855,560">
            <v:group style="position:absolute;left:4552;top:10452;width:2;height:392" coordorigin="4552,10452" coordsize="2,392">
              <v:shape style="position:absolute;left:4552;top:10452;width:2;height:392" coordorigin="4552,10452" coordsize="0,392" path="m4552,10452l4552,10844e" filled="false" stroked="true" strokeweight="1.140pt" strokecolor="#ffffff">
                <v:path arrowok="t"/>
              </v:shape>
            </v:group>
            <v:group style="position:absolute;left:4541;top:10296;width:2855;height:156" coordorigin="4541,10296" coordsize="2855,156">
              <v:shape style="position:absolute;left:4541;top:10296;width:2855;height:156" coordorigin="4541,10296" coordsize="2855,156" path="m4541,10452l7396,10452,7396,10296,4541,10296,4541,10452xe" filled="true" fillcolor="#ffffff" stroked="false">
                <v:path arrowok="t"/>
                <v:fill type="solid"/>
              </v:shape>
            </v:group>
            <v:group style="position:absolute;left:4564;top:10452;width:2810;height:393" coordorigin="4564,10452" coordsize="2810,393">
              <v:shape style="position:absolute;left:4564;top:10452;width:2810;height:393" coordorigin="4564,10452" coordsize="2810,393" path="m4564,10844l7373,10844,7373,10452,4564,10452,4564,1084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79"/>
        <w:gridCol w:w="2877"/>
        <w:gridCol w:w="3300"/>
      </w:tblGrid>
      <w:tr>
        <w:trPr>
          <w:trHeight w:val="36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产收回的现金净额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 金净额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508,029.03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6,170,865.47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949,033,971.06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493,919,653.94</w:t>
            </w:r>
          </w:p>
        </w:tc>
      </w:tr>
      <w:tr>
        <w:trPr>
          <w:trHeight w:val="714"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w:t>
            </w:r>
            <w:r>
              <w:rPr>
                <w:rFonts w:ascii="宋体" w:hAnsi="宋体" w:cs="宋体" w:eastAsia="宋体" w:hint="default"/>
                <w:sz w:val="18"/>
                <w:szCs w:val="18"/>
              </w:rPr>
              <w:t> 产支付的现金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75,544,027.34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77,752,641.47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983,402,390.40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476,275,521.10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 金净额</w:t>
            </w:r>
          </w:p>
        </w:tc>
        <w:tc>
          <w:tcPr>
            <w:tcW w:w="287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4,371,079.10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27,268,969.30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1,059,323,817.74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585,668,210.97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-110,289,846.68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-91,748,557.03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3,159,998.40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714"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其中：子公司吸收少数股东投资收到的</w:t>
            </w:r>
            <w:r>
              <w:rPr>
                <w:rFonts w:ascii="宋体" w:hAnsi="宋体" w:cs="宋体" w:eastAsia="宋体" w:hint="default"/>
                <w:sz w:val="18"/>
                <w:szCs w:val="18"/>
              </w:rPr>
              <w:t> 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3,159,998.40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319,450,023.75</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837,709,998.40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393,450,023.75</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300,700,000.00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w:t>
            </w:r>
            <w:r>
              <w:rPr>
                <w:rFonts w:ascii="宋体" w:hAnsi="宋体" w:cs="宋体" w:eastAsia="宋体" w:hint="default"/>
                <w:spacing w:val="-75"/>
                <w:sz w:val="18"/>
                <w:szCs w:val="18"/>
              </w:rPr>
              <w:t>、</w:t>
            </w:r>
            <w:r>
              <w:rPr>
                <w:rFonts w:ascii="宋体" w:hAnsi="宋体" w:cs="宋体" w:eastAsia="宋体" w:hint="default"/>
                <w:sz w:val="18"/>
                <w:szCs w:val="18"/>
              </w:rPr>
              <w:t>利润或偿付利息支付的现金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43,750,419.39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29,272,562.84</w:t>
            </w:r>
          </w:p>
        </w:tc>
      </w:tr>
      <w:tr>
        <w:trPr>
          <w:trHeight w:val="714"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 利润</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16" w:lineRule="exact"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803" w:right="0"/>
              <w:jc w:val="left"/>
              <w:rPr>
                <w:rFonts w:ascii="Times New Roman" w:hAnsi="Times New Roman" w:cs="Times New Roman" w:eastAsia="Times New Roman" w:hint="default"/>
                <w:sz w:val="18"/>
                <w:szCs w:val="18"/>
              </w:rPr>
            </w:pPr>
            <w:r>
              <w:rPr>
                <w:rFonts w:ascii="Times New Roman"/>
                <w:sz w:val="18"/>
              </w:rPr>
              <w:t>11,183,075.40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4,026,303.48</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371,966,008.53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219,935,079.09</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917,416,427.92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549,907,641.93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-79,706,429.52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-156,457,618.18</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246.11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1,403.51</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29,257,197.53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16,074,633.16</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750,211,007.95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734,136,374.79</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779,468,205.48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750,211,007.95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4,973,977.26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4,286,404.26</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677,834,396.23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176,453,551.80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682,808,373.49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180,739,956.06</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3,863,443.56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301,490.94</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17,595,027.09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17,720,487.25</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667,688.55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45,102.28</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449,707,147.77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162,139,744.13</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471,833,306.97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180,206,824.60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210,975,066.52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533,131.46</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515,757,999.00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75,100,000.00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2"/>
                <w:sz w:val="18"/>
              </w:rPr>
              <w:t>111,853,060.18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5,431,984.52</w:t>
            </w:r>
          </w:p>
        </w:tc>
      </w:tr>
      <w:tr>
        <w:trPr>
          <w:trHeight w:val="4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4,161,753.48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5,584,587.71</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631,772,812.66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86,116,572.23</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9,560,615.97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145,280.00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945,661,800.00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188,326,000.00</w:t>
            </w:r>
          </w:p>
        </w:tc>
      </w:tr>
      <w:tr>
        <w:trPr>
          <w:trHeight w:val="4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107,200,000.00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1,062,422,415.97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202,971,280.00</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-430,649,603.31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-116,854,707.77</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699,500,000.00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78,700,000.00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26,500,000.00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778,200,000.00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251,500,000.00</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405,000,000.00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27,205,126.53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14,947,611.30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43,496,222.47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22,478,165.19</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475,701,349.00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227,425,776.49</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302,498,651.00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24,074,223.51</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82,824,114.21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-92,247,352.80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35,278,451.26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127,525,804.06</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118,102,565.47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35,278,451.26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7"/>
        <w:rPr>
          <w:rFonts w:ascii="宋体" w:hAnsi="宋体" w:cs="宋体" w:eastAsia="宋体" w:hint="default"/>
          <w:sz w:val="21"/>
          <w:szCs w:val="21"/>
        </w:rPr>
      </w:pPr>
    </w:p>
    <w:p>
      <w:pPr>
        <w:pStyle w:val="Heading3"/>
        <w:spacing w:line="283" w:lineRule="exact"/>
        <w:ind w:left="959" w:right="0"/>
        <w:jc w:val="left"/>
        <w:rPr>
          <w:b w:val="0"/>
          <w:bCs w:val="0"/>
        </w:rPr>
      </w:pPr>
      <w:r>
        <w:rPr>
          <w:rFonts w:ascii="Times New Roman" w:hAnsi="Times New Roman" w:cs="Times New Roman" w:eastAsia="Times New Roman" w:hint="default"/>
          <w:w w:val="95"/>
        </w:rPr>
        <w:t>7</w:t>
      </w:r>
      <w:r>
        <w:rPr>
          <w:w w:val="95"/>
        </w:rPr>
        <w:t>、合并所有者权益变动表</w:t>
      </w:r>
      <w:r>
        <w:rPr>
          <w:b w:val="0"/>
          <w:bCs w:val="0"/>
        </w:rPr>
      </w:r>
    </w:p>
    <w:p>
      <w:pPr>
        <w:pStyle w:val="BodyText"/>
        <w:spacing w:line="228" w:lineRule="exact"/>
        <w:ind w:left="959" w:right="0"/>
        <w:jc w:val="left"/>
      </w:pPr>
      <w:r>
        <w:rPr/>
        <w:t>本期金额</w:t>
      </w:r>
    </w:p>
    <w:p>
      <w:pPr>
        <w:pStyle w:val="BodyText"/>
        <w:spacing w:line="240" w:lineRule="auto" w:before="32"/>
        <w:ind w:left="0" w:right="979"/>
        <w:jc w:val="right"/>
      </w:pPr>
      <w:r>
        <w:rPr/>
        <w:br w:type="column"/>
      </w: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979"/>
        <w:jc w:val="right"/>
      </w:pPr>
      <w:r>
        <w:rPr/>
        <w:pict>
          <v:group style="position:absolute;margin-left:70.490997pt;margin-top:-23.687994pt;width:700.95pt;height:.1pt;mso-position-horizontal-relative:page;mso-position-vertical-relative:paragraph;z-index:-1247128" coordorigin="1410,-474" coordsize="14019,2">
            <v:shape style="position:absolute;left:1410;top:-474;width:14019;height:2" coordorigin="1410,-474" coordsize="14019,0" path="m1410,-474l15428,-474e" filled="false" stroked="true" strokeweight=".72pt" strokecolor="#000000">
              <v:path arrowok="t"/>
            </v:shape>
            <w10:wrap type="none"/>
          </v:group>
        </w:pict>
      </w:r>
      <w:r>
        <w:rPr/>
        <w:pict>
          <v:group style="position:absolute;margin-left:282.710999pt;margin-top:62.952007pt;width:13.75pt;height:30pt;mso-position-horizontal-relative:page;mso-position-vertical-relative:paragraph;z-index:-1247104" coordorigin="5654,1259" coordsize="275,600">
            <v:group style="position:absolute;left:5654;top:1259;width:275;height:600" coordorigin="5654,1259" coordsize="275,600">
              <v:shape style="position:absolute;left:5654;top:1259;width:275;height:600" coordorigin="5654,1259" coordsize="275,600" path="m5929,1379l5929,1259,5654,1259,5709,1379,5929,1379xe" filled="true" fillcolor="#d3d3d3" stroked="false">
                <v:path arrowok="t"/>
                <v:fill type="solid"/>
              </v:shape>
              <v:shape style="position:absolute;left:5654;top:1259;width:275;height:600" coordorigin="5654,1259" coordsize="275,600" path="m5906,1859l5906,1809,5709,1379,5677,1379,5677,1859,5906,1859xe" filled="true" fillcolor="#d3d3d3" stroked="false">
                <v:path arrowok="t"/>
                <v:fill type="solid"/>
              </v:shape>
              <v:shape style="position:absolute;left:5654;top:1259;width:275;height:600" coordorigin="5654,1259" coordsize="275,600" path="m5929,1859l5929,1379,5906,1379,5906,1809,5929,1859xe" filled="true" fillcolor="#d3d3d3" stroked="false">
                <v:path arrowok="t"/>
                <v:fill type="solid"/>
              </v:shape>
            </v:group>
            <v:group style="position:absolute;left:5677;top:1379;width:230;height:240" coordorigin="5677,1379" coordsize="230,240">
              <v:shape style="position:absolute;left:5677;top:1379;width:230;height:240" coordorigin="5677,1379" coordsize="230,240" path="m5677,1379l5677,1619,5906,1619,5906,1379,5677,1379xe" filled="true" fillcolor="#d3d3d3" stroked="false">
                <v:path arrowok="t"/>
                <v:fill type="solid"/>
              </v:shape>
            </v:group>
            <v:group style="position:absolute;left:5677;top:1619;width:230;height:240" coordorigin="5677,1619" coordsize="230,240">
              <v:shape style="position:absolute;left:5677;top:1619;width:230;height:240" coordorigin="5677,1619" coordsize="230,240" path="m5677,1619l5677,1859,5906,1859,5906,1619,5677,1619xe" filled="true" fillcolor="#d3d3d3" stroked="false">
                <v:path arrowok="t"/>
                <v:fill type="solid"/>
              </v:shape>
            </v:group>
            <w10:wrap type="none"/>
          </v:group>
        </w:pict>
      </w:r>
      <w:r>
        <w:rPr/>
        <w:t>单位：元</w:t>
      </w:r>
    </w:p>
    <w:p>
      <w:pPr>
        <w:spacing w:after="0" w:line="240" w:lineRule="auto"/>
        <w:jc w:val="right"/>
        <w:sectPr>
          <w:headerReference w:type="default" r:id="rId28"/>
          <w:footerReference w:type="default" r:id="rId29"/>
          <w:pgSz w:w="16840" w:h="11910" w:orient="landscape"/>
          <w:pgMar w:header="0" w:footer="354" w:top="360" w:bottom="540" w:left="480" w:right="460"/>
          <w:cols w:num="2" w:equalWidth="0">
            <w:col w:w="3383" w:space="6706"/>
            <w:col w:w="5811"/>
          </w:cols>
        </w:sectPr>
      </w:pPr>
    </w:p>
    <w:tbl>
      <w:tblPr>
        <w:tblW w:w="0" w:type="auto"/>
        <w:jc w:val="left"/>
        <w:tblInd w:w="111" w:type="dxa"/>
        <w:tblLayout w:type="fixed"/>
        <w:tblCellMar>
          <w:top w:w="0" w:type="dxa"/>
          <w:left w:w="0" w:type="dxa"/>
          <w:bottom w:w="0" w:type="dxa"/>
          <w:right w:w="0" w:type="dxa"/>
        </w:tblCellMar>
        <w:tblLook w:val="01E0"/>
      </w:tblPr>
      <w:tblGrid>
        <w:gridCol w:w="3057"/>
        <w:gridCol w:w="1328"/>
        <w:gridCol w:w="334"/>
        <w:gridCol w:w="335"/>
        <w:gridCol w:w="284"/>
        <w:gridCol w:w="1241"/>
        <w:gridCol w:w="564"/>
        <w:gridCol w:w="1082"/>
        <w:gridCol w:w="384"/>
        <w:gridCol w:w="1151"/>
        <w:gridCol w:w="482"/>
        <w:gridCol w:w="1315"/>
        <w:gridCol w:w="286"/>
        <w:gridCol w:w="1316"/>
        <w:gridCol w:w="1181"/>
        <w:gridCol w:w="1315"/>
      </w:tblGrid>
      <w:tr>
        <w:trPr>
          <w:trHeight w:val="250" w:hRule="exact"/>
        </w:trPr>
        <w:tc>
          <w:tcPr>
            <w:tcW w:w="3057" w:type="dxa"/>
            <w:vMerge w:val="restart"/>
            <w:tcBorders>
              <w:top w:val="single" w:sz="4" w:space="0" w:color="000000"/>
              <w:left w:val="single" w:sz="4" w:space="0" w:color="000000"/>
              <w:right w:val="single" w:sz="4" w:space="0" w:color="000000"/>
            </w:tcBorders>
            <w:shd w:val="clear" w:color="auto" w:fill="D3D3D3"/>
          </w:tcPr>
          <w:p>
            <w:pPr/>
          </w:p>
        </w:tc>
        <w:tc>
          <w:tcPr>
            <w:tcW w:w="12598"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0" w:hRule="exact"/>
        </w:trPr>
        <w:tc>
          <w:tcPr>
            <w:tcW w:w="3057" w:type="dxa"/>
            <w:vMerge/>
            <w:tcBorders>
              <w:left w:val="single" w:sz="4" w:space="0" w:color="000000"/>
              <w:right w:val="single" w:sz="4" w:space="0" w:color="000000"/>
            </w:tcBorders>
            <w:shd w:val="clear" w:color="auto" w:fill="D3D3D3"/>
          </w:tcPr>
          <w:p>
            <w:pPr/>
          </w:p>
        </w:tc>
        <w:tc>
          <w:tcPr>
            <w:tcW w:w="1010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r>
      <w:tr>
        <w:trPr>
          <w:trHeight w:val="131" w:hRule="exact"/>
        </w:trPr>
        <w:tc>
          <w:tcPr>
            <w:tcW w:w="3057" w:type="dxa"/>
            <w:vMerge/>
            <w:tcBorders>
              <w:left w:val="single" w:sz="4" w:space="0" w:color="000000"/>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95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91" w:right="10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564" w:type="dxa"/>
            <w:vMerge w:val="restart"/>
            <w:tcBorders>
              <w:top w:val="single" w:sz="4" w:space="0" w:color="000000"/>
              <w:left w:val="single" w:sz="4" w:space="0" w:color="000000"/>
              <w:right w:val="single" w:sz="4" w:space="0" w:color="000000"/>
            </w:tcBorders>
            <w:shd w:val="clear" w:color="auto" w:fill="D3D3D3"/>
          </w:tcPr>
          <w:p>
            <w:pPr/>
          </w:p>
        </w:tc>
        <w:tc>
          <w:tcPr>
            <w:tcW w:w="1082" w:type="dxa"/>
            <w:vMerge w:val="restart"/>
            <w:tcBorders>
              <w:top w:val="single" w:sz="4" w:space="0" w:color="000000"/>
              <w:left w:val="single" w:sz="4" w:space="0" w:color="000000"/>
              <w:right w:val="single" w:sz="4" w:space="0" w:color="000000"/>
            </w:tcBorders>
            <w:shd w:val="clear" w:color="auto" w:fill="D3D3D3"/>
          </w:tcPr>
          <w:p>
            <w:pPr/>
          </w:p>
        </w:tc>
        <w:tc>
          <w:tcPr>
            <w:tcW w:w="3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1" w:type="dxa"/>
            <w:vMerge w:val="restart"/>
            <w:tcBorders>
              <w:top w:val="single" w:sz="4" w:space="0" w:color="000000"/>
              <w:left w:val="single" w:sz="4" w:space="0" w:color="000000"/>
              <w:right w:val="single" w:sz="4" w:space="0" w:color="000000"/>
            </w:tcBorders>
            <w:shd w:val="clear" w:color="auto" w:fill="D3D3D3"/>
          </w:tcPr>
          <w:p>
            <w:pPr/>
          </w:p>
        </w:tc>
        <w:tc>
          <w:tcPr>
            <w:tcW w:w="482"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286"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115" w:hRule="exact"/>
        </w:trPr>
        <w:tc>
          <w:tcPr>
            <w:tcW w:w="3057"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953" w:type="dxa"/>
            <w:gridSpan w:val="3"/>
            <w:vMerge/>
            <w:tcBorders>
              <w:left w:val="single" w:sz="4" w:space="0" w:color="000000"/>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c>
          <w:tcPr>
            <w:tcW w:w="564" w:type="dxa"/>
            <w:vMerge/>
            <w:tcBorders>
              <w:left w:val="single" w:sz="4" w:space="0" w:color="000000"/>
              <w:right w:val="single" w:sz="4" w:space="0" w:color="000000"/>
            </w:tcBorders>
            <w:shd w:val="clear" w:color="auto" w:fill="D3D3D3"/>
          </w:tcPr>
          <w:p>
            <w:pPr/>
          </w:p>
        </w:tc>
        <w:tc>
          <w:tcPr>
            <w:tcW w:w="1082" w:type="dxa"/>
            <w:vMerge/>
            <w:tcBorders>
              <w:left w:val="single" w:sz="4" w:space="0" w:color="000000"/>
              <w:right w:val="single" w:sz="4" w:space="0" w:color="000000"/>
            </w:tcBorders>
            <w:shd w:val="clear" w:color="auto" w:fill="D3D3D3"/>
          </w:tcPr>
          <w:p>
            <w:pPr/>
          </w:p>
        </w:tc>
        <w:tc>
          <w:tcPr>
            <w:tcW w:w="3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95" w:right="9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51" w:type="dxa"/>
            <w:vMerge/>
            <w:tcBorders>
              <w:left w:val="single" w:sz="4" w:space="0" w:color="000000"/>
              <w:right w:val="single" w:sz="4" w:space="0" w:color="000000"/>
            </w:tcBorders>
            <w:shd w:val="clear" w:color="auto" w:fill="D3D3D3"/>
          </w:tcPr>
          <w:p>
            <w:pPr/>
          </w:p>
        </w:tc>
        <w:tc>
          <w:tcPr>
            <w:tcW w:w="48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125" w:hRule="exact"/>
        </w:trPr>
        <w:tc>
          <w:tcPr>
            <w:tcW w:w="3057" w:type="dxa"/>
            <w:vMerge w:val="restart"/>
            <w:tcBorders>
              <w:top w:val="nil" w:sz="6" w:space="0" w:color="auto"/>
              <w:left w:val="single" w:sz="4" w:space="0" w:color="000000"/>
              <w:right w:val="single" w:sz="4" w:space="0" w:color="000000"/>
            </w:tcBorders>
            <w:shd w:val="clear" w:color="auto" w:fill="D3D3D3"/>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tcBorders>
              <w:left w:val="single" w:sz="4" w:space="0" w:color="000000"/>
              <w:right w:val="single" w:sz="4" w:space="0" w:color="000000"/>
            </w:tcBorders>
            <w:shd w:val="clear" w:color="auto" w:fill="D3D3D3"/>
          </w:tcPr>
          <w:p>
            <w:pPr/>
          </w:p>
        </w:tc>
        <w:tc>
          <w:tcPr>
            <w:tcW w:w="953" w:type="dxa"/>
            <w:gridSpan w:val="3"/>
            <w:vMerge/>
            <w:tcBorders>
              <w:left w:val="single" w:sz="4" w:space="0" w:color="000000"/>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c>
          <w:tcPr>
            <w:tcW w:w="564" w:type="dxa"/>
            <w:vMerge/>
            <w:tcBorders>
              <w:left w:val="single" w:sz="4" w:space="0" w:color="000000"/>
              <w:bottom w:val="nil" w:sz="6" w:space="0" w:color="auto"/>
              <w:right w:val="single" w:sz="4" w:space="0" w:color="000000"/>
            </w:tcBorders>
            <w:shd w:val="clear" w:color="auto" w:fill="D3D3D3"/>
          </w:tcPr>
          <w:p>
            <w:pPr/>
          </w:p>
        </w:tc>
        <w:tc>
          <w:tcPr>
            <w:tcW w:w="1082" w:type="dxa"/>
            <w:vMerge/>
            <w:tcBorders>
              <w:left w:val="single" w:sz="4" w:space="0" w:color="000000"/>
              <w:bottom w:val="nil" w:sz="6" w:space="0" w:color="auto"/>
              <w:right w:val="single" w:sz="4" w:space="0" w:color="000000"/>
            </w:tcBorders>
            <w:shd w:val="clear" w:color="auto" w:fill="D3D3D3"/>
          </w:tcPr>
          <w:p>
            <w:pPr/>
          </w:p>
        </w:tc>
        <w:tc>
          <w:tcPr>
            <w:tcW w:w="384" w:type="dxa"/>
            <w:vMerge/>
            <w:tcBorders>
              <w:left w:val="single" w:sz="4" w:space="0" w:color="000000"/>
              <w:right w:val="single" w:sz="4" w:space="0" w:color="000000"/>
            </w:tcBorders>
            <w:shd w:val="clear" w:color="auto" w:fill="D3D3D3"/>
          </w:tcPr>
          <w:p>
            <w:pPr/>
          </w:p>
        </w:tc>
        <w:tc>
          <w:tcPr>
            <w:tcW w:w="1151" w:type="dxa"/>
            <w:vMerge/>
            <w:tcBorders>
              <w:left w:val="single" w:sz="4" w:space="0" w:color="000000"/>
              <w:right w:val="single" w:sz="4" w:space="0" w:color="000000"/>
            </w:tcBorders>
            <w:shd w:val="clear" w:color="auto" w:fill="D3D3D3"/>
          </w:tcPr>
          <w:p>
            <w:pPr/>
          </w:p>
        </w:tc>
        <w:tc>
          <w:tcPr>
            <w:tcW w:w="4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5"/>
              <w:ind w:left="55" w:right="5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15" w:type="dxa"/>
            <w:vMerge/>
            <w:tcBorders>
              <w:left w:val="single" w:sz="4" w:space="0" w:color="000000"/>
              <w:right w:val="single" w:sz="4" w:space="0" w:color="000000"/>
            </w:tcBorders>
            <w:shd w:val="clear" w:color="auto" w:fill="D3D3D3"/>
          </w:tcPr>
          <w:p>
            <w:pPr/>
          </w:p>
        </w:tc>
        <w:tc>
          <w:tcPr>
            <w:tcW w:w="286"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r>
      <w:tr>
        <w:trPr>
          <w:trHeight w:val="121" w:hRule="exact"/>
        </w:trPr>
        <w:tc>
          <w:tcPr>
            <w:tcW w:w="3057"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953"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5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95" w:right="22" w:hanging="74"/>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1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445" w:right="8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384" w:type="dxa"/>
            <w:vMerge/>
            <w:tcBorders>
              <w:left w:val="single" w:sz="4" w:space="0" w:color="000000"/>
              <w:right w:val="single" w:sz="4" w:space="0" w:color="000000"/>
            </w:tcBorders>
            <w:shd w:val="clear" w:color="auto" w:fill="D3D3D3"/>
          </w:tcPr>
          <w:p>
            <w:pPr/>
          </w:p>
        </w:tc>
        <w:tc>
          <w:tcPr>
            <w:tcW w:w="1151" w:type="dxa"/>
            <w:vMerge/>
            <w:tcBorders>
              <w:left w:val="single" w:sz="4" w:space="0" w:color="000000"/>
              <w:bottom w:val="nil" w:sz="6" w:space="0" w:color="auto"/>
              <w:right w:val="single" w:sz="4" w:space="0" w:color="000000"/>
            </w:tcBorders>
            <w:shd w:val="clear" w:color="auto" w:fill="D3D3D3"/>
          </w:tcPr>
          <w:p>
            <w:pPr/>
          </w:p>
        </w:tc>
        <w:tc>
          <w:tcPr>
            <w:tcW w:w="482"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3"/>
              <w:ind w:left="47"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4" w:hRule="exact"/>
        </w:trPr>
        <w:tc>
          <w:tcPr>
            <w:tcW w:w="3057" w:type="dxa"/>
            <w:vMerge w:val="restart"/>
            <w:tcBorders>
              <w:top w:val="nil" w:sz="6" w:space="0" w:color="auto"/>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71" w:right="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71" w:right="7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4"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3"/>
              <w:ind w:left="46"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4" w:type="dxa"/>
            <w:vMerge/>
            <w:tcBorders>
              <w:left w:val="single" w:sz="4" w:space="0" w:color="000000"/>
              <w:right w:val="single" w:sz="4" w:space="0" w:color="000000"/>
            </w:tcBorders>
            <w:shd w:val="clear" w:color="auto" w:fill="D3D3D3"/>
          </w:tcPr>
          <w:p>
            <w:pPr/>
          </w:p>
        </w:tc>
        <w:tc>
          <w:tcPr>
            <w:tcW w:w="1082" w:type="dxa"/>
            <w:vMerge/>
            <w:tcBorders>
              <w:left w:val="single" w:sz="4" w:space="0" w:color="000000"/>
              <w:right w:val="single" w:sz="4" w:space="0" w:color="000000"/>
            </w:tcBorders>
            <w:shd w:val="clear" w:color="auto" w:fill="D3D3D3"/>
          </w:tcPr>
          <w:p>
            <w:pPr/>
          </w:p>
        </w:tc>
        <w:tc>
          <w:tcPr>
            <w:tcW w:w="384" w:type="dxa"/>
            <w:vMerge/>
            <w:tcBorders>
              <w:left w:val="single" w:sz="4" w:space="0" w:color="000000"/>
              <w:right w:val="single" w:sz="4" w:space="0" w:color="000000"/>
            </w:tcBorders>
            <w:shd w:val="clear" w:color="auto" w:fill="D3D3D3"/>
          </w:tcPr>
          <w:p>
            <w:pPr/>
          </w:p>
        </w:tc>
        <w:tc>
          <w:tcPr>
            <w:tcW w:w="1151"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2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82" w:type="dxa"/>
            <w:vMerge/>
            <w:tcBorders>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6"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81"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r>
      <w:tr>
        <w:trPr>
          <w:trHeight w:val="126" w:hRule="exact"/>
        </w:trPr>
        <w:tc>
          <w:tcPr>
            <w:tcW w:w="3057"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334" w:type="dxa"/>
            <w:vMerge/>
            <w:tcBorders>
              <w:left w:val="single" w:sz="4" w:space="0" w:color="000000"/>
              <w:right w:val="single" w:sz="4" w:space="0" w:color="000000"/>
            </w:tcBorders>
            <w:shd w:val="clear" w:color="auto" w:fill="D3D3D3"/>
          </w:tcPr>
          <w:p>
            <w:pPr/>
          </w:p>
        </w:tc>
        <w:tc>
          <w:tcPr>
            <w:tcW w:w="335" w:type="dxa"/>
            <w:vMerge/>
            <w:tcBorders>
              <w:left w:val="single" w:sz="4" w:space="0" w:color="000000"/>
              <w:right w:val="single" w:sz="4" w:space="0" w:color="000000"/>
            </w:tcBorders>
            <w:shd w:val="clear" w:color="auto" w:fill="D3D3D3"/>
          </w:tcPr>
          <w:p>
            <w:pPr/>
          </w:p>
        </w:tc>
        <w:tc>
          <w:tcPr>
            <w:tcW w:w="284"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564" w:type="dxa"/>
            <w:vMerge/>
            <w:tcBorders>
              <w:left w:val="single" w:sz="4" w:space="0" w:color="000000"/>
              <w:right w:val="single" w:sz="4" w:space="0" w:color="000000"/>
            </w:tcBorders>
            <w:shd w:val="clear" w:color="auto" w:fill="D3D3D3"/>
          </w:tcPr>
          <w:p>
            <w:pPr/>
          </w:p>
        </w:tc>
        <w:tc>
          <w:tcPr>
            <w:tcW w:w="1082" w:type="dxa"/>
            <w:vMerge/>
            <w:tcBorders>
              <w:left w:val="single" w:sz="4" w:space="0" w:color="000000"/>
              <w:right w:val="single" w:sz="4" w:space="0" w:color="000000"/>
            </w:tcBorders>
            <w:shd w:val="clear" w:color="auto" w:fill="D3D3D3"/>
          </w:tcPr>
          <w:p>
            <w:pPr/>
          </w:p>
        </w:tc>
        <w:tc>
          <w:tcPr>
            <w:tcW w:w="384" w:type="dxa"/>
            <w:vMerge/>
            <w:tcBorders>
              <w:left w:val="single" w:sz="4" w:space="0" w:color="000000"/>
              <w:right w:val="single" w:sz="4" w:space="0" w:color="000000"/>
            </w:tcBorders>
            <w:shd w:val="clear" w:color="auto" w:fill="D3D3D3"/>
          </w:tcPr>
          <w:p>
            <w:pPr/>
          </w:p>
        </w:tc>
        <w:tc>
          <w:tcPr>
            <w:tcW w:w="1151" w:type="dxa"/>
            <w:vMerge/>
            <w:tcBorders>
              <w:left w:val="single" w:sz="4" w:space="0" w:color="000000"/>
              <w:bottom w:val="nil" w:sz="6" w:space="0" w:color="auto"/>
              <w:right w:val="single" w:sz="4" w:space="0" w:color="000000"/>
            </w:tcBorders>
            <w:shd w:val="clear" w:color="auto" w:fill="D3D3D3"/>
          </w:tcPr>
          <w:p>
            <w:pPr/>
          </w:p>
        </w:tc>
        <w:tc>
          <w:tcPr>
            <w:tcW w:w="482"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
        </w:tc>
      </w:tr>
      <w:tr>
        <w:trPr>
          <w:trHeight w:val="120" w:hRule="exact"/>
        </w:trPr>
        <w:tc>
          <w:tcPr>
            <w:tcW w:w="3057" w:type="dxa"/>
            <w:vMerge/>
            <w:tcBorders>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
        </w:tc>
        <w:tc>
          <w:tcPr>
            <w:tcW w:w="334" w:type="dxa"/>
            <w:vMerge/>
            <w:tcBorders>
              <w:left w:val="single" w:sz="4" w:space="0" w:color="000000"/>
              <w:right w:val="single" w:sz="4" w:space="0" w:color="000000"/>
            </w:tcBorders>
            <w:shd w:val="clear" w:color="auto" w:fill="D3D3D3"/>
          </w:tcPr>
          <w:p>
            <w:pPr/>
          </w:p>
        </w:tc>
        <w:tc>
          <w:tcPr>
            <w:tcW w:w="335" w:type="dxa"/>
            <w:vMerge/>
            <w:tcBorders>
              <w:left w:val="single" w:sz="4" w:space="0" w:color="000000"/>
              <w:right w:val="single" w:sz="4" w:space="0" w:color="000000"/>
            </w:tcBorders>
            <w:shd w:val="clear" w:color="auto" w:fill="D3D3D3"/>
          </w:tcPr>
          <w:p>
            <w:pPr/>
          </w:p>
        </w:tc>
        <w:tc>
          <w:tcPr>
            <w:tcW w:w="284" w:type="dxa"/>
            <w:vMerge/>
            <w:tcBorders>
              <w:left w:val="single" w:sz="4" w:space="0" w:color="000000"/>
              <w:right w:val="single" w:sz="4" w:space="0" w:color="000000"/>
            </w:tcBorders>
            <w:shd w:val="clear" w:color="auto" w:fill="D3D3D3"/>
          </w:tcPr>
          <w:p>
            <w:pPr/>
          </w:p>
        </w:tc>
        <w:tc>
          <w:tcPr>
            <w:tcW w:w="1241" w:type="dxa"/>
            <w:vMerge w:val="restart"/>
            <w:tcBorders>
              <w:top w:val="nil" w:sz="6" w:space="0" w:color="auto"/>
              <w:left w:val="single" w:sz="4" w:space="0" w:color="000000"/>
              <w:right w:val="single" w:sz="4" w:space="0" w:color="000000"/>
            </w:tcBorders>
            <w:shd w:val="clear" w:color="auto" w:fill="D3D3D3"/>
          </w:tcPr>
          <w:p>
            <w:pPr/>
          </w:p>
        </w:tc>
        <w:tc>
          <w:tcPr>
            <w:tcW w:w="564" w:type="dxa"/>
            <w:vMerge/>
            <w:tcBorders>
              <w:left w:val="single" w:sz="4" w:space="0" w:color="000000"/>
              <w:bottom w:val="nil" w:sz="6" w:space="0" w:color="auto"/>
              <w:right w:val="single" w:sz="4" w:space="0" w:color="000000"/>
            </w:tcBorders>
            <w:shd w:val="clear" w:color="auto" w:fill="D3D3D3"/>
          </w:tcPr>
          <w:p>
            <w:pPr/>
          </w:p>
        </w:tc>
        <w:tc>
          <w:tcPr>
            <w:tcW w:w="1082" w:type="dxa"/>
            <w:vMerge/>
            <w:tcBorders>
              <w:left w:val="single" w:sz="4" w:space="0" w:color="000000"/>
              <w:bottom w:val="nil" w:sz="6" w:space="0" w:color="auto"/>
              <w:right w:val="single" w:sz="4" w:space="0" w:color="000000"/>
            </w:tcBorders>
            <w:shd w:val="clear" w:color="auto" w:fill="D3D3D3"/>
          </w:tcPr>
          <w:p>
            <w:pPr/>
          </w:p>
        </w:tc>
        <w:tc>
          <w:tcPr>
            <w:tcW w:w="384" w:type="dxa"/>
            <w:vMerge/>
            <w:tcBorders>
              <w:left w:val="single" w:sz="4" w:space="0" w:color="000000"/>
              <w:right w:val="single" w:sz="4" w:space="0" w:color="000000"/>
            </w:tcBorders>
            <w:shd w:val="clear" w:color="auto" w:fill="D3D3D3"/>
          </w:tcPr>
          <w:p>
            <w:pPr/>
          </w:p>
        </w:tc>
        <w:tc>
          <w:tcPr>
            <w:tcW w:w="1151" w:type="dxa"/>
            <w:vMerge w:val="restart"/>
            <w:tcBorders>
              <w:top w:val="nil" w:sz="6" w:space="0" w:color="auto"/>
              <w:left w:val="single" w:sz="4" w:space="0" w:color="000000"/>
              <w:right w:val="single" w:sz="4" w:space="0" w:color="000000"/>
            </w:tcBorders>
            <w:shd w:val="clear" w:color="auto" w:fill="D3D3D3"/>
          </w:tcPr>
          <w:p>
            <w:pPr/>
          </w:p>
        </w:tc>
        <w:tc>
          <w:tcPr>
            <w:tcW w:w="482" w:type="dxa"/>
            <w:vMerge/>
            <w:tcBorders>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
        </w:tc>
        <w:tc>
          <w:tcPr>
            <w:tcW w:w="286" w:type="dxa"/>
            <w:vMerge/>
            <w:tcBorders>
              <w:left w:val="single" w:sz="4" w:space="0" w:color="000000"/>
              <w:bottom w:val="nil" w:sz="6" w:space="0" w:color="auto"/>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120" w:hRule="exact"/>
        </w:trPr>
        <w:tc>
          <w:tcPr>
            <w:tcW w:w="3057"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334" w:type="dxa"/>
            <w:vMerge/>
            <w:tcBorders>
              <w:left w:val="single" w:sz="4" w:space="0" w:color="000000"/>
              <w:right w:val="single" w:sz="4" w:space="0" w:color="000000"/>
            </w:tcBorders>
            <w:shd w:val="clear" w:color="auto" w:fill="D3D3D3"/>
          </w:tcPr>
          <w:p>
            <w:pPr/>
          </w:p>
        </w:tc>
        <w:tc>
          <w:tcPr>
            <w:tcW w:w="335" w:type="dxa"/>
            <w:vMerge/>
            <w:tcBorders>
              <w:left w:val="single" w:sz="4" w:space="0" w:color="000000"/>
              <w:right w:val="single" w:sz="4" w:space="0" w:color="000000"/>
            </w:tcBorders>
            <w:shd w:val="clear" w:color="auto" w:fill="D3D3D3"/>
          </w:tcPr>
          <w:p>
            <w:pPr/>
          </w:p>
        </w:tc>
        <w:tc>
          <w:tcPr>
            <w:tcW w:w="284"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c>
          <w:tcPr>
            <w:tcW w:w="564" w:type="dxa"/>
            <w:vMerge w:val="restart"/>
            <w:tcBorders>
              <w:top w:val="nil" w:sz="6" w:space="0" w:color="auto"/>
              <w:left w:val="single" w:sz="4" w:space="0" w:color="000000"/>
              <w:right w:val="single" w:sz="4" w:space="0" w:color="000000"/>
            </w:tcBorders>
            <w:shd w:val="clear" w:color="auto" w:fill="D3D3D3"/>
          </w:tcPr>
          <w:p>
            <w:pPr/>
          </w:p>
        </w:tc>
        <w:tc>
          <w:tcPr>
            <w:tcW w:w="1082" w:type="dxa"/>
            <w:vMerge w:val="restart"/>
            <w:tcBorders>
              <w:top w:val="nil" w:sz="6" w:space="0" w:color="auto"/>
              <w:left w:val="single" w:sz="4" w:space="0" w:color="000000"/>
              <w:right w:val="single" w:sz="4" w:space="0" w:color="000000"/>
            </w:tcBorders>
            <w:shd w:val="clear" w:color="auto" w:fill="D3D3D3"/>
          </w:tcPr>
          <w:p>
            <w:pPr/>
          </w:p>
        </w:tc>
        <w:tc>
          <w:tcPr>
            <w:tcW w:w="384" w:type="dxa"/>
            <w:vMerge/>
            <w:tcBorders>
              <w:left w:val="single" w:sz="4" w:space="0" w:color="000000"/>
              <w:right w:val="single" w:sz="4" w:space="0" w:color="000000"/>
            </w:tcBorders>
            <w:shd w:val="clear" w:color="auto" w:fill="D3D3D3"/>
          </w:tcPr>
          <w:p>
            <w:pPr/>
          </w:p>
        </w:tc>
        <w:tc>
          <w:tcPr>
            <w:tcW w:w="1151" w:type="dxa"/>
            <w:vMerge/>
            <w:tcBorders>
              <w:left w:val="single" w:sz="4" w:space="0" w:color="000000"/>
              <w:right w:val="single" w:sz="4" w:space="0" w:color="000000"/>
            </w:tcBorders>
            <w:shd w:val="clear" w:color="auto" w:fill="D3D3D3"/>
          </w:tcPr>
          <w:p>
            <w:pPr/>
          </w:p>
        </w:tc>
        <w:tc>
          <w:tcPr>
            <w:tcW w:w="48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86" w:type="dxa"/>
            <w:vMerge w:val="restart"/>
            <w:tcBorders>
              <w:top w:val="nil" w:sz="6" w:space="0" w:color="auto"/>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250" w:hRule="exact"/>
        </w:trPr>
        <w:tc>
          <w:tcPr>
            <w:tcW w:w="3057"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334" w:type="dxa"/>
            <w:vMerge/>
            <w:tcBorders>
              <w:left w:val="single" w:sz="4" w:space="0" w:color="000000"/>
              <w:bottom w:val="single" w:sz="4" w:space="0" w:color="000000"/>
              <w:right w:val="single" w:sz="4" w:space="0" w:color="000000"/>
            </w:tcBorders>
            <w:shd w:val="clear" w:color="auto" w:fill="D3D3D3"/>
          </w:tcPr>
          <w:p>
            <w:pPr/>
          </w:p>
        </w:tc>
        <w:tc>
          <w:tcPr>
            <w:tcW w:w="335" w:type="dxa"/>
            <w:vMerge/>
            <w:tcBorders>
              <w:left w:val="single" w:sz="4" w:space="0" w:color="000000"/>
              <w:bottom w:val="single" w:sz="4" w:space="0" w:color="000000"/>
              <w:right w:val="single" w:sz="4" w:space="0" w:color="000000"/>
            </w:tcBorders>
            <w:shd w:val="clear" w:color="auto" w:fill="D3D3D3"/>
          </w:tcPr>
          <w:p>
            <w:pPr/>
          </w:p>
        </w:tc>
        <w:tc>
          <w:tcPr>
            <w:tcW w:w="284" w:type="dxa"/>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single" w:sz="4" w:space="0" w:color="000000"/>
              <w:right w:val="single" w:sz="4" w:space="0" w:color="000000"/>
            </w:tcBorders>
            <w:shd w:val="clear" w:color="auto" w:fill="D3D3D3"/>
          </w:tcPr>
          <w:p>
            <w:pPr/>
          </w:p>
        </w:tc>
        <w:tc>
          <w:tcPr>
            <w:tcW w:w="564" w:type="dxa"/>
            <w:vMerge/>
            <w:tcBorders>
              <w:left w:val="single" w:sz="4" w:space="0" w:color="000000"/>
              <w:bottom w:val="single" w:sz="4" w:space="0" w:color="000000"/>
              <w:right w:val="single" w:sz="4" w:space="0" w:color="000000"/>
            </w:tcBorders>
            <w:shd w:val="clear" w:color="auto" w:fill="D3D3D3"/>
          </w:tcPr>
          <w:p>
            <w:pPr/>
          </w:p>
        </w:tc>
        <w:tc>
          <w:tcPr>
            <w:tcW w:w="1082" w:type="dxa"/>
            <w:vMerge/>
            <w:tcBorders>
              <w:left w:val="single" w:sz="4" w:space="0" w:color="000000"/>
              <w:bottom w:val="single" w:sz="4" w:space="0" w:color="000000"/>
              <w:right w:val="single" w:sz="4" w:space="0" w:color="000000"/>
            </w:tcBorders>
            <w:shd w:val="clear" w:color="auto" w:fill="D3D3D3"/>
          </w:tcPr>
          <w:p>
            <w:pPr/>
          </w:p>
        </w:tc>
        <w:tc>
          <w:tcPr>
            <w:tcW w:w="384" w:type="dxa"/>
            <w:vMerge/>
            <w:tcBorders>
              <w:left w:val="single" w:sz="4" w:space="0" w:color="000000"/>
              <w:bottom w:val="single" w:sz="4" w:space="0" w:color="000000"/>
              <w:right w:val="single" w:sz="4" w:space="0" w:color="000000"/>
            </w:tcBorders>
            <w:shd w:val="clear" w:color="auto" w:fill="D3D3D3"/>
          </w:tcPr>
          <w:p>
            <w:pPr/>
          </w:p>
        </w:tc>
        <w:tc>
          <w:tcPr>
            <w:tcW w:w="1151" w:type="dxa"/>
            <w:vMerge/>
            <w:tcBorders>
              <w:left w:val="single" w:sz="4" w:space="0" w:color="000000"/>
              <w:bottom w:val="single" w:sz="4" w:space="0" w:color="000000"/>
              <w:right w:val="single" w:sz="4" w:space="0" w:color="000000"/>
            </w:tcBorders>
            <w:shd w:val="clear" w:color="auto" w:fill="D3D3D3"/>
          </w:tcPr>
          <w:p>
            <w:pPr/>
          </w:p>
        </w:tc>
        <w:tc>
          <w:tcPr>
            <w:tcW w:w="4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286"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1,017,698,410.00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-234,323,114.31</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 w:right="0"/>
              <w:jc w:val="center"/>
              <w:rPr>
                <w:rFonts w:ascii="Times New Roman" w:hAnsi="Times New Roman" w:cs="Times New Roman" w:eastAsia="Times New Roman" w:hint="default"/>
                <w:sz w:val="18"/>
                <w:szCs w:val="18"/>
              </w:rPr>
            </w:pPr>
            <w:r>
              <w:rPr>
                <w:rFonts w:ascii="Times New Roman"/>
                <w:sz w:val="18"/>
              </w:rPr>
              <w:t>2,322,335.12</w:t>
            </w:r>
          </w:p>
        </w:tc>
        <w:tc>
          <w:tcPr>
            <w:tcW w:w="384" w:type="dxa"/>
            <w:tcBorders>
              <w:top w:val="single" w:sz="54" w:space="0" w:color="D3D3D3"/>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2" w:right="0"/>
              <w:jc w:val="center"/>
              <w:rPr>
                <w:rFonts w:ascii="Times New Roman" w:hAnsi="Times New Roman" w:cs="Times New Roman" w:eastAsia="Times New Roman" w:hint="default"/>
                <w:sz w:val="18"/>
                <w:szCs w:val="18"/>
              </w:rPr>
            </w:pPr>
            <w:r>
              <w:rPr>
                <w:rFonts w:ascii="Times New Roman"/>
                <w:sz w:val="18"/>
              </w:rPr>
              <w:t>71,286,408.39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1,033,564,450.39</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1,890,548,489.59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231,448,516.17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2,121,997,005.76</w:t>
            </w: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13"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86,350,000.00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-2,705,481.59</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83,644,518.41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68,436,424.15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152,080,942.56</w:t>
            </w: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-9,493,878.43</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-9,493,878.43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-695,734.09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-10,189,612.52</w:t>
            </w: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1,017,698,410.00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-147,973,114.31</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 w:right="0"/>
              <w:jc w:val="center"/>
              <w:rPr>
                <w:rFonts w:ascii="Times New Roman" w:hAnsi="Times New Roman" w:cs="Times New Roman" w:eastAsia="Times New Roman" w:hint="default"/>
                <w:sz w:val="18"/>
                <w:szCs w:val="18"/>
              </w:rPr>
            </w:pPr>
            <w:r>
              <w:rPr>
                <w:rFonts w:ascii="Times New Roman"/>
                <w:sz w:val="18"/>
              </w:rPr>
              <w:t>2,322,335.12</w:t>
            </w: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 w:right="0"/>
              <w:jc w:val="center"/>
              <w:rPr>
                <w:rFonts w:ascii="Times New Roman" w:hAnsi="Times New Roman" w:cs="Times New Roman" w:eastAsia="Times New Roman" w:hint="default"/>
                <w:sz w:val="18"/>
                <w:szCs w:val="18"/>
              </w:rPr>
            </w:pPr>
            <w:r>
              <w:rPr>
                <w:rFonts w:ascii="Times New Roman"/>
                <w:sz w:val="18"/>
              </w:rPr>
              <w:t>71,286,408.39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1,021,365,090.37</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1,964,699,129.57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299,189,206.23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2,263,888,335.80</w:t>
            </w:r>
          </w:p>
        </w:tc>
      </w:tr>
      <w:tr>
        <w:trPr>
          <w:trHeight w:val="49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w:t>
            </w:r>
            <w:r>
              <w:rPr>
                <w:rFonts w:ascii="宋体" w:hAnsi="宋体" w:cs="宋体" w:eastAsia="宋体" w:hint="default"/>
                <w:spacing w:val="-73"/>
                <w:sz w:val="18"/>
                <w:szCs w:val="18"/>
              </w:rPr>
              <w:t> </w:t>
            </w:r>
            <w:r>
              <w:rPr>
                <w:rFonts w:ascii="宋体" w:hAnsi="宋体" w:cs="宋体" w:eastAsia="宋体" w:hint="default"/>
                <w:sz w:val="18"/>
                <w:szCs w:val="18"/>
              </w:rPr>
              <w:t>填列）</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-84,348,208.42</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center"/>
              <w:rPr>
                <w:rFonts w:ascii="Times New Roman" w:hAnsi="Times New Roman" w:cs="Times New Roman" w:eastAsia="Times New Roman" w:hint="default"/>
                <w:sz w:val="18"/>
                <w:szCs w:val="18"/>
              </w:rPr>
            </w:pPr>
            <w:r>
              <w:rPr>
                <w:rFonts w:ascii="Times New Roman"/>
                <w:sz w:val="18"/>
              </w:rPr>
              <w:t>-5,420,646.93</w:t>
            </w: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-71,286,408.39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-142,827,118.75</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-303,882,382.49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22,720,736.27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-281,161,646.22</w:t>
            </w: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1" w:right="0"/>
              <w:jc w:val="center"/>
              <w:rPr>
                <w:rFonts w:ascii="Times New Roman" w:hAnsi="Times New Roman" w:cs="Times New Roman" w:eastAsia="Times New Roman" w:hint="default"/>
                <w:sz w:val="18"/>
                <w:szCs w:val="18"/>
              </w:rPr>
            </w:pPr>
            <w:r>
              <w:rPr>
                <w:rFonts w:ascii="Times New Roman"/>
                <w:sz w:val="18"/>
              </w:rPr>
              <w:t>-5,420,646.93</w:t>
            </w: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18,904,455.37</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13,483,808.44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38,420,356.22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51,904,164.66</w:t>
            </w: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-84,348,208.42</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Times New Roman"/>
                <w:sz w:val="18"/>
              </w:rPr>
              <w:t>-71,286,408.39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-150,536,891.61</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-306,171,508.42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-4,516,544.55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-310,688,052.97</w:t>
            </w: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-2,254,001.60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-2,254,001.60</w:t>
            </w: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-84,348,208.42</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-71,286,408.39</w:t>
            </w: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-150,536,891.61</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-306,171,508.42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-2,262,542.95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-308,434,051.37</w:t>
            </w: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-11,194,682.51</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-11,194,682.51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-11,183,075.40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-22,377,757.91</w:t>
            </w: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-11,194,682.51</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-11,194,682.51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-11,183,075.40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-22,377,757.91</w:t>
            </w: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5"/>
              <w:ind w:left="3" w:right="0"/>
              <w:jc w:val="center"/>
              <w:rPr>
                <w:rFonts w:ascii="Times New Roman" w:hAnsi="Times New Roman" w:cs="Times New Roman" w:eastAsia="Times New Roman" w:hint="default"/>
                <w:sz w:val="18"/>
                <w:szCs w:val="18"/>
              </w:rPr>
            </w:pPr>
            <w:r>
              <w:rPr>
                <w:rFonts w:ascii="Times New Roman"/>
                <w:sz w:val="18"/>
              </w:rPr>
              <w:t>1,017,698,410.00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-232,321,322.73</w:t>
            </w:r>
          </w:p>
        </w:tc>
        <w:tc>
          <w:tcPr>
            <w:tcW w:w="564"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 w:right="0"/>
              <w:jc w:val="center"/>
              <w:rPr>
                <w:rFonts w:ascii="Times New Roman" w:hAnsi="Times New Roman" w:cs="Times New Roman" w:eastAsia="Times New Roman" w:hint="default"/>
                <w:sz w:val="18"/>
                <w:szCs w:val="18"/>
              </w:rPr>
            </w:pPr>
            <w:r>
              <w:rPr>
                <w:rFonts w:ascii="Times New Roman"/>
                <w:sz w:val="18"/>
              </w:rPr>
              <w:t>-3,098,311.81</w:t>
            </w:r>
          </w:p>
        </w:tc>
        <w:tc>
          <w:tcPr>
            <w:tcW w:w="384"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878,537,971.62</w:t>
            </w:r>
          </w:p>
        </w:tc>
        <w:tc>
          <w:tcPr>
            <w:tcW w:w="2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1,660,816,747.08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321,909,942.50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1,982,726,689.58</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480" w:right="460"/>
        </w:sectPr>
      </w:pPr>
    </w:p>
    <w:p>
      <w:pPr>
        <w:spacing w:line="240" w:lineRule="auto" w:before="12"/>
        <w:rPr>
          <w:rFonts w:ascii="宋体" w:hAnsi="宋体" w:cs="宋体" w:eastAsia="宋体" w:hint="default"/>
          <w:sz w:val="2"/>
          <w:szCs w:val="2"/>
        </w:rPr>
      </w:pPr>
    </w:p>
    <w:p>
      <w:pPr>
        <w:spacing w:line="20" w:lineRule="exact"/>
        <w:ind w:left="9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939" w:right="0"/>
        <w:jc w:val="left"/>
      </w:pPr>
      <w:r>
        <w:rPr/>
        <w:t>上期金额</w:t>
      </w:r>
    </w:p>
    <w:p>
      <w:pPr>
        <w:pStyle w:val="BodyText"/>
        <w:spacing w:line="240" w:lineRule="auto" w:before="116"/>
        <w:ind w:left="0" w:right="959"/>
        <w:jc w:val="right"/>
      </w:pPr>
      <w:r>
        <w:rPr/>
        <w:t>单位：元</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085"/>
        <w:gridCol w:w="1328"/>
        <w:gridCol w:w="340"/>
        <w:gridCol w:w="338"/>
        <w:gridCol w:w="287"/>
        <w:gridCol w:w="1241"/>
        <w:gridCol w:w="570"/>
        <w:gridCol w:w="1040"/>
        <w:gridCol w:w="390"/>
        <w:gridCol w:w="1091"/>
        <w:gridCol w:w="493"/>
        <w:gridCol w:w="1316"/>
        <w:gridCol w:w="287"/>
        <w:gridCol w:w="1316"/>
        <w:gridCol w:w="1181"/>
        <w:gridCol w:w="1315"/>
      </w:tblGrid>
      <w:tr>
        <w:trPr>
          <w:trHeight w:val="250" w:hRule="exact"/>
        </w:trPr>
        <w:tc>
          <w:tcPr>
            <w:tcW w:w="3085" w:type="dxa"/>
            <w:vMerge w:val="restart"/>
            <w:tcBorders>
              <w:top w:val="single" w:sz="4" w:space="0" w:color="000000"/>
              <w:left w:val="single" w:sz="4" w:space="0" w:color="000000"/>
              <w:right w:val="single" w:sz="4" w:space="0" w:color="000000"/>
            </w:tcBorders>
            <w:shd w:val="clear" w:color="auto" w:fill="D3D3D3"/>
          </w:tcPr>
          <w:p>
            <w:pPr/>
          </w:p>
        </w:tc>
        <w:tc>
          <w:tcPr>
            <w:tcW w:w="12533"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250" w:hRule="exact"/>
        </w:trPr>
        <w:tc>
          <w:tcPr>
            <w:tcW w:w="3085" w:type="dxa"/>
            <w:vMerge/>
            <w:tcBorders>
              <w:left w:val="single" w:sz="4" w:space="0" w:color="000000"/>
              <w:right w:val="single" w:sz="4" w:space="0" w:color="000000"/>
            </w:tcBorders>
            <w:shd w:val="clear" w:color="auto" w:fill="D3D3D3"/>
          </w:tcPr>
          <w:p>
            <w:pPr/>
          </w:p>
        </w:tc>
        <w:tc>
          <w:tcPr>
            <w:tcW w:w="1003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r>
      <w:tr>
        <w:trPr>
          <w:trHeight w:val="130" w:hRule="exact"/>
        </w:trPr>
        <w:tc>
          <w:tcPr>
            <w:tcW w:w="3085" w:type="dxa"/>
            <w:vMerge/>
            <w:tcBorders>
              <w:left w:val="single" w:sz="4" w:space="0" w:color="000000"/>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96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570" w:type="dxa"/>
            <w:vMerge w:val="restart"/>
            <w:tcBorders>
              <w:top w:val="single" w:sz="4" w:space="0" w:color="000000"/>
              <w:left w:val="single" w:sz="4" w:space="0" w:color="000000"/>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
        </w:tc>
        <w:tc>
          <w:tcPr>
            <w:tcW w:w="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493"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287"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115" w:hRule="exact"/>
        </w:trPr>
        <w:tc>
          <w:tcPr>
            <w:tcW w:w="3085"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965" w:type="dxa"/>
            <w:gridSpan w:val="3"/>
            <w:vMerge/>
            <w:tcBorders>
              <w:left w:val="single" w:sz="4" w:space="0" w:color="000000"/>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c>
          <w:tcPr>
            <w:tcW w:w="570" w:type="dxa"/>
            <w:vMerge/>
            <w:tcBorders>
              <w:left w:val="single" w:sz="4" w:space="0" w:color="000000"/>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390"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99"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tcBorders>
              <w:left w:val="single" w:sz="4" w:space="0" w:color="000000"/>
              <w:right w:val="single" w:sz="4" w:space="0" w:color="000000"/>
            </w:tcBorders>
            <w:shd w:val="clear" w:color="auto" w:fill="D3D3D3"/>
          </w:tcPr>
          <w:p>
            <w:pPr/>
          </w:p>
        </w:tc>
        <w:tc>
          <w:tcPr>
            <w:tcW w:w="49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287"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125" w:hRule="exact"/>
        </w:trPr>
        <w:tc>
          <w:tcPr>
            <w:tcW w:w="3085"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tcBorders>
              <w:left w:val="single" w:sz="4" w:space="0" w:color="000000"/>
              <w:right w:val="single" w:sz="4" w:space="0" w:color="000000"/>
            </w:tcBorders>
            <w:shd w:val="clear" w:color="auto" w:fill="D3D3D3"/>
          </w:tcPr>
          <w:p>
            <w:pPr/>
          </w:p>
        </w:tc>
        <w:tc>
          <w:tcPr>
            <w:tcW w:w="965" w:type="dxa"/>
            <w:gridSpan w:val="3"/>
            <w:vMerge/>
            <w:tcBorders>
              <w:left w:val="single" w:sz="4" w:space="0" w:color="000000"/>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c>
          <w:tcPr>
            <w:tcW w:w="570"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bottom w:val="nil" w:sz="6" w:space="0" w:color="auto"/>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right w:val="single" w:sz="4" w:space="0" w:color="000000"/>
            </w:tcBorders>
            <w:shd w:val="clear" w:color="auto" w:fill="D3D3D3"/>
          </w:tcPr>
          <w:p>
            <w:pPr/>
          </w:p>
        </w:tc>
        <w:tc>
          <w:tcPr>
            <w:tcW w:w="493"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61" w:right="6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16" w:type="dxa"/>
            <w:vMerge/>
            <w:tcBorders>
              <w:left w:val="single" w:sz="4" w:space="0" w:color="000000"/>
              <w:right w:val="single" w:sz="4" w:space="0" w:color="000000"/>
            </w:tcBorders>
            <w:shd w:val="clear" w:color="auto" w:fill="D3D3D3"/>
          </w:tcPr>
          <w:p>
            <w:pPr/>
          </w:p>
        </w:tc>
        <w:tc>
          <w:tcPr>
            <w:tcW w:w="287"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r>
      <w:tr>
        <w:trPr>
          <w:trHeight w:val="121" w:hRule="exact"/>
        </w:trPr>
        <w:tc>
          <w:tcPr>
            <w:tcW w:w="3085"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965"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570"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100" w:right="20" w:hanging="77"/>
              <w:jc w:val="left"/>
              <w:rPr>
                <w:rFonts w:ascii="宋体" w:hAnsi="宋体" w:cs="宋体" w:eastAsia="宋体" w:hint="default"/>
                <w:sz w:val="18"/>
                <w:szCs w:val="18"/>
              </w:rPr>
            </w:pPr>
            <w:r>
              <w:rPr>
                <w:rFonts w:ascii="宋体" w:hAnsi="宋体" w:cs="宋体" w:eastAsia="宋体" w:hint="default"/>
                <w:spacing w:val="-9"/>
                <w:sz w:val="18"/>
                <w:szCs w:val="18"/>
              </w:rPr>
              <w:t>减：库</w:t>
            </w:r>
            <w:r>
              <w:rPr>
                <w:rFonts w:ascii="宋体" w:hAnsi="宋体" w:cs="宋体" w:eastAsia="宋体" w:hint="default"/>
                <w:sz w:val="18"/>
                <w:szCs w:val="18"/>
              </w:rPr>
              <w:t> 存股</w:t>
            </w:r>
          </w:p>
        </w:tc>
        <w:tc>
          <w:tcPr>
            <w:tcW w:w="1040"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425" w:right="6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390"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493"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287"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25" w:lineRule="exact"/>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0" w:hRule="exact"/>
        </w:trPr>
        <w:tc>
          <w:tcPr>
            <w:tcW w:w="3085" w:type="dxa"/>
            <w:vMerge w:val="restart"/>
            <w:tcBorders>
              <w:top w:val="nil" w:sz="6" w:space="0" w:color="auto"/>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4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ind w:left="74" w:right="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8"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ind w:left="74" w:right="7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0" w:type="dxa"/>
            <w:vMerge/>
            <w:tcBorders>
              <w:left w:val="single" w:sz="4" w:space="0" w:color="000000"/>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93"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27" w:lineRule="exact"/>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7"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81"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r>
      <w:tr>
        <w:trPr>
          <w:trHeight w:val="120" w:hRule="exact"/>
        </w:trPr>
        <w:tc>
          <w:tcPr>
            <w:tcW w:w="3085"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340" w:type="dxa"/>
            <w:vMerge/>
            <w:tcBorders>
              <w:left w:val="single" w:sz="4" w:space="0" w:color="000000"/>
              <w:right w:val="single" w:sz="4" w:space="0" w:color="000000"/>
            </w:tcBorders>
            <w:shd w:val="clear" w:color="auto" w:fill="D3D3D3"/>
          </w:tcPr>
          <w:p>
            <w:pPr/>
          </w:p>
        </w:tc>
        <w:tc>
          <w:tcPr>
            <w:tcW w:w="338" w:type="dxa"/>
            <w:vMerge/>
            <w:tcBorders>
              <w:left w:val="single" w:sz="4" w:space="0" w:color="000000"/>
              <w:right w:val="single" w:sz="4" w:space="0" w:color="000000"/>
            </w:tcBorders>
            <w:shd w:val="clear" w:color="auto" w:fill="D3D3D3"/>
          </w:tcPr>
          <w:p>
            <w:pPr/>
          </w:p>
        </w:tc>
        <w:tc>
          <w:tcPr>
            <w:tcW w:w="287"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47"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241" w:type="dxa"/>
            <w:vMerge/>
            <w:tcBorders>
              <w:left w:val="single" w:sz="4" w:space="0" w:color="000000"/>
              <w:bottom w:val="nil" w:sz="6" w:space="0" w:color="auto"/>
              <w:right w:val="single" w:sz="4" w:space="0" w:color="000000"/>
            </w:tcBorders>
            <w:shd w:val="clear" w:color="auto" w:fill="D3D3D3"/>
          </w:tcPr>
          <w:p>
            <w:pPr/>
          </w:p>
        </w:tc>
        <w:tc>
          <w:tcPr>
            <w:tcW w:w="570" w:type="dxa"/>
            <w:vMerge/>
            <w:tcBorders>
              <w:left w:val="single" w:sz="4" w:space="0" w:color="000000"/>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493"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287"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
        </w:tc>
      </w:tr>
      <w:tr>
        <w:trPr>
          <w:trHeight w:val="120" w:hRule="exact"/>
        </w:trPr>
        <w:tc>
          <w:tcPr>
            <w:tcW w:w="3085" w:type="dxa"/>
            <w:vMerge/>
            <w:tcBorders>
              <w:left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
        </w:tc>
        <w:tc>
          <w:tcPr>
            <w:tcW w:w="340" w:type="dxa"/>
            <w:vMerge/>
            <w:tcBorders>
              <w:left w:val="single" w:sz="4" w:space="0" w:color="000000"/>
              <w:right w:val="single" w:sz="4" w:space="0" w:color="000000"/>
            </w:tcBorders>
            <w:shd w:val="clear" w:color="auto" w:fill="D3D3D3"/>
          </w:tcPr>
          <w:p>
            <w:pPr/>
          </w:p>
        </w:tc>
        <w:tc>
          <w:tcPr>
            <w:tcW w:w="338" w:type="dxa"/>
            <w:vMerge/>
            <w:tcBorders>
              <w:left w:val="single" w:sz="4" w:space="0" w:color="000000"/>
              <w:right w:val="single" w:sz="4" w:space="0" w:color="000000"/>
            </w:tcBorders>
            <w:shd w:val="clear" w:color="auto" w:fill="D3D3D3"/>
          </w:tcPr>
          <w:p>
            <w:pPr/>
          </w:p>
        </w:tc>
        <w:tc>
          <w:tcPr>
            <w:tcW w:w="287" w:type="dxa"/>
            <w:vMerge/>
            <w:tcBorders>
              <w:left w:val="single" w:sz="4" w:space="0" w:color="000000"/>
              <w:right w:val="single" w:sz="4" w:space="0" w:color="000000"/>
            </w:tcBorders>
            <w:shd w:val="clear" w:color="auto" w:fill="D3D3D3"/>
          </w:tcPr>
          <w:p>
            <w:pPr/>
          </w:p>
        </w:tc>
        <w:tc>
          <w:tcPr>
            <w:tcW w:w="1241" w:type="dxa"/>
            <w:vMerge w:val="restart"/>
            <w:tcBorders>
              <w:top w:val="nil" w:sz="6" w:space="0" w:color="auto"/>
              <w:left w:val="single" w:sz="4" w:space="0" w:color="000000"/>
              <w:right w:val="single" w:sz="4" w:space="0" w:color="000000"/>
            </w:tcBorders>
            <w:shd w:val="clear" w:color="auto" w:fill="D3D3D3"/>
          </w:tcPr>
          <w:p>
            <w:pPr/>
          </w:p>
        </w:tc>
        <w:tc>
          <w:tcPr>
            <w:tcW w:w="570"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bottom w:val="nil" w:sz="6" w:space="0" w:color="auto"/>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
        </w:tc>
        <w:tc>
          <w:tcPr>
            <w:tcW w:w="493"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c>
          <w:tcPr>
            <w:tcW w:w="287" w:type="dxa"/>
            <w:vMerge/>
            <w:tcBorders>
              <w:left w:val="single" w:sz="4" w:space="0" w:color="000000"/>
              <w:bottom w:val="nil" w:sz="6" w:space="0" w:color="auto"/>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120" w:hRule="exact"/>
        </w:trPr>
        <w:tc>
          <w:tcPr>
            <w:tcW w:w="3085"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340" w:type="dxa"/>
            <w:vMerge/>
            <w:tcBorders>
              <w:left w:val="single" w:sz="4" w:space="0" w:color="000000"/>
              <w:right w:val="single" w:sz="4" w:space="0" w:color="000000"/>
            </w:tcBorders>
            <w:shd w:val="clear" w:color="auto" w:fill="D3D3D3"/>
          </w:tcPr>
          <w:p>
            <w:pPr/>
          </w:p>
        </w:tc>
        <w:tc>
          <w:tcPr>
            <w:tcW w:w="338" w:type="dxa"/>
            <w:vMerge/>
            <w:tcBorders>
              <w:left w:val="single" w:sz="4" w:space="0" w:color="000000"/>
              <w:right w:val="single" w:sz="4" w:space="0" w:color="000000"/>
            </w:tcBorders>
            <w:shd w:val="clear" w:color="auto" w:fill="D3D3D3"/>
          </w:tcPr>
          <w:p>
            <w:pPr/>
          </w:p>
        </w:tc>
        <w:tc>
          <w:tcPr>
            <w:tcW w:w="287"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c>
          <w:tcPr>
            <w:tcW w:w="570" w:type="dxa"/>
            <w:vMerge w:val="restart"/>
            <w:tcBorders>
              <w:top w:val="nil" w:sz="6" w:space="0" w:color="auto"/>
              <w:left w:val="single" w:sz="4" w:space="0" w:color="000000"/>
              <w:right w:val="single" w:sz="4" w:space="0" w:color="000000"/>
            </w:tcBorders>
            <w:shd w:val="clear" w:color="auto" w:fill="D3D3D3"/>
          </w:tcPr>
          <w:p>
            <w:pPr/>
          </w:p>
        </w:tc>
        <w:tc>
          <w:tcPr>
            <w:tcW w:w="1040" w:type="dxa"/>
            <w:vMerge w:val="restart"/>
            <w:tcBorders>
              <w:top w:val="nil" w:sz="6" w:space="0" w:color="auto"/>
              <w:left w:val="single" w:sz="4" w:space="0" w:color="000000"/>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right w:val="single" w:sz="4" w:space="0" w:color="000000"/>
            </w:tcBorders>
            <w:shd w:val="clear" w:color="auto" w:fill="D3D3D3"/>
          </w:tcPr>
          <w:p>
            <w:pPr/>
          </w:p>
        </w:tc>
        <w:tc>
          <w:tcPr>
            <w:tcW w:w="49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287" w:type="dxa"/>
            <w:vMerge w:val="restart"/>
            <w:tcBorders>
              <w:top w:val="nil" w:sz="6" w:space="0" w:color="auto"/>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r>
      <w:tr>
        <w:trPr>
          <w:trHeight w:val="250" w:hRule="exact"/>
        </w:trPr>
        <w:tc>
          <w:tcPr>
            <w:tcW w:w="3085"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340" w:type="dxa"/>
            <w:vMerge/>
            <w:tcBorders>
              <w:left w:val="single" w:sz="4" w:space="0" w:color="000000"/>
              <w:bottom w:val="single" w:sz="4" w:space="0" w:color="000000"/>
              <w:right w:val="single" w:sz="4" w:space="0" w:color="000000"/>
            </w:tcBorders>
            <w:shd w:val="clear" w:color="auto" w:fill="D3D3D3"/>
          </w:tcPr>
          <w:p>
            <w:pPr/>
          </w:p>
        </w:tc>
        <w:tc>
          <w:tcPr>
            <w:tcW w:w="338" w:type="dxa"/>
            <w:vMerge/>
            <w:tcBorders>
              <w:left w:val="single" w:sz="4" w:space="0" w:color="000000"/>
              <w:bottom w:val="single" w:sz="4" w:space="0" w:color="000000"/>
              <w:right w:val="single" w:sz="4" w:space="0" w:color="000000"/>
            </w:tcBorders>
            <w:shd w:val="clear" w:color="auto" w:fill="D3D3D3"/>
          </w:tcPr>
          <w:p>
            <w:pPr/>
          </w:p>
        </w:tc>
        <w:tc>
          <w:tcPr>
            <w:tcW w:w="287" w:type="dxa"/>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single" w:sz="4" w:space="0" w:color="000000"/>
              <w:right w:val="single" w:sz="4" w:space="0" w:color="000000"/>
            </w:tcBorders>
            <w:shd w:val="clear" w:color="auto" w:fill="D3D3D3"/>
          </w:tcPr>
          <w:p>
            <w:pPr/>
          </w:p>
        </w:tc>
        <w:tc>
          <w:tcPr>
            <w:tcW w:w="570" w:type="dxa"/>
            <w:vMerge/>
            <w:tcBorders>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390"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4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c>
          <w:tcPr>
            <w:tcW w:w="287"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33"/>
              <w:ind w:left="5" w:right="0"/>
              <w:jc w:val="center"/>
              <w:rPr>
                <w:rFonts w:ascii="Times New Roman" w:hAnsi="Times New Roman" w:cs="Times New Roman" w:eastAsia="Times New Roman" w:hint="default"/>
                <w:sz w:val="18"/>
                <w:szCs w:val="18"/>
              </w:rPr>
            </w:pPr>
            <w:r>
              <w:rPr>
                <w:rFonts w:ascii="Times New Roman"/>
                <w:sz w:val="18"/>
              </w:rPr>
              <w:t>1,017,698,410.00</w:t>
            </w: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52" w:space="0" w:color="D3D3D3"/>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-234,802,992.81</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390" w:type="dxa"/>
            <w:tcBorders>
              <w:top w:val="single" w:sz="54"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71,424,943.39</w:t>
            </w: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943,649,656.35</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1,800,160,138.37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204,397,316.39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2,004,557,454.76</w:t>
            </w: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86,350,000.00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-1,415,027.80</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84,934,972.20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69,492,249.98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154,427,222.18</w:t>
            </w: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33"/>
              <w:ind w:left="5" w:right="0"/>
              <w:jc w:val="center"/>
              <w:rPr>
                <w:rFonts w:ascii="Times New Roman" w:hAnsi="Times New Roman" w:cs="Times New Roman" w:eastAsia="Times New Roman" w:hint="default"/>
                <w:sz w:val="18"/>
                <w:szCs w:val="18"/>
              </w:rPr>
            </w:pPr>
            <w:r>
              <w:rPr>
                <w:rFonts w:ascii="Times New Roman"/>
                <w:sz w:val="18"/>
              </w:rPr>
              <w:t>1,017,698,410.00</w:t>
            </w: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-148,452,992.81</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2,190,121.44</w:t>
            </w: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71,424,943.39</w:t>
            </w: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942,234,628.55</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1,885,095,110.57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273,889,566.37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2,158,984,676.94</w:t>
            </w:r>
          </w:p>
        </w:tc>
      </w:tr>
      <w:tr>
        <w:trPr>
          <w:trHeight w:val="49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9"/>
              <w:ind w:left="11" w:right="2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479,878.50</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132,213.68</w:t>
            </w: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-138,535.00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88,624,340.25</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89,097,897.43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25,995,373.95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115,093,271.38</w:t>
            </w: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132,213.68</w:t>
            </w: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103,889,816.40</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104,022,030.08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50,517,015.48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154,539,045.56</w:t>
            </w: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479,878.50</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-138,535.00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341,343.50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4,841,343.50</w:t>
            </w: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479,878.50</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-138,535.00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341,343.50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341,343.50</w:t>
            </w: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-29,021,641.53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-44,287,117.68</w:t>
            </w: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-15,265,476.15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-4,026,303.48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-19,291,779.63</w:t>
            </w: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-24,995,338.05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-24,995,338.05</w:t>
            </w: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33"/>
              <w:ind w:left="5" w:right="0"/>
              <w:jc w:val="center"/>
              <w:rPr>
                <w:rFonts w:ascii="Times New Roman" w:hAnsi="Times New Roman" w:cs="Times New Roman" w:eastAsia="Times New Roman" w:hint="default"/>
                <w:sz w:val="18"/>
                <w:szCs w:val="18"/>
              </w:rPr>
            </w:pPr>
            <w:r>
              <w:rPr>
                <w:rFonts w:ascii="Times New Roman"/>
                <w:sz w:val="18"/>
              </w:rPr>
              <w:t>1,017,698,410.00</w:t>
            </w: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-147,973,114.31</w:t>
            </w:r>
          </w:p>
        </w:tc>
        <w:tc>
          <w:tcPr>
            <w:tcW w:w="57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2,322,335.12</w:t>
            </w:r>
          </w:p>
        </w:tc>
        <w:tc>
          <w:tcPr>
            <w:tcW w:w="3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71,286,408.39</w:t>
            </w:r>
          </w:p>
        </w:tc>
        <w:tc>
          <w:tcPr>
            <w:tcW w:w="49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1,030,858,968.80</w:t>
            </w:r>
          </w:p>
        </w:tc>
        <w:tc>
          <w:tcPr>
            <w:tcW w:w="2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1,974,193,008.00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299,884,940.32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2,274,077,948.32</w:t>
            </w:r>
          </w:p>
        </w:tc>
      </w:tr>
    </w:tbl>
    <w:p>
      <w:pPr>
        <w:spacing w:after="0" w:line="240" w:lineRule="auto"/>
        <w:jc w:val="right"/>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867" w:footer="354" w:top="1060" w:bottom="600" w:left="500" w:right="4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t>本期金额</w:t>
      </w:r>
    </w:p>
    <w:p>
      <w:pPr>
        <w:pStyle w:val="BodyText"/>
        <w:spacing w:line="240" w:lineRule="auto" w:before="116"/>
        <w:ind w:left="0" w:right="139"/>
        <w:jc w:val="right"/>
      </w:pPr>
      <w:r>
        <w:rPr/>
        <w:t>单位：元</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174"/>
        <w:gridCol w:w="1328"/>
        <w:gridCol w:w="544"/>
        <w:gridCol w:w="545"/>
        <w:gridCol w:w="390"/>
        <w:gridCol w:w="1315"/>
        <w:gridCol w:w="878"/>
        <w:gridCol w:w="1124"/>
        <w:gridCol w:w="698"/>
        <w:gridCol w:w="1091"/>
        <w:gridCol w:w="1181"/>
        <w:gridCol w:w="390"/>
        <w:gridCol w:w="1316"/>
      </w:tblGrid>
      <w:tr>
        <w:trPr>
          <w:trHeight w:val="250" w:hRule="exact"/>
        </w:trPr>
        <w:tc>
          <w:tcPr>
            <w:tcW w:w="3174" w:type="dxa"/>
            <w:vMerge w:val="restart"/>
            <w:tcBorders>
              <w:top w:val="single" w:sz="4" w:space="0" w:color="000000"/>
              <w:left w:val="single" w:sz="4" w:space="0" w:color="000000"/>
              <w:right w:val="single" w:sz="4" w:space="0" w:color="000000"/>
            </w:tcBorders>
            <w:shd w:val="clear" w:color="auto" w:fill="D3D3D3"/>
          </w:tcPr>
          <w:p>
            <w:pPr/>
          </w:p>
        </w:tc>
        <w:tc>
          <w:tcPr>
            <w:tcW w:w="1080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28" w:hRule="exact"/>
        </w:trPr>
        <w:tc>
          <w:tcPr>
            <w:tcW w:w="3174"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47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27"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878" w:type="dxa"/>
            <w:vMerge w:val="restart"/>
            <w:tcBorders>
              <w:top w:val="single" w:sz="4" w:space="0" w:color="000000"/>
              <w:left w:val="single" w:sz="4" w:space="0" w:color="000000"/>
              <w:right w:val="single" w:sz="4" w:space="0" w:color="000000"/>
            </w:tcBorders>
            <w:shd w:val="clear" w:color="auto" w:fill="D3D3D3"/>
          </w:tcPr>
          <w:p>
            <w:pPr/>
          </w:p>
        </w:tc>
        <w:tc>
          <w:tcPr>
            <w:tcW w:w="112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1" w:hRule="exact"/>
        </w:trPr>
        <w:tc>
          <w:tcPr>
            <w:tcW w:w="3174" w:type="dxa"/>
            <w:vMerge w:val="restart"/>
            <w:tcBorders>
              <w:top w:val="nil" w:sz="6" w:space="0" w:color="auto"/>
              <w:left w:val="single" w:sz="4" w:space="0" w:color="000000"/>
              <w:right w:val="single" w:sz="4" w:space="0" w:color="000000"/>
            </w:tcBorders>
            <w:shd w:val="clear" w:color="auto" w:fill="D3D3D3"/>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tcBorders>
              <w:left w:val="single" w:sz="4" w:space="0" w:color="000000"/>
              <w:bottom w:val="nil" w:sz="6" w:space="0" w:color="auto"/>
              <w:right w:val="single" w:sz="4" w:space="0" w:color="000000"/>
            </w:tcBorders>
            <w:shd w:val="clear" w:color="auto" w:fill="D3D3D3"/>
          </w:tcPr>
          <w:p>
            <w:pPr/>
          </w:p>
        </w:tc>
        <w:tc>
          <w:tcPr>
            <w:tcW w:w="1478" w:type="dxa"/>
            <w:gridSpan w:val="3"/>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878" w:type="dxa"/>
            <w:vMerge/>
            <w:tcBorders>
              <w:left w:val="single" w:sz="4" w:space="0" w:color="000000"/>
              <w:bottom w:val="nil" w:sz="6" w:space="0" w:color="auto"/>
              <w:right w:val="single" w:sz="4" w:space="0" w:color="000000"/>
            </w:tcBorders>
            <w:shd w:val="clear" w:color="auto" w:fill="D3D3D3"/>
          </w:tcPr>
          <w:p>
            <w:pPr/>
          </w:p>
        </w:tc>
        <w:tc>
          <w:tcPr>
            <w:tcW w:w="1124"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466"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698"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390"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auto"/>
              <w:ind w:left="100" w:right="97"/>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4" w:hRule="exact"/>
        </w:trPr>
        <w:tc>
          <w:tcPr>
            <w:tcW w:w="3174"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44"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ind w:left="176" w:right="8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5"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ind w:left="177" w:right="8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9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ind w:left="99"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8" w:type="dxa"/>
            <w:vMerge w:val="restart"/>
            <w:tcBorders>
              <w:top w:val="nil" w:sz="6" w:space="0" w:color="auto"/>
              <w:left w:val="single" w:sz="4" w:space="0" w:color="000000"/>
              <w:right w:val="single" w:sz="4" w:space="0" w:color="000000"/>
            </w:tcBorders>
            <w:shd w:val="clear" w:color="auto" w:fill="D3D3D3"/>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8"/>
                <w:sz w:val="18"/>
                <w:szCs w:val="18"/>
              </w:rPr>
              <w:t>：</w:t>
            </w:r>
            <w:r>
              <w:rPr>
                <w:rFonts w:ascii="宋体" w:hAnsi="宋体" w:cs="宋体" w:eastAsia="宋体" w:hint="default"/>
                <w:sz w:val="18"/>
                <w:szCs w:val="18"/>
              </w:rPr>
              <w:t>库存股</w:t>
            </w:r>
          </w:p>
        </w:tc>
        <w:tc>
          <w:tcPr>
            <w:tcW w:w="1124" w:type="dxa"/>
            <w:vMerge/>
            <w:tcBorders>
              <w:left w:val="single" w:sz="4" w:space="0" w:color="000000"/>
              <w:right w:val="single" w:sz="4" w:space="0" w:color="000000"/>
            </w:tcBorders>
            <w:shd w:val="clear" w:color="auto" w:fill="D3D3D3"/>
          </w:tcPr>
          <w:p>
            <w:pPr/>
          </w:p>
        </w:tc>
        <w:tc>
          <w:tcPr>
            <w:tcW w:w="698"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27"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27"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0"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6" w:hRule="exact"/>
        </w:trPr>
        <w:tc>
          <w:tcPr>
            <w:tcW w:w="3174" w:type="dxa"/>
            <w:vMerge w:val="restart"/>
            <w:tcBorders>
              <w:top w:val="nil" w:sz="6" w:space="0" w:color="auto"/>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544" w:type="dxa"/>
            <w:vMerge/>
            <w:tcBorders>
              <w:left w:val="single" w:sz="4" w:space="0" w:color="000000"/>
              <w:right w:val="single" w:sz="4" w:space="0" w:color="000000"/>
            </w:tcBorders>
            <w:shd w:val="clear" w:color="auto" w:fill="D3D3D3"/>
          </w:tcPr>
          <w:p>
            <w:pPr/>
          </w:p>
        </w:tc>
        <w:tc>
          <w:tcPr>
            <w:tcW w:w="545" w:type="dxa"/>
            <w:vMerge/>
            <w:tcBorders>
              <w:left w:val="single" w:sz="4" w:space="0" w:color="000000"/>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878" w:type="dxa"/>
            <w:vMerge/>
            <w:tcBorders>
              <w:left w:val="single" w:sz="4" w:space="0" w:color="000000"/>
              <w:bottom w:val="nil" w:sz="6" w:space="0" w:color="auto"/>
              <w:right w:val="single" w:sz="4" w:space="0" w:color="000000"/>
            </w:tcBorders>
            <w:shd w:val="clear" w:color="auto" w:fill="D3D3D3"/>
          </w:tcPr>
          <w:p>
            <w:pPr/>
          </w:p>
        </w:tc>
        <w:tc>
          <w:tcPr>
            <w:tcW w:w="1124" w:type="dxa"/>
            <w:vMerge/>
            <w:tcBorders>
              <w:left w:val="single" w:sz="4" w:space="0" w:color="000000"/>
              <w:right w:val="single" w:sz="4" w:space="0" w:color="000000"/>
            </w:tcBorders>
            <w:shd w:val="clear" w:color="auto" w:fill="D3D3D3"/>
          </w:tcPr>
          <w:p>
            <w:pPr/>
          </w:p>
        </w:tc>
        <w:tc>
          <w:tcPr>
            <w:tcW w:w="698"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250" w:hRule="exact"/>
        </w:trPr>
        <w:tc>
          <w:tcPr>
            <w:tcW w:w="3174"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4" w:type="dxa"/>
            <w:vMerge/>
            <w:tcBorders>
              <w:left w:val="single" w:sz="4" w:space="0" w:color="000000"/>
              <w:bottom w:val="single" w:sz="4" w:space="0" w:color="000000"/>
              <w:right w:val="single" w:sz="4" w:space="0" w:color="000000"/>
            </w:tcBorders>
            <w:shd w:val="clear" w:color="auto" w:fill="D3D3D3"/>
          </w:tcPr>
          <w:p>
            <w:pPr/>
          </w:p>
        </w:tc>
        <w:tc>
          <w:tcPr>
            <w:tcW w:w="545" w:type="dxa"/>
            <w:vMerge/>
            <w:tcBorders>
              <w:left w:val="single" w:sz="4" w:space="0" w:color="000000"/>
              <w:bottom w:val="single" w:sz="4" w:space="0" w:color="000000"/>
              <w:right w:val="single" w:sz="4" w:space="0" w:color="000000"/>
            </w:tcBorders>
            <w:shd w:val="clear" w:color="auto" w:fill="D3D3D3"/>
          </w:tcPr>
          <w:p>
            <w:pPr/>
          </w:p>
        </w:tc>
        <w:tc>
          <w:tcPr>
            <w:tcW w:w="390" w:type="dxa"/>
            <w:vMerge/>
            <w:tcBorders>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7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4" w:type="dxa"/>
            <w:vMerge/>
            <w:tcBorders>
              <w:left w:val="single" w:sz="4" w:space="0" w:color="000000"/>
              <w:bottom w:val="single" w:sz="4" w:space="0" w:color="000000"/>
              <w:right w:val="single" w:sz="4" w:space="0" w:color="000000"/>
            </w:tcBorders>
            <w:shd w:val="clear" w:color="auto" w:fill="D3D3D3"/>
          </w:tcPr>
          <w:p>
            <w:pPr/>
          </w:p>
        </w:tc>
        <w:tc>
          <w:tcPr>
            <w:tcW w:w="698"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390"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1,017,698,410.00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1,809,704,919.76</w:t>
            </w: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54" w:space="0" w:color="D3D3D3"/>
              <w:left w:val="single" w:sz="4" w:space="0" w:color="000000"/>
              <w:bottom w:val="single" w:sz="4" w:space="0" w:color="000000"/>
              <w:right w:val="single" w:sz="4" w:space="0" w:color="000000"/>
            </w:tcBorders>
          </w:tcPr>
          <w:p>
            <w:pPr>
              <w:pStyle w:val="TableParagraph"/>
              <w:spacing w:line="178" w:lineRule="exact"/>
              <w:ind w:right="19"/>
              <w:jc w:val="right"/>
              <w:rPr>
                <w:rFonts w:ascii="Times New Roman" w:hAnsi="Times New Roman" w:cs="Times New Roman" w:eastAsia="Times New Roman" w:hint="default"/>
                <w:sz w:val="18"/>
                <w:szCs w:val="18"/>
              </w:rPr>
            </w:pPr>
            <w:r>
              <w:rPr>
                <w:rFonts w:ascii="Times New Roman"/>
                <w:spacing w:val="-1"/>
                <w:sz w:val="18"/>
              </w:rPr>
              <w:t>2,322,335.12</w:t>
            </w:r>
          </w:p>
        </w:tc>
        <w:tc>
          <w:tcPr>
            <w:tcW w:w="698" w:type="dxa"/>
            <w:tcBorders>
              <w:top w:val="single" w:sz="54"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133,727,747.36</w:t>
            </w:r>
          </w:p>
        </w:tc>
        <w:tc>
          <w:tcPr>
            <w:tcW w:w="390" w:type="dxa"/>
            <w:tcBorders>
              <w:top w:val="single" w:sz="54" w:space="0" w:color="D3D3D3"/>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3,016,521,620.08</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center"/>
              <w:rPr>
                <w:rFonts w:ascii="Times New Roman" w:hAnsi="Times New Roman" w:cs="Times New Roman" w:eastAsia="Times New Roman" w:hint="default"/>
                <w:sz w:val="18"/>
                <w:szCs w:val="18"/>
              </w:rPr>
            </w:pPr>
            <w:r>
              <w:rPr>
                <w:rFonts w:ascii="Times New Roman"/>
                <w:sz w:val="18"/>
              </w:rPr>
              <w:t>-1,757,310.85</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-1,757,310.85</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33"/>
              <w:ind w:left="5" w:right="0"/>
              <w:jc w:val="center"/>
              <w:rPr>
                <w:rFonts w:ascii="Times New Roman" w:hAnsi="Times New Roman" w:cs="Times New Roman" w:eastAsia="Times New Roman" w:hint="default"/>
                <w:sz w:val="18"/>
                <w:szCs w:val="18"/>
              </w:rPr>
            </w:pPr>
            <w:r>
              <w:rPr>
                <w:rFonts w:ascii="Times New Roman"/>
                <w:sz w:val="18"/>
              </w:rPr>
              <w:t>1,017,698,410.00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1,809,704,919.76</w:t>
            </w: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2,322,335.12</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131,970,436.51</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3,014,764,309.23</w:t>
            </w:r>
          </w:p>
        </w:tc>
      </w:tr>
      <w:tr>
        <w:trPr>
          <w:trHeight w:val="49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1"/>
              <w:ind w:left="11" w:right="1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pacing w:val="-76"/>
                <w:sz w:val="18"/>
                <w:szCs w:val="18"/>
              </w:rPr>
              <w:t> </w:t>
            </w:r>
            <w:r>
              <w:rPr>
                <w:rFonts w:ascii="宋体" w:hAnsi="宋体" w:cs="宋体" w:eastAsia="宋体" w:hint="default"/>
                <w:sz w:val="18"/>
                <w:szCs w:val="18"/>
              </w:rPr>
              <w:t>列）</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6" w:right="0"/>
              <w:jc w:val="center"/>
              <w:rPr>
                <w:rFonts w:ascii="Times New Roman" w:hAnsi="Times New Roman" w:cs="Times New Roman" w:eastAsia="Times New Roman" w:hint="default"/>
                <w:sz w:val="18"/>
                <w:szCs w:val="18"/>
              </w:rPr>
            </w:pPr>
            <w:r>
              <w:rPr>
                <w:rFonts w:ascii="Times New Roman"/>
                <w:sz w:val="18"/>
              </w:rPr>
              <w:t>-224,309,654.47</w:t>
            </w: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2" w:right="0"/>
              <w:jc w:val="center"/>
              <w:rPr>
                <w:rFonts w:ascii="Times New Roman" w:hAnsi="Times New Roman" w:cs="Times New Roman" w:eastAsia="Times New Roman" w:hint="default"/>
                <w:sz w:val="18"/>
                <w:szCs w:val="18"/>
              </w:rPr>
            </w:pPr>
            <w:r>
              <w:rPr>
                <w:rFonts w:ascii="Times New Roman"/>
                <w:sz w:val="18"/>
              </w:rPr>
              <w:t>-39,666,561.36</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-268,607,812.76</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 w:right="0"/>
              <w:jc w:val="center"/>
              <w:rPr>
                <w:rFonts w:ascii="Times New Roman" w:hAnsi="Times New Roman" w:cs="Times New Roman" w:eastAsia="Times New Roman" w:hint="default"/>
                <w:sz w:val="18"/>
                <w:szCs w:val="18"/>
              </w:rPr>
            </w:pPr>
            <w:r>
              <w:rPr>
                <w:rFonts w:ascii="Times New Roman"/>
                <w:sz w:val="18"/>
              </w:rPr>
              <w:t>-28,471,878.85</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-33,103,475.78</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6" w:right="0"/>
              <w:jc w:val="center"/>
              <w:rPr>
                <w:rFonts w:ascii="Times New Roman" w:hAnsi="Times New Roman" w:cs="Times New Roman" w:eastAsia="Times New Roman" w:hint="default"/>
                <w:sz w:val="18"/>
                <w:szCs w:val="18"/>
              </w:rPr>
            </w:pPr>
            <w:r>
              <w:rPr>
                <w:rFonts w:ascii="Times New Roman"/>
                <w:sz w:val="18"/>
              </w:rPr>
              <w:t>-224,309,654.47</w:t>
            </w: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-224,309,654.47</w:t>
            </w: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 w:right="0"/>
              <w:jc w:val="center"/>
              <w:rPr>
                <w:rFonts w:ascii="Times New Roman" w:hAnsi="Times New Roman" w:cs="Times New Roman" w:eastAsia="Times New Roman" w:hint="default"/>
                <w:sz w:val="18"/>
                <w:szCs w:val="18"/>
              </w:rPr>
            </w:pPr>
            <w:r>
              <w:rPr>
                <w:rFonts w:ascii="Times New Roman"/>
                <w:sz w:val="18"/>
              </w:rPr>
              <w:t>-224,309,654.47</w:t>
            </w: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-224,309,654.47</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 w:right="0"/>
              <w:jc w:val="center"/>
              <w:rPr>
                <w:rFonts w:ascii="Times New Roman" w:hAnsi="Times New Roman" w:cs="Times New Roman" w:eastAsia="Times New Roman" w:hint="default"/>
                <w:sz w:val="18"/>
                <w:szCs w:val="18"/>
              </w:rPr>
            </w:pPr>
            <w:r>
              <w:rPr>
                <w:rFonts w:ascii="Times New Roman"/>
                <w:sz w:val="18"/>
              </w:rPr>
              <w:t>-11,194,682.51</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-11,194,682.51</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center"/>
              <w:rPr>
                <w:rFonts w:ascii="Times New Roman" w:hAnsi="Times New Roman" w:cs="Times New Roman" w:eastAsia="Times New Roman" w:hint="default"/>
                <w:sz w:val="18"/>
                <w:szCs w:val="18"/>
              </w:rPr>
            </w:pPr>
            <w:r>
              <w:rPr>
                <w:rFonts w:ascii="Times New Roman"/>
                <w:sz w:val="18"/>
              </w:rPr>
              <w:t>-11,194,682.51</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-11,194,682.51</w:t>
            </w: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1,017,698,410.00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1,585,395,265.29</w:t>
            </w:r>
          </w:p>
        </w:tc>
        <w:tc>
          <w:tcPr>
            <w:tcW w:w="87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-2,309,261.81</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2" w:right="0"/>
              <w:jc w:val="center"/>
              <w:rPr>
                <w:rFonts w:ascii="Times New Roman" w:hAnsi="Times New Roman" w:cs="Times New Roman" w:eastAsia="Times New Roman" w:hint="default"/>
                <w:sz w:val="18"/>
                <w:szCs w:val="18"/>
              </w:rPr>
            </w:pPr>
            <w:r>
              <w:rPr>
                <w:rFonts w:ascii="Times New Roman"/>
                <w:sz w:val="18"/>
              </w:rPr>
              <w:t>92,303,875.15</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2,746,156,496.47</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6840" w:h="11910" w:orient="landscape"/>
          <w:pgMar w:footer="978" w:header="867" w:top="1060" w:bottom="1220" w:left="1300" w:right="1300"/>
          <w:pgNumType w:start="79"/>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39" w:right="0"/>
        <w:jc w:val="left"/>
      </w:pPr>
      <w:r>
        <w:rPr/>
        <w:t>上期金额</w:t>
      </w:r>
    </w:p>
    <w:p>
      <w:pPr>
        <w:pStyle w:val="BodyText"/>
        <w:spacing w:line="240" w:lineRule="auto" w:before="116"/>
        <w:ind w:left="0" w:right="139"/>
        <w:jc w:val="right"/>
      </w:pPr>
      <w:r>
        <w:rPr/>
        <w:pict>
          <v:group style="position:absolute;margin-left:437.871002pt;margin-top:35.812019pt;width:43.45pt;height:24.25pt;mso-position-horizontal-relative:page;mso-position-vertical-relative:paragraph;z-index:-1247008" coordorigin="8757,716" coordsize="869,485">
            <v:group style="position:absolute;left:8757;top:716;width:869;height:485" coordorigin="8757,716" coordsize="869,485">
              <v:shape style="position:absolute;left:8757;top:716;width:869;height:485" coordorigin="8757,716" coordsize="869,485" path="m9626,961l9626,716,8757,716,9196,961,9626,961xe" filled="true" fillcolor="#d3d3d3" stroked="false">
                <v:path arrowok="t"/>
                <v:fill type="solid"/>
              </v:shape>
              <v:shape style="position:absolute;left:8757;top:716;width:869;height:485" coordorigin="8757,716" coordsize="869,485" path="m9603,1201l9603,1188,9196,961,8780,961,8780,1201,9603,1201xe" filled="true" fillcolor="#d3d3d3" stroked="false">
                <v:path arrowok="t"/>
                <v:fill type="solid"/>
              </v:shape>
              <v:shape style="position:absolute;left:8757;top:716;width:869;height:485" coordorigin="8757,716" coordsize="869,485" path="m9626,1201l9626,961,9603,961,9603,1188,9626,1201xe" filled="true" fillcolor="#d3d3d3" stroked="false">
                <v:path arrowok="t"/>
                <v:fill type="solid"/>
              </v:shape>
            </v:group>
            <v:group style="position:absolute;left:8780;top:961;width:824;height:240" coordorigin="8780,961" coordsize="824,240">
              <v:shape style="position:absolute;left:8780;top:961;width:824;height:240" coordorigin="8780,961" coordsize="824,240" path="m8780,961l8780,1201,9603,1201,9603,961,8780,961xe" filled="true" fillcolor="#d3d3d3" stroked="false">
                <v:path arrowok="t"/>
                <v:fill type="solid"/>
              </v:shape>
            </v:group>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78"/>
        <w:gridCol w:w="1327"/>
        <w:gridCol w:w="545"/>
        <w:gridCol w:w="546"/>
        <w:gridCol w:w="390"/>
        <w:gridCol w:w="1315"/>
        <w:gridCol w:w="880"/>
        <w:gridCol w:w="1117"/>
        <w:gridCol w:w="698"/>
        <w:gridCol w:w="1091"/>
        <w:gridCol w:w="1181"/>
        <w:gridCol w:w="390"/>
        <w:gridCol w:w="1316"/>
      </w:tblGrid>
      <w:tr>
        <w:trPr>
          <w:trHeight w:val="250" w:hRule="exact"/>
        </w:trPr>
        <w:tc>
          <w:tcPr>
            <w:tcW w:w="3178" w:type="dxa"/>
            <w:vMerge w:val="restart"/>
            <w:tcBorders>
              <w:top w:val="single" w:sz="4" w:space="0" w:color="000000"/>
              <w:left w:val="single" w:sz="4" w:space="0" w:color="000000"/>
              <w:right w:val="single" w:sz="4" w:space="0" w:color="000000"/>
            </w:tcBorders>
            <w:shd w:val="clear" w:color="auto" w:fill="D3D3D3"/>
          </w:tcPr>
          <w:p>
            <w:pPr/>
          </w:p>
        </w:tc>
        <w:tc>
          <w:tcPr>
            <w:tcW w:w="1079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127" w:hRule="exact"/>
        </w:trPr>
        <w:tc>
          <w:tcPr>
            <w:tcW w:w="317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
        </w:tc>
        <w:tc>
          <w:tcPr>
            <w:tcW w:w="148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19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880" w:type="dxa"/>
            <w:vMerge w:val="restart"/>
            <w:tcBorders>
              <w:top w:val="single" w:sz="4" w:space="0" w:color="000000"/>
              <w:left w:val="single" w:sz="9" w:space="0" w:color="D3D3D3"/>
              <w:right w:val="single" w:sz="13" w:space="0" w:color="D3D3D3"/>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7"/>
                <w:sz w:val="18"/>
                <w:szCs w:val="18"/>
              </w:rPr>
              <w:t>：</w:t>
            </w:r>
            <w:r>
              <w:rPr>
                <w:rFonts w:ascii="宋体" w:hAnsi="宋体" w:cs="宋体" w:eastAsia="宋体" w:hint="default"/>
                <w:sz w:val="18"/>
                <w:szCs w:val="18"/>
              </w:rPr>
              <w:t>库存股</w:t>
            </w:r>
          </w:p>
        </w:tc>
        <w:tc>
          <w:tcPr>
            <w:tcW w:w="1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6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1" w:hRule="exact"/>
        </w:trPr>
        <w:tc>
          <w:tcPr>
            <w:tcW w:w="3178" w:type="dxa"/>
            <w:vMerge w:val="restart"/>
            <w:tcBorders>
              <w:top w:val="nil" w:sz="6" w:space="0" w:color="auto"/>
              <w:left w:val="single" w:sz="4" w:space="0" w:color="000000"/>
              <w:right w:val="single" w:sz="4" w:space="0" w:color="000000"/>
            </w:tcBorders>
            <w:shd w:val="clear" w:color="auto" w:fill="D3D3D3"/>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vMerge/>
            <w:tcBorders>
              <w:left w:val="single" w:sz="4" w:space="0" w:color="000000"/>
              <w:bottom w:val="nil" w:sz="6" w:space="0" w:color="auto"/>
              <w:right w:val="single" w:sz="4" w:space="0" w:color="000000"/>
            </w:tcBorders>
            <w:shd w:val="clear" w:color="auto" w:fill="D3D3D3"/>
          </w:tcPr>
          <w:p>
            <w:pPr/>
          </w:p>
        </w:tc>
        <w:tc>
          <w:tcPr>
            <w:tcW w:w="1481" w:type="dxa"/>
            <w:gridSpan w:val="3"/>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880" w:type="dxa"/>
            <w:vMerge/>
            <w:tcBorders>
              <w:left w:val="single" w:sz="9" w:space="0" w:color="D3D3D3"/>
              <w:right w:val="single" w:sz="13" w:space="0" w:color="D3D3D3"/>
            </w:tcBorders>
          </w:tcPr>
          <w:p>
            <w:pPr/>
          </w:p>
        </w:tc>
        <w:tc>
          <w:tcPr>
            <w:tcW w:w="11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1"/>
              <w:ind w:left="463" w:right="10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6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1"/>
              <w:ind w:left="254" w:right="7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3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1"/>
              <w:ind w:left="100" w:right="97"/>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5" w:hRule="exact"/>
        </w:trPr>
        <w:tc>
          <w:tcPr>
            <w:tcW w:w="317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77" w:right="8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77" w:right="8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99"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0" w:type="dxa"/>
            <w:vMerge/>
            <w:tcBorders>
              <w:left w:val="single" w:sz="9" w:space="0" w:color="D3D3D3"/>
              <w:right w:val="single" w:sz="13" w:space="0" w:color="D3D3D3"/>
            </w:tcBorders>
          </w:tcPr>
          <w:p>
            <w:pPr/>
          </w:p>
        </w:tc>
        <w:tc>
          <w:tcPr>
            <w:tcW w:w="1117" w:type="dxa"/>
            <w:vMerge/>
            <w:tcBorders>
              <w:left w:val="single" w:sz="4" w:space="0" w:color="000000"/>
              <w:right w:val="single" w:sz="4" w:space="0" w:color="000000"/>
            </w:tcBorders>
            <w:shd w:val="clear" w:color="auto" w:fill="D3D3D3"/>
          </w:tcPr>
          <w:p>
            <w:pPr/>
          </w:p>
        </w:tc>
        <w:tc>
          <w:tcPr>
            <w:tcW w:w="698"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0"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5" w:hRule="exact"/>
        </w:trPr>
        <w:tc>
          <w:tcPr>
            <w:tcW w:w="3178" w:type="dxa"/>
            <w:vMerge w:val="restart"/>
            <w:tcBorders>
              <w:top w:val="nil" w:sz="6" w:space="0" w:color="auto"/>
              <w:left w:val="single" w:sz="4" w:space="0" w:color="000000"/>
              <w:right w:val="single" w:sz="4" w:space="0" w:color="000000"/>
            </w:tcBorders>
            <w:shd w:val="clear" w:color="auto" w:fill="D3D3D3"/>
          </w:tcPr>
          <w:p>
            <w:pPr/>
          </w:p>
        </w:tc>
        <w:tc>
          <w:tcPr>
            <w:tcW w:w="1327" w:type="dxa"/>
            <w:vMerge/>
            <w:tcBorders>
              <w:left w:val="single" w:sz="4" w:space="0" w:color="000000"/>
              <w:bottom w:val="nil" w:sz="6" w:space="0" w:color="auto"/>
              <w:right w:val="single" w:sz="4" w:space="0" w:color="000000"/>
            </w:tcBorders>
            <w:shd w:val="clear" w:color="auto" w:fill="D3D3D3"/>
          </w:tcPr>
          <w:p>
            <w:pPr/>
          </w:p>
        </w:tc>
        <w:tc>
          <w:tcPr>
            <w:tcW w:w="545" w:type="dxa"/>
            <w:vMerge/>
            <w:tcBorders>
              <w:left w:val="single" w:sz="4" w:space="0" w:color="000000"/>
              <w:right w:val="single" w:sz="4" w:space="0" w:color="000000"/>
            </w:tcBorders>
            <w:shd w:val="clear" w:color="auto" w:fill="D3D3D3"/>
          </w:tcPr>
          <w:p>
            <w:pPr/>
          </w:p>
        </w:tc>
        <w:tc>
          <w:tcPr>
            <w:tcW w:w="546" w:type="dxa"/>
            <w:vMerge/>
            <w:tcBorders>
              <w:left w:val="single" w:sz="4" w:space="0" w:color="000000"/>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880" w:type="dxa"/>
            <w:vMerge/>
            <w:tcBorders>
              <w:left w:val="single" w:sz="9" w:space="0" w:color="D3D3D3"/>
              <w:right w:val="single" w:sz="13" w:space="0" w:color="D3D3D3"/>
            </w:tcBorders>
          </w:tcPr>
          <w:p>
            <w:pPr/>
          </w:p>
        </w:tc>
        <w:tc>
          <w:tcPr>
            <w:tcW w:w="1117" w:type="dxa"/>
            <w:vMerge/>
            <w:tcBorders>
              <w:left w:val="single" w:sz="4" w:space="0" w:color="000000"/>
              <w:right w:val="single" w:sz="4" w:space="0" w:color="000000"/>
            </w:tcBorders>
            <w:shd w:val="clear" w:color="auto" w:fill="D3D3D3"/>
          </w:tcPr>
          <w:p>
            <w:pPr/>
          </w:p>
        </w:tc>
        <w:tc>
          <w:tcPr>
            <w:tcW w:w="698"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390"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251" w:hRule="exact"/>
        </w:trPr>
        <w:tc>
          <w:tcPr>
            <w:tcW w:w="317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nil" w:sz="6" w:space="0" w:color="auto"/>
              <w:left w:val="single" w:sz="4" w:space="0" w:color="000000"/>
              <w:bottom w:val="single" w:sz="4" w:space="0" w:color="000000"/>
              <w:right w:val="single" w:sz="4" w:space="0" w:color="000000"/>
            </w:tcBorders>
            <w:shd w:val="clear" w:color="auto" w:fill="D3D3D3"/>
          </w:tcPr>
          <w:p>
            <w:pPr/>
          </w:p>
        </w:tc>
        <w:tc>
          <w:tcPr>
            <w:tcW w:w="545" w:type="dxa"/>
            <w:vMerge/>
            <w:tcBorders>
              <w:left w:val="single" w:sz="4" w:space="0" w:color="000000"/>
              <w:bottom w:val="single" w:sz="4" w:space="0" w:color="000000"/>
              <w:right w:val="single" w:sz="4" w:space="0" w:color="000000"/>
            </w:tcBorders>
            <w:shd w:val="clear" w:color="auto" w:fill="D3D3D3"/>
          </w:tcPr>
          <w:p>
            <w:pPr/>
          </w:p>
        </w:tc>
        <w:tc>
          <w:tcPr>
            <w:tcW w:w="546" w:type="dxa"/>
            <w:vMerge/>
            <w:tcBorders>
              <w:left w:val="single" w:sz="4" w:space="0" w:color="000000"/>
              <w:bottom w:val="single" w:sz="4" w:space="0" w:color="000000"/>
              <w:right w:val="single" w:sz="4" w:space="0" w:color="000000"/>
            </w:tcBorders>
            <w:shd w:val="clear" w:color="auto" w:fill="D3D3D3"/>
          </w:tcPr>
          <w:p>
            <w:pPr/>
          </w:p>
        </w:tc>
        <w:tc>
          <w:tcPr>
            <w:tcW w:w="390" w:type="dxa"/>
            <w:vMerge/>
            <w:tcBorders>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0" w:type="dxa"/>
            <w:vMerge/>
            <w:tcBorders>
              <w:left w:val="single" w:sz="9" w:space="0" w:color="D3D3D3"/>
              <w:bottom w:val="single" w:sz="4" w:space="0" w:color="000000"/>
              <w:right w:val="single" w:sz="13" w:space="0" w:color="D3D3D3"/>
            </w:tcBorders>
          </w:tcPr>
          <w:p>
            <w:pPr/>
          </w:p>
        </w:tc>
        <w:tc>
          <w:tcPr>
            <w:tcW w:w="1117" w:type="dxa"/>
            <w:vMerge/>
            <w:tcBorders>
              <w:left w:val="single" w:sz="4" w:space="0" w:color="000000"/>
              <w:bottom w:val="single" w:sz="4" w:space="0" w:color="000000"/>
              <w:right w:val="single" w:sz="4" w:space="0" w:color="000000"/>
            </w:tcBorders>
            <w:shd w:val="clear" w:color="auto" w:fill="D3D3D3"/>
          </w:tcPr>
          <w:p>
            <w:pPr/>
          </w:p>
        </w:tc>
        <w:tc>
          <w:tcPr>
            <w:tcW w:w="698"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390"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1,017,698,410.00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54" w:space="0" w:color="D3D3D3"/>
              <w:left w:val="single" w:sz="4" w:space="0" w:color="000000"/>
              <w:bottom w:val="single" w:sz="4" w:space="0" w:color="000000"/>
              <w:right w:val="single" w:sz="4" w:space="0" w:color="000000"/>
            </w:tcBorders>
          </w:tcPr>
          <w:p>
            <w:pPr>
              <w:pStyle w:val="TableParagraph"/>
              <w:spacing w:line="168" w:lineRule="exact"/>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698" w:type="dxa"/>
            <w:tcBorders>
              <w:top w:val="single" w:sz="54"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173,562,266.45</w:t>
            </w:r>
          </w:p>
        </w:tc>
        <w:tc>
          <w:tcPr>
            <w:tcW w:w="390" w:type="dxa"/>
            <w:tcBorders>
              <w:top w:val="single" w:sz="54" w:space="0" w:color="D3D3D3"/>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3,056,223,925.49</w:t>
            </w: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1,017,698,410.00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2,190,121.44</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173,562,266.45</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3,056,223,925.49</w:t>
            </w:r>
          </w:p>
        </w:tc>
      </w:tr>
      <w:tr>
        <w:trPr>
          <w:trHeight w:val="49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1"/>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pacing w:val="-72"/>
                <w:sz w:val="18"/>
                <w:szCs w:val="18"/>
              </w:rPr>
              <w:t> </w:t>
            </w:r>
            <w:r>
              <w:rPr>
                <w:rFonts w:ascii="宋体" w:hAnsi="宋体" w:cs="宋体" w:eastAsia="宋体" w:hint="default"/>
                <w:sz w:val="18"/>
                <w:szCs w:val="18"/>
              </w:rPr>
              <w:t>列）</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132,213.68</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 w:right="0"/>
              <w:jc w:val="center"/>
              <w:rPr>
                <w:rFonts w:ascii="Times New Roman" w:hAnsi="Times New Roman" w:cs="Times New Roman" w:eastAsia="Times New Roman" w:hint="default"/>
                <w:sz w:val="18"/>
                <w:szCs w:val="18"/>
              </w:rPr>
            </w:pPr>
            <w:r>
              <w:rPr>
                <w:rFonts w:ascii="Times New Roman"/>
                <w:sz w:val="18"/>
              </w:rPr>
              <w:t>-39,834,519.09</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-39,702,305.41</w:t>
            </w: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132,213.68</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center"/>
              <w:rPr>
                <w:rFonts w:ascii="Times New Roman" w:hAnsi="Times New Roman" w:cs="Times New Roman" w:eastAsia="Times New Roman" w:hint="default"/>
                <w:sz w:val="18"/>
                <w:szCs w:val="18"/>
              </w:rPr>
            </w:pPr>
            <w:r>
              <w:rPr>
                <w:rFonts w:ascii="Times New Roman"/>
                <w:sz w:val="18"/>
              </w:rPr>
              <w:t>-24,569,042.94</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-24,436,829.26</w:t>
            </w: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center"/>
              <w:rPr>
                <w:rFonts w:ascii="Times New Roman" w:hAnsi="Times New Roman" w:cs="Times New Roman" w:eastAsia="Times New Roman" w:hint="default"/>
                <w:sz w:val="18"/>
                <w:szCs w:val="18"/>
              </w:rPr>
            </w:pPr>
            <w:r>
              <w:rPr>
                <w:rFonts w:ascii="Times New Roman"/>
                <w:sz w:val="18"/>
              </w:rPr>
              <w:t>-15,265,476.15</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-15,265,476.15</w:t>
            </w: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 w:right="0"/>
              <w:jc w:val="center"/>
              <w:rPr>
                <w:rFonts w:ascii="Times New Roman" w:hAnsi="Times New Roman" w:cs="Times New Roman" w:eastAsia="Times New Roman" w:hint="default"/>
                <w:sz w:val="18"/>
                <w:szCs w:val="18"/>
              </w:rPr>
            </w:pPr>
            <w:r>
              <w:rPr>
                <w:rFonts w:ascii="Times New Roman"/>
                <w:sz w:val="18"/>
              </w:rPr>
              <w:t>-15,265,476.15</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-15,265,476.15</w:t>
            </w: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1,017,698,410.00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1,809,704,919.76</w:t>
            </w:r>
          </w:p>
        </w:tc>
        <w:tc>
          <w:tcPr>
            <w:tcW w:w="880"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2,322,335.12</w:t>
            </w:r>
          </w:p>
        </w:tc>
        <w:tc>
          <w:tcPr>
            <w:tcW w:w="69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53,068,207.84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133,727,747.36</w:t>
            </w:r>
          </w:p>
        </w:tc>
        <w:tc>
          <w:tcPr>
            <w:tcW w:w="3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3,016,521,620.08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4" w:right="1117" w:hanging="189"/>
        <w:jc w:val="left"/>
      </w:pPr>
      <w:r>
        <w:rPr>
          <w:rFonts w:ascii="宋体" w:hAnsi="宋体" w:cs="宋体" w:eastAsia="宋体" w:hint="default"/>
          <w:b/>
          <w:bCs/>
        </w:rPr>
        <w:t>（一）公司概况</w:t>
      </w:r>
      <w:r>
        <w:rPr>
          <w:rFonts w:ascii="宋体" w:hAnsi="宋体" w:cs="宋体" w:eastAsia="宋体" w:hint="default"/>
          <w:b/>
          <w:bCs/>
          <w:w w:val="99"/>
        </w:rPr>
        <w:t> </w:t>
      </w:r>
      <w:r>
        <w:rPr/>
        <w:t>浙江华媒控股股份有限公司（以下简称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）系由浙江华智控股股份有限公司更名而来，其前身为重庆</w:t>
      </w:r>
    </w:p>
    <w:p>
      <w:pPr>
        <w:pStyle w:val="BodyText"/>
        <w:spacing w:line="300" w:lineRule="auto"/>
        <w:ind w:right="1128"/>
        <w:jc w:val="both"/>
      </w:pPr>
      <w:r>
        <w:rPr>
          <w:spacing w:val="-1"/>
        </w:rPr>
        <w:t>川仪股份有限公司，系于</w:t>
      </w:r>
      <w:r>
        <w:rPr>
          <w:rFonts w:ascii="Times New Roman" w:hAnsi="Times New Roman" w:cs="Times New Roman" w:eastAsia="Times New Roman" w:hint="default"/>
          <w:spacing w:val="-1"/>
        </w:rPr>
        <w:t>1993</w:t>
      </w:r>
      <w:r>
        <w:rPr>
          <w:spacing w:val="-1"/>
        </w:rPr>
        <w:t>年经重庆市体改委体改发</w:t>
      </w:r>
      <w:r>
        <w:rPr>
          <w:rFonts w:ascii="Times New Roman" w:hAnsi="Times New Roman" w:cs="Times New Roman" w:eastAsia="Times New Roman" w:hint="default"/>
          <w:spacing w:val="-1"/>
        </w:rPr>
        <w:t>[1993]30</w:t>
      </w:r>
      <w:r>
        <w:rPr>
          <w:spacing w:val="-1"/>
        </w:rPr>
        <w:t>号文批准设立的定向募集股份有限公司，于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月和</w:t>
      </w:r>
      <w:r>
        <w:rPr>
          <w:rFonts w:ascii="Times New Roman" w:hAnsi="Times New Roman" w:cs="Times New Roman" w:eastAsia="Times New Roman" w:hint="default"/>
          <w:spacing w:val="-1"/>
        </w:rPr>
        <w:t>7</w:t>
      </w:r>
      <w:r>
        <w:rPr>
          <w:spacing w:val="-1"/>
        </w:rPr>
        <w:t>月</w:t>
      </w:r>
      <w:r>
        <w:rPr>
          <w:spacing w:val="-50"/>
        </w:rPr>
        <w:t> </w:t>
      </w:r>
      <w:r>
        <w:rPr>
          <w:spacing w:val="-2"/>
        </w:rPr>
        <w:t>分别进行了股权转让和重大资产重组，华方医药科技有限公司（原名华立产业集团有限公司，以下简称</w:t>
      </w:r>
      <w:r>
        <w:rPr>
          <w:rFonts w:ascii="Times New Roman" w:hAnsi="Times New Roman" w:cs="Times New Roman" w:eastAsia="Times New Roman" w:hint="default"/>
          <w:spacing w:val="-2"/>
        </w:rPr>
        <w:t>“</w:t>
      </w:r>
      <w:r>
        <w:rPr>
          <w:spacing w:val="-2"/>
        </w:rPr>
        <w:t>华方医药</w:t>
      </w:r>
      <w:r>
        <w:rPr>
          <w:rFonts w:ascii="Times New Roman" w:hAnsi="Times New Roman" w:cs="Times New Roman" w:eastAsia="Times New Roman" w:hint="default"/>
          <w:spacing w:val="-2"/>
        </w:rPr>
        <w:t>”</w:t>
      </w:r>
      <w:r>
        <w:rPr>
          <w:spacing w:val="-2"/>
        </w:rPr>
        <w:t>）成为公</w:t>
      </w:r>
      <w:r>
        <w:rPr>
          <w:spacing w:val="-44"/>
        </w:rPr>
        <w:t> </w:t>
      </w:r>
      <w:r>
        <w:rPr>
          <w:spacing w:val="-44"/>
        </w:rPr>
      </w:r>
      <w:r>
        <w:rPr>
          <w:spacing w:val="-3"/>
        </w:rPr>
        <w:t>司第一大股东。</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10</w:t>
      </w:r>
      <w:r>
        <w:rPr>
          <w:spacing w:val="-3"/>
        </w:rPr>
        <w:t>月公司更名为重庆华立控股股份有限公司，</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月更名为重庆华立药业股份有限公司。根据</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33"/>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日华方医药与华立集团股份有限公司（以下简称</w:t>
      </w:r>
      <w:r>
        <w:rPr>
          <w:rFonts w:ascii="Times New Roman" w:hAnsi="Times New Roman" w:cs="Times New Roman" w:eastAsia="Times New Roman" w:hint="default"/>
          <w:spacing w:val="-2"/>
        </w:rPr>
        <w:t>“</w:t>
      </w:r>
      <w:r>
        <w:rPr>
          <w:spacing w:val="-2"/>
        </w:rPr>
        <w:t>华立集团</w:t>
      </w:r>
      <w:r>
        <w:rPr>
          <w:rFonts w:ascii="Times New Roman" w:hAnsi="Times New Roman" w:cs="Times New Roman" w:eastAsia="Times New Roman" w:hint="default"/>
          <w:spacing w:val="-2"/>
        </w:rPr>
        <w:t>”</w:t>
      </w:r>
      <w:r>
        <w:rPr>
          <w:spacing w:val="-2"/>
        </w:rPr>
        <w:t>）签订的股权转让合同，华方医药将持有公司</w:t>
      </w:r>
      <w:r>
        <w:rPr>
          <w:rFonts w:ascii="Times New Roman" w:hAnsi="Times New Roman" w:cs="Times New Roman" w:eastAsia="Times New Roman" w:hint="default"/>
          <w:spacing w:val="-2"/>
        </w:rPr>
        <w:t>23.52%</w:t>
      </w:r>
      <w:r>
        <w:rPr>
          <w:spacing w:val="-2"/>
        </w:rPr>
        <w:t>的股</w:t>
      </w:r>
      <w:r>
        <w:rPr>
          <w:spacing w:val="-53"/>
        </w:rPr>
        <w:t> </w:t>
      </w:r>
      <w:r>
        <w:rPr/>
        <w:t>份转让给华立集团，华立集团成为公司第一大股东。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日，公司名称变更为重庆华智控股股份有限公司。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12</w:t>
      </w:r>
      <w:r>
        <w:rPr/>
        <w:t>月公司更名为浙江华智控股股份有限公司。</w:t>
      </w:r>
    </w:p>
    <w:p>
      <w:pPr>
        <w:pStyle w:val="BodyText"/>
        <w:spacing w:line="300" w:lineRule="auto" w:before="13"/>
        <w:ind w:right="1131" w:firstLine="420"/>
        <w:jc w:val="both"/>
      </w:pPr>
      <w:r>
        <w:rPr>
          <w:rFonts w:ascii="Times New Roman" w:hAnsi="Times New Roman" w:cs="Times New Roman" w:eastAsia="Times New Roman" w:hint="default"/>
          <w:spacing w:val="-1"/>
        </w:rPr>
        <w:t>1996</w:t>
      </w:r>
      <w:r>
        <w:rPr>
          <w:spacing w:val="-1"/>
        </w:rPr>
        <w:t>年公司经批准向社会公开发行</w:t>
      </w:r>
      <w:r>
        <w:rPr>
          <w:rFonts w:ascii="Times New Roman" w:hAnsi="Times New Roman" w:cs="Times New Roman" w:eastAsia="Times New Roman" w:hint="default"/>
          <w:spacing w:val="-1"/>
        </w:rPr>
        <w:t>A</w:t>
      </w:r>
      <w:r>
        <w:rPr>
          <w:spacing w:val="-1"/>
        </w:rPr>
        <w:t>股股票，同年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4,500</w:t>
      </w:r>
      <w:r>
        <w:rPr>
          <w:spacing w:val="-1"/>
        </w:rPr>
        <w:t>万股人民币普通股股票在深交所挂牌上市。经历次增</w:t>
      </w:r>
      <w:r>
        <w:rPr/>
        <w:t> 资，截至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w:t>
      </w:r>
      <w:r>
        <w:rPr>
          <w:rFonts w:ascii="Times New Roman" w:hAnsi="Times New Roman" w:cs="Times New Roman" w:eastAsia="Times New Roman" w:hint="default"/>
        </w:rPr>
        <w:t>487,731,995.00</w:t>
      </w:r>
      <w:r>
        <w:rPr/>
        <w:t>元，股份</w:t>
      </w:r>
      <w:r>
        <w:rPr>
          <w:rFonts w:ascii="Times New Roman" w:hAnsi="Times New Roman" w:cs="Times New Roman" w:eastAsia="Times New Roman" w:hint="default"/>
        </w:rPr>
        <w:t>487,731,995</w:t>
      </w:r>
      <w:r>
        <w:rPr/>
        <w:t>股，均为无限售条件流通股。</w:t>
      </w:r>
    </w:p>
    <w:p>
      <w:pPr>
        <w:pStyle w:val="BodyText"/>
        <w:spacing w:line="304" w:lineRule="auto" w:before="13"/>
        <w:ind w:left="153" w:right="1118" w:firstLine="420"/>
        <w:jc w:val="both"/>
      </w:pPr>
      <w:r>
        <w:rPr/>
        <w:t>根据浙江华智控股股份有限公司</w:t>
      </w:r>
      <w:r>
        <w:rPr>
          <w:rFonts w:ascii="Times New Roman" w:hAnsi="Times New Roman" w:cs="Times New Roman" w:eastAsia="Times New Roman" w:hint="default"/>
        </w:rPr>
        <w:t>2014</w:t>
      </w:r>
      <w:r>
        <w:rPr/>
        <w:t>年第七届董事会第十一次会议决议和</w:t>
      </w:r>
      <w:r>
        <w:rPr>
          <w:rFonts w:ascii="Times New Roman" w:hAnsi="Times New Roman" w:cs="Times New Roman" w:eastAsia="Times New Roman" w:hint="default"/>
        </w:rPr>
        <w:t>2014</w:t>
      </w:r>
      <w:r>
        <w:rPr/>
        <w:t>年第一次临时股东大会决议、</w:t>
      </w:r>
      <w:r>
        <w:rPr>
          <w:rFonts w:ascii="Times New Roman" w:hAnsi="Times New Roman" w:cs="Times New Roman" w:eastAsia="Times New Roman" w:hint="default"/>
        </w:rPr>
        <w:t>2014</w:t>
      </w:r>
      <w:r>
        <w:rPr/>
        <w:t>年第</w:t>
      </w:r>
      <w:r>
        <w:rPr>
          <w:spacing w:val="2"/>
        </w:rPr>
        <w:t> </w:t>
      </w:r>
      <w:r>
        <w:rPr>
          <w:spacing w:val="-2"/>
        </w:rPr>
        <w:t>二次临时股东大会决议，并经中共中央宣传部出具《关于同意杭州日报报业集团下属经营性资产借壳上市方案的函》、国家</w:t>
      </w:r>
      <w:r>
        <w:rPr>
          <w:spacing w:val="-66"/>
        </w:rPr>
        <w:t> </w:t>
      </w:r>
      <w:r>
        <w:rPr>
          <w:spacing w:val="-66"/>
        </w:rPr>
      </w:r>
      <w:r>
        <w:rPr>
          <w:spacing w:val="-1"/>
        </w:rPr>
        <w:t>新闻出版广电总局出具《关于同意杭州日报报业集团借壳上市的批复》（新出审字</w:t>
      </w:r>
      <w:r>
        <w:rPr>
          <w:rFonts w:ascii="Times New Roman" w:hAnsi="Times New Roman" w:cs="Times New Roman" w:eastAsia="Times New Roman" w:hint="default"/>
          <w:spacing w:val="-1"/>
        </w:rPr>
        <w:t>[2013]1684</w:t>
      </w:r>
      <w:r>
        <w:rPr>
          <w:spacing w:val="-1"/>
        </w:rPr>
        <w:t>号）、浙江省财政厅出具《关</w:t>
      </w:r>
      <w:r>
        <w:rPr>
          <w:spacing w:val="-56"/>
        </w:rPr>
        <w:t> </w:t>
      </w:r>
      <w:r>
        <w:rPr>
          <w:spacing w:val="-56"/>
        </w:rPr>
      </w:r>
      <w:r>
        <w:rPr>
          <w:spacing w:val="-1"/>
        </w:rPr>
        <w:t>于同意杭报集团下属传媒经营性资产借壳上市方案的批复》（浙财文资</w:t>
      </w:r>
      <w:r>
        <w:rPr>
          <w:rFonts w:ascii="Times New Roman" w:hAnsi="Times New Roman" w:cs="Times New Roman" w:eastAsia="Times New Roman" w:hint="default"/>
          <w:spacing w:val="-1"/>
        </w:rPr>
        <w:t>[2014]11</w:t>
      </w:r>
      <w:r>
        <w:rPr>
          <w:spacing w:val="-1"/>
        </w:rPr>
        <w:t>号）、中国证券监督管理委员会《关于核准</w:t>
      </w:r>
      <w:r>
        <w:rPr>
          <w:spacing w:val="-57"/>
        </w:rPr>
        <w:t> </w:t>
      </w:r>
      <w:r>
        <w:rPr>
          <w:spacing w:val="-57"/>
        </w:rPr>
      </w:r>
      <w:r>
        <w:rPr>
          <w:spacing w:val="12"/>
        </w:rPr>
        <w:t>浙江华智控股股份有限公司重大资产重组及向杭州日报报业集团有限公司等发行股份购买资产的批复》（证监许可</w:t>
      </w:r>
      <w:r>
        <w:rPr>
          <w:spacing w:val="-49"/>
        </w:rPr>
        <w:t> </w:t>
      </w:r>
      <w:r>
        <w:rPr>
          <w:spacing w:val="-49"/>
        </w:rPr>
      </w:r>
      <w:r>
        <w:rPr>
          <w:rFonts w:ascii="Times New Roman" w:hAnsi="Times New Roman" w:cs="Times New Roman" w:eastAsia="Times New Roman" w:hint="default"/>
          <w:spacing w:val="-1"/>
        </w:rPr>
        <w:t>[2014]1274</w:t>
      </w:r>
      <w:r>
        <w:rPr>
          <w:spacing w:val="-1"/>
        </w:rPr>
        <w:t>号）及《关于核准豁免杭州日报报业集团有限公司及一致行动人要约收购浙江华智控股股份有限公司股份义务的</w:t>
      </w:r>
      <w:r>
        <w:rPr>
          <w:spacing w:val="-54"/>
        </w:rPr>
        <w:t> </w:t>
      </w:r>
      <w:r>
        <w:rPr>
          <w:spacing w:val="-54"/>
        </w:rPr>
      </w:r>
      <w:r>
        <w:rPr>
          <w:spacing w:val="2"/>
        </w:rPr>
        <w:t>批复》（证监许可</w:t>
      </w:r>
      <w:r>
        <w:rPr>
          <w:rFonts w:ascii="Times New Roman" w:hAnsi="Times New Roman" w:cs="Times New Roman" w:eastAsia="Times New Roman" w:hint="default"/>
          <w:spacing w:val="2"/>
        </w:rPr>
        <w:t>[2014]1275</w:t>
      </w:r>
      <w:r>
        <w:rPr>
          <w:spacing w:val="2"/>
        </w:rPr>
        <w:t>号）批准，浙江华智控股股份有限公司对杭州日报报业集团有限公司和都市快报社发行股份</w:t>
      </w:r>
      <w:r>
        <w:rPr>
          <w:spacing w:val="-64"/>
        </w:rPr>
        <w:t> </w:t>
      </w:r>
      <w:r>
        <w:rPr>
          <w:spacing w:val="-64"/>
        </w:rPr>
      </w:r>
      <w:r>
        <w:rPr>
          <w:rFonts w:ascii="Times New Roman" w:hAnsi="Times New Roman" w:cs="Times New Roman" w:eastAsia="Times New Roman" w:hint="default"/>
          <w:spacing w:val="-2"/>
        </w:rPr>
        <w:t>529,966,415</w:t>
      </w:r>
      <w:r>
        <w:rPr>
          <w:spacing w:val="-2"/>
        </w:rPr>
        <w:t>股，购买杭州日报报业集团有限公司和都市快报社拥有的传媒类</w:t>
      </w:r>
      <w:r>
        <w:rPr>
          <w:rFonts w:ascii="Times New Roman" w:hAnsi="Times New Roman" w:cs="Times New Roman" w:eastAsia="Times New Roman" w:hint="default"/>
          <w:spacing w:val="-2"/>
        </w:rPr>
        <w:t>11</w:t>
      </w:r>
      <w:r>
        <w:rPr>
          <w:spacing w:val="-2"/>
        </w:rPr>
        <w:t>家企业股权。上述交易完成后，杭州日报报业</w:t>
      </w:r>
      <w:r>
        <w:rPr>
          <w:spacing w:val="-54"/>
        </w:rPr>
        <w:t> </w:t>
      </w:r>
      <w:r>
        <w:rPr>
          <w:spacing w:val="-54"/>
        </w:rPr>
      </w:r>
      <w:r>
        <w:rPr/>
        <w:t>集团有限公司成为本公司的控股股东，杭州日报报业集团（杭州日报社）持有杭州日报报业集团有限公司</w:t>
      </w:r>
      <w:r>
        <w:rPr>
          <w:rFonts w:ascii="Times New Roman" w:hAnsi="Times New Roman" w:cs="Times New Roman" w:eastAsia="Times New Roman" w:hint="default"/>
        </w:rPr>
        <w:t>100%</w:t>
      </w:r>
      <w:r>
        <w:rPr/>
        <w:t>股权、成为</w:t>
      </w:r>
      <w:r>
        <w:rPr>
          <w:spacing w:val="-56"/>
        </w:rPr>
        <w:t> </w:t>
      </w:r>
      <w:r>
        <w:rPr>
          <w:spacing w:val="-56"/>
        </w:rPr>
      </w:r>
      <w:r>
        <w:rPr/>
        <w:t>本公司的实际控制人。</w:t>
      </w:r>
    </w:p>
    <w:p>
      <w:pPr>
        <w:pStyle w:val="BodyText"/>
        <w:spacing w:line="316" w:lineRule="auto" w:before="28"/>
        <w:ind w:left="153" w:right="1126" w:firstLine="420"/>
        <w:jc w:val="both"/>
      </w:pPr>
      <w:r>
        <w:rPr/>
        <w:t>本公司的基本组织架构：根据国家法律法规和公司章程的规定，建立了由股东大会、董事会、监事会及经营管理层组</w:t>
      </w:r>
      <w:r>
        <w:rPr>
          <w:spacing w:val="1"/>
        </w:rPr>
        <w:t> </w:t>
      </w:r>
      <w:r>
        <w:rPr>
          <w:spacing w:val="-2"/>
        </w:rPr>
        <w:t>成的规范的多层次治理结构；董事会下设关联交易控制委员会、战略与投资委员会、薪酬与考核委员会、提名委员会、审计</w:t>
      </w:r>
      <w:r>
        <w:rPr>
          <w:spacing w:val="-66"/>
        </w:rPr>
        <w:t> </w:t>
      </w:r>
      <w:r>
        <w:rPr>
          <w:spacing w:val="-66"/>
        </w:rPr>
      </w:r>
      <w:r>
        <w:rPr>
          <w:spacing w:val="-2"/>
        </w:rPr>
        <w:t>委员会五个专门委员会和董事会办公室。公司下设总经办（媒体事业部）、人力资源部（党群工作部）、财务部（资金结算</w:t>
      </w:r>
      <w:r>
        <w:rPr>
          <w:spacing w:val="-67"/>
        </w:rPr>
        <w:t> </w:t>
      </w:r>
      <w:r>
        <w:rPr>
          <w:spacing w:val="-67"/>
        </w:rPr>
      </w:r>
      <w:r>
        <w:rPr/>
        <w:t>中心）、战略投资部、产业运营部、新媒体部、融资部等主要职能部门。</w:t>
      </w:r>
    </w:p>
    <w:p>
      <w:pPr>
        <w:pStyle w:val="BodyText"/>
        <w:spacing w:line="316" w:lineRule="auto" w:before="19"/>
        <w:ind w:left="153" w:right="0" w:firstLine="420"/>
        <w:jc w:val="left"/>
      </w:pPr>
      <w:r>
        <w:rPr>
          <w:spacing w:val="-2"/>
        </w:rPr>
        <w:t>本公司及各子公司主要从事：设计、制作、代理、发布国内各类广告，实业投资，新媒体技术开发，经营进出口业务，</w:t>
      </w:r>
      <w:r>
        <w:rPr/>
        <w:t> </w:t>
      </w:r>
      <w:r>
        <w:rPr>
          <w:spacing w:val="-2"/>
        </w:rPr>
        <w:t>会展服务，教育培训，印刷，批发、零售：图书报刊，电子出版物，日用品，化妆品，家用电器，电子产品，五金，通信设</w:t>
      </w:r>
      <w:r>
        <w:rPr>
          <w:spacing w:val="-73"/>
        </w:rPr>
        <w:t> </w:t>
      </w:r>
      <w:r>
        <w:rPr>
          <w:spacing w:val="-73"/>
        </w:rPr>
      </w:r>
      <w:r>
        <w:rPr/>
        <w:t>备。（上述经营范围不含国家法律法规规定禁止、限制和许可经营的项目）。</w:t>
      </w:r>
    </w:p>
    <w:p>
      <w:pPr>
        <w:pStyle w:val="BodyText"/>
        <w:spacing w:line="240" w:lineRule="auto" w:before="19"/>
        <w:ind w:left="573" w:right="0"/>
        <w:jc w:val="left"/>
      </w:pPr>
      <w:r>
        <w:rPr/>
        <w:t>本财务报表及财务报表附注已于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日经公司董事会批准对外报出。</w:t>
      </w:r>
    </w:p>
    <w:p>
      <w:pPr>
        <w:pStyle w:val="BodyText"/>
        <w:spacing w:line="316" w:lineRule="auto" w:before="63"/>
        <w:ind w:left="574" w:right="1170" w:hanging="189"/>
        <w:jc w:val="left"/>
      </w:pPr>
      <w:r>
        <w:rPr>
          <w:rFonts w:ascii="宋体" w:hAnsi="宋体" w:cs="宋体" w:eastAsia="宋体" w:hint="default"/>
          <w:b/>
          <w:bCs/>
        </w:rPr>
        <w:t>（二）合并范围</w:t>
      </w:r>
      <w:r>
        <w:rPr>
          <w:rFonts w:ascii="宋体" w:hAnsi="宋体" w:cs="宋体" w:eastAsia="宋体" w:hint="default"/>
          <w:b/>
          <w:bCs/>
          <w:w w:val="99"/>
        </w:rPr>
        <w:t> </w:t>
      </w:r>
      <w:r>
        <w:rPr/>
        <w:t>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93</w:t>
      </w:r>
      <w:r>
        <w:rPr/>
        <w:t>家，详见本节、九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。与上年度相比，本公司本年度</w:t>
      </w:r>
    </w:p>
    <w:p>
      <w:pPr>
        <w:pStyle w:val="BodyText"/>
        <w:spacing w:line="248" w:lineRule="exact"/>
        <w:ind w:right="0"/>
        <w:jc w:val="both"/>
      </w:pPr>
      <w:r>
        <w:rPr/>
        <w:t>合并范围增加</w:t>
      </w:r>
      <w:r>
        <w:rPr>
          <w:rFonts w:ascii="Times New Roman" w:hAnsi="Times New Roman" w:cs="Times New Roman" w:eastAsia="Times New Roman" w:hint="default"/>
        </w:rPr>
        <w:t>5</w:t>
      </w:r>
      <w:r>
        <w:rPr/>
        <w:t>家，注销</w:t>
      </w:r>
      <w:r>
        <w:rPr>
          <w:rFonts w:ascii="Times New Roman" w:hAnsi="Times New Roman" w:cs="Times New Roman" w:eastAsia="Times New Roman" w:hint="default"/>
        </w:rPr>
        <w:t>2</w:t>
      </w:r>
      <w:r>
        <w:rPr/>
        <w:t>家，详见本节、八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08" w:firstLine="290"/>
        <w:jc w:val="both"/>
      </w:pPr>
      <w:r>
        <w:rPr/>
        <w:t>本公司以持续经营为基础，根据实际发生的交易和事项，按照财政部颁布的《企业会计准则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 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 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pStyle w:val="Heading3"/>
        <w:spacing w:line="612" w:lineRule="exact" w:before="44"/>
        <w:ind w:left="423" w:right="2471" w:hanging="270"/>
        <w:jc w:val="left"/>
        <w:rPr>
          <w:b w:val="0"/>
          <w:bCs w:val="0"/>
        </w:rPr>
      </w:pPr>
      <w:r>
        <w:rPr>
          <w:rFonts w:ascii="Times New Roman" w:hAnsi="Times New Roman" w:cs="Times New Roman" w:eastAsia="Times New Roman" w:hint="default"/>
        </w:rPr>
        <w:t>2</w:t>
      </w:r>
      <w:r>
        <w:rPr/>
        <w:t>、持续经营</w:t>
      </w:r>
      <w:r>
        <w:rPr>
          <w:spacing w:val="1"/>
          <w:w w:val="99"/>
        </w:rPr>
        <w:t> </w:t>
      </w:r>
      <w:r>
        <w:rPr/>
        <w:t>本公司不存在导致对报告期末起</w:t>
      </w:r>
      <w:r>
        <w:rPr>
          <w:rFonts w:ascii="Times New Roman" w:hAnsi="Times New Roman" w:cs="Times New Roman" w:eastAsia="Times New Roman" w:hint="default"/>
        </w:rPr>
        <w:t>12</w:t>
      </w:r>
      <w:r>
        <w:rPr/>
        <w:t>个月内的持续经营假设产生重大疑虑的事项或情况。</w:t>
      </w:r>
      <w:r>
        <w:rPr>
          <w:b w:val="0"/>
          <w:bCs w:val="0"/>
        </w:rPr>
      </w:r>
    </w:p>
    <w:p>
      <w:pPr>
        <w:spacing w:after="0" w:line="612" w:lineRule="exact"/>
        <w:jc w:val="left"/>
        <w:sectPr>
          <w:headerReference w:type="default" r:id="rId33"/>
          <w:footerReference w:type="default" r:id="rId34"/>
          <w:pgSz w:w="11910" w:h="16840"/>
          <w:pgMar w:header="877" w:footer="982" w:top="1100" w:bottom="1180" w:left="980" w:right="0"/>
          <w:pgNumType w:start="81"/>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73" w:right="0" w:hanging="420"/>
        <w:jc w:val="left"/>
      </w:pPr>
      <w:r>
        <w:rPr/>
        <w:t>具体会计政策和会计估计提示： 本公司及各子公司从事报刊发行业广告策划及印刷相关业务、信息服务业务、教育培训业务。本公司及各子公司根据</w:t>
      </w:r>
    </w:p>
    <w:p>
      <w:pPr>
        <w:pStyle w:val="BodyText"/>
        <w:spacing w:line="224" w:lineRule="exact"/>
        <w:ind w:left="153" w:right="0"/>
        <w:jc w:val="left"/>
      </w:pPr>
      <w:r>
        <w:rPr/>
        <w:t>实际生产经营特点，依据相关企业会计准则的规定，对收入确认、研究开发支出等交易和事项制定了若干项具体会计政策和</w:t>
      </w:r>
    </w:p>
    <w:p>
      <w:pPr>
        <w:pStyle w:val="BodyText"/>
        <w:spacing w:line="300" w:lineRule="auto" w:before="76"/>
        <w:ind w:left="153" w:right="0"/>
        <w:jc w:val="left"/>
      </w:pPr>
      <w:r>
        <w:rPr>
          <w:spacing w:val="-2"/>
        </w:rPr>
        <w:t>会计估计，具体会计政策参见第十二节、五（</w:t>
      </w:r>
      <w:r>
        <w:rPr>
          <w:rFonts w:ascii="Times New Roman" w:hAnsi="Times New Roman" w:cs="Times New Roman" w:eastAsia="Times New Roman" w:hint="default"/>
          <w:spacing w:val="-2"/>
        </w:rPr>
        <w:t>39</w:t>
      </w:r>
      <w:r>
        <w:rPr>
          <w:spacing w:val="-2"/>
        </w:rPr>
        <w:t>、</w:t>
      </w:r>
      <w:r>
        <w:rPr>
          <w:rFonts w:ascii="Times New Roman" w:hAnsi="Times New Roman" w:cs="Times New Roman" w:eastAsia="Times New Roman" w:hint="default"/>
          <w:spacing w:val="-2"/>
        </w:rPr>
        <w:t>43</w:t>
      </w:r>
      <w:r>
        <w:rPr>
          <w:spacing w:val="-2"/>
        </w:rPr>
        <w:t>）等相关说明。关于管理层所作出的重大会计判断和估计的说明，请参</w:t>
      </w:r>
      <w:r>
        <w:rPr>
          <w:spacing w:val="-61"/>
        </w:rPr>
        <w:t> </w:t>
      </w:r>
      <w:r>
        <w:rPr>
          <w:spacing w:val="-61"/>
        </w:rPr>
      </w:r>
      <w:r>
        <w:rPr/>
        <w:t>见第十二节、五</w:t>
      </w:r>
      <w:r>
        <w:rPr>
          <w:rFonts w:ascii="Times New Roman" w:hAnsi="Times New Roman" w:cs="Times New Roman" w:eastAsia="Times New Roman" w:hint="default"/>
        </w:rPr>
        <w:t>(43</w:t>
      </w:r>
      <w:r>
        <w:rPr/>
        <w:t>、</w:t>
      </w:r>
      <w:r>
        <w:rPr>
          <w:rFonts w:ascii="Times New Roman" w:hAnsi="Times New Roman" w:cs="Times New Roman" w:eastAsia="Times New Roman" w:hint="default"/>
        </w:rPr>
        <w:t>44)</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6" w:firstLine="420"/>
        <w:jc w:val="both"/>
      </w:pPr>
      <w:r>
        <w:rPr/>
        <w:t>本公司编制的财务报表符合企业会计准则的要求，真实、完整地反映了公司的财务状况、经营成果和现金流量等有关</w:t>
      </w:r>
      <w:r>
        <w:rPr>
          <w:spacing w:val="1"/>
        </w:rPr>
        <w:t> </w:t>
      </w:r>
      <w:r>
        <w:rPr/>
        <w:t>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6" w:firstLine="42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1"/>
        </w:rPr>
        <w:t> </w:t>
      </w:r>
      <w:r>
        <w:rPr/>
        <w:t>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6371"/>
        <w:jc w:val="left"/>
      </w:pPr>
      <w:r>
        <w:rPr/>
        <w:t>本公司及境内子公司采用人民币为记账本位币。 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6" w:firstLine="420"/>
        <w:jc w:val="both"/>
      </w:pPr>
      <w:r>
        <w:rPr/>
        <w:t>企业合并，是指将两个或两个以上单独的企业合并形成一个报告主体的交易或事项。企业合并分为同一控制下企业合</w:t>
      </w:r>
      <w:r>
        <w:rPr>
          <w:spacing w:val="1"/>
        </w:rPr>
        <w:t> </w:t>
      </w:r>
      <w:r>
        <w:rPr/>
        <w:t>并和非同一控制下企业合并。</w:t>
      </w:r>
    </w:p>
    <w:p>
      <w:pPr>
        <w:pStyle w:val="BodyText"/>
        <w:spacing w:line="309" w:lineRule="auto" w:before="19"/>
        <w:ind w:left="573" w:right="0"/>
        <w:jc w:val="left"/>
      </w:pPr>
      <w:r>
        <w:rPr/>
        <w:t>（</w:t>
      </w:r>
      <w:r>
        <w:rPr>
          <w:rFonts w:ascii="Times New Roman" w:hAnsi="Times New Roman" w:cs="Times New Roman" w:eastAsia="Times New Roman" w:hint="default"/>
        </w:rPr>
        <w:t>1</w:t>
      </w:r>
      <w:r>
        <w:rPr/>
        <w:t>）同一控制下企业合并的会计处理 参与合并的企业在合并前后均受同一方或相同的多方最终控制，且该控制并非暂时性的，为同一控制下的企业合并。 公司在企业合并中取得的被合并方的资产、负债，除因会计政策不同而进行的调整以外，按照合并日被合并方在最终</w:t>
      </w:r>
    </w:p>
    <w:p>
      <w:pPr>
        <w:pStyle w:val="BodyText"/>
        <w:spacing w:line="316" w:lineRule="auto" w:before="24"/>
        <w:ind w:right="0"/>
        <w:jc w:val="left"/>
      </w:pPr>
      <w:r>
        <w:rPr>
          <w:spacing w:val="-2"/>
        </w:rPr>
        <w:t>控制方合并财务报表中的账面价值计量。公司取得的被合并方所有者权益在最终控制方合并财务报表中的账面价值的份额与</w:t>
      </w:r>
      <w:r>
        <w:rPr>
          <w:spacing w:val="-64"/>
        </w:rPr>
        <w:t> </w:t>
      </w:r>
      <w:r>
        <w:rPr>
          <w:spacing w:val="-64"/>
        </w:rPr>
      </w:r>
      <w:r>
        <w:rPr/>
        <w:t>支付的合并对价账面价值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314" w:lineRule="auto"/>
        <w:ind w:right="1126" w:firstLine="420"/>
        <w:jc w:val="both"/>
      </w:pPr>
      <w:r>
        <w:rPr/>
        <w:t>通过多次交易分步实现同一控制下的企业合并，合并前持有投资的账面价值加上合并日新支付对价的账面价值之和，</w:t>
      </w:r>
      <w:r>
        <w:rPr>
          <w:spacing w:val="1"/>
        </w:rPr>
        <w:t> </w:t>
      </w:r>
      <w:r>
        <w:rPr>
          <w:spacing w:val="-1"/>
        </w:rPr>
        <w:t>与合并中取得的净资产账面价值的差额，调整资本公积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，资本公积不足冲减的，调整留存收益。合并方在取得被</w:t>
      </w:r>
      <w:r>
        <w:rPr>
          <w:spacing w:val="-58"/>
        </w:rPr>
        <w:t> </w:t>
      </w:r>
      <w:r>
        <w:rPr>
          <w:spacing w:val="-58"/>
        </w:rPr>
      </w:r>
      <w:r>
        <w:rPr>
          <w:spacing w:val="-2"/>
        </w:rPr>
        <w:t>合并方控制权之前持有的长期股权投资，在取得原股权之日与合并方与被合并方同处于同一方最终控制之日孰晚日起至合并</w:t>
      </w:r>
      <w:r>
        <w:rPr>
          <w:spacing w:val="-64"/>
        </w:rPr>
        <w:t> </w:t>
      </w:r>
      <w:r>
        <w:rPr>
          <w:spacing w:val="-64"/>
        </w:rPr>
      </w:r>
      <w:r>
        <w:rPr>
          <w:spacing w:val="-2"/>
        </w:rPr>
        <w:t>日之间已确认有关损益、其他综合收益和其他所有者权益变动，应分别冲减比较报表期间的期初留存收益或当期损益，由于</w:t>
      </w:r>
      <w:r>
        <w:rPr>
          <w:spacing w:val="-66"/>
        </w:rPr>
        <w:t> </w:t>
      </w:r>
      <w:r>
        <w:rPr>
          <w:spacing w:val="-66"/>
        </w:rPr>
      </w:r>
      <w:r>
        <w:rPr/>
        <w:t>被投资方重新计量设定受益计划净负债或净资产变动而产生的其他综合收益除外。</w:t>
      </w:r>
    </w:p>
    <w:p>
      <w:pPr>
        <w:pStyle w:val="BodyText"/>
        <w:spacing w:line="309" w:lineRule="auto" w:before="20"/>
        <w:ind w:left="573" w:right="0" w:firstLine="3"/>
        <w:jc w:val="left"/>
      </w:pPr>
      <w:r>
        <w:rPr/>
        <w:t>（</w:t>
      </w: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参与合并的企业在合并前后不受同一方或相同的多方最终控制的，为非同一控制下的企业合并。 公司在购买日对合并成本大于合并中取得的被购买方可辨认净资产公允价值份额的差额，确认为商誉；对于合并成本</w:t>
      </w:r>
    </w:p>
    <w:p>
      <w:pPr>
        <w:pStyle w:val="BodyText"/>
        <w:spacing w:line="240" w:lineRule="auto" w:before="24"/>
        <w:ind w:right="0"/>
        <w:jc w:val="left"/>
      </w:pPr>
      <w:r>
        <w:rPr/>
        <w:t>小于合并中取得的被购买方可辨认净资产公允价值份额，首先对取得的被购买方各项可辨认资产、负债及或有负债的公允价</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17"/>
        <w:jc w:val="left"/>
      </w:pP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309" w:lineRule="auto" w:before="19"/>
        <w:ind w:left="153" w:right="1126" w:firstLine="420"/>
        <w:jc w:val="both"/>
      </w:pPr>
      <w:r>
        <w:rPr/>
        <w:t>如果在购买日或合并当期期末，因各种因素影响无法合理确定作为合并对价付出的各项资产的公允价值，或合并中取</w:t>
      </w:r>
      <w:r>
        <w:rPr>
          <w:spacing w:val="1"/>
        </w:rPr>
        <w:t> </w:t>
      </w:r>
      <w:r>
        <w:rPr>
          <w:spacing w:val="-2"/>
        </w:rPr>
        <w:t>得被购买方各项可辨认资产、负债的公允价值，合并当期期末，公司以暂时确定的价值为基础对企业合并进行核算。自购买</w:t>
      </w:r>
      <w:r>
        <w:rPr>
          <w:spacing w:val="-66"/>
        </w:rPr>
        <w:t> </w:t>
      </w:r>
      <w:r>
        <w:rPr>
          <w:spacing w:val="-66"/>
        </w:rPr>
      </w:r>
      <w:r>
        <w:rPr>
          <w:spacing w:val="-2"/>
        </w:rPr>
        <w:t>日算起</w:t>
      </w:r>
      <w:r>
        <w:rPr>
          <w:rFonts w:ascii="Times New Roman" w:hAnsi="Times New Roman" w:cs="Times New Roman" w:eastAsia="Times New Roman" w:hint="default"/>
          <w:spacing w:val="-2"/>
        </w:rPr>
        <w:t>12</w:t>
      </w:r>
      <w:r>
        <w:rPr>
          <w:spacing w:val="-2"/>
        </w:rPr>
        <w:t>个月内取得进一步的信息表明需对原暂时确定的价值进行调整的，则视同在购买日发生，进行追溯调整，同时对以</w:t>
      </w:r>
      <w:r>
        <w:rPr>
          <w:spacing w:val="-64"/>
        </w:rPr>
        <w:t> </w:t>
      </w:r>
      <w:r>
        <w:rPr>
          <w:spacing w:val="-64"/>
        </w:rPr>
      </w:r>
      <w:r>
        <w:rPr>
          <w:spacing w:val="-2"/>
        </w:rPr>
        <w:t>暂时性价值为基础提供的比较报表信息进行相关的调整；自购买日算起</w:t>
      </w:r>
      <w:r>
        <w:rPr>
          <w:rFonts w:ascii="Times New Roman" w:hAnsi="Times New Roman" w:cs="Times New Roman" w:eastAsia="Times New Roman" w:hint="default"/>
          <w:spacing w:val="-2"/>
        </w:rPr>
        <w:t>12</w:t>
      </w:r>
      <w:r>
        <w:rPr>
          <w:spacing w:val="-2"/>
        </w:rPr>
        <w:t>个月以后对企业合并成本或合并中取得的可辨认资</w:t>
      </w:r>
      <w:r>
        <w:rPr>
          <w:spacing w:val="-62"/>
        </w:rPr>
        <w:t> </w:t>
      </w:r>
      <w:r>
        <w:rPr/>
        <w:t>产、负债价值的调整，按照《企业会计准则第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w:t>
      </w:r>
    </w:p>
    <w:p>
      <w:pPr>
        <w:pStyle w:val="BodyText"/>
        <w:spacing w:line="312" w:lineRule="auto" w:before="5"/>
        <w:ind w:left="153" w:right="1126" w:firstLine="420"/>
        <w:jc w:val="both"/>
      </w:pPr>
      <w:r>
        <w:rPr/>
        <w:t>公司在企业合并中取得的被购买方的可抵扣暂时性差异，在购买日不符合递延所得税资产确认条件的，不予以确认。</w:t>
      </w:r>
      <w:r>
        <w:rPr>
          <w:spacing w:val="1"/>
        </w:rPr>
        <w:t>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00" w:lineRule="auto" w:before="22"/>
        <w:ind w:left="153" w:right="1128" w:firstLine="423"/>
        <w:jc w:val="both"/>
      </w:pPr>
      <w:r>
        <w:rPr/>
        <w:t>通过多次交易分步实现的非同一控制下企业合并，根据企业会计准则判断该多次交易是否属于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。多次交 </w:t>
      </w:r>
      <w:r>
        <w:rPr>
          <w:spacing w:val="-1"/>
        </w:rPr>
        <w:t>易的条款、条件以及经济影响符合以下一种或多种情况，通常表明应将多次交易事项作为一揽子交易进行会计处理：</w:t>
      </w:r>
      <w:r>
        <w:rPr>
          <w:rFonts w:ascii="Times New Roman" w:hAnsi="Times New Roman" w:cs="Times New Roman" w:eastAsia="Times New Roman" w:hint="default"/>
          <w:spacing w:val="-1"/>
        </w:rPr>
        <w:t>1)</w:t>
      </w:r>
      <w:r>
        <w:rPr>
          <w:spacing w:val="-1"/>
        </w:rPr>
        <w:t>这些</w:t>
      </w:r>
      <w:r>
        <w:rPr>
          <w:spacing w:val="-86"/>
        </w:rPr>
        <w:t> </w:t>
      </w:r>
      <w:r>
        <w:rPr>
          <w:spacing w:val="-1"/>
        </w:rPr>
        <w:t>交易是同时或者在考虑了彼此影响的情况下订立的；</w:t>
      </w:r>
      <w:r>
        <w:rPr>
          <w:rFonts w:ascii="Times New Roman" w:hAnsi="Times New Roman" w:cs="Times New Roman" w:eastAsia="Times New Roman" w:hint="default"/>
          <w:spacing w:val="-1"/>
        </w:rPr>
        <w:t>2)</w:t>
      </w:r>
      <w:r>
        <w:rPr>
          <w:spacing w:val="-1"/>
        </w:rPr>
        <w:t>这些交易整体才能达成一项完整的商业结果；</w:t>
      </w:r>
      <w:r>
        <w:rPr>
          <w:rFonts w:ascii="Times New Roman" w:hAnsi="Times New Roman" w:cs="Times New Roman" w:eastAsia="Times New Roman" w:hint="default"/>
          <w:spacing w:val="-1"/>
        </w:rPr>
        <w:t>3)</w:t>
      </w:r>
      <w:r>
        <w:rPr>
          <w:spacing w:val="-1"/>
        </w:rPr>
        <w:t>一项交易的发生取决</w:t>
      </w:r>
      <w:r>
        <w:rPr>
          <w:spacing w:val="-56"/>
        </w:rPr>
        <w:t> </w:t>
      </w:r>
      <w:r>
        <w:rPr/>
        <w:t>于其他至少一项交易的发生；</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12" w:lineRule="auto" w:before="13"/>
        <w:ind w:left="153" w:right="0" w:firstLine="420"/>
        <w:jc w:val="left"/>
      </w:pP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 </w:t>
      </w:r>
      <w:r>
        <w:rPr>
          <w:spacing w:val="-2"/>
        </w:rPr>
        <w:t>表中，对于购买日之前持有的被购买方的股权，按照该股权在购买日的公允价值进行重新计量，公允价值与其账面价值的差</w:t>
      </w:r>
      <w:r>
        <w:rPr>
          <w:spacing w:val="-66"/>
        </w:rPr>
        <w:t> </w:t>
      </w:r>
      <w:r>
        <w:rPr>
          <w:spacing w:val="-66"/>
        </w:rPr>
      </w:r>
      <w:r>
        <w:rPr>
          <w:spacing w:val="-4"/>
        </w:rPr>
        <w:t>额计入当期投资收益；购买日之前已经持有的被购买方的股权涉及其他综合收益、其他所有者权益变动转为购买日当期收益，</w:t>
      </w:r>
      <w:r>
        <w:rPr>
          <w:spacing w:val="-44"/>
        </w:rPr>
        <w:t> </w:t>
      </w:r>
      <w:r>
        <w:rPr>
          <w:spacing w:val="-44"/>
        </w:rPr>
      </w:r>
      <w:r>
        <w:rPr/>
        <w:t>由于被投资方重新计量设定受益计划净负债或净资产变动而产生的其他综合收益除外。</w:t>
      </w:r>
    </w:p>
    <w:p>
      <w:pPr>
        <w:pStyle w:val="BodyText"/>
        <w:spacing w:line="309" w:lineRule="auto" w:before="22"/>
        <w:ind w:left="153" w:right="0" w:firstLine="423"/>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6"/>
        </w:rPr>
        <w:t> </w:t>
      </w:r>
      <w:r>
        <w:rPr>
          <w:spacing w:val="-66"/>
        </w:rPr>
      </w:r>
      <w:r>
        <w:rPr/>
        <w:t>价发行的权益性证券或债务性证券的交易费用，计入权益性证券或债务性证券的初始确认金额。</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6" w:right="1117"/>
        <w:jc w:val="left"/>
      </w:pPr>
      <w:r>
        <w:rPr/>
        <w:t>（</w:t>
      </w:r>
      <w:r>
        <w:rPr>
          <w:rFonts w:ascii="Times New Roman" w:hAnsi="Times New Roman" w:cs="Times New Roman" w:eastAsia="Times New Roman" w:hint="default"/>
        </w:rPr>
        <w:t>1</w:t>
      </w:r>
      <w:r>
        <w:rPr/>
        <w:t>）合并范围 合并财务报表的合并范围以控制为基础确定。控制是指本公司拥有对被投资方的权力，通过参与被投资方的相关活动</w:t>
      </w:r>
    </w:p>
    <w:p>
      <w:pPr>
        <w:pStyle w:val="BodyText"/>
        <w:spacing w:line="316" w:lineRule="auto" w:before="31"/>
        <w:ind w:left="153" w:right="0"/>
        <w:jc w:val="left"/>
      </w:pPr>
      <w:r>
        <w:rPr>
          <w:spacing w:val="-2"/>
        </w:rPr>
        <w:t>而享有可变回报，并且有能力运用对被投资方的权力影响该回报金额。合并范围包括本公司及全部子公司。子公司，是指被</w:t>
      </w:r>
      <w:r>
        <w:rPr>
          <w:spacing w:val="-66"/>
        </w:rPr>
        <w:t> </w:t>
      </w:r>
      <w:r>
        <w:rPr>
          <w:spacing w:val="-66"/>
        </w:rPr>
      </w:r>
      <w:r>
        <w:rPr/>
        <w:t>本公司控制的主体</w:t>
      </w:r>
      <w:r>
        <w:rPr>
          <w:rFonts w:ascii="Times New Roman" w:hAnsi="Times New Roman" w:cs="Times New Roman" w:eastAsia="Times New Roman" w:hint="default"/>
        </w:rPr>
        <w:t>(</w:t>
      </w:r>
      <w:r>
        <w:rPr/>
        <w:t>含企业、被投资单位中可分割的部分、结构化主体等</w:t>
      </w:r>
      <w:r>
        <w:rPr>
          <w:rFonts w:ascii="Times New Roman" w:hAnsi="Times New Roman" w:cs="Times New Roman" w:eastAsia="Times New Roman" w:hint="default"/>
        </w:rPr>
        <w:t>)</w:t>
      </w:r>
      <w:r>
        <w:rPr/>
        <w:t>。</w:t>
      </w:r>
    </w:p>
    <w:p>
      <w:pPr>
        <w:pStyle w:val="BodyText"/>
        <w:spacing w:line="300" w:lineRule="auto"/>
        <w:ind w:left="576" w:right="0"/>
        <w:jc w:val="left"/>
      </w:pPr>
      <w:r>
        <w:rPr/>
        <w:t>（</w:t>
      </w:r>
      <w:r>
        <w:rPr>
          <w:rFonts w:ascii="Times New Roman" w:hAnsi="Times New Roman" w:cs="Times New Roman" w:eastAsia="Times New Roman" w:hint="default"/>
        </w:rPr>
        <w:t>2</w:t>
      </w:r>
      <w:r>
        <w:rPr/>
        <w:t>）合并报表的编制方法 本公司以自身和各子公司的财务报表为基础，根据其他有关资料，编制合并报表。本公司编制合并财务报表，将整个</w:t>
      </w:r>
    </w:p>
    <w:p>
      <w:pPr>
        <w:pStyle w:val="BodyText"/>
        <w:spacing w:line="316" w:lineRule="auto" w:before="31"/>
        <w:ind w:left="153" w:right="0"/>
        <w:jc w:val="left"/>
      </w:pPr>
      <w:r>
        <w:rPr>
          <w:spacing w:val="-2"/>
        </w:rPr>
        <w:t>企业集团视为一个会计主体，依据相关企业会计准则的确定、计量和列报要求，按照统一的会计政策，反映本公司整体财务</w:t>
      </w:r>
      <w:r>
        <w:rPr>
          <w:spacing w:val="-66"/>
        </w:rPr>
        <w:t> </w:t>
      </w:r>
      <w:r>
        <w:rPr>
          <w:spacing w:val="-66"/>
        </w:rPr>
      </w:r>
      <w:r>
        <w:rPr/>
        <w:t>状况、经营成果和现金流量。</w:t>
      </w:r>
    </w:p>
    <w:p>
      <w:pPr>
        <w:pStyle w:val="BodyText"/>
        <w:spacing w:line="316" w:lineRule="auto" w:before="19"/>
        <w:ind w:left="153" w:right="1127" w:firstLine="422"/>
        <w:jc w:val="both"/>
      </w:pPr>
      <w:r>
        <w:rPr/>
        <w:t>合并财务报表时抵销本公司与各子公司、各子公司相互之间发生的内部交易和往来对合并资产负债表、合并利润表、 合并现金流量表、合并所有者权益变动表的影响。</w:t>
      </w:r>
    </w:p>
    <w:p>
      <w:pPr>
        <w:pStyle w:val="BodyText"/>
        <w:spacing w:line="316" w:lineRule="auto" w:before="19"/>
        <w:ind w:left="153" w:right="1127" w:firstLine="422"/>
        <w:jc w:val="both"/>
      </w:pPr>
      <w:r>
        <w:rPr/>
        <w:t>在报告期内因同一控制下企业合并增加的子公司以及业务，视同该子公司以及业务自同受最终控制方控制之日起纳入 </w:t>
      </w:r>
      <w:r>
        <w:rPr>
          <w:spacing w:val="-2"/>
        </w:rPr>
        <w:t>本公司的合并范围，将其自同受最终控制方控制之日起的经营成果、现金流量分别纳入合并利润表、合并现金流量表中。在</w:t>
      </w:r>
      <w:r>
        <w:rPr>
          <w:spacing w:val="-66"/>
        </w:rPr>
        <w:t> </w:t>
      </w:r>
      <w:r>
        <w:rPr>
          <w:spacing w:val="-66"/>
        </w:rPr>
      </w:r>
      <w:r>
        <w:rPr>
          <w:spacing w:val="-2"/>
        </w:rPr>
        <w:t>报告期内，同时调整合并资产负债表的期初数，同时对比较报表的相关项目进行调整，视同合并后的报表主体自最终控制方</w:t>
      </w:r>
      <w:r>
        <w:rPr>
          <w:spacing w:val="-66"/>
        </w:rPr>
        <w:t> </w:t>
      </w:r>
      <w:r>
        <w:rPr>
          <w:spacing w:val="-66"/>
        </w:rPr>
      </w:r>
      <w:r>
        <w:rPr/>
        <w:t>开始控制时点起一直存在。</w:t>
      </w:r>
    </w:p>
    <w:p>
      <w:pPr>
        <w:pStyle w:val="BodyText"/>
        <w:spacing w:line="316" w:lineRule="auto" w:before="19"/>
        <w:ind w:left="153" w:right="1127" w:firstLine="422"/>
        <w:jc w:val="both"/>
      </w:pPr>
      <w:r>
        <w:rPr/>
        <w:t>本期若因非同一控制下企业合并增加子公司的，则不调整合并资产负债表期初数；以购买日可辨认净资产公允价值为 </w:t>
      </w:r>
      <w:r>
        <w:rPr>
          <w:spacing w:val="-2"/>
        </w:rPr>
        <w:t>基础对其财务报表进行调整。将子公司自购买日至期末的收入、费用、利润纳入合并利润表；该子公司自购买日至期末的现</w:t>
      </w:r>
      <w:r>
        <w:rPr>
          <w:spacing w:val="-66"/>
        </w:rPr>
        <w:t> </w:t>
      </w:r>
      <w:r>
        <w:rPr>
          <w:spacing w:val="-66"/>
        </w:rPr>
      </w:r>
      <w:r>
        <w:rPr/>
        <w:t>金流量纳入合并现金流量表。</w:t>
      </w:r>
    </w:p>
    <w:p>
      <w:pPr>
        <w:pStyle w:val="BodyText"/>
        <w:spacing w:line="316" w:lineRule="auto" w:before="19"/>
        <w:ind w:left="153" w:right="1127" w:firstLine="422"/>
        <w:jc w:val="both"/>
      </w:pPr>
      <w:r>
        <w:rPr/>
        <w:t>子公司少数股东应占的权益、损益和当期综合收益中分别在合并资产负债表中所有者权益项目下、合并利润表中净利 </w:t>
      </w:r>
      <w:r>
        <w:rPr>
          <w:spacing w:val="-2"/>
        </w:rPr>
        <w:t>润项目和综合收益总额项下单独列示。子公司少数股东分担的当期亏损超过了少数股东在该子公司期初所有者权益中所享有</w:t>
      </w:r>
    </w:p>
    <w:p>
      <w:pPr>
        <w:spacing w:after="0" w:line="316"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both"/>
      </w:pPr>
      <w:r>
        <w:rPr/>
        <w:t>份额而形成的余额，冲减少数股东权益。</w:t>
      </w:r>
    </w:p>
    <w:p>
      <w:pPr>
        <w:pStyle w:val="BodyText"/>
        <w:spacing w:line="300" w:lineRule="auto" w:before="76"/>
        <w:ind w:left="574" w:right="0" w:firstLine="2"/>
        <w:jc w:val="left"/>
      </w:pPr>
      <w:r>
        <w:rPr/>
        <w:t>（</w:t>
      </w: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本公司因购买少数股权新取得的长期股权投资成本与按照新增持股比例计算应享有子公司自购买日或合并日开始持续</w:t>
      </w:r>
    </w:p>
    <w:p>
      <w:pPr>
        <w:pStyle w:val="BodyText"/>
        <w:spacing w:line="316" w:lineRule="auto" w:before="31"/>
        <w:ind w:right="1131"/>
        <w:jc w:val="both"/>
      </w:pPr>
      <w:r>
        <w:rPr>
          <w:spacing w:val="-2"/>
        </w:rPr>
        <w:t>计算的净资产份额之间的差额，以及在不丧失控制权的情况下因部分处置对子公司的股权投资而取得的处置价款与处置长期</w:t>
      </w:r>
      <w:r>
        <w:rPr>
          <w:spacing w:val="-64"/>
        </w:rPr>
        <w:t> </w:t>
      </w:r>
      <w:r>
        <w:rPr>
          <w:spacing w:val="-64"/>
        </w:rPr>
      </w:r>
      <w:r>
        <w:rPr>
          <w:spacing w:val="-2"/>
        </w:rPr>
        <w:t>股权投资相对应享有子公司自购买日或合并日开始持续计算的净资产份额之间的差额，均调整合并资产负债表中的资本公积</w:t>
      </w:r>
      <w:r>
        <w:rPr>
          <w:spacing w:val="-64"/>
        </w:rPr>
        <w:t> </w:t>
      </w:r>
      <w:r>
        <w:rPr>
          <w:spacing w:val="-64"/>
        </w:rPr>
      </w:r>
      <w:r>
        <w:rPr/>
        <w:t>中的股本溢价，资本公积中的股本溢价不足冲减的，调整留存收益。</w:t>
      </w:r>
    </w:p>
    <w:p>
      <w:pPr>
        <w:pStyle w:val="BodyText"/>
        <w:spacing w:line="300" w:lineRule="auto" w:before="19"/>
        <w:ind w:left="574" w:right="0"/>
        <w:jc w:val="left"/>
      </w:pPr>
      <w:r>
        <w:rPr/>
        <w:t>（</w:t>
      </w:r>
      <w:r>
        <w:rPr>
          <w:rFonts w:ascii="Times New Roman" w:hAnsi="Times New Roman" w:cs="Times New Roman" w:eastAsia="Times New Roman" w:hint="default"/>
        </w:rPr>
        <w:t>4</w:t>
      </w:r>
      <w:r>
        <w:rPr/>
        <w:t>）丧失控制权的处置子公司股权 本期本公司处置子公司，则该子公司期初至处置日的收入、费用、利润纳入合并利润表；该子公司期初至处置日的现</w:t>
      </w:r>
    </w:p>
    <w:p>
      <w:pPr>
        <w:pStyle w:val="BodyText"/>
        <w:spacing w:line="312" w:lineRule="auto" w:before="31"/>
        <w:ind w:left="153" w:right="1031"/>
        <w:jc w:val="left"/>
      </w:pPr>
      <w:r>
        <w:rPr/>
        <w:t>金流量纳入合并现金流量表。因处置部分股权投资或其他原因丧失了对原有子公司控制权时，对于处置后的剩余股权投资， </w:t>
      </w:r>
      <w:r>
        <w:rPr>
          <w:spacing w:val="-2"/>
        </w:rPr>
        <w:t>本公司按照其在丧失控制权日的公允价值进行重新计量。处置股权取得的对价与剩余股权公允价值之和，减去按原持股比例</w:t>
      </w:r>
      <w:r>
        <w:rPr>
          <w:spacing w:val="-64"/>
        </w:rPr>
        <w:t> </w:t>
      </w:r>
      <w:r>
        <w:rPr>
          <w:spacing w:val="-64"/>
        </w:rPr>
      </w:r>
      <w:r>
        <w:rPr>
          <w:spacing w:val="-2"/>
        </w:rPr>
        <w:t>计算应享有原有子公司自购买日开始持续计算的净资产的份额与商誉之和，形成的差额计入丧失控制权当期的投资收益。与</w:t>
      </w:r>
      <w:r>
        <w:rPr>
          <w:spacing w:val="-64"/>
        </w:rPr>
        <w:t> </w:t>
      </w:r>
      <w:r>
        <w:rPr>
          <w:spacing w:val="-64"/>
        </w:rPr>
      </w:r>
      <w:r>
        <w:rPr>
          <w:spacing w:val="-2"/>
        </w:rPr>
        <w:t>原有子公司股权投资相关的其他综合收益，在丧失控制权时采用被购买方直接处置相关资产和负债相同的基础进行会计处理</w:t>
      </w:r>
      <w:r>
        <w:rPr>
          <w:spacing w:val="-64"/>
        </w:rPr>
        <w:t> </w:t>
      </w:r>
      <w:r>
        <w:rPr>
          <w:spacing w:val="-64"/>
        </w:rPr>
      </w:r>
      <w:r>
        <w:rPr>
          <w:rFonts w:ascii="Times New Roman" w:hAnsi="Times New Roman" w:cs="Times New Roman" w:eastAsia="Times New Roman" w:hint="default"/>
        </w:rPr>
        <w:t>(</w:t>
      </w:r>
      <w:r>
        <w:rPr/>
        <w:t>即除了在该原有子公司重新计量设定受益计划外净负债或者净资产导致的变动以外，其余一并转入当期投资收益</w:t>
      </w:r>
      <w:r>
        <w:rPr>
          <w:rFonts w:ascii="Times New Roman" w:hAnsi="Times New Roman" w:cs="Times New Roman" w:eastAsia="Times New Roman" w:hint="default"/>
        </w:rPr>
        <w:t>)</w:t>
      </w:r>
      <w:r>
        <w:rPr/>
        <w:t>。其后， 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w:t>
      </w:r>
      <w:r>
        <w:rPr>
          <w:spacing w:val="-83"/>
        </w:rPr>
        <w:t> </w:t>
      </w:r>
      <w:r>
        <w:rPr>
          <w:spacing w:val="-83"/>
        </w:rPr>
      </w:r>
      <w:r>
        <w:rPr/>
        <w:t>关规定进行后续计量，详见本节、五、</w:t>
      </w:r>
      <w:r>
        <w:rPr>
          <w:rFonts w:ascii="Times New Roman" w:hAnsi="Times New Roman" w:cs="Times New Roman" w:eastAsia="Times New Roman" w:hint="default"/>
        </w:rPr>
        <w:t>22“</w:t>
      </w:r>
      <w:r>
        <w:rPr/>
        <w:t>长期股权投资</w:t>
      </w:r>
      <w:r>
        <w:rPr>
          <w:rFonts w:ascii="Times New Roman" w:hAnsi="Times New Roman" w:cs="Times New Roman" w:eastAsia="Times New Roman" w:hint="default"/>
        </w:rPr>
        <w:t>”</w:t>
      </w:r>
      <w:r>
        <w:rPr/>
        <w:t>或本节、五、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00" w:lineRule="auto" w:before="3"/>
        <w:ind w:left="574" w:right="0"/>
        <w:jc w:val="left"/>
      </w:pPr>
      <w:r>
        <w:rPr/>
        <w:t>（</w:t>
      </w:r>
      <w:r>
        <w:rPr>
          <w:rFonts w:ascii="Times New Roman" w:hAnsi="Times New Roman" w:cs="Times New Roman" w:eastAsia="Times New Roman" w:hint="default"/>
        </w:rPr>
        <w:t>5</w:t>
      </w:r>
      <w:r>
        <w:rPr/>
        <w:t>）分步处置对子公司股权投资至丧失控制权的处理 本公司通过多次交易分步处置对子公司股权投资直至丧失控制权的，需区分处置对子公司股权投资直至丧失控制权的</w:t>
      </w:r>
    </w:p>
    <w:p>
      <w:pPr>
        <w:pStyle w:val="BodyText"/>
        <w:spacing w:line="316" w:lineRule="auto" w:before="31"/>
        <w:ind w:left="574" w:right="0" w:hanging="420"/>
        <w:jc w:val="left"/>
      </w:pPr>
      <w:r>
        <w:rPr/>
        <w:t>各项交易是否属于一揽子交易。 处置对子公司股权投资直至丧失控制权的各项交易属于一揽子交易的，将各项交易作为一项处置子公司并丧失控制权</w:t>
      </w:r>
    </w:p>
    <w:p>
      <w:pPr>
        <w:pStyle w:val="BodyText"/>
        <w:spacing w:line="316" w:lineRule="auto" w:before="19"/>
        <w:ind w:right="1131"/>
        <w:jc w:val="both"/>
      </w:pP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w:t>
      </w:r>
    </w:p>
    <w:p>
      <w:pPr>
        <w:pStyle w:val="BodyText"/>
        <w:spacing w:line="307" w:lineRule="auto" w:before="19"/>
        <w:ind w:right="1128" w:firstLine="420"/>
        <w:jc w:val="both"/>
      </w:pPr>
      <w:r>
        <w:rPr>
          <w:spacing w:val="2"/>
        </w:rPr>
        <w:t>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不丧失控制权的情况下部分处置对子公司的长期股权投</w:t>
      </w:r>
      <w:r>
        <w:rPr/>
        <w:t> </w:t>
      </w:r>
      <w:r>
        <w:rPr>
          <w:spacing w:val="-2"/>
        </w:rPr>
        <w:t>资</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因处置部分股权投资或其他原因丧失了对原有子公司的控制权</w:t>
      </w:r>
      <w:r>
        <w:rPr>
          <w:rFonts w:ascii="Times New Roman" w:hAnsi="Times New Roman" w:cs="Times New Roman" w:eastAsia="Times New Roman" w:hint="default"/>
          <w:spacing w:val="-2"/>
        </w:rPr>
        <w:t>”(</w:t>
      </w:r>
      <w:r>
        <w:rPr>
          <w:spacing w:val="-2"/>
        </w:rPr>
        <w:t>详见前段</w:t>
      </w:r>
      <w:r>
        <w:rPr>
          <w:rFonts w:ascii="Times New Roman" w:hAnsi="Times New Roman" w:cs="Times New Roman" w:eastAsia="Times New Roman" w:hint="default"/>
          <w:spacing w:val="-2"/>
        </w:rPr>
        <w:t>)</w:t>
      </w:r>
      <w:r>
        <w:rPr>
          <w:spacing w:val="-2"/>
        </w:rPr>
        <w:t>适用的原则进行会计处理。即在丧失控制权</w:t>
      </w:r>
      <w:r>
        <w:rPr>
          <w:spacing w:val="-61"/>
        </w:rPr>
        <w:t> </w:t>
      </w:r>
      <w:r>
        <w:rPr>
          <w:spacing w:val="-61"/>
        </w:rPr>
      </w:r>
      <w:r>
        <w:rPr>
          <w:spacing w:val="-2"/>
        </w:rPr>
        <w:t>之前每一次处置价款与处置投资对应的享有该子公司自购买日开始持续计算的净资产账面价值份额之间的差额，作为权益性</w:t>
      </w:r>
      <w:r>
        <w:rPr>
          <w:spacing w:val="-64"/>
        </w:rPr>
        <w:t> </w:t>
      </w:r>
      <w:r>
        <w:rPr>
          <w:spacing w:val="-64"/>
        </w:rPr>
      </w:r>
      <w:r>
        <w:rPr/>
        <w:t>交易计入资本公积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3"/>
        <w:jc w:val="left"/>
      </w:pPr>
      <w:r>
        <w:rPr>
          <w:spacing w:val="-2"/>
        </w:rPr>
        <w:t>合营安排，是指一项由两个或两个以上的参与方共同控制的安排。本公司根据在合营安排中享有的权利和承担的义务，</w:t>
      </w:r>
      <w:r>
        <w:rPr/>
        <w:t> 将合营安排分为共同经营和合营企业。</w:t>
      </w:r>
    </w:p>
    <w:p>
      <w:pPr>
        <w:pStyle w:val="BodyText"/>
        <w:spacing w:line="316" w:lineRule="auto" w:before="19"/>
        <w:ind w:right="0" w:firstLine="423"/>
        <w:jc w:val="left"/>
      </w:pPr>
      <w:r>
        <w:rPr/>
        <w:t>合营企业，是指本公司仅对该安排的净资产享有权利的合营安排。本公司对合营企业的投资采用权益法核算，按照本 节五、</w:t>
      </w:r>
      <w:r>
        <w:rPr>
          <w:rFonts w:ascii="Times New Roman" w:hAnsi="Times New Roman" w:cs="Times New Roman" w:eastAsia="Times New Roman" w:hint="default"/>
        </w:rPr>
        <w:t>22</w:t>
      </w:r>
      <w:r>
        <w:rPr/>
        <w:t>长期股权投资</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中所述的会计政策处理。</w:t>
      </w:r>
    </w:p>
    <w:p>
      <w:pPr>
        <w:pStyle w:val="BodyText"/>
        <w:spacing w:line="316" w:lineRule="auto"/>
        <w:ind w:right="0" w:firstLine="423"/>
        <w:jc w:val="left"/>
      </w:pPr>
      <w:r>
        <w:rPr/>
        <w:t>共同经营，是指本公司享有该安排相关资产且承担该安排相关负债的合营安排。本公司确认与共同经营中利益份额相 关的下列项目，并按照相关企业会计准则的规定进行会计处理：</w:t>
      </w:r>
    </w:p>
    <w:p>
      <w:pPr>
        <w:pStyle w:val="BodyText"/>
        <w:spacing w:line="240" w:lineRule="auto" w:before="19"/>
        <w:ind w:left="577"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77"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77"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77"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77" w:right="0"/>
        <w:jc w:val="left"/>
      </w:pPr>
      <w:r>
        <w:rPr/>
        <w:t>（</w:t>
      </w:r>
      <w:r>
        <w:rPr>
          <w:rFonts w:ascii="Times New Roman" w:hAnsi="Times New Roman" w:cs="Times New Roman" w:eastAsia="Times New Roman" w:hint="default"/>
        </w:rPr>
        <w:t>5</w:t>
      </w:r>
      <w:r>
        <w:rPr/>
        <w:t>）确认单独所发生的费用，以及按本公司份额确认共同经营发生的费用。 </w:t>
      </w:r>
      <w:r>
        <w:rPr>
          <w:spacing w:val="-2"/>
        </w:rPr>
        <w:t>当本公司作为合营方向共同经营投出或出售资产</w:t>
      </w:r>
      <w:r>
        <w:rPr>
          <w:rFonts w:ascii="Times New Roman" w:hAnsi="Times New Roman" w:cs="Times New Roman" w:eastAsia="Times New Roman" w:hint="default"/>
          <w:spacing w:val="-2"/>
        </w:rPr>
        <w:t>(</w:t>
      </w:r>
      <w:r>
        <w:rPr>
          <w:spacing w:val="-2"/>
        </w:rPr>
        <w:t>该资产不构成业务，下同</w:t>
      </w:r>
      <w:r>
        <w:rPr>
          <w:rFonts w:ascii="Times New Roman" w:hAnsi="Times New Roman" w:cs="Times New Roman" w:eastAsia="Times New Roman" w:hint="default"/>
          <w:spacing w:val="-2"/>
        </w:rPr>
        <w:t>)</w:t>
      </w:r>
      <w:r>
        <w:rPr>
          <w:spacing w:val="-2"/>
        </w:rPr>
        <w:t>或者自共同经营购买资产时，在该等资产出</w:t>
      </w:r>
    </w:p>
    <w:p>
      <w:pPr>
        <w:pStyle w:val="BodyText"/>
        <w:spacing w:line="309" w:lineRule="auto" w:before="13"/>
        <w:ind w:right="1128"/>
        <w:jc w:val="both"/>
      </w:pPr>
      <w:r>
        <w:rPr>
          <w:spacing w:val="-2"/>
        </w:rPr>
        <w:t>售给第三方之前，本公司仅确认因该项交易产生的损益中属于共同经营其他参与方的部分。该等资产发生符合《企业会计准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资产减值》等规定的资产减值损失的，对于由本公司向共同经营投出或者出售资产的情况，本公司全额确认损</w:t>
      </w:r>
      <w:r>
        <w:rPr>
          <w:spacing w:val="-83"/>
        </w:rPr>
        <w:t> </w:t>
      </w:r>
      <w:r>
        <w:rPr>
          <w:spacing w:val="-83"/>
        </w:rPr>
      </w:r>
      <w:r>
        <w:rPr/>
        <w:t>失；对于本公司自共同经营购买资产的情况，本公司按承担的份额确认该损失。</w:t>
      </w:r>
    </w:p>
    <w:p>
      <w:pPr>
        <w:spacing w:after="0" w:line="309"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7" w:right="0"/>
        <w:jc w:val="left"/>
      </w:pPr>
      <w:r>
        <w:rPr/>
        <w:t>在编制现金流量表时，将本公司库存现金及可以随时用于支付的存款确认为现金。现金等价物是指企业持有的期限短</w:t>
      </w:r>
    </w:p>
    <w:p>
      <w:pPr>
        <w:pStyle w:val="BodyText"/>
        <w:spacing w:line="240" w:lineRule="auto" w:before="76"/>
        <w:ind w:right="0"/>
        <w:jc w:val="left"/>
      </w:pPr>
      <w:r>
        <w:rPr>
          <w:rFonts w:ascii="Times New Roman" w:hAnsi="Times New Roman" w:cs="Times New Roman" w:eastAsia="Times New Roman" w:hint="default"/>
        </w:rPr>
        <w:t>(</w:t>
      </w:r>
      <w:r>
        <w:rPr/>
        <w:t>一般是指从购买日起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6" w:firstLine="420"/>
        <w:jc w:val="both"/>
      </w:pPr>
      <w:r>
        <w:rPr/>
        <w:t>金融工具是指形成一方的金融资产并形成其他方的金融负债或权益工具的合同。金融工具包括金融资产、金融负债和</w:t>
      </w:r>
      <w:r>
        <w:rPr>
          <w:spacing w:val="1"/>
        </w:rPr>
        <w:t> </w:t>
      </w:r>
      <w:r>
        <w:rPr/>
        <w:t>权益工具。</w:t>
      </w:r>
    </w:p>
    <w:p>
      <w:pPr>
        <w:pStyle w:val="BodyText"/>
        <w:spacing w:line="300" w:lineRule="auto" w:before="19"/>
        <w:ind w:left="443" w:right="7040" w:firstLine="91"/>
        <w:jc w:val="left"/>
      </w:pPr>
      <w:r>
        <w:rPr>
          <w:rFonts w:ascii="Times New Roman" w:hAnsi="Times New Roman" w:cs="Times New Roman" w:eastAsia="Times New Roman" w:hint="default"/>
        </w:rPr>
        <w:t>1</w:t>
      </w:r>
      <w:r>
        <w:rPr/>
        <w:t>．金融工具的分类、确认依据和计量方法 </w:t>
      </w:r>
      <w:r>
        <w:rPr>
          <w:rFonts w:ascii="Times New Roman" w:hAnsi="Times New Roman" w:cs="Times New Roman" w:eastAsia="Times New Roman" w:hint="default"/>
        </w:rPr>
        <w:t>(1)</w:t>
      </w:r>
      <w:r>
        <w:rPr/>
        <w:t>金融资产和金融负债的确认和初始计量</w:t>
      </w:r>
    </w:p>
    <w:p>
      <w:pPr>
        <w:pStyle w:val="BodyText"/>
        <w:spacing w:line="316" w:lineRule="auto" w:before="13"/>
        <w:ind w:left="153" w:right="1130" w:firstLine="290"/>
        <w:jc w:val="both"/>
      </w:pPr>
      <w:r>
        <w:rPr>
          <w:spacing w:val="-1"/>
        </w:rPr>
        <w:t>本公司成为金融工具合同的一方时，确认一项金融资产或金融负债。对于以常规方式购买或出售金融资产的，本公司在</w:t>
      </w:r>
      <w:r>
        <w:rPr/>
        <w:t> </w:t>
      </w:r>
      <w:r>
        <w:rPr>
          <w:spacing w:val="-2"/>
        </w:rPr>
        <w:t>交易日确认将收到的资产和为此将承担的负债，或者在交易日终止确认已出售的资产，同时确认处置利得或损失以及应向买</w:t>
      </w:r>
      <w:r>
        <w:rPr>
          <w:spacing w:val="-64"/>
        </w:rPr>
        <w:t> </w:t>
      </w:r>
      <w:r>
        <w:rPr>
          <w:spacing w:val="-64"/>
        </w:rPr>
      </w:r>
      <w:r>
        <w:rPr/>
        <w:t>方收取的应收款项。</w:t>
      </w:r>
    </w:p>
    <w:p>
      <w:pPr>
        <w:pStyle w:val="BodyText"/>
        <w:spacing w:line="316" w:lineRule="auto" w:before="19"/>
        <w:ind w:left="153" w:right="1125" w:firstLine="289"/>
        <w:jc w:val="both"/>
      </w:pPr>
      <w:r>
        <w:rPr>
          <w:spacing w:val="2"/>
        </w:rPr>
        <w:t>金融资产和金融负债在初始确认时以公允价值计量。对于以公允价值计量且其变动计入当期损益的金融资产和金融负</w:t>
      </w:r>
      <w:r>
        <w:rPr>
          <w:spacing w:val="3"/>
        </w:rPr>
        <w:t> </w:t>
      </w:r>
      <w:r>
        <w:rPr>
          <w:spacing w:val="-2"/>
        </w:rPr>
        <w:t>债，相关的交易费用直接计入当期损益，对于其他类别的金融资产和金融负债，相关交易费用计入初始确认金额。对于初始</w:t>
      </w:r>
      <w:r>
        <w:rPr>
          <w:spacing w:val="-66"/>
        </w:rPr>
        <w:t> </w:t>
      </w:r>
      <w:r>
        <w:rPr>
          <w:spacing w:val="-66"/>
        </w:rPr>
      </w:r>
      <w:r>
        <w:rPr/>
        <w:t>确认时不具有重大融资成分的应收账款，按照本节五（</w:t>
      </w:r>
      <w:r>
        <w:rPr>
          <w:rFonts w:ascii="Times New Roman" w:hAnsi="Times New Roman" w:cs="Times New Roman" w:eastAsia="Times New Roman" w:hint="default"/>
        </w:rPr>
        <w:t>39</w:t>
      </w:r>
      <w:r>
        <w:rPr/>
        <w:t>、收入）的收入确认方法确定的交易价格进行初始计量。</w:t>
      </w:r>
    </w:p>
    <w:p>
      <w:pPr>
        <w:pStyle w:val="BodyText"/>
        <w:spacing w:line="300" w:lineRule="auto"/>
        <w:ind w:left="444" w:right="0" w:firstLine="196"/>
        <w:jc w:val="left"/>
      </w:pPr>
      <w:r>
        <w:rPr>
          <w:rFonts w:ascii="Times New Roman" w:hAnsi="Times New Roman" w:cs="Times New Roman" w:eastAsia="Times New Roman" w:hint="default"/>
        </w:rPr>
        <w:t>(2)</w:t>
      </w:r>
      <w:r>
        <w:rPr/>
        <w:t>金融资产的分类和后续计量 </w:t>
      </w:r>
      <w:r>
        <w:rPr>
          <w:spacing w:val="-1"/>
        </w:rPr>
        <w:t>本公司根据管理金融资产的业务模式和金融资产的合同现金流量特征将金融资产分类为以摊余成本计量的金融资产、以</w:t>
      </w:r>
    </w:p>
    <w:p>
      <w:pPr>
        <w:pStyle w:val="BodyText"/>
        <w:spacing w:line="309" w:lineRule="auto" w:before="31"/>
        <w:ind w:left="573" w:right="1117" w:hanging="420"/>
        <w:jc w:val="left"/>
      </w:pPr>
      <w:r>
        <w:rPr/>
        <w:t>公允价值计量且其变动计入其他综合收益的金融资产和以公允价值计量且其变动计入当期损益的金融资产。 </w:t>
      </w:r>
      <w:r>
        <w:rPr>
          <w:rFonts w:ascii="Times New Roman" w:hAnsi="Times New Roman" w:cs="Times New Roman" w:eastAsia="Times New Roman" w:hint="default"/>
        </w:rPr>
        <w:t>1)</w:t>
      </w:r>
      <w:r>
        <w:rPr/>
        <w:t>以摊余成本计量的金融资产 以摊余成本计量的金融资产，是指同时符合下列条件的金融资产：①本公司管理该金融资产的业务模式是以收取合同</w:t>
      </w:r>
    </w:p>
    <w:p>
      <w:pPr>
        <w:pStyle w:val="BodyText"/>
        <w:spacing w:line="316" w:lineRule="auto" w:before="24"/>
        <w:ind w:left="153" w:right="1117"/>
        <w:jc w:val="left"/>
      </w:pPr>
      <w:r>
        <w:rPr>
          <w:spacing w:val="-2"/>
        </w:rPr>
        <w:t>现金流量为目标；②该金融资产的合同条款规定，在特定日期产生的现金流量，仅为对本金和以未偿付本金金额为基础的利</w:t>
      </w:r>
      <w:r>
        <w:rPr>
          <w:spacing w:val="-66"/>
        </w:rPr>
        <w:t> </w:t>
      </w:r>
      <w:r>
        <w:rPr>
          <w:spacing w:val="-66"/>
        </w:rPr>
      </w:r>
      <w:r>
        <w:rPr/>
        <w:t>息的支付。</w:t>
      </w:r>
    </w:p>
    <w:p>
      <w:pPr>
        <w:pStyle w:val="BodyText"/>
        <w:spacing w:line="316" w:lineRule="auto" w:before="19"/>
        <w:ind w:left="153" w:right="1126" w:firstLine="420"/>
        <w:jc w:val="both"/>
      </w:pPr>
      <w:r>
        <w:rPr/>
        <w:t>该类金融资产在初始确认后采用实际利率法以摊余成本计量，所产生的利得或损失在终止确认、按照实际利率法摊销</w:t>
      </w:r>
      <w:r>
        <w:rPr>
          <w:spacing w:val="1"/>
        </w:rPr>
        <w:t> </w:t>
      </w:r>
      <w:r>
        <w:rPr/>
        <w:t>或确认减值时，计入当期损益。</w:t>
      </w:r>
    </w:p>
    <w:p>
      <w:pPr>
        <w:pStyle w:val="BodyText"/>
        <w:spacing w:line="316" w:lineRule="auto" w:before="19"/>
        <w:ind w:left="153" w:right="1129" w:firstLine="423"/>
        <w:jc w:val="both"/>
      </w:pPr>
      <w:r>
        <w:rPr/>
        <w:t>对于金融资产的摊余成本，应当以该金融资产的初始确认金额经下列调整后的结果确定：①扣除已偿还的本金；②加 </w:t>
      </w:r>
      <w:r>
        <w:rPr>
          <w:spacing w:val="-2"/>
        </w:rPr>
        <w:t>上或减去采用实际利率法将该初始确认金额与到期日金额之间的差额进行摊销形成的累计摊销额；③扣除累计计提的损失准</w:t>
      </w:r>
      <w:r>
        <w:rPr>
          <w:spacing w:val="-64"/>
        </w:rPr>
        <w:t> </w:t>
      </w:r>
      <w:r>
        <w:rPr>
          <w:spacing w:val="-64"/>
        </w:rPr>
      </w:r>
      <w:r>
        <w:rPr/>
        <w:t>备。</w:t>
      </w:r>
    </w:p>
    <w:p>
      <w:pPr>
        <w:pStyle w:val="BodyText"/>
        <w:spacing w:line="312" w:lineRule="auto" w:before="19"/>
        <w:ind w:left="153" w:right="1127" w:firstLine="423"/>
        <w:jc w:val="both"/>
      </w:pPr>
      <w:r>
        <w:rPr/>
        <w:t>实际利率法，是指计算金融资产或金融负债的摊余成本以及将利息收入或利息费用分摊计入各会计期间的方法。实际 </w:t>
      </w:r>
      <w:r>
        <w:rPr>
          <w:spacing w:val="-2"/>
        </w:rPr>
        <w:t>利率，是指将金融资产或金融负债在预计存续期的估计未来现金流量，折现为该金融资产账面余额或该金融负债摊余成本所</w:t>
      </w:r>
      <w:r>
        <w:rPr>
          <w:spacing w:val="-64"/>
        </w:rPr>
        <w:t> </w:t>
      </w:r>
      <w:r>
        <w:rPr>
          <w:spacing w:val="-64"/>
        </w:rPr>
      </w:r>
      <w:r>
        <w:rPr/>
        <w:t>使用的利率。在确定实际利率时，本公司在考虑金融资产或金融负债所有合同条款</w:t>
      </w:r>
      <w:r>
        <w:rPr>
          <w:rFonts w:ascii="Times New Roman" w:hAnsi="Times New Roman" w:cs="Times New Roman" w:eastAsia="Times New Roman" w:hint="default"/>
        </w:rPr>
        <w:t>(</w:t>
      </w:r>
      <w:r>
        <w:rPr/>
        <w:t>如提前还款、展期、看涨期权或其他类</w:t>
      </w:r>
      <w:r>
        <w:rPr>
          <w:spacing w:val="-58"/>
        </w:rPr>
        <w:t> </w:t>
      </w:r>
      <w:r>
        <w:rPr>
          <w:spacing w:val="-58"/>
        </w:rPr>
      </w:r>
      <w:r>
        <w:rPr/>
        <w:t>似期权等</w:t>
      </w:r>
      <w:r>
        <w:rPr>
          <w:rFonts w:ascii="Times New Roman" w:hAnsi="Times New Roman" w:cs="Times New Roman" w:eastAsia="Times New Roman" w:hint="default"/>
        </w:rPr>
        <w:t>)</w:t>
      </w:r>
      <w:r>
        <w:rPr/>
        <w:t>的基础上估计预期现金流量，但不考虑预期信用损失。</w:t>
      </w:r>
    </w:p>
    <w:p>
      <w:pPr>
        <w:pStyle w:val="BodyText"/>
        <w:spacing w:line="316" w:lineRule="auto" w:before="3"/>
        <w:ind w:left="153" w:right="1126" w:firstLine="420"/>
        <w:jc w:val="both"/>
      </w:pPr>
      <w:r>
        <w:rPr/>
        <w:t>本公司根据金融资产账面余额乘以实际利率计算确定利息收入，但下列情况除外：①对于购入或源生的已发生信用减</w:t>
      </w:r>
      <w:r>
        <w:rPr>
          <w:spacing w:val="1"/>
        </w:rPr>
        <w:t> </w:t>
      </w:r>
      <w:r>
        <w:rPr>
          <w:spacing w:val="-2"/>
        </w:rPr>
        <w:t>值的金融资产，自初始确认起，按照该金融资产的摊余成本和经信用调整的实际利率计算确定其利息收入。②对于购入或源</w:t>
      </w:r>
      <w:r>
        <w:rPr>
          <w:spacing w:val="-66"/>
        </w:rPr>
        <w:t> </w:t>
      </w:r>
      <w:r>
        <w:rPr>
          <w:spacing w:val="-66"/>
        </w:rPr>
      </w:r>
      <w:r>
        <w:rPr>
          <w:spacing w:val="-2"/>
        </w:rPr>
        <w:t>生的未发生信用减值、但在后续期间成为已发生信用减值的金融资产，按照该金融资产的摊余成本和实际利率计算确定其利</w:t>
      </w:r>
      <w:r>
        <w:rPr>
          <w:spacing w:val="-64"/>
        </w:rPr>
        <w:t> </w:t>
      </w:r>
      <w:r>
        <w:rPr>
          <w:spacing w:val="-64"/>
        </w:rPr>
      </w:r>
      <w:r>
        <w:rPr>
          <w:spacing w:val="-2"/>
        </w:rPr>
        <w:t>息收入。若该金融工具在后续期间因其信用风险有所改善而不再存在信用减值，并且这一改善在客观上可与应用上述规定之</w:t>
      </w:r>
      <w:r>
        <w:rPr>
          <w:spacing w:val="-64"/>
        </w:rPr>
        <w:t> </w:t>
      </w:r>
      <w:r>
        <w:rPr>
          <w:spacing w:val="-64"/>
        </w:rPr>
      </w:r>
      <w:r>
        <w:rPr/>
        <w:t>后发生的某一事件相联系，应转按实际利率乘以该金融资产账面余额来计算确定利息收入。</w:t>
      </w:r>
    </w:p>
    <w:p>
      <w:pPr>
        <w:pStyle w:val="BodyText"/>
        <w:spacing w:line="300" w:lineRule="auto" w:before="19"/>
        <w:ind w:left="577" w:right="0" w:hanging="4"/>
        <w:jc w:val="left"/>
      </w:pPr>
      <w:r>
        <w:rPr>
          <w:rFonts w:ascii="Times New Roman" w:hAnsi="Times New Roman" w:cs="Times New Roman" w:eastAsia="Times New Roman" w:hint="default"/>
        </w:rPr>
        <w:t>2)</w:t>
      </w:r>
      <w:r>
        <w:rPr/>
        <w:t>以公允价值计量且其变动计入其他综合收益的金融资产 以公允价值计量且其变动计入其他综合收益的金融资产，是指同时符合下列条件的金融资产：①本公司管理该金融资</w:t>
      </w:r>
    </w:p>
    <w:p>
      <w:pPr>
        <w:pStyle w:val="BodyText"/>
        <w:spacing w:line="316" w:lineRule="auto" w:before="31"/>
        <w:ind w:left="153" w:right="0"/>
        <w:jc w:val="left"/>
      </w:pPr>
      <w:r>
        <w:rPr>
          <w:spacing w:val="-2"/>
        </w:rPr>
        <w:t>产的业务模式既以收取合同现金流量为目标又以出售该金融资产为目标。②该金融资产的合同条款规定，在特定日期产生的</w:t>
      </w:r>
      <w:r>
        <w:rPr>
          <w:spacing w:val="-64"/>
        </w:rPr>
        <w:t> </w:t>
      </w:r>
      <w:r>
        <w:rPr>
          <w:spacing w:val="-64"/>
        </w:rPr>
      </w:r>
      <w:r>
        <w:rPr/>
        <w:t>现金流量，仅为对本金和以未偿付本金金额为基础的利息的支付。</w:t>
      </w:r>
    </w:p>
    <w:p>
      <w:pPr>
        <w:pStyle w:val="BodyText"/>
        <w:spacing w:line="240" w:lineRule="auto" w:before="19"/>
        <w:ind w:left="577" w:right="0"/>
        <w:jc w:val="left"/>
      </w:pPr>
      <w:r>
        <w:rPr/>
        <w:t>该类金融资产在初始确认后以公允价值进行后续计量。采用实际利率法计算的利息、减值损失或利得及汇兑损益计入</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当期损益，其他利得或损失计入其他综合收益。终止确认时，将之前计入其他综合收益的累计利得或损失从其他综合收益中</w:t>
      </w:r>
      <w:r>
        <w:rPr>
          <w:spacing w:val="-66"/>
        </w:rPr>
        <w:t> </w:t>
      </w:r>
      <w:r>
        <w:rPr>
          <w:spacing w:val="-66"/>
        </w:rPr>
      </w:r>
      <w:r>
        <w:rPr/>
        <w:t>转出，计入当期损益。</w:t>
      </w:r>
    </w:p>
    <w:p>
      <w:pPr>
        <w:pStyle w:val="BodyText"/>
        <w:spacing w:line="309" w:lineRule="auto" w:before="19"/>
        <w:ind w:left="153" w:right="1030" w:firstLine="423"/>
        <w:jc w:val="left"/>
      </w:pPr>
      <w:r>
        <w:rPr/>
        <w:t>对于非交易性权益工具投资，本公司可在初始确认时将其不可撤销地指定为以公允价值计量且其变动计入其他综合收 </w:t>
      </w:r>
      <w:r>
        <w:rPr>
          <w:spacing w:val="-4"/>
        </w:rPr>
        <w:t>益的金融资产。该指定基于单项非交易性权益工具投资的基础上作出，且相关投资从工具发行者的角度符合权益工具的定义。</w:t>
      </w:r>
      <w:r>
        <w:rPr>
          <w:spacing w:val="-44"/>
        </w:rPr>
        <w:t> </w:t>
      </w:r>
      <w:r>
        <w:rPr>
          <w:spacing w:val="-44"/>
        </w:rPr>
      </w:r>
      <w:r>
        <w:rPr>
          <w:spacing w:val="-2"/>
        </w:rPr>
        <w:t>此类投资在初始指定后，除了获得的股利</w:t>
      </w:r>
      <w:r>
        <w:rPr>
          <w:rFonts w:ascii="Times New Roman" w:hAnsi="Times New Roman" w:cs="Times New Roman" w:eastAsia="Times New Roman" w:hint="default"/>
          <w:spacing w:val="-2"/>
        </w:rPr>
        <w:t>(</w:t>
      </w:r>
      <w:r>
        <w:rPr>
          <w:spacing w:val="-2"/>
        </w:rPr>
        <w:t>属于投资成本收回部分的除外</w:t>
      </w:r>
      <w:r>
        <w:rPr>
          <w:rFonts w:ascii="Times New Roman" w:hAnsi="Times New Roman" w:cs="Times New Roman" w:eastAsia="Times New Roman" w:hint="default"/>
          <w:spacing w:val="-2"/>
        </w:rPr>
        <w:t>)</w:t>
      </w:r>
      <w:r>
        <w:rPr>
          <w:spacing w:val="-2"/>
        </w:rPr>
        <w:t>计入当期损益外，其他相关的利得或损失</w:t>
      </w:r>
      <w:r>
        <w:rPr>
          <w:rFonts w:ascii="Times New Roman" w:hAnsi="Times New Roman" w:cs="Times New Roman" w:eastAsia="Times New Roman" w:hint="default"/>
          <w:spacing w:val="-2"/>
        </w:rPr>
        <w:t>(</w:t>
      </w:r>
      <w:r>
        <w:rPr>
          <w:spacing w:val="-2"/>
        </w:rPr>
        <w:t>包括汇兑</w:t>
      </w:r>
      <w:r>
        <w:rPr>
          <w:spacing w:val="-60"/>
        </w:rPr>
        <w:t> </w:t>
      </w:r>
      <w:r>
        <w:rPr/>
        <w:t>损益</w:t>
      </w:r>
      <w:r>
        <w:rPr>
          <w:rFonts w:ascii="Times New Roman" w:hAnsi="Times New Roman" w:cs="Times New Roman" w:eastAsia="Times New Roman" w:hint="default"/>
        </w:rPr>
        <w:t>)</w:t>
      </w:r>
      <w:r>
        <w:rPr/>
        <w:t>均计入其他综合收益。终止确认时，将之前计入其他综合收益的累计利得或损失从其他综合收益中转出，计入留存收</w:t>
      </w:r>
      <w:r>
        <w:rPr>
          <w:spacing w:val="-57"/>
        </w:rPr>
        <w:t> </w:t>
      </w:r>
      <w:r>
        <w:rPr>
          <w:spacing w:val="-57"/>
        </w:rPr>
      </w:r>
      <w:r>
        <w:rPr/>
        <w:t>益。</w:t>
      </w:r>
    </w:p>
    <w:p>
      <w:pPr>
        <w:pStyle w:val="BodyText"/>
        <w:spacing w:line="300" w:lineRule="auto" w:before="24"/>
        <w:ind w:left="573" w:right="0"/>
        <w:jc w:val="left"/>
      </w:pPr>
      <w:r>
        <w:rPr>
          <w:rFonts w:ascii="Times New Roman" w:hAnsi="Times New Roman" w:cs="Times New Roman" w:eastAsia="Times New Roman" w:hint="default"/>
        </w:rPr>
        <w:t>3)</w:t>
      </w:r>
      <w:r>
        <w:rPr/>
        <w:t>以公允价值计量且其变动计入当期损益的金融资产 </w:t>
      </w:r>
      <w:r>
        <w:rPr>
          <w:spacing w:val="-2"/>
        </w:rPr>
        <w:t>除上述</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情形外，本公司将其余所有的金融资产分类为以公允价值计量且其变动计入当期损益的金融资产。在初始</w:t>
      </w:r>
    </w:p>
    <w:p>
      <w:pPr>
        <w:pStyle w:val="BodyText"/>
        <w:spacing w:line="316" w:lineRule="auto" w:before="13"/>
        <w:ind w:left="153" w:right="1130"/>
        <w:jc w:val="both"/>
      </w:pPr>
      <w:r>
        <w:rPr>
          <w:spacing w:val="-2"/>
        </w:rPr>
        <w:t>确认时，如果能够消除或显著减少会计错配，可以将金融资产不可撤销地指定为以公允价值计量且其变动计入当期损益的金</w:t>
      </w:r>
      <w:r>
        <w:rPr>
          <w:spacing w:val="-64"/>
        </w:rPr>
        <w:t> </w:t>
      </w:r>
      <w:r>
        <w:rPr>
          <w:spacing w:val="-64"/>
        </w:rPr>
      </w:r>
      <w:r>
        <w:rPr>
          <w:spacing w:val="-2"/>
        </w:rPr>
        <w:t>融资产。本公司在非同一控制下的企业合并中确认的或有对价构成金融资产的，该金融资产分类为以公允价值计量且其变动</w:t>
      </w:r>
      <w:r>
        <w:rPr>
          <w:spacing w:val="-64"/>
        </w:rPr>
        <w:t> </w:t>
      </w:r>
      <w:r>
        <w:rPr>
          <w:spacing w:val="-64"/>
        </w:rPr>
      </w:r>
      <w:r>
        <w:rPr/>
        <w:t>计入当期损益的金融资产。</w:t>
      </w:r>
    </w:p>
    <w:p>
      <w:pPr>
        <w:pStyle w:val="BodyText"/>
        <w:spacing w:line="309" w:lineRule="auto" w:before="19"/>
        <w:ind w:left="577" w:right="1117"/>
        <w:jc w:val="left"/>
      </w:pPr>
      <w:r>
        <w:rPr/>
        <w:t>该类金融资产在初始确认后以公允价值进行后续计量，产生的利得或损失计入当期损益。 </w:t>
      </w:r>
      <w:r>
        <w:rPr>
          <w:rFonts w:ascii="Times New Roman" w:hAnsi="Times New Roman" w:cs="Times New Roman" w:eastAsia="Times New Roman" w:hint="default"/>
        </w:rPr>
        <w:t>(3)</w:t>
      </w:r>
      <w:r>
        <w:rPr/>
        <w:t>金融负债的分类和后续计量 本公司将金融负债分类为以公允价值计量且其变动计入当期损益的金融负债、金融资产转移不符合终止确认条件或继</w:t>
      </w:r>
    </w:p>
    <w:p>
      <w:pPr>
        <w:pStyle w:val="BodyText"/>
        <w:spacing w:line="309" w:lineRule="auto" w:before="24"/>
        <w:ind w:left="573" w:right="0" w:hanging="420"/>
        <w:jc w:val="left"/>
      </w:pPr>
      <w:r>
        <w:rPr/>
        <w:t>续涉入被转移金融资产所形成的金融负债、财务担保合同及以摊余成本计量的金融负债。 </w:t>
      </w:r>
      <w:r>
        <w:rPr>
          <w:rFonts w:ascii="Times New Roman" w:hAnsi="Times New Roman" w:cs="Times New Roman" w:eastAsia="Times New Roman" w:hint="default"/>
        </w:rPr>
        <w:t>1)</w:t>
      </w:r>
      <w:r>
        <w:rPr/>
        <w:t>以公允价值计量且其变动计入当期损益的金融负债 </w:t>
      </w:r>
      <w:r>
        <w:rPr>
          <w:spacing w:val="-2"/>
        </w:rPr>
        <w:t>以公允价值计量且其变动计入当期损益的金融负债，包括交易性金融负债</w:t>
      </w:r>
      <w:r>
        <w:rPr>
          <w:rFonts w:ascii="Times New Roman" w:hAnsi="Times New Roman" w:cs="Times New Roman" w:eastAsia="Times New Roman" w:hint="default"/>
          <w:spacing w:val="-2"/>
        </w:rPr>
        <w:t>(</w:t>
      </w:r>
      <w:r>
        <w:rPr>
          <w:spacing w:val="-2"/>
        </w:rPr>
        <w:t>含属于金融负债的衍生工具</w:t>
      </w:r>
      <w:r>
        <w:rPr>
          <w:rFonts w:ascii="Times New Roman" w:hAnsi="Times New Roman" w:cs="Times New Roman" w:eastAsia="Times New Roman" w:hint="default"/>
          <w:spacing w:val="-2"/>
        </w:rPr>
        <w:t>)</w:t>
      </w:r>
      <w:r>
        <w:rPr>
          <w:spacing w:val="-2"/>
        </w:rPr>
        <w:t>和指定为以公允</w:t>
      </w:r>
    </w:p>
    <w:p>
      <w:pPr>
        <w:pStyle w:val="BodyText"/>
        <w:spacing w:line="316" w:lineRule="auto" w:before="5"/>
        <w:ind w:left="153" w:right="1130"/>
        <w:jc w:val="both"/>
      </w:pPr>
      <w:r>
        <w:rPr>
          <w:spacing w:val="-2"/>
        </w:rPr>
        <w:t>价值计量且其变动计入当期损益的金融负债。在非同一控制下的企业合并中，本公司作为购买方确认的或有对价形成金融负</w:t>
      </w:r>
      <w:r>
        <w:rPr>
          <w:spacing w:val="-64"/>
        </w:rPr>
        <w:t> </w:t>
      </w:r>
      <w:r>
        <w:rPr>
          <w:spacing w:val="-64"/>
        </w:rPr>
      </w:r>
      <w:r>
        <w:rPr/>
        <w:t>债的，该金融负债应当按照以公允价值计量且其变动计入当期损益进行会计处理。</w:t>
      </w:r>
    </w:p>
    <w:p>
      <w:pPr>
        <w:pStyle w:val="BodyText"/>
        <w:spacing w:line="316" w:lineRule="auto" w:before="19"/>
        <w:ind w:left="153" w:right="1117" w:firstLine="423"/>
        <w:jc w:val="left"/>
      </w:pPr>
      <w:r>
        <w:rPr/>
        <w:t>以公允价值计量且其变动计入当期损益的金融负债在初始确认后以公允价值进行后续计量，产生的利得或损失计入当 期损益。</w:t>
      </w:r>
    </w:p>
    <w:p>
      <w:pPr>
        <w:pStyle w:val="BodyText"/>
        <w:spacing w:line="316" w:lineRule="auto" w:before="19"/>
        <w:ind w:left="153" w:right="1129" w:firstLine="423"/>
        <w:jc w:val="both"/>
      </w:pPr>
      <w:r>
        <w:rPr/>
        <w:t>因公司自身信用风险变动引起的指定为以公允价值计量且其变动计入当期损益的金融负债的公允价值变动金额计入其 </w:t>
      </w:r>
      <w:r>
        <w:rPr>
          <w:spacing w:val="-2"/>
        </w:rPr>
        <w:t>他综合收益，除非该处理会造成或扩大损益中的会计错配。该金融负债的其他公允价值变动计入当期损益。终止确认时，将</w:t>
      </w:r>
      <w:r>
        <w:rPr>
          <w:spacing w:val="-66"/>
        </w:rPr>
        <w:t> </w:t>
      </w:r>
      <w:r>
        <w:rPr>
          <w:spacing w:val="-66"/>
        </w:rPr>
      </w:r>
      <w:r>
        <w:rPr/>
        <w:t>之前计入其他综合收益的累计利得或损失从其他综合收益中转出，计入留存收益。</w:t>
      </w:r>
    </w:p>
    <w:p>
      <w:pPr>
        <w:pStyle w:val="BodyText"/>
        <w:spacing w:line="300" w:lineRule="auto" w:before="19"/>
        <w:ind w:left="577" w:right="3147"/>
        <w:jc w:val="left"/>
      </w:pPr>
      <w:r>
        <w:rPr>
          <w:rFonts w:ascii="Times New Roman" w:hAnsi="Times New Roman" w:cs="Times New Roman" w:eastAsia="Times New Roman" w:hint="default"/>
        </w:rPr>
        <w:t>2)</w:t>
      </w:r>
      <w:r>
        <w:rPr/>
        <w:t>金融资产转移不符合终止确认条件或继续涉入被转移金融资产所形成的金融负债 该类金融负债按照本节五、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金融资产转移的会计政策确定的方法进行计量</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财务担保合同</w:t>
      </w:r>
    </w:p>
    <w:p>
      <w:pPr>
        <w:pStyle w:val="BodyText"/>
        <w:spacing w:line="316" w:lineRule="auto" w:before="13"/>
        <w:ind w:left="153" w:right="0" w:firstLine="423"/>
        <w:jc w:val="left"/>
      </w:pPr>
      <w:r>
        <w:rPr/>
        <w:t>财务担保合同，是指当特定债务人到期不能按照最初或修改后的债务工具条款偿付债务时，要求本公司向蒙受损失的 合同持有人赔付特定金额的合同。</w:t>
      </w:r>
    </w:p>
    <w:p>
      <w:pPr>
        <w:pStyle w:val="BodyText"/>
        <w:spacing w:line="300" w:lineRule="auto" w:before="19"/>
        <w:ind w:left="153" w:right="1028" w:firstLine="423"/>
        <w:jc w:val="left"/>
      </w:pP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情形的财务担保合同，在初始确认后按照下列两项金额之中的较高者进行后续计量：①按照本节五、 </w:t>
      </w:r>
      <w:r>
        <w:rPr>
          <w:rFonts w:ascii="Times New Roman" w:hAnsi="Times New Roman" w:cs="Times New Roman" w:eastAsia="Times New Roman" w:hint="default"/>
        </w:rPr>
        <w:t>10</w:t>
      </w:r>
      <w:r>
        <w:rPr/>
        <w:t>、金融工具的减值方法确定的损失准备金额；②初始确认金额扣除按照本节五、</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收入确认方法所确定的累计摊</w:t>
      </w:r>
      <w:r>
        <w:rPr>
          <w:spacing w:val="-78"/>
        </w:rPr>
        <w:t> </w:t>
      </w:r>
      <w:r>
        <w:rPr>
          <w:spacing w:val="-78"/>
        </w:rPr>
      </w:r>
      <w:r>
        <w:rPr/>
        <w:t>销额后的余额</w:t>
      </w:r>
      <w:r>
        <w:rPr>
          <w:rFonts w:ascii="Times New Roman" w:hAnsi="Times New Roman" w:cs="Times New Roman" w:eastAsia="Times New Roman" w:hint="default"/>
        </w:rPr>
        <w:t>”</w:t>
      </w:r>
      <w:r>
        <w:rPr/>
        <w:t>。</w:t>
      </w:r>
    </w:p>
    <w:p>
      <w:pPr>
        <w:pStyle w:val="BodyText"/>
        <w:spacing w:line="300" w:lineRule="auto" w:before="13"/>
        <w:ind w:left="577" w:right="1117"/>
        <w:jc w:val="left"/>
      </w:pPr>
      <w:r>
        <w:rPr>
          <w:rFonts w:ascii="Times New Roman" w:hAnsi="Times New Roman" w:cs="Times New Roman" w:eastAsia="Times New Roman" w:hint="default"/>
        </w:rPr>
        <w:t>4)</w:t>
      </w:r>
      <w:r>
        <w:rPr/>
        <w:t>以摊余成本计量的金融负债 除上述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情形外，本公司将其余所有的金融负债分类为以摊余成本计量的金融负债。 该类金融负债在初始确认后采用实际利率法以摊余成本计量，产生的利得或损失在终止确认或在按照实际利率法摊销</w:t>
      </w:r>
    </w:p>
    <w:p>
      <w:pPr>
        <w:pStyle w:val="BodyText"/>
        <w:spacing w:line="240" w:lineRule="auto" w:before="31"/>
        <w:ind w:left="153" w:right="0"/>
        <w:jc w:val="left"/>
      </w:pPr>
      <w:r>
        <w:rPr/>
        <w:t>时计入当期损益。</w:t>
      </w:r>
    </w:p>
    <w:p>
      <w:pPr>
        <w:pStyle w:val="BodyText"/>
        <w:spacing w:line="300" w:lineRule="auto" w:before="76"/>
        <w:ind w:left="577" w:right="1117"/>
        <w:jc w:val="left"/>
      </w:pPr>
      <w:r>
        <w:rPr>
          <w:rFonts w:ascii="Times New Roman" w:hAnsi="Times New Roman" w:cs="Times New Roman" w:eastAsia="Times New Roman" w:hint="default"/>
        </w:rPr>
        <w:t>(4)</w:t>
      </w:r>
      <w:r>
        <w:rPr/>
        <w:t>权益工具 </w:t>
      </w:r>
      <w:r>
        <w:rPr>
          <w:spacing w:val="-2"/>
        </w:rPr>
        <w:t>权益工具是指能证明拥有本公司在扣除所有负债后的资产中的剩余权益的合同。本公司发行</w:t>
      </w:r>
      <w:r>
        <w:rPr>
          <w:rFonts w:ascii="Times New Roman" w:hAnsi="Times New Roman" w:cs="Times New Roman" w:eastAsia="Times New Roman" w:hint="default"/>
          <w:spacing w:val="-2"/>
        </w:rPr>
        <w:t>(</w:t>
      </w:r>
      <w:r>
        <w:rPr>
          <w:spacing w:val="-2"/>
        </w:rPr>
        <w:t>含再融资</w:t>
      </w:r>
      <w:r>
        <w:rPr>
          <w:rFonts w:ascii="Times New Roman" w:hAnsi="Times New Roman" w:cs="Times New Roman" w:eastAsia="Times New Roman" w:hint="default"/>
          <w:spacing w:val="-2"/>
        </w:rPr>
        <w:t>)</w:t>
      </w:r>
      <w:r>
        <w:rPr>
          <w:spacing w:val="-2"/>
        </w:rPr>
        <w:t>、回购、出售或</w:t>
      </w:r>
    </w:p>
    <w:p>
      <w:pPr>
        <w:pStyle w:val="BodyText"/>
        <w:spacing w:line="300" w:lineRule="auto" w:before="13"/>
        <w:ind w:left="153" w:right="1127"/>
        <w:jc w:val="both"/>
      </w:pPr>
      <w:r>
        <w:rPr/>
        <w:t>注销权益工具作为权益的变动处理。与权益性交易相关的交易费用从权益中扣减。本公司对权益工具持有方的各种分配</w:t>
      </w:r>
      <w:r>
        <w:rPr>
          <w:rFonts w:ascii="Times New Roman" w:hAnsi="Times New Roman" w:cs="Times New Roman" w:eastAsia="Times New Roman" w:hint="default"/>
        </w:rPr>
        <w:t>(</w:t>
      </w:r>
      <w:r>
        <w:rPr/>
        <w:t>不</w:t>
      </w:r>
      <w:r>
        <w:rPr>
          <w:spacing w:val="-58"/>
        </w:rPr>
        <w:t> </w:t>
      </w:r>
      <w:r>
        <w:rPr/>
        <w:t>包括股票股利</w:t>
      </w:r>
      <w:r>
        <w:rPr>
          <w:rFonts w:ascii="Times New Roman" w:hAnsi="Times New Roman" w:cs="Times New Roman" w:eastAsia="Times New Roman" w:hint="default"/>
        </w:rPr>
        <w:t>)</w:t>
      </w:r>
      <w:r>
        <w:rPr/>
        <w:t>，减少股东权益。本公司不确认权益工具的公允价值变动额。</w:t>
      </w:r>
    </w:p>
    <w:p>
      <w:pPr>
        <w:pStyle w:val="BodyText"/>
        <w:spacing w:line="300" w:lineRule="auto" w:before="13"/>
        <w:ind w:left="577" w:right="0" w:hanging="4"/>
        <w:jc w:val="left"/>
      </w:pPr>
      <w:r>
        <w:rPr>
          <w:rFonts w:ascii="Times New Roman" w:hAnsi="Times New Roman" w:cs="Times New Roman" w:eastAsia="Times New Roman" w:hint="default"/>
        </w:rPr>
        <w:t>2</w:t>
      </w:r>
      <w:r>
        <w:rPr/>
        <w:t>．金融资产转移的确认依据及计量方法 </w:t>
      </w:r>
      <w:r>
        <w:rPr>
          <w:spacing w:val="-4"/>
        </w:rPr>
        <w:t>金融资产转移，是指本公司将金融资产</w:t>
      </w:r>
      <w:r>
        <w:rPr>
          <w:rFonts w:ascii="Times New Roman" w:hAnsi="Times New Roman" w:cs="Times New Roman" w:eastAsia="Times New Roman" w:hint="default"/>
          <w:spacing w:val="-4"/>
        </w:rPr>
        <w:t>(</w:t>
      </w:r>
      <w:r>
        <w:rPr>
          <w:spacing w:val="-4"/>
        </w:rPr>
        <w:t>或其现金流量</w:t>
      </w:r>
      <w:r>
        <w:rPr>
          <w:rFonts w:ascii="Times New Roman" w:hAnsi="Times New Roman" w:cs="Times New Roman" w:eastAsia="Times New Roman" w:hint="default"/>
          <w:spacing w:val="-4"/>
        </w:rPr>
        <w:t>)</w:t>
      </w:r>
      <w:r>
        <w:rPr>
          <w:spacing w:val="-4"/>
        </w:rPr>
        <w:t>让与或交付该金融资产发行方以外的另一方。金融资产终止确认，</w:t>
      </w:r>
    </w:p>
    <w:p>
      <w:pPr>
        <w:pStyle w:val="BodyText"/>
        <w:spacing w:line="240" w:lineRule="auto" w:before="13"/>
        <w:ind w:left="153" w:right="0"/>
        <w:jc w:val="left"/>
      </w:pPr>
      <w:r>
        <w:rPr/>
        <w:t>是指本公司将之前确认的金融资产从其资产负债表中予以转出。</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7" w:firstLine="420"/>
        <w:jc w:val="both"/>
      </w:pPr>
      <w:r>
        <w:rPr>
          <w:spacing w:val="-1"/>
        </w:rPr>
        <w:t>满足下列条件之一的金融资产，本公司予以终止确认：</w:t>
      </w:r>
      <w:r>
        <w:rPr>
          <w:rFonts w:ascii="Times New Roman" w:hAnsi="Times New Roman" w:cs="Times New Roman" w:eastAsia="Times New Roman" w:hint="default"/>
          <w:spacing w:val="-1"/>
        </w:rPr>
        <w:t>(1)</w:t>
      </w:r>
      <w:r>
        <w:rPr>
          <w:spacing w:val="-1"/>
        </w:rPr>
        <w:t>收取该金融资产现金流量的合同权利终止；</w:t>
      </w:r>
      <w:r>
        <w:rPr>
          <w:rFonts w:ascii="Times New Roman" w:hAnsi="Times New Roman" w:cs="Times New Roman" w:eastAsia="Times New Roman" w:hint="default"/>
          <w:spacing w:val="-1"/>
        </w:rPr>
        <w:t>(2)</w:t>
      </w:r>
      <w:r>
        <w:rPr>
          <w:spacing w:val="-1"/>
        </w:rPr>
        <w:t>该金融资产已</w:t>
      </w:r>
      <w:r>
        <w:rPr/>
        <w:t> 转移，且将金融资产所有权上几乎所有的风险和报酬转移给转入方；</w:t>
      </w:r>
      <w:r>
        <w:rPr>
          <w:rFonts w:ascii="Times New Roman" w:hAnsi="Times New Roman" w:cs="Times New Roman" w:eastAsia="Times New Roman" w:hint="default"/>
        </w:rPr>
        <w:t>(3)</w:t>
      </w:r>
      <w:r>
        <w:rPr/>
        <w:t>该金融资产已转移，虽然本公司既没有转移也没有</w:t>
      </w:r>
      <w:r>
        <w:rPr>
          <w:spacing w:val="-32"/>
        </w:rPr>
        <w:t> </w:t>
      </w:r>
      <w:r>
        <w:rPr>
          <w:spacing w:val="-32"/>
        </w:rPr>
      </w:r>
      <w:r>
        <w:rPr/>
        <w:t>保留金融资产所有权上几乎所有的风险和报酬，但是放弃了对该金融资产的控制。</w:t>
      </w:r>
    </w:p>
    <w:p>
      <w:pPr>
        <w:pStyle w:val="BodyText"/>
        <w:spacing w:line="316" w:lineRule="auto" w:before="31"/>
        <w:ind w:right="1129" w:firstLine="423"/>
        <w:jc w:val="both"/>
      </w:pPr>
      <w:r>
        <w:rPr/>
        <w:t>若本公司既没有转移也没有保留金融资产所有权上几乎所有的风险和报酬，且保留了对该金融资产的控制的，则按照 </w:t>
      </w:r>
      <w:r>
        <w:rPr>
          <w:spacing w:val="-2"/>
        </w:rPr>
        <w:t>继续涉入被转移金融资产的程度继续确认有关金融资产，并相应确认有关负债。继续涉入所转移金融资产的程度，是指该金</w:t>
      </w:r>
      <w:r>
        <w:rPr>
          <w:spacing w:val="-66"/>
        </w:rPr>
        <w:t> </w:t>
      </w:r>
      <w:r>
        <w:rPr>
          <w:spacing w:val="-66"/>
        </w:rPr>
      </w:r>
      <w:r>
        <w:rPr/>
        <w:t>融资产价值变动使企业面临的风险水平。</w:t>
      </w:r>
    </w:p>
    <w:p>
      <w:pPr>
        <w:pStyle w:val="BodyText"/>
        <w:spacing w:line="309" w:lineRule="auto" w:before="19"/>
        <w:ind w:right="0" w:firstLine="423"/>
        <w:jc w:val="left"/>
      </w:pPr>
      <w:r>
        <w:rPr/>
        <w:t>金融资产整体转移满足终止确认条件的，将下列两项金额的差额计入当期损益：</w:t>
      </w:r>
      <w:r>
        <w:rPr>
          <w:rFonts w:ascii="Times New Roman" w:hAnsi="Times New Roman" w:cs="Times New Roman" w:eastAsia="Times New Roman" w:hint="default"/>
        </w:rPr>
        <w:t>(1)</w:t>
      </w:r>
      <w:r>
        <w:rPr/>
        <w:t>被转移金融资产在终止确认日的账 面价值；</w:t>
      </w:r>
      <w:r>
        <w:rPr>
          <w:rFonts w:ascii="Times New Roman" w:hAnsi="Times New Roman" w:cs="Times New Roman" w:eastAsia="Times New Roman" w:hint="default"/>
        </w:rPr>
        <w:t>(2)</w:t>
      </w:r>
      <w:r>
        <w:rPr/>
        <w:t>因转移金融资产而收到的对价，与原直接计入其他综合收益的公允价值变动累计额中对应终止确认部分的金额</w:t>
      </w:r>
      <w:r>
        <w:rPr>
          <w:spacing w:val="-33"/>
        </w:rPr>
        <w:t> </w:t>
      </w:r>
      <w:r>
        <w:rPr>
          <w:spacing w:val="-33"/>
        </w:rPr>
      </w:r>
      <w:r>
        <w:rPr>
          <w:spacing w:val="-4"/>
        </w:rPr>
        <w:t>之和。金融资产部分转移满足终止确认条件的，将所转移金融资产整体的账面价值，在终止确认部分和未终止确认部分之间，</w:t>
      </w:r>
      <w:r>
        <w:rPr>
          <w:spacing w:val="-44"/>
        </w:rPr>
        <w:t> </w:t>
      </w:r>
      <w:r>
        <w:rPr>
          <w:spacing w:val="-44"/>
        </w:rPr>
      </w:r>
      <w:r>
        <w:rPr>
          <w:spacing w:val="-3"/>
        </w:rPr>
        <w:t>按照各自的相对公允价值进行分摊，并将下列两项金额的差额计入当期损益：</w:t>
      </w:r>
      <w:r>
        <w:rPr>
          <w:rFonts w:ascii="Times New Roman" w:hAnsi="Times New Roman" w:cs="Times New Roman" w:eastAsia="Times New Roman" w:hint="default"/>
          <w:spacing w:val="-3"/>
        </w:rPr>
        <w:t>(1)</w:t>
      </w:r>
      <w:r>
        <w:rPr>
          <w:spacing w:val="-3"/>
        </w:rPr>
        <w:t>终止确认部分在终止确认日的账面价值；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4"/>
        </w:rPr>
        <w:t> </w:t>
      </w:r>
      <w:r>
        <w:rPr>
          <w:spacing w:val="-2"/>
        </w:rPr>
        <w:t>终止确认部分收到的对价，与原直接计入其他综合收益的公允价值变动累计额中对应终止确认部分的金额之和。对于本公司</w:t>
      </w:r>
      <w:r>
        <w:rPr>
          <w:spacing w:val="-64"/>
        </w:rPr>
        <w:t> </w:t>
      </w:r>
      <w:r>
        <w:rPr>
          <w:spacing w:val="-64"/>
        </w:rPr>
      </w:r>
      <w:r>
        <w:rPr>
          <w:spacing w:val="-2"/>
        </w:rPr>
        <w:t>指定为以公允价值计量且其变动计入其他综合收益的非交易性权益工具，整体或部分转移满足终止确认条件的，按上述方法</w:t>
      </w:r>
      <w:r>
        <w:rPr>
          <w:spacing w:val="-64"/>
        </w:rPr>
        <w:t> </w:t>
      </w:r>
      <w:r>
        <w:rPr>
          <w:spacing w:val="-64"/>
        </w:rPr>
      </w:r>
      <w:r>
        <w:rPr/>
        <w:t>计算的差额计入留存收益。</w:t>
      </w:r>
    </w:p>
    <w:p>
      <w:pPr>
        <w:pStyle w:val="BodyText"/>
        <w:spacing w:line="300" w:lineRule="auto" w:before="24"/>
        <w:ind w:left="528" w:right="0" w:firstLine="13"/>
        <w:jc w:val="left"/>
      </w:pPr>
      <w:r>
        <w:rPr>
          <w:rFonts w:ascii="Times New Roman" w:hAnsi="Times New Roman" w:cs="Times New Roman" w:eastAsia="Times New Roman" w:hint="default"/>
        </w:rPr>
        <w:t>3</w:t>
      </w:r>
      <w:r>
        <w:rPr/>
        <w:t>．金融负债终止确认条件 金融负债</w:t>
      </w:r>
      <w:r>
        <w:rPr>
          <w:rFonts w:ascii="Times New Roman" w:hAnsi="Times New Roman" w:cs="Times New Roman" w:eastAsia="Times New Roman" w:hint="default"/>
        </w:rPr>
        <w:t>(</w:t>
      </w:r>
      <w:r>
        <w:rPr/>
        <w:t>或其一部分</w:t>
      </w:r>
      <w:r>
        <w:rPr>
          <w:rFonts w:ascii="Times New Roman" w:hAnsi="Times New Roman" w:cs="Times New Roman" w:eastAsia="Times New Roman" w:hint="default"/>
        </w:rPr>
        <w:t>)</w:t>
      </w:r>
      <w:r>
        <w:rPr/>
        <w:t>的现时义务已经解除的，本公司终止确认该金融负债</w:t>
      </w:r>
      <w:r>
        <w:rPr>
          <w:rFonts w:ascii="Times New Roman" w:hAnsi="Times New Roman" w:cs="Times New Roman" w:eastAsia="Times New Roman" w:hint="default"/>
        </w:rPr>
        <w:t>(</w:t>
      </w:r>
      <w:r>
        <w:rPr/>
        <w:t>或该部分金融负债</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借入方</w:t>
      </w:r>
      <w:r>
        <w:rPr>
          <w:rFonts w:ascii="Times New Roman" w:hAnsi="Times New Roman" w:cs="Times New Roman" w:eastAsia="Times New Roman" w:hint="default"/>
        </w:rPr>
        <w:t>)</w:t>
      </w:r>
      <w:r>
        <w:rPr/>
        <w:t>与借</w:t>
      </w:r>
    </w:p>
    <w:p>
      <w:pPr>
        <w:pStyle w:val="BodyText"/>
        <w:spacing w:line="309" w:lineRule="auto" w:before="13"/>
        <w:ind w:right="1129"/>
        <w:jc w:val="both"/>
      </w:pPr>
      <w:r>
        <w:rPr>
          <w:spacing w:val="-2"/>
        </w:rPr>
        <w:t>出方之间签订协议，以承担新金融负债方式替换原金融负债，且新金融负债与原金融负债的合同条款实质上不同的，终止确</w:t>
      </w:r>
      <w:r>
        <w:rPr>
          <w:spacing w:val="-66"/>
        </w:rPr>
        <w:t> </w:t>
      </w:r>
      <w:r>
        <w:rPr>
          <w:spacing w:val="-66"/>
        </w:rPr>
      </w:r>
      <w:r>
        <w:rPr>
          <w:spacing w:val="-1"/>
        </w:rPr>
        <w:t>认原金融负债，同时确认一项新金融负债。本公司对原金融负债</w:t>
      </w:r>
      <w:r>
        <w:rPr>
          <w:rFonts w:ascii="Times New Roman" w:hAnsi="Times New Roman" w:cs="Times New Roman" w:eastAsia="Times New Roman" w:hint="default"/>
          <w:spacing w:val="-1"/>
        </w:rPr>
        <w:t>(</w:t>
      </w:r>
      <w:r>
        <w:rPr>
          <w:spacing w:val="-1"/>
        </w:rPr>
        <w:t>或其一部分</w:t>
      </w:r>
      <w:r>
        <w:rPr>
          <w:rFonts w:ascii="Times New Roman" w:hAnsi="Times New Roman" w:cs="Times New Roman" w:eastAsia="Times New Roman" w:hint="default"/>
          <w:spacing w:val="-1"/>
        </w:rPr>
        <w:t>)</w:t>
      </w:r>
      <w:r>
        <w:rPr>
          <w:spacing w:val="-1"/>
        </w:rPr>
        <w:t>的合同条款做出实质性修改的，终止确认原金</w:t>
      </w:r>
      <w:r>
        <w:rPr>
          <w:spacing w:val="-59"/>
        </w:rPr>
        <w:t> </w:t>
      </w:r>
      <w:r>
        <w:rPr>
          <w:spacing w:val="-59"/>
        </w:rPr>
      </w:r>
      <w:r>
        <w:rPr/>
        <w:t>融负债，同时按照修改后的条款确认一项新金融负债。</w:t>
      </w:r>
    </w:p>
    <w:p>
      <w:pPr>
        <w:pStyle w:val="BodyText"/>
        <w:spacing w:line="307" w:lineRule="auto" w:before="24"/>
        <w:ind w:left="153" w:right="1127" w:firstLine="423"/>
        <w:jc w:val="both"/>
      </w:pPr>
      <w:r>
        <w:rPr>
          <w:spacing w:val="-1"/>
        </w:rPr>
        <w:t>金融负债</w:t>
      </w:r>
      <w:r>
        <w:rPr>
          <w:rFonts w:ascii="Times New Roman" w:hAnsi="Times New Roman" w:cs="Times New Roman" w:eastAsia="Times New Roman" w:hint="default"/>
          <w:spacing w:val="-1"/>
        </w:rPr>
        <w:t>(</w:t>
      </w:r>
      <w:r>
        <w:rPr>
          <w:spacing w:val="-1"/>
        </w:rPr>
        <w:t>或其一部分</w:t>
      </w:r>
      <w:r>
        <w:rPr>
          <w:rFonts w:ascii="Times New Roman" w:hAnsi="Times New Roman" w:cs="Times New Roman" w:eastAsia="Times New Roman" w:hint="default"/>
          <w:spacing w:val="-1"/>
        </w:rPr>
        <w:t>)</w:t>
      </w:r>
      <w:r>
        <w:rPr>
          <w:spacing w:val="-1"/>
        </w:rPr>
        <w:t>终止确认的，本公司将其账面价值与支付的对价</w:t>
      </w:r>
      <w:r>
        <w:rPr>
          <w:rFonts w:ascii="Times New Roman" w:hAnsi="Times New Roman" w:cs="Times New Roman" w:eastAsia="Times New Roman" w:hint="default"/>
          <w:spacing w:val="-1"/>
        </w:rPr>
        <w:t>(</w:t>
      </w:r>
      <w:r>
        <w:rPr>
          <w:spacing w:val="-1"/>
        </w:rPr>
        <w:t>包括转出的非现金资产或承担的负债</w:t>
      </w:r>
      <w:r>
        <w:rPr>
          <w:rFonts w:ascii="Times New Roman" w:hAnsi="Times New Roman" w:cs="Times New Roman" w:eastAsia="Times New Roman" w:hint="default"/>
          <w:spacing w:val="-1"/>
        </w:rPr>
        <w:t>)</w:t>
      </w:r>
      <w:r>
        <w:rPr>
          <w:spacing w:val="-1"/>
        </w:rPr>
        <w:t>之间的差</w:t>
      </w:r>
      <w:r>
        <w:rPr/>
        <w:t> </w:t>
      </w:r>
      <w:r>
        <w:rPr>
          <w:spacing w:val="-2"/>
        </w:rPr>
        <w:t>额，计入当期损益。本公司回购金融负债一部分的，按照继续确认部分和终止确认部分在回购日各自的公允价值占整体公允</w:t>
      </w:r>
      <w:r>
        <w:rPr>
          <w:spacing w:val="-66"/>
        </w:rPr>
        <w:t> </w:t>
      </w:r>
      <w:r>
        <w:rPr>
          <w:spacing w:val="-66"/>
        </w:rPr>
      </w:r>
      <w:r>
        <w:rPr/>
        <w:t>价值的比例，对该金融负债整体的账面价值进行分配。分配给终止确认部分的账面价值与支付的对价</w:t>
      </w:r>
      <w:r>
        <w:rPr>
          <w:rFonts w:ascii="Times New Roman" w:hAnsi="Times New Roman" w:cs="Times New Roman" w:eastAsia="Times New Roman" w:hint="default"/>
        </w:rPr>
        <w:t>(</w:t>
      </w:r>
      <w:r>
        <w:rPr/>
        <w:t>包括转出的非现金资</w:t>
      </w:r>
      <w:r>
        <w:rPr>
          <w:spacing w:val="-57"/>
        </w:rPr>
        <w:t> </w:t>
      </w:r>
      <w:r>
        <w:rPr>
          <w:spacing w:val="-57"/>
        </w:rPr>
      </w:r>
      <w:r>
        <w:rPr/>
        <w:t>产或承担的负债</w:t>
      </w:r>
      <w:r>
        <w:rPr>
          <w:rFonts w:ascii="Times New Roman" w:hAnsi="Times New Roman" w:cs="Times New Roman" w:eastAsia="Times New Roman" w:hint="default"/>
        </w:rPr>
        <w:t>)</w:t>
      </w:r>
      <w:r>
        <w:rPr/>
        <w:t>之间的差额，计入当期损益。</w:t>
      </w:r>
    </w:p>
    <w:p>
      <w:pPr>
        <w:pStyle w:val="BodyText"/>
        <w:spacing w:line="300" w:lineRule="auto" w:before="7"/>
        <w:ind w:left="573" w:right="5966"/>
        <w:jc w:val="left"/>
      </w:pPr>
      <w:r>
        <w:rPr>
          <w:rFonts w:ascii="Times New Roman" w:hAnsi="Times New Roman" w:cs="Times New Roman" w:eastAsia="Times New Roman" w:hint="default"/>
        </w:rPr>
        <w:t>4</w:t>
      </w:r>
      <w:r>
        <w:rPr/>
        <w:t>．金融工具公允价值的确定 金融资产和金融负债的公允价值确定方法见本节五、</w:t>
      </w:r>
      <w:r>
        <w:rPr>
          <w:rFonts w:ascii="Times New Roman" w:hAnsi="Times New Roman" w:cs="Times New Roman" w:eastAsia="Times New Roman" w:hint="default"/>
        </w:rPr>
        <w:t>43.</w:t>
      </w:r>
      <w:r>
        <w:rPr>
          <w:rFonts w:ascii="Times New Roman" w:hAnsi="Times New Roman" w:cs="Times New Roman" w:eastAsia="Times New Roman" w:hint="default"/>
          <w:spacing w:val="-1"/>
        </w:rPr>
        <w:t> </w:t>
      </w:r>
      <w:r>
        <w:rPr>
          <w:rFonts w:ascii="Times New Roman" w:hAnsi="Times New Roman" w:cs="Times New Roman" w:eastAsia="Times New Roman" w:hint="default"/>
        </w:rPr>
        <w:t>5</w:t>
      </w:r>
      <w:r>
        <w:rPr/>
        <w:t>．金融工具的减值</w:t>
      </w:r>
    </w:p>
    <w:p>
      <w:pPr>
        <w:pStyle w:val="BodyText"/>
        <w:spacing w:line="316" w:lineRule="auto" w:before="13"/>
        <w:ind w:left="153" w:right="1129" w:firstLine="423"/>
        <w:jc w:val="both"/>
      </w:pPr>
      <w:r>
        <w:rPr/>
        <w:t>本公司以预期信用损失为基础，对以摊余成本计量的金融资产、以公允价值计量且其变动计入其他综合收益的债务工 </w:t>
      </w:r>
      <w:r>
        <w:rPr>
          <w:spacing w:val="-2"/>
        </w:rPr>
        <w:t>具投资、租赁应收款以及财务担保合同进行减值处理并确认损失准备。预期信用损失，是指以发生违约的风险为权重的金融</w:t>
      </w:r>
      <w:r>
        <w:rPr>
          <w:spacing w:val="-66"/>
        </w:rPr>
        <w:t> </w:t>
      </w:r>
      <w:r>
        <w:rPr>
          <w:spacing w:val="-66"/>
        </w:rPr>
      </w:r>
      <w:r>
        <w:rPr>
          <w:spacing w:val="-2"/>
        </w:rPr>
        <w:t>工具信用损失的加权平均值。信用损失，是指本公司按照原实际利率折现的、根据合同应收的所有合同现金流量与预期收取</w:t>
      </w:r>
      <w:r>
        <w:rPr>
          <w:spacing w:val="-66"/>
        </w:rPr>
        <w:t> </w:t>
      </w:r>
      <w:r>
        <w:rPr>
          <w:spacing w:val="-66"/>
        </w:rPr>
      </w:r>
      <w:r>
        <w:rPr/>
        <w:t>的所有现金流量之间的差额，即全部现金短缺的现值。</w:t>
      </w:r>
    </w:p>
    <w:p>
      <w:pPr>
        <w:pStyle w:val="BodyText"/>
        <w:spacing w:line="316" w:lineRule="auto" w:before="19"/>
        <w:ind w:left="153" w:right="1129" w:firstLine="423"/>
        <w:jc w:val="both"/>
      </w:pPr>
      <w:r>
        <w:rPr/>
        <w:t>对于购买或源生的已发生信用减值的金融资产，公司在资产负债表日仅将自初始确认后整个存续期内预期信用损失的 累计变动确认为损失准备。</w:t>
      </w:r>
    </w:p>
    <w:p>
      <w:pPr>
        <w:pStyle w:val="BodyText"/>
        <w:spacing w:line="300" w:lineRule="auto" w:before="19"/>
        <w:ind w:left="153" w:right="1129" w:firstLine="423"/>
        <w:jc w:val="both"/>
      </w:pPr>
      <w:r>
        <w:rPr/>
        <w:t>对于由《企业会计准则第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收入》规范的交易形成的应收款项及租赁应收款，本公司运用简化计量方法，按照 相当于整个存续期内的预期信用损失金额计量损失准备。</w:t>
      </w:r>
    </w:p>
    <w:p>
      <w:pPr>
        <w:pStyle w:val="BodyText"/>
        <w:spacing w:line="316" w:lineRule="auto" w:before="31"/>
        <w:ind w:left="153" w:right="0" w:firstLine="423"/>
        <w:jc w:val="left"/>
      </w:pPr>
      <w:r>
        <w:rPr/>
        <w:t>除上述计量方法以外的金融工具，本公司按照一般方法计量损失准备，在每个资产负债表日评估其信用风险自初始确 </w:t>
      </w:r>
      <w:r>
        <w:rPr>
          <w:spacing w:val="-4"/>
        </w:rPr>
        <w:t>认后是否已经显著增加。如果信用风险自初始确认后已显著增加，公司按照整个存续期内预期信用损失的金额计量损失准备；</w:t>
      </w:r>
      <w:r>
        <w:rPr>
          <w:spacing w:val="-44"/>
        </w:rPr>
        <w:t> </w:t>
      </w:r>
      <w:r>
        <w:rPr>
          <w:spacing w:val="-44"/>
        </w:rPr>
      </w:r>
      <w:r>
        <w:rPr/>
        <w:t>如果信用风险自初始确认后未显著增加，公司按照该金融工具未来</w:t>
      </w:r>
      <w:r>
        <w:rPr>
          <w:rFonts w:ascii="Times New Roman" w:hAnsi="Times New Roman" w:cs="Times New Roman" w:eastAsia="Times New Roman" w:hint="default"/>
        </w:rPr>
        <w:t>12</w:t>
      </w:r>
      <w:r>
        <w:rPr/>
        <w:t>个月内预期信用损失的金额计量损失准备。</w:t>
      </w:r>
    </w:p>
    <w:p>
      <w:pPr>
        <w:pStyle w:val="BodyText"/>
        <w:spacing w:line="309" w:lineRule="auto"/>
        <w:ind w:left="153" w:right="1129" w:firstLine="423"/>
        <w:jc w:val="both"/>
      </w:pPr>
      <w:r>
        <w:rPr/>
        <w:t>整个存续期预期信用损失，是指因金融工具整个预计存续期内所有可能发生的违约事件而导致的预期信用损失。未来 </w:t>
      </w:r>
      <w:r>
        <w:rPr>
          <w:rFonts w:ascii="Times New Roman" w:hAnsi="Times New Roman" w:cs="Times New Roman" w:eastAsia="Times New Roman" w:hint="default"/>
          <w:spacing w:val="-1"/>
        </w:rPr>
        <w:t>12</w:t>
      </w:r>
      <w:r>
        <w:rPr>
          <w:spacing w:val="-1"/>
        </w:rPr>
        <w:t>个月内预期信用损失，是指因资产负债表日后</w:t>
      </w:r>
      <w:r>
        <w:rPr>
          <w:rFonts w:ascii="Times New Roman" w:hAnsi="Times New Roman" w:cs="Times New Roman" w:eastAsia="Times New Roman" w:hint="default"/>
          <w:spacing w:val="-1"/>
        </w:rPr>
        <w:t>12</w:t>
      </w:r>
      <w:r>
        <w:rPr>
          <w:spacing w:val="-1"/>
        </w:rPr>
        <w:t>个月内</w:t>
      </w:r>
      <w:r>
        <w:rPr>
          <w:rFonts w:ascii="Times New Roman" w:hAnsi="Times New Roman" w:cs="Times New Roman" w:eastAsia="Times New Roman" w:hint="default"/>
          <w:spacing w:val="-1"/>
        </w:rPr>
        <w:t>(</w:t>
      </w:r>
      <w:r>
        <w:rPr>
          <w:spacing w:val="-1"/>
        </w:rPr>
        <w:t>若金融工具的预计存续期少于</w:t>
      </w:r>
      <w:r>
        <w:rPr>
          <w:rFonts w:ascii="Times New Roman" w:hAnsi="Times New Roman" w:cs="Times New Roman" w:eastAsia="Times New Roman" w:hint="default"/>
          <w:spacing w:val="-1"/>
        </w:rPr>
        <w:t>12</w:t>
      </w:r>
      <w:r>
        <w:rPr>
          <w:spacing w:val="-1"/>
        </w:rPr>
        <w:t>个月，则为预计存续期</w:t>
      </w:r>
      <w:r>
        <w:rPr>
          <w:rFonts w:ascii="Times New Roman" w:hAnsi="Times New Roman" w:cs="Times New Roman" w:eastAsia="Times New Roman" w:hint="default"/>
          <w:spacing w:val="-1"/>
        </w:rPr>
        <w:t>)</w:t>
      </w:r>
      <w:r>
        <w:rPr>
          <w:spacing w:val="-1"/>
        </w:rPr>
        <w:t>可能发生</w:t>
      </w:r>
      <w:r>
        <w:rPr>
          <w:spacing w:val="-54"/>
        </w:rPr>
        <w:t> </w:t>
      </w:r>
      <w:r>
        <w:rPr/>
        <w:t>的金融工具违约事件而导致的预期信用损失，是整个存续期预期信用损失的一部分。</w:t>
      </w:r>
    </w:p>
    <w:p>
      <w:pPr>
        <w:pStyle w:val="BodyText"/>
        <w:spacing w:line="316" w:lineRule="auto" w:before="24"/>
        <w:ind w:left="153" w:right="1129" w:firstLine="423"/>
        <w:jc w:val="both"/>
      </w:pPr>
      <w:r>
        <w:rPr/>
        <w:t>本公司考虑所有合理且有依据的信息，包括前瞻性信息，通过比较金融工具在资产负债表日发生违约的风险与在初始 </w:t>
      </w:r>
      <w:r>
        <w:rPr>
          <w:spacing w:val="-2"/>
        </w:rPr>
        <w:t>确认日发生违约的风险，确定金融工具预计存续期内发生违约风险的相对变化，以评估金融工具的信用风险自初始确认后是</w:t>
      </w:r>
      <w:r>
        <w:rPr>
          <w:spacing w:val="-64"/>
        </w:rPr>
        <w:t> </w:t>
      </w:r>
      <w:r>
        <w:rPr>
          <w:spacing w:val="-64"/>
        </w:rPr>
      </w:r>
      <w:r>
        <w:rPr>
          <w:spacing w:val="-2"/>
        </w:rPr>
        <w:t>否已显著增加。对于在单项工具层面无法以合理成本获得关于信用风险显著增加的充分证据的金融工具，本公司以组合为基</w:t>
      </w:r>
      <w:r>
        <w:rPr>
          <w:spacing w:val="-64"/>
        </w:rPr>
        <w:t> </w:t>
      </w:r>
      <w:r>
        <w:rPr>
          <w:spacing w:val="-64"/>
        </w:rPr>
      </w:r>
      <w:r>
        <w:rPr>
          <w:spacing w:val="-2"/>
        </w:rPr>
        <w:t>础考虑评估信用风险是否显著增加。若本公司判断金融工具在资产负债表日只具有较低的信用风险，则假定该金融工具的信</w:t>
      </w:r>
      <w:r>
        <w:rPr>
          <w:spacing w:val="-64"/>
        </w:rPr>
        <w:t> </w:t>
      </w:r>
      <w:r>
        <w:rPr>
          <w:spacing w:val="-64"/>
        </w:rPr>
      </w:r>
      <w:r>
        <w:rPr/>
        <w:t>用风险自初始确认后并未显著增加。</w:t>
      </w:r>
    </w:p>
    <w:p>
      <w:pPr>
        <w:spacing w:after="0" w:line="316"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29" w:firstLine="423"/>
        <w:jc w:val="both"/>
      </w:pPr>
      <w:r>
        <w:rPr/>
        <w:t>本公司在每个资产负债表日重新计量预期信用损失，由此形成的损失准备的增加或转回金额，作为减值损失或利得计 </w:t>
      </w:r>
      <w:r>
        <w:rPr>
          <w:spacing w:val="-2"/>
        </w:rPr>
        <w:t>入当期损益。对于以摊余成本计量的金融资产，损失准备抵减该金融资产在资产负债表中列示的账面价值；对于以公允价值</w:t>
      </w:r>
      <w:r>
        <w:rPr>
          <w:spacing w:val="-66"/>
        </w:rPr>
        <w:t> </w:t>
      </w:r>
      <w:r>
        <w:rPr>
          <w:spacing w:val="-66"/>
        </w:rPr>
      </w:r>
      <w:r>
        <w:rPr>
          <w:spacing w:val="-2"/>
        </w:rPr>
        <w:t>计量且其变动计入其他综合收益的债务工具投资，公司在其他综合收益中确认其损失准备，不抵减该金融资产在资产负债表</w:t>
      </w:r>
      <w:r>
        <w:rPr>
          <w:spacing w:val="-64"/>
        </w:rPr>
        <w:t> </w:t>
      </w:r>
      <w:r>
        <w:rPr>
          <w:spacing w:val="-64"/>
        </w:rPr>
      </w:r>
      <w:r>
        <w:rPr/>
        <w:t>中列示的账面价值。</w:t>
      </w:r>
    </w:p>
    <w:p>
      <w:pPr>
        <w:pStyle w:val="BodyText"/>
        <w:spacing w:line="300" w:lineRule="auto" w:before="19"/>
        <w:ind w:left="541" w:right="0" w:firstLine="32"/>
        <w:jc w:val="left"/>
      </w:pPr>
      <w:r>
        <w:rPr>
          <w:rFonts w:ascii="Times New Roman" w:hAnsi="Times New Roman" w:cs="Times New Roman" w:eastAsia="Times New Roman" w:hint="default"/>
        </w:rPr>
        <w:t>6</w:t>
      </w:r>
      <w:r>
        <w:rPr/>
        <w:t>．金融资产和金融负债的抵销 当本公司具有抵销已确认金融资产和金融负债的法定权利，且目前可执行该种法定权利，同时本公司计划以净额结算</w:t>
      </w:r>
    </w:p>
    <w:p>
      <w:pPr>
        <w:pStyle w:val="BodyText"/>
        <w:spacing w:line="316" w:lineRule="auto" w:before="31"/>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0" w:firstLine="423"/>
        <w:jc w:val="both"/>
      </w:pPr>
      <w:r>
        <w:rPr/>
        <w:t>本公司按照本节、五（</w:t>
      </w:r>
      <w:r>
        <w:rPr>
          <w:rFonts w:ascii="Times New Roman" w:hAnsi="Times New Roman" w:cs="Times New Roman" w:eastAsia="Times New Roman" w:hint="default"/>
        </w:rPr>
        <w:t>10</w:t>
      </w:r>
      <w:r>
        <w:rPr/>
        <w:t>、金融工具）所述的简化计量方法确定应收票据的预期信用损失并进行会计处理。在资产负 </w:t>
      </w:r>
      <w:r>
        <w:rPr>
          <w:spacing w:val="-2"/>
        </w:rPr>
        <w:t>债表日，本公司按应收取的合同现金流量与预期收取的现金流量之间的差额的现值计量应收票据的信用损失。当单项应收票</w:t>
      </w:r>
      <w:r>
        <w:rPr>
          <w:spacing w:val="-64"/>
        </w:rPr>
        <w:t> </w:t>
      </w:r>
      <w:r>
        <w:rPr>
          <w:spacing w:val="-64"/>
        </w:rPr>
      </w:r>
      <w:r>
        <w:rPr>
          <w:spacing w:val="-2"/>
        </w:rPr>
        <w:t>据无法以合理成本评估预期信用损失的信息时，本公司根据信用风险特征将应收票据划分为若干组合，参考历史信用损失经</w:t>
      </w:r>
      <w:r>
        <w:rPr>
          <w:spacing w:val="-64"/>
        </w:rPr>
        <w:t> </w:t>
      </w:r>
      <w:r>
        <w:rPr>
          <w:spacing w:val="-64"/>
        </w:rPr>
      </w:r>
      <w:r>
        <w:rPr/>
        <w:t>验，结合当前状况并考虑前瞻性信息，在组合基础上估计预期信用损失，确定组合的依据如下：</w:t>
      </w:r>
    </w:p>
    <w:tbl>
      <w:tblPr>
        <w:tblW w:w="0" w:type="auto"/>
        <w:jc w:val="left"/>
        <w:tblInd w:w="139" w:type="dxa"/>
        <w:tblLayout w:type="fixed"/>
        <w:tblCellMar>
          <w:top w:w="0" w:type="dxa"/>
          <w:left w:w="0" w:type="dxa"/>
          <w:bottom w:w="0" w:type="dxa"/>
          <w:right w:w="0" w:type="dxa"/>
        </w:tblCellMar>
        <w:tblLook w:val="01E0"/>
      </w:tblPr>
      <w:tblGrid>
        <w:gridCol w:w="3518"/>
        <w:gridCol w:w="6139"/>
      </w:tblGrid>
      <w:tr>
        <w:trPr>
          <w:trHeight w:val="342" w:hRule="exact"/>
        </w:trPr>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2" w:hRule="exact"/>
        </w:trPr>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p>
        </w:tc>
      </w:tr>
    </w:tbl>
    <w:p>
      <w:pPr>
        <w:spacing w:line="240" w:lineRule="auto" w:before="1"/>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7" w:right="1147"/>
        <w:jc w:val="left"/>
      </w:pPr>
      <w:r>
        <w:rPr/>
        <w:t>应收账款的预期信用损失的确定方法及会计处理方法 本公司按照本节、五（</w:t>
      </w:r>
      <w:r>
        <w:rPr>
          <w:rFonts w:ascii="Times New Roman" w:hAnsi="Times New Roman" w:cs="Times New Roman" w:eastAsia="Times New Roman" w:hint="default"/>
        </w:rPr>
        <w:t>10</w:t>
      </w:r>
      <w:r>
        <w:rPr/>
        <w:t>、金融工具）所述的简化计量方法确定应收账款的预期信用损失并进行会计处理。在资产负</w:t>
      </w:r>
    </w:p>
    <w:p>
      <w:pPr>
        <w:pStyle w:val="BodyText"/>
        <w:spacing w:line="316" w:lineRule="auto"/>
        <w:ind w:right="1130"/>
        <w:jc w:val="both"/>
      </w:pPr>
      <w:r>
        <w:rPr>
          <w:spacing w:val="-2"/>
        </w:rPr>
        <w:t>债表日，本公司按应收取的合同现金流量与预期收取的现金流量之间的差额的现值计量应收账款的信用损失。当单项应收账</w:t>
      </w:r>
      <w:r>
        <w:rPr>
          <w:spacing w:val="-64"/>
        </w:rPr>
        <w:t> </w:t>
      </w:r>
      <w:r>
        <w:rPr>
          <w:spacing w:val="-64"/>
        </w:rPr>
      </w:r>
      <w:r>
        <w:rPr>
          <w:spacing w:val="-2"/>
        </w:rPr>
        <w:t>款无法以合理成本评估预期信用损失的信息时，本公司根据信用风险特征将应收账款划分为若干组合，参考历史信用损失经</w:t>
      </w:r>
      <w:r>
        <w:rPr>
          <w:spacing w:val="-64"/>
        </w:rPr>
        <w:t> </w:t>
      </w:r>
      <w:r>
        <w:rPr>
          <w:spacing w:val="-64"/>
        </w:rPr>
      </w:r>
      <w:r>
        <w:rPr/>
        <w:t>验，结合当前状况并考虑前瞻性信息，在组合基础上估计预期信用损失，确定组合的依据如下：</w:t>
      </w:r>
    </w:p>
    <w:tbl>
      <w:tblPr>
        <w:tblW w:w="0" w:type="auto"/>
        <w:jc w:val="left"/>
        <w:tblInd w:w="139" w:type="dxa"/>
        <w:tblLayout w:type="fixed"/>
        <w:tblCellMar>
          <w:top w:w="0" w:type="dxa"/>
          <w:left w:w="0" w:type="dxa"/>
          <w:bottom w:w="0" w:type="dxa"/>
          <w:right w:w="0" w:type="dxa"/>
        </w:tblCellMar>
        <w:tblLook w:val="01E0"/>
      </w:tblPr>
      <w:tblGrid>
        <w:gridCol w:w="3524"/>
        <w:gridCol w:w="6133"/>
      </w:tblGrid>
      <w:tr>
        <w:trPr>
          <w:trHeight w:val="3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按账龄划分的具有类似信用风险特征的应收账款</w:t>
            </w:r>
          </w:p>
        </w:tc>
      </w:tr>
      <w:tr>
        <w:trPr>
          <w:trHeight w:val="34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应收本公司合并范围内关联方款项</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本公司按照本节、五（10、金融工具）所述的简化方法确定应收款项融资的预期信用损失并进行会计处理。在资产负债</w:t>
      </w:r>
      <w:r>
        <w:rPr/>
        <w:t> </w:t>
      </w:r>
      <w:r>
        <w:rPr>
          <w:spacing w:val="-2"/>
        </w:rPr>
        <w:t>表日，本公司按应收取的合同现金流量与预期收取的现金流量之间的差额的现值计量应收款项融资的信用损失。当单项应收</w:t>
      </w:r>
      <w:r>
        <w:rPr>
          <w:spacing w:val="-64"/>
        </w:rPr>
        <w:t> </w:t>
      </w:r>
      <w:r>
        <w:rPr>
          <w:spacing w:val="-64"/>
        </w:rPr>
      </w:r>
      <w:r>
        <w:rPr>
          <w:spacing w:val="-2"/>
        </w:rPr>
        <w:t>款项融资无法以合理成本评估预期信用损失的信息时，本公司根据信用风险特征将应收款项融资划分为若干组合，参考历史</w:t>
      </w:r>
      <w:r>
        <w:rPr>
          <w:spacing w:val="-64"/>
        </w:rPr>
        <w:t> </w:t>
      </w:r>
      <w:r>
        <w:rPr>
          <w:spacing w:val="-64"/>
        </w:rPr>
      </w:r>
      <w:r>
        <w:rPr/>
        <w:t>信用损失经验，结合当前状况并考虑前瞻性信息，在组合基础上估计预期信用损失，确定组合的依据如下：</w:t>
      </w:r>
    </w:p>
    <w:tbl>
      <w:tblPr>
        <w:tblW w:w="0" w:type="auto"/>
        <w:jc w:val="left"/>
        <w:tblInd w:w="139" w:type="dxa"/>
        <w:tblLayout w:type="fixed"/>
        <w:tblCellMar>
          <w:top w:w="0" w:type="dxa"/>
          <w:left w:w="0" w:type="dxa"/>
          <w:bottom w:w="0" w:type="dxa"/>
          <w:right w:w="0" w:type="dxa"/>
        </w:tblCellMar>
        <w:tblLook w:val="01E0"/>
      </w:tblPr>
      <w:tblGrid>
        <w:gridCol w:w="3691"/>
        <w:gridCol w:w="5966"/>
      </w:tblGrid>
      <w:tr>
        <w:trPr>
          <w:trHeight w:val="342"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2"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5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承兑人为信用风险较低的银行</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0" w:hanging="420"/>
        <w:jc w:val="left"/>
      </w:pPr>
      <w:r>
        <w:rPr/>
        <w:t>其他应收款的预期信用损失的确定方法及会计处理方法 本公司按照本节、五（</w:t>
      </w:r>
      <w:r>
        <w:rPr>
          <w:rFonts w:ascii="Times New Roman" w:hAnsi="Times New Roman" w:cs="Times New Roman" w:eastAsia="Times New Roman" w:hint="default"/>
        </w:rPr>
        <w:t>10</w:t>
      </w:r>
      <w:r>
        <w:rPr/>
        <w:t>、金融工具）所述的一般方法确定其他应收款的预期信用损失并进行会计处理。在资产负债</w:t>
      </w:r>
    </w:p>
    <w:p>
      <w:pPr>
        <w:pStyle w:val="BodyText"/>
        <w:spacing w:line="201" w:lineRule="exact"/>
        <w:ind w:left="153" w:right="0"/>
        <w:jc w:val="left"/>
      </w:pPr>
      <w:r>
        <w:rPr/>
        <w:t>表日，本公司按应收取的合同现金流量与预期收取的现金流量之间的差额的现值计量其他应收款的信用损失。当单项其他应</w:t>
      </w:r>
    </w:p>
    <w:p>
      <w:pPr>
        <w:spacing w:after="0" w:line="201" w:lineRule="exact"/>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收款无法以合理成本评估预期信用损失的信息时，本公司根据信用风险特征将其他应收款划分为若干组合，参考历史信用损</w:t>
      </w:r>
      <w:r>
        <w:rPr>
          <w:spacing w:val="-64"/>
        </w:rPr>
        <w:t> </w:t>
      </w:r>
      <w:r>
        <w:rPr>
          <w:spacing w:val="-64"/>
        </w:rPr>
      </w:r>
      <w:r>
        <w:rPr/>
        <w:t>失经验，结合当前状况并考虑前瞻性信息，在组合基础上估计预期信用损失，确定组合的依据如下：</w:t>
      </w:r>
    </w:p>
    <w:tbl>
      <w:tblPr>
        <w:tblW w:w="0" w:type="auto"/>
        <w:jc w:val="left"/>
        <w:tblInd w:w="139" w:type="dxa"/>
        <w:tblLayout w:type="fixed"/>
        <w:tblCellMar>
          <w:top w:w="0" w:type="dxa"/>
          <w:left w:w="0" w:type="dxa"/>
          <w:bottom w:w="0" w:type="dxa"/>
          <w:right w:w="0" w:type="dxa"/>
        </w:tblCellMar>
        <w:tblLook w:val="01E0"/>
      </w:tblPr>
      <w:tblGrid>
        <w:gridCol w:w="1570"/>
        <w:gridCol w:w="8088"/>
      </w:tblGrid>
      <w:tr>
        <w:trPr>
          <w:trHeight w:val="34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8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8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按账龄划分的具有类似信用风险特征的应收账款</w:t>
            </w:r>
          </w:p>
        </w:tc>
      </w:tr>
      <w:tr>
        <w:trPr>
          <w:trHeight w:val="34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8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应收本公司合并范围内关联方款项</w:t>
            </w:r>
          </w:p>
        </w:tc>
      </w:tr>
      <w:tr>
        <w:trPr>
          <w:trHeight w:val="34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8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无风险的地铁广告经营权保证金、地铁广告资源代理经营履约保证金、产业建设项目履约保证金</w:t>
            </w: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00"/>
        <w:jc w:val="both"/>
      </w:pPr>
      <w:r>
        <w:rPr>
          <w:spacing w:val="-1"/>
        </w:rPr>
        <w:t>存货包括在日常活动中持有以备出售的产成品或商品、处在生产过程中的在产品、在生产过程或提供劳务过程中耗用的</w:t>
      </w:r>
      <w:r>
        <w:rPr/>
        <w:t> 材料和物料、在途物资和委托加工物资等。</w:t>
      </w:r>
    </w:p>
    <w:p>
      <w:pPr>
        <w:pStyle w:val="BodyText"/>
        <w:spacing w:line="307" w:lineRule="auto" w:before="19"/>
        <w:ind w:left="153" w:right="1128" w:firstLine="300"/>
        <w:jc w:val="both"/>
      </w:pPr>
      <w:r>
        <w:rPr>
          <w:spacing w:val="-1"/>
        </w:rPr>
        <w:t>企业取得存货按实际成本计量。</w:t>
      </w:r>
      <w:r>
        <w:rPr>
          <w:rFonts w:ascii="Times New Roman" w:hAnsi="Times New Roman" w:cs="Times New Roman" w:eastAsia="Times New Roman" w:hint="default"/>
          <w:spacing w:val="-1"/>
        </w:rPr>
        <w:t>(1)</w:t>
      </w:r>
      <w:r>
        <w:rPr>
          <w:spacing w:val="-1"/>
        </w:rPr>
        <w:t>外购存货的成本即为该存货的采购成本，通过进一步加工取得的存货成本由采购成本</w:t>
      </w:r>
      <w:r>
        <w:rPr/>
        <w:t> 和加工成本构成。</w:t>
      </w:r>
      <w:r>
        <w:rPr>
          <w:rFonts w:ascii="Times New Roman" w:hAnsi="Times New Roman" w:cs="Times New Roman" w:eastAsia="Times New Roman" w:hint="default"/>
        </w:rPr>
        <w:t>(2)</w:t>
      </w:r>
      <w:r>
        <w:rPr/>
        <w:t>债务重组取得债务人用以抵债的存货，以放弃债权的公允价值和使该存货达到当前位置和状态所发生</w:t>
      </w:r>
      <w:r>
        <w:rPr>
          <w:spacing w:val="-33"/>
        </w:rPr>
        <w:t> </w:t>
      </w:r>
      <w:r>
        <w:rPr>
          <w:spacing w:val="-33"/>
        </w:rPr>
      </w:r>
      <w:r>
        <w:rPr/>
        <w:t>的可直接归属于该存货的相关税费为基础确定其入账价值。</w:t>
      </w:r>
      <w:r>
        <w:rPr>
          <w:rFonts w:ascii="Times New Roman" w:hAnsi="Times New Roman" w:cs="Times New Roman" w:eastAsia="Times New Roman" w:hint="default"/>
        </w:rPr>
        <w:t>(3)</w:t>
      </w:r>
      <w:r>
        <w:rPr/>
        <w:t>在非货币性资产交换具备商业实质和换入资产或换出资产的</w:t>
      </w:r>
      <w:r>
        <w:rPr>
          <w:spacing w:val="-33"/>
        </w:rPr>
        <w:t> </w:t>
      </w:r>
      <w:r>
        <w:rPr>
          <w:spacing w:val="-33"/>
        </w:rPr>
      </w:r>
      <w:r>
        <w:rPr>
          <w:spacing w:val="-2"/>
        </w:rPr>
        <w:t>公允价值能够可靠计量的前提下，非货币性资产交换换入的存货通常以换出资产的公允价值为基础确定其入账价值，除非有</w:t>
      </w:r>
      <w:r>
        <w:rPr>
          <w:spacing w:val="-64"/>
        </w:rPr>
        <w:t> </w:t>
      </w:r>
      <w:r>
        <w:rPr>
          <w:spacing w:val="-64"/>
        </w:rPr>
      </w:r>
      <w:r>
        <w:rPr>
          <w:spacing w:val="-2"/>
        </w:rPr>
        <w:t>确凿证据表明换入资产公允价值更加可靠；不满足上述前提的非货币性资产交换，以换出资产的账面价值和应支付的相关税</w:t>
      </w:r>
      <w:r>
        <w:rPr>
          <w:spacing w:val="-64"/>
        </w:rPr>
        <w:t> </w:t>
      </w:r>
      <w:r>
        <w:rPr>
          <w:spacing w:val="-64"/>
        </w:rPr>
      </w:r>
      <w:r>
        <w:rPr/>
        <w:t>费作为换入存货的成本。</w:t>
      </w:r>
      <w:r>
        <w:rPr>
          <w:rFonts w:ascii="Times New Roman" w:hAnsi="Times New Roman" w:cs="Times New Roman" w:eastAsia="Times New Roman" w:hint="default"/>
        </w:rPr>
        <w:t>(4)</w:t>
      </w:r>
      <w:r>
        <w:rPr/>
        <w:t>以同一控制下的企业吸收合并方式取得的存货按被合并方的账面价值确定其入账价值；以非同</w:t>
      </w:r>
      <w:r>
        <w:rPr>
          <w:spacing w:val="-33"/>
        </w:rPr>
        <w:t> </w:t>
      </w:r>
      <w:r>
        <w:rPr>
          <w:spacing w:val="-33"/>
        </w:rPr>
      </w:r>
      <w:r>
        <w:rPr/>
        <w:t>一控制下的企业吸收合并方式取得的存货按公允价值确定其入账价值。</w:t>
      </w:r>
    </w:p>
    <w:p>
      <w:pPr>
        <w:pStyle w:val="BodyText"/>
        <w:spacing w:line="316" w:lineRule="auto" w:before="26"/>
        <w:ind w:left="453" w:right="4691"/>
        <w:jc w:val="left"/>
      </w:pPr>
      <w:r>
        <w:rPr/>
        <w:t>企业发出存货的成本计量采用移动加权平均法。 低值易耗品和包装物的摊销方法：低值易耗品按照一次转销法进行摊销。</w:t>
      </w:r>
    </w:p>
    <w:p>
      <w:pPr>
        <w:pStyle w:val="BodyText"/>
        <w:spacing w:line="316" w:lineRule="auto" w:before="19"/>
        <w:ind w:left="527" w:right="0" w:firstLine="46"/>
        <w:jc w:val="left"/>
      </w:pPr>
      <w:r>
        <w:rPr/>
        <w:t>包装物按照一次转销法进行摊销。 资产负债表日，存货采用成本与可变现净值孰低计量。存货可变现净值是按存货的估计售价减去至完工时估计将要发</w:t>
      </w:r>
    </w:p>
    <w:p>
      <w:pPr>
        <w:pStyle w:val="BodyText"/>
        <w:spacing w:line="316" w:lineRule="auto" w:before="19"/>
        <w:ind w:right="1129"/>
        <w:jc w:val="both"/>
      </w:pPr>
      <w:r>
        <w:rPr>
          <w:spacing w:val="-2"/>
        </w:rPr>
        <w:t>生的成本、估计的销售费用以及相关税费后的金额。在确定存货的可变现净值时，以取得的确凿证据为基础，同时考虑持有</w:t>
      </w:r>
      <w:r>
        <w:rPr>
          <w:spacing w:val="-66"/>
        </w:rPr>
        <w:t> </w:t>
      </w:r>
      <w:r>
        <w:rPr>
          <w:spacing w:val="-66"/>
        </w:rPr>
      </w:r>
      <w:r>
        <w:rPr>
          <w:spacing w:val="-2"/>
        </w:rPr>
        <w:t>存货的目的以及资产负债表日后事项的影响，除有明确证据表明资产负债表日市场价格异常外，本期期末存货项目的可变现</w:t>
      </w:r>
      <w:r>
        <w:rPr>
          <w:spacing w:val="-64"/>
        </w:rPr>
        <w:t> </w:t>
      </w:r>
      <w:r>
        <w:rPr>
          <w:spacing w:val="-64"/>
        </w:rPr>
      </w:r>
      <w:r>
        <w:rPr/>
        <w:t>净值以资产负债表日市场价格为基础确定，其中：</w:t>
      </w:r>
    </w:p>
    <w:p>
      <w:pPr>
        <w:pStyle w:val="BodyText"/>
        <w:spacing w:line="300" w:lineRule="auto" w:before="19"/>
        <w:ind w:right="1128" w:firstLine="420"/>
        <w:jc w:val="both"/>
      </w:pPr>
      <w:r>
        <w:rPr>
          <w:rFonts w:ascii="Times New Roman" w:hAnsi="Times New Roman" w:cs="Times New Roman" w:eastAsia="Times New Roman" w:hint="default"/>
        </w:rPr>
        <w:t>(1)</w:t>
      </w:r>
      <w:r>
        <w:rPr/>
        <w:t>产成品、商品和用于出售的材料等直接用于出售的商品存货，在正常生产经营过程中以该存货的估计售价减去估计 的销售费用和相关税费后的金额确定其可变现净值；</w:t>
      </w:r>
    </w:p>
    <w:p>
      <w:pPr>
        <w:pStyle w:val="BodyText"/>
        <w:spacing w:line="312" w:lineRule="auto" w:before="31"/>
        <w:ind w:right="1173" w:firstLine="420"/>
        <w:jc w:val="both"/>
      </w:pPr>
      <w:r>
        <w:rPr>
          <w:rFonts w:ascii="Times New Roman" w:hAnsi="Times New Roman" w:cs="Times New Roman" w:eastAsia="Times New Roman" w:hint="default"/>
          <w:spacing w:val="2"/>
        </w:rPr>
        <w:t>(2)</w:t>
      </w:r>
      <w:r>
        <w:rPr>
          <w:spacing w:val="2"/>
        </w:rPr>
        <w:t>需要经过加工的材料存货，在正常生产经营过程中以所生产的产成品的估计售价减去至完工时估计将要发生的成</w:t>
      </w:r>
      <w:r>
        <w:rPr/>
        <w:t> 本、估计的销售费用和相关税费后的金额确定其可变现净值；资产负债表日，同一项存货中一部分有合同价格约定、其他</w:t>
      </w:r>
      <w:r>
        <w:rPr>
          <w:spacing w:val="-46"/>
        </w:rPr>
        <w:t> </w:t>
      </w:r>
      <w:r>
        <w:rPr>
          <w:spacing w:val="-46"/>
        </w:rPr>
      </w:r>
      <w:r>
        <w:rPr/>
        <w:t>部分不存在合同价格的，分别确定其可变现净值，并与其对应的成本进行比较，分别确定存货跌价准备的计提或转回的金</w:t>
      </w:r>
      <w:r>
        <w:rPr>
          <w:spacing w:val="-46"/>
        </w:rPr>
        <w:t> </w:t>
      </w:r>
      <w:r>
        <w:rPr>
          <w:spacing w:val="-46"/>
        </w:rPr>
      </w:r>
      <w:r>
        <w:rPr/>
        <w:t>额。</w:t>
      </w:r>
    </w:p>
    <w:p>
      <w:pPr>
        <w:pStyle w:val="BodyText"/>
        <w:spacing w:line="316" w:lineRule="auto" w:before="22"/>
        <w:ind w:right="1126" w:firstLine="420"/>
        <w:jc w:val="both"/>
      </w:pPr>
      <w:r>
        <w:rPr/>
        <w:t>期末按照单个存货项目计提存货跌价准备；但对于数量繁多、单价较低的存货，按照存货类别计提存货跌价准备；与</w:t>
      </w:r>
      <w:r>
        <w:rPr>
          <w:spacing w:val="1"/>
        </w:rPr>
        <w:t> </w:t>
      </w:r>
      <w:r>
        <w:rPr>
          <w:spacing w:val="-2"/>
        </w:rPr>
        <w:t>在同一地区生产和销售的产品系列相关、具有相同或者类似最终用途或目的，且难以与其他项目分开计量的存货，则合并计</w:t>
      </w:r>
      <w:r>
        <w:rPr>
          <w:spacing w:val="-66"/>
        </w:rPr>
        <w:t> </w:t>
      </w:r>
      <w:r>
        <w:rPr>
          <w:spacing w:val="-66"/>
        </w:rPr>
      </w:r>
      <w:r>
        <w:rPr/>
        <w:t>提存货跌价准备。</w:t>
      </w:r>
    </w:p>
    <w:p>
      <w:pPr>
        <w:pStyle w:val="BodyText"/>
        <w:spacing w:line="316" w:lineRule="auto" w:before="19"/>
        <w:ind w:right="1126" w:firstLine="420"/>
        <w:jc w:val="both"/>
      </w:pPr>
      <w:r>
        <w:rPr/>
        <w:t>计提存货跌价准备后，如果以前减记存货价值的影响因素已经消失，导致存货的可变现净值高于其账面价值的，在原</w:t>
      </w:r>
      <w:r>
        <w:rPr>
          <w:spacing w:val="1"/>
        </w:rPr>
        <w:t> </w:t>
      </w:r>
      <w:r>
        <w:rPr/>
        <w:t>已计提的存货跌价准备金额内予以转回，转回的金额计入当期损益。</w:t>
      </w:r>
    </w:p>
    <w:p>
      <w:pPr>
        <w:pStyle w:val="BodyText"/>
        <w:spacing w:line="240" w:lineRule="auto" w:before="19"/>
        <w:ind w:left="574" w:right="0"/>
        <w:jc w:val="left"/>
      </w:pPr>
      <w:r>
        <w:rPr/>
        <w:t>存货的盘存制度为永续盘存制。</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17</w:t>
      </w:r>
      <w:r>
        <w:rPr/>
        <w:t>、合同成本</w:t>
      </w:r>
      <w:r>
        <w:rPr>
          <w:b w:val="0"/>
          <w:bCs w:val="0"/>
        </w:rPr>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7" w:right="0" w:hanging="4"/>
        <w:jc w:val="left"/>
      </w:pPr>
      <w:r>
        <w:rPr/>
        <w:t>（</w:t>
      </w:r>
      <w:r>
        <w:rPr>
          <w:rFonts w:ascii="Times New Roman" w:hAnsi="Times New Roman" w:cs="Times New Roman" w:eastAsia="Times New Roman" w:hint="default"/>
        </w:rPr>
        <w:t>1</w:t>
      </w:r>
      <w:r>
        <w:rPr/>
        <w:t>）划分为持有待售类别的条件 公司主要通过出售（包括具有商业实质的非货币性资产交换，下同）而非持续使用一项非流动资产或处置组收回其账</w:t>
      </w:r>
    </w:p>
    <w:p>
      <w:pPr>
        <w:pStyle w:val="BodyText"/>
        <w:spacing w:line="240" w:lineRule="auto" w:before="31"/>
        <w:ind w:right="0"/>
        <w:jc w:val="left"/>
      </w:pPr>
      <w:r>
        <w:rPr/>
        <w:t>面价值的，在满足下列条件时，将其划分为持有待售类别：</w:t>
      </w:r>
    </w:p>
    <w:p>
      <w:pPr>
        <w:pStyle w:val="BodyText"/>
        <w:spacing w:line="240" w:lineRule="auto" w:before="76"/>
        <w:ind w:left="577" w:right="0"/>
        <w:jc w:val="left"/>
      </w:pP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12" w:lineRule="auto" w:before="63"/>
        <w:ind w:right="1128" w:firstLine="423"/>
        <w:jc w:val="both"/>
      </w:pP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出售极可能发生，即公司已经就一项出售计划作出决议且获得确定的购买承诺，预计出售将在一年内完成。有关规</w:t>
      </w:r>
      <w:r>
        <w:rPr>
          <w:spacing w:val="2"/>
        </w:rPr>
        <w:t> </w:t>
      </w:r>
      <w:r>
        <w:rPr>
          <w:spacing w:val="-2"/>
        </w:rPr>
        <w:t>定要求相关权力机构或者监督部门批准后方可出售的，公司已经获得批准。确定的购买承诺，是指公司与其他方签订的具有</w:t>
      </w:r>
      <w:r>
        <w:rPr>
          <w:spacing w:val="-66"/>
        </w:rPr>
        <w:t> </w:t>
      </w:r>
      <w:r>
        <w:rPr>
          <w:spacing w:val="-66"/>
        </w:rPr>
      </w:r>
      <w:r>
        <w:rPr>
          <w:spacing w:val="-2"/>
        </w:rPr>
        <w:t>法律约束力的购买协议，该协议包含交易价格、时间和足够严厉的违约惩罚等重要条款，使协议出现重大调整或者撤销的可</w:t>
      </w:r>
      <w:r>
        <w:rPr>
          <w:spacing w:val="-66"/>
        </w:rPr>
        <w:t> </w:t>
      </w:r>
      <w:r>
        <w:rPr>
          <w:spacing w:val="-66"/>
        </w:rPr>
      </w:r>
      <w:r>
        <w:rPr/>
        <w:t>能性极小。</w:t>
      </w:r>
    </w:p>
    <w:p>
      <w:pPr>
        <w:pStyle w:val="BodyText"/>
        <w:spacing w:line="316" w:lineRule="auto" w:before="22"/>
        <w:ind w:right="1129" w:firstLine="423"/>
        <w:jc w:val="both"/>
      </w:pPr>
      <w:r>
        <w:rPr/>
        <w:t>公司因出售对子公司的投资等原因导致其丧失对子公司控制权的，当拟出售的子公司投资满足持有待售类别划分条件 </w:t>
      </w:r>
      <w:r>
        <w:rPr>
          <w:spacing w:val="-2"/>
        </w:rPr>
        <w:t>时，在母公司个别财务报表中将对子公司投资整体划分为持有待售类别，在合并报表中将子公司所有资产和负债划分为持有</w:t>
      </w:r>
      <w:r>
        <w:rPr>
          <w:spacing w:val="-64"/>
        </w:rPr>
        <w:t> </w:t>
      </w:r>
      <w:r>
        <w:rPr>
          <w:spacing w:val="-64"/>
        </w:rPr>
      </w:r>
      <w:r>
        <w:rPr/>
        <w:t>待售类别。</w:t>
      </w:r>
    </w:p>
    <w:p>
      <w:pPr>
        <w:pStyle w:val="BodyText"/>
        <w:spacing w:line="316" w:lineRule="auto" w:before="19"/>
        <w:ind w:right="1129" w:firstLine="423"/>
        <w:jc w:val="both"/>
      </w:pPr>
      <w:r>
        <w:rPr/>
        <w:t>持有待售的非流动资产或处置组不再满足持有待售类别划分条件的，公司停止将其划分为持有待售类别。部分资产或 </w:t>
      </w:r>
      <w:r>
        <w:rPr>
          <w:spacing w:val="-2"/>
        </w:rPr>
        <w:t>负债从持有待售的处置组中移除的，处置组中剩余资产或负债新组成的处置组仍满足持有待售划分条件的，公司将新组成的</w:t>
      </w:r>
      <w:r>
        <w:rPr>
          <w:spacing w:val="-64"/>
        </w:rPr>
        <w:t> </w:t>
      </w:r>
      <w:r>
        <w:rPr>
          <w:spacing w:val="-64"/>
        </w:rPr>
      </w:r>
      <w:r>
        <w:rPr/>
        <w:t>处置组划分为持有待售类别，否则将满足持有待售类别划分条件的非流动资产单独划分为持有待售类别。</w:t>
      </w:r>
    </w:p>
    <w:p>
      <w:pPr>
        <w:pStyle w:val="BodyText"/>
        <w:spacing w:line="240" w:lineRule="auto" w:before="19"/>
        <w:ind w:left="577" w:right="0"/>
        <w:jc w:val="left"/>
      </w:pPr>
      <w:r>
        <w:rPr/>
        <w:t>对于当期首次满足持有待售类别划分条件的非流动资产或处置组，不调整可比会计期间的资产负债表。</w:t>
      </w:r>
    </w:p>
    <w:p>
      <w:pPr>
        <w:pStyle w:val="BodyText"/>
        <w:spacing w:line="300" w:lineRule="auto" w:before="76"/>
        <w:ind w:left="573" w:right="0"/>
        <w:jc w:val="left"/>
      </w:pPr>
      <w:r>
        <w:rPr/>
        <w:t>（</w:t>
      </w:r>
      <w:r>
        <w:rPr>
          <w:rFonts w:ascii="Times New Roman" w:hAnsi="Times New Roman" w:cs="Times New Roman" w:eastAsia="Times New Roman" w:hint="default"/>
        </w:rPr>
        <w:t>2</w:t>
      </w:r>
      <w:r>
        <w:rPr/>
        <w:t>）持有待售类的非流动资产或处置组的初始计量及后续计量 对于取得日划分为持有待售类别的非流动资产或处置组，公司在初始计量时比较假定其不划分为持有待售类别情况下</w:t>
      </w:r>
    </w:p>
    <w:p>
      <w:pPr>
        <w:pStyle w:val="BodyText"/>
        <w:spacing w:line="316" w:lineRule="auto" w:before="31"/>
        <w:ind w:right="0"/>
        <w:jc w:val="left"/>
      </w:pPr>
      <w:r>
        <w:rPr>
          <w:spacing w:val="-2"/>
        </w:rPr>
        <w:t>的初始计量金额和公允价值减去出售费用后的净额，以两者孰低计量。除公司合并中取得的非流动资产或处置组外，由非流</w:t>
      </w:r>
      <w:r>
        <w:rPr>
          <w:spacing w:val="-66"/>
        </w:rPr>
        <w:t> </w:t>
      </w:r>
      <w:r>
        <w:rPr>
          <w:spacing w:val="-66"/>
        </w:rPr>
      </w:r>
      <w:r>
        <w:rPr/>
        <w:t>动资产或处置组以公允价值减去出售费用后的净额作为初始计量金额而产生的差额，计入当期损益。</w:t>
      </w:r>
    </w:p>
    <w:p>
      <w:pPr>
        <w:pStyle w:val="BodyText"/>
        <w:spacing w:line="316" w:lineRule="auto" w:before="19"/>
        <w:ind w:right="0" w:firstLine="420"/>
        <w:jc w:val="left"/>
      </w:pPr>
      <w:r>
        <w:rPr/>
        <w:t>公司将非流动资产或处置组首次划分为持有待售类别前，按照相关会计准则规定计量非流动资产或处置组中各项资产</w:t>
      </w:r>
      <w:r>
        <w:rPr>
          <w:spacing w:val="1"/>
        </w:rPr>
        <w:t> </w:t>
      </w:r>
      <w:r>
        <w:rPr>
          <w:spacing w:val="-2"/>
        </w:rPr>
        <w:t>和负债的账面价值。在初始计量或资产负债表日重新计量持有待售的非流动资产或处置组时，其账面价值高于公允价值减去</w:t>
      </w:r>
      <w:r>
        <w:rPr>
          <w:spacing w:val="-64"/>
        </w:rPr>
        <w:t> </w:t>
      </w:r>
      <w:r>
        <w:rPr>
          <w:spacing w:val="-64"/>
        </w:rPr>
      </w:r>
      <w:r>
        <w:rPr>
          <w:spacing w:val="-4"/>
        </w:rPr>
        <w:t>出售费用后的净额的，将账面价值减记至公允价值减去出售费用后的净额，减记的金额确认为资产减值损失，计入当期损益，</w:t>
      </w:r>
      <w:r>
        <w:rPr>
          <w:spacing w:val="-44"/>
        </w:rPr>
        <w:t> </w:t>
      </w:r>
      <w:r>
        <w:rPr>
          <w:spacing w:val="-44"/>
        </w:rPr>
      </w:r>
      <w:r>
        <w:rPr>
          <w:spacing w:val="-2"/>
        </w:rPr>
        <w:t>同时计提持有待售资产减值准备。持有待售的非流动资产或处置组中的非流动资产不计提折旧或摊销，持有待售的处置组中</w:t>
      </w:r>
      <w:r>
        <w:rPr>
          <w:spacing w:val="-64"/>
        </w:rPr>
        <w:t> </w:t>
      </w:r>
      <w:r>
        <w:rPr>
          <w:spacing w:val="-64"/>
        </w:rPr>
      </w:r>
      <w:r>
        <w:rPr/>
        <w:t>的负债的利息和其他费用应继续予以确认。</w:t>
      </w:r>
    </w:p>
    <w:p>
      <w:pPr>
        <w:pStyle w:val="BodyText"/>
        <w:spacing w:line="312" w:lineRule="auto" w:before="19"/>
        <w:ind w:left="153" w:right="1126" w:firstLine="420"/>
        <w:jc w:val="both"/>
      </w:pPr>
      <w:r>
        <w:rPr/>
        <w:t>公司对持有待售的处置组确认资产减值损失金额时，先抵减处置组商誉的账面价值，再根据处置组中适用《企业会计</w:t>
      </w:r>
      <w:r>
        <w:rPr>
          <w:spacing w:val="1"/>
        </w:rPr>
        <w:t> </w:t>
      </w:r>
      <w:r>
        <w:rPr>
          <w:spacing w:val="-1"/>
        </w:rPr>
        <w:t>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rFonts w:ascii="Times New Roman" w:hAnsi="Times New Roman" w:cs="Times New Roman" w:eastAsia="Times New Roman" w:hint="default"/>
          <w:spacing w:val="-1"/>
        </w:rPr>
        <w:t>(</w:t>
      </w:r>
      <w:r>
        <w:rPr>
          <w:spacing w:val="-1"/>
        </w:rPr>
        <w:t>以下简称第</w:t>
      </w:r>
      <w:r>
        <w:rPr>
          <w:rFonts w:ascii="Times New Roman" w:hAnsi="Times New Roman" w:cs="Times New Roman" w:eastAsia="Times New Roman" w:hint="default"/>
          <w:spacing w:val="-1"/>
        </w:rPr>
        <w:t>42</w:t>
      </w:r>
      <w:r>
        <w:rPr>
          <w:spacing w:val="-1"/>
        </w:rPr>
        <w:t>号准则</w:t>
      </w:r>
      <w:r>
        <w:rPr>
          <w:rFonts w:ascii="Times New Roman" w:hAnsi="Times New Roman" w:cs="Times New Roman" w:eastAsia="Times New Roman" w:hint="default"/>
          <w:spacing w:val="-1"/>
        </w:rPr>
        <w:t>)</w:t>
      </w:r>
      <w:r>
        <w:rPr>
          <w:spacing w:val="-1"/>
        </w:rPr>
        <w:t>计量规定的各项非流动资产账面价值所</w:t>
      </w:r>
      <w:r>
        <w:rPr>
          <w:spacing w:val="-55"/>
        </w:rPr>
        <w:t> </w:t>
      </w:r>
      <w:r>
        <w:rPr>
          <w:spacing w:val="-2"/>
        </w:rPr>
        <w:t>占比重，按比例抵减其账面价值。公司在资产负债表日重新计量持有待售的处置组时，首先按照相关会计准则规定计量处置</w:t>
      </w:r>
      <w:r>
        <w:rPr>
          <w:spacing w:val="-66"/>
        </w:rPr>
        <w:t> </w:t>
      </w:r>
      <w:r>
        <w:rPr>
          <w:spacing w:val="-66"/>
        </w:rPr>
      </w:r>
      <w:r>
        <w:rPr/>
        <w:t>组中不适用第</w:t>
      </w:r>
      <w:r>
        <w:rPr>
          <w:rFonts w:ascii="Times New Roman" w:hAnsi="Times New Roman" w:cs="Times New Roman" w:eastAsia="Times New Roman" w:hint="default"/>
        </w:rPr>
        <w:t>42</w:t>
      </w:r>
      <w:r>
        <w:rPr/>
        <w:t>号准则计量规定的资产和负债的账面价值，再按照上述相关规定进行会计处理。</w:t>
      </w:r>
    </w:p>
    <w:p>
      <w:pPr>
        <w:pStyle w:val="BodyText"/>
        <w:spacing w:line="316" w:lineRule="auto" w:before="3"/>
        <w:ind w:left="155" w:right="1129" w:firstLine="423"/>
        <w:jc w:val="both"/>
      </w:pPr>
      <w:r>
        <w:rPr/>
        <w:t>后续资产负债表日持有待售的非流动资产公允价值减去出售费用后的净额增加的，以前减记的金额应当予以恢复，并 </w:t>
      </w:r>
      <w:r>
        <w:rPr>
          <w:spacing w:val="-2"/>
        </w:rPr>
        <w:t>在划分为持有待售类别后确认的资产减值损失金额内转回，转回金额计入当期损益；划分为持有待售类别前确认的资产减值</w:t>
      </w:r>
      <w:r>
        <w:rPr>
          <w:spacing w:val="-66"/>
        </w:rPr>
        <w:t> </w:t>
      </w:r>
      <w:r>
        <w:rPr>
          <w:spacing w:val="-66"/>
        </w:rPr>
      </w:r>
      <w:r>
        <w:rPr/>
        <w:t>损失不得转回。</w:t>
      </w:r>
    </w:p>
    <w:p>
      <w:pPr>
        <w:pStyle w:val="BodyText"/>
        <w:spacing w:line="307" w:lineRule="auto" w:before="19"/>
        <w:ind w:left="155" w:right="0" w:firstLine="423"/>
        <w:jc w:val="left"/>
      </w:pPr>
      <w:r>
        <w:rPr/>
        <w:t>后续资产负债表日持有待售的处置组公允价值减去出售费用后的净额增加的，以前减记的金额应当予以恢复，并在划 </w:t>
      </w:r>
      <w:r>
        <w:rPr>
          <w:spacing w:val="-2"/>
        </w:rPr>
        <w:t>分为持有待售类别后适用第</w:t>
      </w:r>
      <w:r>
        <w:rPr>
          <w:rFonts w:ascii="Times New Roman" w:hAnsi="Times New Roman" w:cs="Times New Roman" w:eastAsia="Times New Roman" w:hint="default"/>
          <w:spacing w:val="-2"/>
        </w:rPr>
        <w:t>42</w:t>
      </w:r>
      <w:r>
        <w:rPr>
          <w:spacing w:val="-2"/>
        </w:rPr>
        <w:t>号准则计量规定的非流动资产确认的资产减值损失金额内转回，转回金额依据处置组中除商誉</w:t>
      </w:r>
      <w:r>
        <w:rPr>
          <w:spacing w:val="-63"/>
        </w:rPr>
        <w:t> </w:t>
      </w:r>
      <w:r>
        <w:rPr>
          <w:spacing w:val="-63"/>
        </w:rPr>
      </w:r>
      <w:r>
        <w:rPr>
          <w:spacing w:val="-4"/>
        </w:rPr>
        <w:t>外的适用第</w:t>
      </w:r>
      <w:r>
        <w:rPr>
          <w:rFonts w:ascii="Times New Roman" w:hAnsi="Times New Roman" w:cs="Times New Roman" w:eastAsia="Times New Roman" w:hint="default"/>
          <w:spacing w:val="-4"/>
        </w:rPr>
        <w:t>42</w:t>
      </w:r>
      <w:r>
        <w:rPr>
          <w:spacing w:val="-4"/>
        </w:rPr>
        <w:t>号准则计量规定的各项非流动资产账面价值所占比重，按比例增加其账面价值，同时将转回金额计入当期损益。</w:t>
      </w:r>
      <w:r>
        <w:rPr>
          <w:spacing w:val="-40"/>
        </w:rPr>
        <w:t> </w:t>
      </w:r>
      <w:r>
        <w:rPr>
          <w:spacing w:val="-40"/>
        </w:rPr>
      </w:r>
      <w:r>
        <w:rPr/>
        <w:t>已抵减的商誉账面价值以及划分为持有待售类别前确认的资产减值损失不得转回。</w:t>
      </w:r>
    </w:p>
    <w:p>
      <w:pPr>
        <w:pStyle w:val="BodyText"/>
        <w:spacing w:line="300" w:lineRule="auto" w:before="26"/>
        <w:ind w:left="578" w:right="0"/>
        <w:jc w:val="left"/>
      </w:pPr>
      <w:r>
        <w:rPr/>
        <w:t>（</w:t>
      </w: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非流动资产或处置组不再满足持有待售类别的划分条件而不再继续划分为持有待售类别或非流动资产从持有待售的处</w:t>
      </w:r>
    </w:p>
    <w:p>
      <w:pPr>
        <w:pStyle w:val="BodyText"/>
        <w:spacing w:line="300" w:lineRule="auto" w:before="31"/>
        <w:ind w:left="155" w:right="1114"/>
        <w:jc w:val="left"/>
      </w:pPr>
      <w:r>
        <w:rPr>
          <w:spacing w:val="-1"/>
        </w:rPr>
        <w:t>置组中移除时，按照以下两者孰低计量：</w:t>
      </w:r>
      <w:r>
        <w:rPr>
          <w:rFonts w:ascii="Times New Roman" w:hAnsi="Times New Roman" w:cs="Times New Roman" w:eastAsia="Times New Roman" w:hint="default"/>
          <w:spacing w:val="-1"/>
        </w:rPr>
        <w:t>1)</w:t>
      </w:r>
      <w:r>
        <w:rPr>
          <w:spacing w:val="-1"/>
        </w:rPr>
        <w:t>划分为持有待售类别前的账面价值，按照假定不划分为持有待售类别情况下本应</w:t>
      </w:r>
      <w:r>
        <w:rPr/>
        <w:t> 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13"/>
        <w:ind w:left="578" w:right="0"/>
        <w:jc w:val="left"/>
      </w:pPr>
      <w:r>
        <w:rPr/>
        <w:t>公司终止确认持有待售的非流动资产或处置组时，将尚未确认的利得或损失计入当期损益。</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4"/>
        <w:jc w:val="both"/>
      </w:pPr>
      <w:r>
        <w:rPr/>
        <w:t>本公司按照本节五、（</w:t>
      </w:r>
      <w:r>
        <w:rPr>
          <w:rFonts w:ascii="Times New Roman" w:hAnsi="Times New Roman" w:cs="Times New Roman" w:eastAsia="Times New Roman" w:hint="default"/>
        </w:rPr>
        <w:t>10</w:t>
      </w:r>
      <w:r>
        <w:rPr/>
        <w:t>、金融工具）所述的一般方法确定债权投资的预期信用损失并进行会计处理。在资产负债表 日，本公司按单项债权投资应收取的合同现金流量与预期收取的现金流量之间的差额的现值计量债权投资的信用损失。</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5" w:right="1129" w:firstLine="423"/>
        <w:jc w:val="both"/>
      </w:pPr>
      <w:r>
        <w:rPr/>
        <w:t>本公司按照本节五、（</w:t>
      </w:r>
      <w:r>
        <w:rPr>
          <w:rFonts w:ascii="Times New Roman" w:hAnsi="Times New Roman" w:cs="Times New Roman" w:eastAsia="Times New Roman" w:hint="default"/>
        </w:rPr>
        <w:t>10</w:t>
      </w:r>
      <w:r>
        <w:rPr/>
        <w:t>、金融工具）所述的一般方法确定其他债权投资的预期信用损失并进行会计处理。在资产负 </w:t>
      </w:r>
      <w:r>
        <w:rPr>
          <w:spacing w:val="-2"/>
        </w:rPr>
        <w:t>债表日，本公司按单项其他债权投资应收取的合同现金流量与预期收取的现金流量之间的差额的现值计量其他债权投资的信</w:t>
      </w:r>
      <w:r>
        <w:rPr>
          <w:spacing w:val="-65"/>
        </w:rPr>
        <w:t> </w:t>
      </w:r>
      <w:r>
        <w:rPr>
          <w:spacing w:val="-65"/>
        </w:rPr>
      </w:r>
      <w:r>
        <w:rPr/>
        <w:t>用损失。</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1" w:firstLine="420"/>
        <w:jc w:val="both"/>
      </w:pPr>
      <w:r>
        <w:rPr>
          <w:spacing w:val="-2"/>
        </w:rPr>
        <w:t>本部分所指的长期股权投资是指本公司对被投资单位具有控制、共同控制或重大影响的长期股权投资，包括对子公司、</w:t>
      </w:r>
      <w:r>
        <w:rPr/>
        <w:t> 合营企业和联营企业的权益性投资。</w:t>
      </w:r>
    </w:p>
    <w:p>
      <w:pPr>
        <w:pStyle w:val="BodyText"/>
        <w:spacing w:line="300" w:lineRule="auto" w:before="19"/>
        <w:ind w:left="577" w:right="0"/>
        <w:jc w:val="left"/>
      </w:pPr>
      <w:r>
        <w:rPr/>
        <w:t>（</w:t>
      </w:r>
      <w:r>
        <w:rPr>
          <w:rFonts w:ascii="Times New Roman" w:hAnsi="Times New Roman" w:cs="Times New Roman" w:eastAsia="Times New Roman" w:hint="default"/>
        </w:rPr>
        <w:t>1</w:t>
      </w:r>
      <w:r>
        <w:rPr/>
        <w:t>）共同控制和重大影响的判断标准 共同控制，是指按照相关约定对某项安排所共有的控制，并且该安排的相关活动必须经过分享控制权的参与方一致同</w:t>
      </w:r>
    </w:p>
    <w:p>
      <w:pPr>
        <w:pStyle w:val="BodyText"/>
        <w:spacing w:line="316" w:lineRule="auto" w:before="31"/>
        <w:ind w:right="0"/>
        <w:jc w:val="left"/>
      </w:pPr>
      <w:r>
        <w:rPr>
          <w:spacing w:val="-2"/>
        </w:rPr>
        <w:t>意后才能决策。本公司与其他合营方一同对被投资单位实施共同控制且对被投资单位实施共同控制且对被投资单位净资产享</w:t>
      </w:r>
      <w:r>
        <w:rPr>
          <w:spacing w:val="-64"/>
        </w:rPr>
        <w:t> </w:t>
      </w:r>
      <w:r>
        <w:rPr>
          <w:spacing w:val="-64"/>
        </w:rPr>
      </w:r>
      <w:r>
        <w:rPr/>
        <w:t>有权利的，被投资单位为本公司的合营企业。判断是否存在共同控制时，不考虑享有的保护性权利。</w:t>
      </w:r>
    </w:p>
    <w:p>
      <w:pPr>
        <w:pStyle w:val="BodyText"/>
        <w:spacing w:line="316" w:lineRule="auto" w:before="19"/>
        <w:ind w:right="1041" w:firstLine="423"/>
        <w:jc w:val="both"/>
      </w:pPr>
      <w:r>
        <w:rPr/>
        <w:t>重大影响，是指对一个企业的财务和经营决策有参与决策的权力，但并不能够控制或者与其他方一起共同控制这些政 </w:t>
      </w:r>
      <w:r>
        <w:rPr>
          <w:spacing w:val="-2"/>
        </w:rPr>
        <w:t>策的制定。本公司能够对被投资单位施加重大影响的，被投资单位为本公司联营企业。在确定能否对被投资单位施加重大影</w:t>
      </w:r>
      <w:r>
        <w:rPr>
          <w:spacing w:val="-66"/>
        </w:rPr>
        <w:t> </w:t>
      </w:r>
      <w:r>
        <w:rPr>
          <w:spacing w:val="-66"/>
        </w:rPr>
      </w:r>
      <w:r>
        <w:rPr>
          <w:spacing w:val="-2"/>
        </w:rPr>
        <w:t>响时，考虑投资方直接或间接持有被投资单位的表决权股份以及投资方及其他方持有的当期可执行潜在表决权在假定转换为</w:t>
      </w:r>
      <w:r>
        <w:rPr>
          <w:spacing w:val="-64"/>
        </w:rPr>
        <w:t> </w:t>
      </w:r>
      <w:r>
        <w:rPr>
          <w:spacing w:val="-64"/>
        </w:rPr>
      </w:r>
      <w:r>
        <w:rPr>
          <w:spacing w:val="-4"/>
        </w:rPr>
        <w:t>对被投资方单位的股权后产生的影响，包括被投资单位发行的当期可转换的认股权证、股份期权及可转换公司债券等的影响。</w:t>
      </w:r>
    </w:p>
    <w:p>
      <w:pPr>
        <w:pStyle w:val="BodyText"/>
        <w:spacing w:line="240" w:lineRule="auto" w:before="19"/>
        <w:ind w:left="577" w:right="0"/>
        <w:jc w:val="left"/>
      </w:pPr>
      <w:r>
        <w:rPr/>
        <w:t>（</w:t>
      </w:r>
      <w:r>
        <w:rPr>
          <w:rFonts w:ascii="Times New Roman" w:hAnsi="Times New Roman" w:cs="Times New Roman" w:eastAsia="Times New Roman" w:hint="default"/>
        </w:rPr>
        <w:t>2</w:t>
      </w:r>
      <w:r>
        <w:rPr/>
        <w:t>）长期股权投资的投资成本的确定</w:t>
      </w:r>
    </w:p>
    <w:p>
      <w:pPr>
        <w:pStyle w:val="BodyText"/>
        <w:spacing w:line="312" w:lineRule="auto" w:before="63"/>
        <w:ind w:right="1128" w:firstLine="423"/>
        <w:jc w:val="both"/>
      </w:pPr>
      <w:r>
        <w:rPr>
          <w:rFonts w:ascii="Times New Roman" w:hAnsi="Times New Roman" w:cs="Times New Roman" w:eastAsia="Times New Roman" w:hint="default"/>
        </w:rPr>
        <w:t>1)</w:t>
      </w:r>
      <w:r>
        <w:rPr/>
        <w:t>同一控制下的合并形成的，合并方以支付现金、转让非现金资产、承担债务或发行权益性证券作为合并对价的，在</w:t>
      </w:r>
      <w:r>
        <w:rPr>
          <w:spacing w:val="2"/>
        </w:rPr>
        <w:t> </w:t>
      </w:r>
      <w:r>
        <w:rPr>
          <w:spacing w:val="-2"/>
        </w:rPr>
        <w:t>合并日按取得被合并方所有者权益在最终控制方合并财务报表中的账面价值的份额作为其初始投资成本。长期股权投资初始</w:t>
      </w:r>
      <w:r>
        <w:rPr>
          <w:spacing w:val="-64"/>
        </w:rPr>
        <w:t> </w:t>
      </w:r>
      <w:r>
        <w:rPr>
          <w:spacing w:val="-64"/>
        </w:rPr>
      </w:r>
      <w:r>
        <w:rPr>
          <w:spacing w:val="-2"/>
        </w:rPr>
        <w:t>投资成本与支付的现金、转让的非现金资产、所承担债务账面价值或发行股份的面值总额之间的差额调整资本公积；资本公</w:t>
      </w:r>
      <w:r>
        <w:rPr>
          <w:spacing w:val="-66"/>
        </w:rPr>
        <w:t> </w:t>
      </w:r>
      <w:r>
        <w:rPr>
          <w:spacing w:val="-66"/>
        </w:rPr>
      </w:r>
      <w:r>
        <w:rPr>
          <w:spacing w:val="-2"/>
        </w:rPr>
        <w:t>积不足冲减的，调整留存收益。通过多次交易分步取得同一控制下被合并方的股权，最终形成同一控制下企业合并的，应分</w:t>
      </w:r>
      <w:r>
        <w:rPr>
          <w:spacing w:val="-66"/>
        </w:rPr>
        <w:t> </w:t>
      </w:r>
      <w:r>
        <w:rPr>
          <w:spacing w:val="-66"/>
        </w:rPr>
      </w:r>
      <w:r>
        <w:rPr>
          <w:spacing w:val="-3"/>
        </w:rPr>
        <w:t>别是否属于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w:t>
      </w:r>
      <w:r>
        <w:rPr>
          <w:spacing w:val="-43"/>
        </w:rPr>
        <w:t> </w:t>
      </w:r>
      <w:r>
        <w:rPr/>
        <w:t>揽子交易</w:t>
      </w:r>
      <w:r>
        <w:rPr>
          <w:rFonts w:ascii="Times New Roman" w:hAnsi="Times New Roman" w:cs="Times New Roman" w:eastAsia="Times New Roman" w:hint="default"/>
        </w:rPr>
        <w:t>”</w:t>
      </w:r>
      <w:r>
        <w:rPr/>
        <w:t>的，在合并日按照应享有被合并方股东权益在最终控制方合并财务报表中的账面价值的份额作为长期股权投资的</w:t>
      </w:r>
      <w:r>
        <w:rPr>
          <w:spacing w:val="-77"/>
        </w:rPr>
        <w:t> </w:t>
      </w:r>
      <w:r>
        <w:rPr>
          <w:spacing w:val="-77"/>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6"/>
        </w:rPr>
        <w:t> </w:t>
      </w:r>
      <w:r>
        <w:rPr>
          <w:spacing w:val="-66"/>
        </w:rPr>
      </w:r>
      <w:r>
        <w:rPr/>
        <w:t>或为其他权益工具投资而确认的其他综合收益，暂不进行会计处理。</w:t>
      </w:r>
    </w:p>
    <w:p>
      <w:pPr>
        <w:pStyle w:val="BodyText"/>
        <w:spacing w:line="312" w:lineRule="auto" w:before="22"/>
        <w:ind w:right="1030" w:firstLine="420"/>
        <w:jc w:val="left"/>
      </w:pPr>
      <w:r>
        <w:rPr>
          <w:rFonts w:ascii="Times New Roman" w:hAnsi="Times New Roman" w:cs="Times New Roman" w:eastAsia="Times New Roman" w:hint="default"/>
        </w:rPr>
        <w:t>2)</w:t>
      </w:r>
      <w:r>
        <w:rPr/>
        <w:t>非同一控制下的企业合并形成的，公司按照购买日确定的合并成本作为长期股权投资的初始投资成本。合并成本为</w:t>
      </w:r>
      <w:r>
        <w:rPr>
          <w:spacing w:val="1"/>
        </w:rPr>
        <w:t> </w:t>
      </w:r>
      <w:r>
        <w:rPr>
          <w:spacing w:val="-2"/>
        </w:rPr>
        <w:t>购买日购买方为取得对被购买方的控制权而付出的资产、发生或承担的负债以及发行的权益性证券的公允价值。购买方为企</w:t>
      </w:r>
      <w:r>
        <w:rPr>
          <w:spacing w:val="-64"/>
        </w:rPr>
        <w:t> </w:t>
      </w:r>
      <w:r>
        <w:rPr>
          <w:spacing w:val="-64"/>
        </w:rPr>
      </w:r>
      <w:r>
        <w:rPr>
          <w:spacing w:val="-2"/>
        </w:rPr>
        <w:t>业合并而发生的审计、法律服务、评估咨询等中介费用以及其他相关管理费用于发生时计入当期损益；购买方作为合并对价</w:t>
      </w:r>
      <w:r>
        <w:rPr>
          <w:spacing w:val="-66"/>
        </w:rPr>
        <w:t> </w:t>
      </w:r>
      <w:r>
        <w:rPr>
          <w:spacing w:val="-66"/>
        </w:rPr>
      </w:r>
      <w:r>
        <w:rPr>
          <w:spacing w:val="-2"/>
        </w:rPr>
        <w:t>发行的权益性证券或债务性证券的交易费用，计入权益性证券或债务性证券的初始确认金额。本公司将合并协议约定的或有</w:t>
      </w:r>
      <w:r>
        <w:rPr>
          <w:spacing w:val="-64"/>
        </w:rPr>
        <w:t> </w:t>
      </w:r>
      <w:r>
        <w:rPr>
          <w:spacing w:val="-64"/>
        </w:rPr>
      </w:r>
      <w:r>
        <w:rPr>
          <w:spacing w:val="-2"/>
        </w:rPr>
        <w:t>对价作为企业合并转移对价的一部分，按照其在购买日的公允价值计入企业合并成本。通过多次交易分步实现的非同一控制</w:t>
      </w:r>
      <w:r>
        <w:rPr>
          <w:spacing w:val="-64"/>
        </w:rPr>
        <w:t> </w:t>
      </w:r>
      <w:r>
        <w:rPr>
          <w:spacing w:val="-64"/>
        </w:rPr>
      </w:r>
      <w:r>
        <w:rPr/>
        <w:t>下企业合并，根据企业会计准则判断该多次交易是否属于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 </w:t>
      </w:r>
      <w:r>
        <w:rPr>
          <w:spacing w:val="-2"/>
        </w:rPr>
        <w:t>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的，按照原持有被购买方的股权投资账面价值加上新增投资成本之和，作为</w:t>
      </w:r>
      <w:r>
        <w:rPr>
          <w:spacing w:val="-45"/>
        </w:rPr>
        <w:t> </w:t>
      </w:r>
      <w:r>
        <w:rPr>
          <w:spacing w:val="-45"/>
        </w:rPr>
      </w:r>
      <w:r>
        <w:rPr/>
        <w:t>改按成本法核算的长期股权投资的初始投资成本；原持有的股权采用权益法核算的，相关其他综合收益暂不进行会计处理； </w:t>
      </w:r>
      <w:r>
        <w:rPr>
          <w:spacing w:val="-2"/>
        </w:rPr>
        <w:t>原持有股权投资为其他权益工具投资的，其公允价值与账面价值之间的差额，以及原计入其他综合收益的累计公允价值变动</w:t>
      </w:r>
      <w:r>
        <w:rPr>
          <w:spacing w:val="-64"/>
        </w:rPr>
        <w:t> </w:t>
      </w:r>
      <w:r>
        <w:rPr>
          <w:spacing w:val="-64"/>
        </w:rPr>
      </w:r>
      <w:r>
        <w:rPr/>
        <w:t>直接转入留存收益。</w:t>
      </w:r>
    </w:p>
    <w:p>
      <w:pPr>
        <w:spacing w:after="0" w:line="312"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2" w:lineRule="auto" w:before="44"/>
        <w:ind w:right="1127" w:firstLine="420"/>
        <w:jc w:val="both"/>
      </w:pPr>
      <w:r>
        <w:rPr>
          <w:rFonts w:ascii="Times New Roman" w:hAnsi="Times New Roman" w:cs="Times New Roman" w:eastAsia="Times New Roman" w:hint="default"/>
        </w:rPr>
        <w:t>3)</w:t>
      </w:r>
      <w:r>
        <w:rPr/>
        <w:t>除企业合并形成的长期股权投资外的其他股权投资，按成本进行初始计量：以支付现金取得的，按照实际支付的购</w:t>
      </w:r>
      <w:r>
        <w:rPr>
          <w:spacing w:val="1"/>
        </w:rPr>
        <w:t> </w:t>
      </w:r>
      <w:r>
        <w:rPr>
          <w:spacing w:val="-2"/>
        </w:rPr>
        <w:t>买价款作为其初始投资成本；以发行权益性证券取得的，按照发行权益性证券的公允价值作为其初始投资成本，与发行权益</w:t>
      </w:r>
      <w:r>
        <w:rPr>
          <w:spacing w:val="-66"/>
        </w:rPr>
        <w:t> </w:t>
      </w:r>
      <w:r>
        <w:rPr>
          <w:spacing w:val="-66"/>
        </w:rPr>
      </w:r>
      <w:r>
        <w:rPr>
          <w:spacing w:val="-2"/>
        </w:rPr>
        <w:t>性证券直接相关的费用，按照《企业会计准则第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金融工具列报》的有关规定确定；在非货币性资产交换具有商业实</w:t>
      </w:r>
      <w:r>
        <w:rPr>
          <w:spacing w:val="-64"/>
        </w:rPr>
        <w:t> </w:t>
      </w:r>
      <w:r>
        <w:rPr>
          <w:spacing w:val="-64"/>
        </w:rPr>
      </w:r>
      <w:r>
        <w:rPr>
          <w:spacing w:val="-2"/>
        </w:rPr>
        <w:t>质和换入资产或换出资产的公允价值能够可靠计量的前提下，非货币性资产交换换入的长期股权投资以换出资产的公允价值</w:t>
      </w:r>
      <w:r>
        <w:rPr>
          <w:spacing w:val="-64"/>
        </w:rPr>
        <w:t> </w:t>
      </w:r>
      <w:r>
        <w:rPr>
          <w:spacing w:val="-64"/>
        </w:rPr>
      </w:r>
      <w:r>
        <w:rPr>
          <w:spacing w:val="-2"/>
        </w:rPr>
        <w:t>和应支付的相关税费确定其初始投资成本，除非有确凿证据表明换入资产的公允价值更加可靠；不满足上述前提的非货币性</w:t>
      </w:r>
      <w:r>
        <w:rPr>
          <w:spacing w:val="-64"/>
        </w:rPr>
        <w:t> </w:t>
      </w:r>
      <w:r>
        <w:rPr>
          <w:spacing w:val="-64"/>
        </w:rPr>
      </w:r>
      <w:r>
        <w:rPr>
          <w:spacing w:val="-2"/>
        </w:rPr>
        <w:t>资产交换，以换出资产的账面价值和应支付的相关税费作为换入长期股权投资的初始投资成本。通过债务重组取得的长期股</w:t>
      </w:r>
      <w:r>
        <w:rPr>
          <w:spacing w:val="-64"/>
        </w:rPr>
        <w:t> </w:t>
      </w:r>
      <w:r>
        <w:rPr>
          <w:spacing w:val="-64"/>
        </w:rPr>
      </w:r>
      <w:r>
        <w:rPr>
          <w:spacing w:val="-2"/>
        </w:rPr>
        <w:t>权投资，其初始投资成本以放弃债权的公允价值为基础确定。与取得长期股权投资直接相关的费用、税金及其他必要支出也</w:t>
      </w:r>
      <w:r>
        <w:rPr>
          <w:spacing w:val="-66"/>
        </w:rPr>
        <w:t> </w:t>
      </w:r>
      <w:r>
        <w:rPr>
          <w:spacing w:val="-66"/>
        </w:rPr>
      </w:r>
      <w:r>
        <w:rPr/>
        <w:t>计入投资成本。</w:t>
      </w:r>
    </w:p>
    <w:p>
      <w:pPr>
        <w:pStyle w:val="BodyText"/>
        <w:spacing w:line="312" w:lineRule="auto" w:before="22"/>
        <w:ind w:right="1130" w:firstLine="436"/>
        <w:jc w:val="both"/>
      </w:pPr>
      <w:r>
        <w:rPr/>
        <w:t>对于因追加投资能够对被投资单位实施重大影响或实施共同控制但不构成控制的，长期股权投资成本为按照《企业会 </w:t>
      </w:r>
      <w:r>
        <w:rPr>
          <w:spacing w:val="-2"/>
        </w:rPr>
        <w:t>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金融工具确认和计量》确定的原持有股权投资的公允价值加上新增投资成本之和，作为改按权益法核算的</w:t>
      </w:r>
      <w:r>
        <w:rPr>
          <w:spacing w:val="-62"/>
        </w:rPr>
        <w:t> </w:t>
      </w:r>
      <w:r>
        <w:rPr>
          <w:spacing w:val="-62"/>
        </w:rPr>
      </w:r>
      <w:r>
        <w:rPr>
          <w:spacing w:val="-2"/>
        </w:rPr>
        <w:t>初始投资成本。原持有的股权投资分类为其他权益工具投资的，其公允价值与账面价值之间的差额，以及原计入其他综合收</w:t>
      </w:r>
      <w:r>
        <w:rPr>
          <w:spacing w:val="-66"/>
        </w:rPr>
        <w:t> </w:t>
      </w:r>
      <w:r>
        <w:rPr>
          <w:spacing w:val="-66"/>
        </w:rPr>
      </w:r>
      <w:r>
        <w:rPr/>
        <w:t>益的累计公允价值变动应当直接转入留存收益。</w:t>
      </w:r>
    </w:p>
    <w:p>
      <w:pPr>
        <w:pStyle w:val="BodyText"/>
        <w:spacing w:line="240" w:lineRule="auto" w:before="22"/>
        <w:ind w:left="577" w:right="0"/>
        <w:jc w:val="left"/>
      </w:pPr>
      <w:r>
        <w:rPr/>
        <w:t>（</w:t>
      </w:r>
      <w:r>
        <w:rPr>
          <w:rFonts w:ascii="Times New Roman" w:hAnsi="Times New Roman" w:cs="Times New Roman" w:eastAsia="Times New Roman" w:hint="default"/>
        </w:rPr>
        <w:t>3</w:t>
      </w:r>
      <w:r>
        <w:rPr/>
        <w:t>）长期股权投资的后续计量及损益确认方法</w:t>
      </w:r>
    </w:p>
    <w:p>
      <w:pPr>
        <w:pStyle w:val="BodyText"/>
        <w:spacing w:line="300" w:lineRule="auto" w:before="63"/>
        <w:ind w:left="574" w:right="0" w:firstLine="3"/>
        <w:jc w:val="left"/>
      </w:pP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w:t>
      </w:r>
    </w:p>
    <w:p>
      <w:pPr>
        <w:pStyle w:val="BodyText"/>
        <w:spacing w:line="309" w:lineRule="auto" w:before="31"/>
        <w:ind w:left="574" w:right="3370" w:hanging="420"/>
        <w:jc w:val="left"/>
      </w:pPr>
      <w:r>
        <w:rPr/>
        <w:t>现金股利或利润外，公司按照享有被投资单位宣告发放的现金股利或利润确认当期投资收益。 </w:t>
      </w:r>
      <w:r>
        <w:rPr>
          <w:rFonts w:ascii="Times New Roman" w:hAnsi="Times New Roman" w:cs="Times New Roman" w:eastAsia="Times New Roman" w:hint="default"/>
        </w:rPr>
        <w:t>2)</w:t>
      </w:r>
      <w:r>
        <w:rPr/>
        <w:t>权益法核算的长期股权投资 对联营企业和合营企业的长期股权投资，采用权益法核算。</w:t>
      </w:r>
    </w:p>
    <w:p>
      <w:pPr>
        <w:pStyle w:val="BodyText"/>
        <w:spacing w:line="316" w:lineRule="auto" w:before="24"/>
        <w:ind w:right="1030" w:firstLine="406"/>
        <w:jc w:val="left"/>
      </w:pPr>
      <w:r>
        <w:rPr/>
        <w:t>采用权益法核算的长期股权投资的初始投资成本大于投资时应享有被投资单位可辨认净资产公允价值份额的，不调整</w:t>
      </w:r>
      <w:r>
        <w:rPr>
          <w:spacing w:val="1"/>
        </w:rPr>
        <w:t> </w:t>
      </w:r>
      <w:r>
        <w:rPr/>
        <w:t>长期股权投资的初始投资成本；长期股权投资的初始投资成本小于投资时应享有被投资单位可辨认净资产公允价值份额的，</w:t>
      </w:r>
      <w:r>
        <w:rPr/>
        <w:t> </w:t>
      </w:r>
      <w:r>
        <w:rPr>
          <w:spacing w:val="-2"/>
        </w:rPr>
        <w:t>其差额应当计入当期损益，同时调整长期股权投资的成本。取得长期股权投资后，被投资单位采用的会计政策及会计期间与</w:t>
      </w:r>
      <w:r>
        <w:rPr>
          <w:spacing w:val="-66"/>
        </w:rPr>
        <w:t> </w:t>
      </w:r>
      <w:r>
        <w:rPr>
          <w:spacing w:val="-66"/>
        </w:rPr>
      </w:r>
      <w:r>
        <w:rPr>
          <w:spacing w:val="-4"/>
        </w:rPr>
        <w:t>公司不一致的，按照公司的会计政策及会计期间对被投资单位的财务报表进行调整，并据以确认投资损益和其他综合收益等。</w:t>
      </w:r>
      <w:r>
        <w:rPr>
          <w:spacing w:val="-44"/>
        </w:rPr>
        <w:t> </w:t>
      </w:r>
      <w:r>
        <w:rPr>
          <w:spacing w:val="-44"/>
        </w:rPr>
      </w:r>
      <w:r>
        <w:rPr>
          <w:spacing w:val="-2"/>
        </w:rPr>
        <w:t>按照应享有或应分担的被投资单位实现的净损益和其他综合收益的份额，分别确认投资收益和其他综合收益，同时调整长期</w:t>
      </w:r>
      <w:r>
        <w:rPr>
          <w:spacing w:val="-64"/>
        </w:rPr>
        <w:t> </w:t>
      </w:r>
      <w:r>
        <w:rPr>
          <w:spacing w:val="-64"/>
        </w:rPr>
      </w:r>
      <w:r>
        <w:rPr>
          <w:spacing w:val="-2"/>
        </w:rPr>
        <w:t>股权投资的账面价值；在确认应享有被投资单位净损益的份额时，以取得投资时被投资单位各项可辨认资产等的公允价值为</w:t>
      </w:r>
      <w:r>
        <w:rPr>
          <w:spacing w:val="-64"/>
        </w:rPr>
        <w:t> </w:t>
      </w:r>
      <w:r>
        <w:rPr>
          <w:spacing w:val="-64"/>
        </w:rPr>
      </w:r>
      <w:r>
        <w:rPr>
          <w:spacing w:val="-2"/>
        </w:rPr>
        <w:t>基础，对被投资单位的净利润进行调整后确认。按照被投资单位宣告分派的利润或现金股利计算应享有的部分，相应减少长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资的账面价值并计入所有者权益。公司与联营企业、合营企业之间发生的未实现内部交易损益按照享有的比例计算归属于公</w:t>
      </w:r>
      <w:r>
        <w:rPr>
          <w:spacing w:val="-64"/>
        </w:rPr>
        <w:t> </w:t>
      </w:r>
      <w:r>
        <w:rPr>
          <w:spacing w:val="-64"/>
        </w:rPr>
      </w:r>
      <w:r>
        <w:rPr>
          <w:spacing w:val="-2"/>
        </w:rPr>
        <w:t>司的部分，予以抵销，在此基础上确认投资收益。与被投资单位发生的未实现内部交易损失，属于资产减值损失的，全额确</w:t>
      </w:r>
      <w:r>
        <w:rPr>
          <w:spacing w:val="-66"/>
        </w:rPr>
        <w:t> </w:t>
      </w:r>
      <w:r>
        <w:rPr>
          <w:spacing w:val="-66"/>
        </w:rPr>
      </w:r>
      <w:r>
        <w:rPr/>
        <w:t>认。</w:t>
      </w:r>
    </w:p>
    <w:p>
      <w:pPr>
        <w:pStyle w:val="BodyText"/>
        <w:spacing w:line="316" w:lineRule="auto" w:before="19"/>
        <w:ind w:right="1030" w:firstLine="420"/>
        <w:jc w:val="left"/>
      </w:pPr>
      <w:r>
        <w:rPr/>
        <w:t>在公司确认应分担被投资单位发生亏损时，按照以下顺序进行处理：首先，冲减长期股权投资的账面价值。其次，长</w:t>
      </w:r>
      <w:r>
        <w:rPr>
          <w:spacing w:val="1"/>
        </w:rPr>
        <w:t> </w:t>
      </w:r>
      <w:r>
        <w:rPr/>
        <w:t>期股权投资的账面价值不足以冲减的，以其他实质上构成对被投资单位净投资的长期权益账面价值为限继续确认投资损失、</w:t>
      </w:r>
      <w:r>
        <w:rPr/>
        <w:t> </w:t>
      </w:r>
      <w:r>
        <w:rPr>
          <w:spacing w:val="-2"/>
        </w:rPr>
        <w:t>冲减长期应收项目的账面价值。经过上述处理，按照投资合同或协议约定企业仍承担额外义务的，按预计承担的义务确认预</w:t>
      </w:r>
      <w:r>
        <w:rPr>
          <w:spacing w:val="-66"/>
        </w:rPr>
        <w:t> </w:t>
      </w:r>
      <w:r>
        <w:rPr>
          <w:spacing w:val="-66"/>
        </w:rPr>
      </w:r>
      <w:r>
        <w:rPr>
          <w:spacing w:val="-2"/>
        </w:rPr>
        <w:t>计负债，计入当期投资损失。被投资单位以后期间实现净利润的，本公司在收益弥补未确认的亏损分担额后，恢复确认收益</w:t>
      </w:r>
      <w:r>
        <w:rPr>
          <w:spacing w:val="-66"/>
        </w:rPr>
        <w:t> </w:t>
      </w:r>
      <w:r>
        <w:rPr>
          <w:spacing w:val="-66"/>
        </w:rPr>
      </w:r>
      <w:r>
        <w:rPr/>
        <w:t>分享额。</w:t>
      </w:r>
    </w:p>
    <w:p>
      <w:pPr>
        <w:pStyle w:val="BodyText"/>
        <w:spacing w:line="316" w:lineRule="auto" w:before="19"/>
        <w:ind w:right="0" w:firstLine="420"/>
        <w:jc w:val="left"/>
      </w:pPr>
      <w:r>
        <w:rPr/>
        <w:t>在持有投资期间，被投资单位编制合并财务报表的，以合并财务报表中的净利润、其他综合收益和其他所有者权益变</w:t>
      </w:r>
      <w:r>
        <w:rPr>
          <w:spacing w:val="1"/>
        </w:rPr>
        <w:t> </w:t>
      </w:r>
      <w:r>
        <w:rPr/>
        <w:t>动中归属于被投资单位的金额为基础进行核算。</w:t>
      </w:r>
    </w:p>
    <w:p>
      <w:pPr>
        <w:pStyle w:val="BodyText"/>
        <w:spacing w:line="314" w:lineRule="auto" w:before="19"/>
        <w:ind w:right="1131" w:firstLine="435"/>
        <w:jc w:val="both"/>
      </w:pPr>
      <w:r>
        <w:rPr/>
        <w:t>对于本公司向合营企业与联营企业投出的资产构成业务的，投资方因此取得长期股权投资但未取得控制权的，以投出 </w:t>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公司向合营企业或者联营企业出售的资产构成业务的，取得的对价与业务的账面价值之差，全额计入当期损益。本公司自联</w:t>
      </w:r>
      <w:r>
        <w:rPr>
          <w:spacing w:val="-66"/>
        </w:rPr>
        <w:t> </w:t>
      </w:r>
      <w:r>
        <w:rPr>
          <w:spacing w:val="-66"/>
        </w:rPr>
      </w:r>
      <w:r>
        <w:rPr>
          <w:spacing w:val="-2"/>
        </w:rPr>
        <w:t>营及合营企业购入的资产构成业务的，按《企业会计准则第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企业合并》的规定进行会计处理，全额确认与交易相关</w:t>
      </w:r>
      <w:r>
        <w:rPr>
          <w:spacing w:val="-64"/>
        </w:rPr>
        <w:t> </w:t>
      </w:r>
      <w:r>
        <w:rPr>
          <w:spacing w:val="-64"/>
        </w:rPr>
      </w:r>
      <w:r>
        <w:rPr/>
        <w:t>的利得或损失。</w:t>
      </w:r>
    </w:p>
    <w:p>
      <w:pPr>
        <w:pStyle w:val="BodyText"/>
        <w:spacing w:line="309" w:lineRule="auto" w:before="20"/>
        <w:ind w:left="576" w:right="4568"/>
        <w:jc w:val="left"/>
      </w:pPr>
      <w:r>
        <w:rPr/>
        <w:t>（</w:t>
      </w:r>
      <w:r>
        <w:rPr>
          <w:rFonts w:ascii="Times New Roman" w:hAnsi="Times New Roman" w:cs="Times New Roman" w:eastAsia="Times New Roman" w:hint="default"/>
        </w:rPr>
        <w:t>4</w:t>
      </w:r>
      <w:r>
        <w:rPr/>
        <w:t>）长期股权投资的处置 处置长期股权投资，其账面价值与实际取得价款的差额，计入当期损益。 </w:t>
      </w:r>
      <w:r>
        <w:rPr>
          <w:rFonts w:ascii="Times New Roman" w:hAnsi="Times New Roman" w:cs="Times New Roman" w:eastAsia="Times New Roman" w:hint="default"/>
        </w:rPr>
        <w:t>1)</w:t>
      </w:r>
      <w:r>
        <w:rPr/>
        <w:t>权益法核算下的长期股权投资的处置</w:t>
      </w:r>
    </w:p>
    <w:p>
      <w:pPr>
        <w:spacing w:after="0" w:line="309"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27" w:firstLine="422"/>
        <w:jc w:val="both"/>
      </w:pPr>
      <w:r>
        <w:rPr/>
        <w:t>采用权益法核算的长期股权投资，处置后的剩余股权仍采用权益法核算的，在处置该项投资时，采用与被投资单位直 </w:t>
      </w:r>
      <w:r>
        <w:rPr>
          <w:spacing w:val="-2"/>
        </w:rPr>
        <w:t>接处置相关资产或者负债相同的基础，按相应比例对原计入其他综合收益的部分进行会计处理。因被投资单位除净损益、其</w:t>
      </w:r>
      <w:r>
        <w:rPr>
          <w:spacing w:val="-66"/>
        </w:rPr>
        <w:t> </w:t>
      </w:r>
      <w:r>
        <w:rPr>
          <w:spacing w:val="-66"/>
        </w:rPr>
      </w:r>
      <w:r>
        <w:rPr/>
        <w:t>他综合收益和利润分配以外的其他所有者权益变动而确认的所有者权益，按比例结转入当期损益。</w:t>
      </w:r>
    </w:p>
    <w:p>
      <w:pPr>
        <w:pStyle w:val="BodyText"/>
        <w:spacing w:line="316" w:lineRule="auto" w:before="19"/>
        <w:ind w:left="153" w:right="1127" w:firstLine="422"/>
        <w:jc w:val="both"/>
      </w:pPr>
      <w:r>
        <w:rPr/>
        <w:t>因处置部分股权投资等原因丧失了对投资单位的共同控制或者重大影响的，处置后的剩余股权改按金融工具确认和计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核算而确认的其他综合收益，在终止确认权益法核算时采用与被投资单位直接处置相关资产或负债相同的基础进行会计处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理。因被投资方除净损益、其他综合收益和利润分配以外的其他所有者权益变动而确认的所有者权益，在终止采用权益法核</w:t>
      </w:r>
      <w:r>
        <w:rPr>
          <w:spacing w:val="-66"/>
        </w:rPr>
        <w:t> </w:t>
      </w:r>
      <w:r>
        <w:rPr>
          <w:spacing w:val="-66"/>
        </w:rPr>
      </w:r>
      <w:r>
        <w:rPr/>
        <w:t>算时全部转入当期损益。</w:t>
      </w:r>
    </w:p>
    <w:p>
      <w:pPr>
        <w:pStyle w:val="BodyText"/>
        <w:spacing w:line="300" w:lineRule="auto" w:before="19"/>
        <w:ind w:left="576" w:right="0" w:hanging="3"/>
        <w:jc w:val="left"/>
      </w:pPr>
      <w:r>
        <w:rPr>
          <w:rFonts w:ascii="Times New Roman" w:hAnsi="Times New Roman" w:cs="Times New Roman" w:eastAsia="Times New Roman" w:hint="default"/>
        </w:rPr>
        <w:t>2)</w:t>
      </w:r>
      <w:r>
        <w:rPr/>
        <w:t>成本法核算下的长期股权投资的处置 采用成本法核算的长期股权投资，处置后剩余股权仍采用成本法核算的，其在取得对被投资单位的控制之前因采用权</w:t>
      </w:r>
    </w:p>
    <w:p>
      <w:pPr>
        <w:pStyle w:val="BodyText"/>
        <w:spacing w:line="316" w:lineRule="auto" w:before="31"/>
        <w:ind w:left="153" w:right="1130"/>
        <w:jc w:val="both"/>
      </w:pPr>
      <w:r>
        <w:rPr>
          <w:spacing w:val="-2"/>
        </w:rPr>
        <w:t>益法核算或者金融工具确认和计量准则核算而确认的其他综合收益，采用与被投资单位直接处置相关资产或者负债相同的基</w:t>
      </w:r>
      <w:r>
        <w:rPr>
          <w:spacing w:val="-64"/>
        </w:rPr>
        <w:t> </w:t>
      </w:r>
      <w:r>
        <w:rPr>
          <w:spacing w:val="-64"/>
        </w:rPr>
      </w:r>
      <w:r>
        <w:rPr>
          <w:spacing w:val="-2"/>
        </w:rPr>
        <w:t>础进行处理，并按比例结转当期损益；因采用权益法核算而确认的被投资单位净资产中除净损益、其他综合收益和净利润分</w:t>
      </w:r>
      <w:r>
        <w:rPr>
          <w:spacing w:val="-66"/>
        </w:rPr>
        <w:t> </w:t>
      </w:r>
      <w:r>
        <w:rPr>
          <w:spacing w:val="-66"/>
        </w:rPr>
      </w:r>
      <w:r>
        <w:rPr/>
        <w:t>配以外的其他所有者权益变动按比例结转当期损益。</w:t>
      </w:r>
    </w:p>
    <w:p>
      <w:pPr>
        <w:pStyle w:val="BodyText"/>
        <w:spacing w:line="316" w:lineRule="auto" w:before="19"/>
        <w:ind w:left="153" w:right="1048" w:firstLine="420"/>
        <w:jc w:val="both"/>
      </w:pPr>
      <w:r>
        <w:rPr/>
        <w:t>因其他投资方增资而导致本公司持股比例下降、从而丧失控制权但能对被投资单位实施共同控制或施加重大影响的，</w:t>
      </w:r>
      <w:r>
        <w:rPr>
          <w:spacing w:val="1"/>
        </w:rPr>
        <w:t> </w:t>
      </w:r>
      <w:r>
        <w:rPr>
          <w:spacing w:val="-2"/>
        </w:rPr>
        <w:t>按照新的持股比例确认本公司应享有的被投资单位因增资扩股而增加净资产的份额，与应结转持股比例下降部分所对应的长</w:t>
      </w:r>
      <w:r>
        <w:rPr>
          <w:spacing w:val="-64"/>
        </w:rPr>
        <w:t> </w:t>
      </w:r>
      <w:r>
        <w:rPr>
          <w:spacing w:val="-64"/>
        </w:rPr>
      </w:r>
      <w:r>
        <w:rPr/>
        <w:t>期股权投资原账面价值之间的差额计入当期损益；然后，按照新的持股比例视同自取得投资时即采用权益法核算进行调整。</w:t>
      </w:r>
    </w:p>
    <w:p>
      <w:pPr>
        <w:pStyle w:val="BodyText"/>
        <w:spacing w:line="314" w:lineRule="auto" w:before="19"/>
        <w:ind w:left="153" w:right="1127" w:firstLine="422"/>
        <w:jc w:val="both"/>
      </w:pPr>
      <w:r>
        <w:rPr/>
        <w:t>公司因处置部分股权投资或其他原因丧失了对原有子公司控制权的，处置后的剩余股权能够对被投资单位实施共同控 </w:t>
      </w:r>
      <w:r>
        <w:rPr>
          <w:spacing w:val="-2"/>
        </w:rPr>
        <w:t>制或施加重大影响的，改按权益法核算，并对该剩余股权视同自取得时即采用权益法核算进行调整，购买日之前持有的股权</w:t>
      </w:r>
      <w:r>
        <w:rPr>
          <w:spacing w:val="-66"/>
        </w:rPr>
        <w:t> </w:t>
      </w:r>
      <w:r>
        <w:rPr>
          <w:spacing w:val="-66"/>
        </w:rPr>
      </w:r>
      <w:r>
        <w:rPr>
          <w:spacing w:val="-2"/>
        </w:rPr>
        <w:t>投资因采用权益法核算而确认的其他综合收益和其他所有者权益按比例结转；处置后的剩余股权不能对被投资单位实施共同</w:t>
      </w:r>
      <w:r>
        <w:rPr>
          <w:spacing w:val="-64"/>
        </w:rPr>
        <w:t> </w:t>
      </w:r>
      <w:r>
        <w:rPr>
          <w:spacing w:val="-64"/>
        </w:rPr>
      </w:r>
      <w:r>
        <w:rPr>
          <w:spacing w:val="-2"/>
        </w:rPr>
        <w:t>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w:t>
      </w:r>
      <w:r>
        <w:rPr>
          <w:spacing w:val="-64"/>
        </w:rPr>
        <w:t> </w:t>
      </w:r>
      <w:r>
        <w:rPr>
          <w:spacing w:val="-64"/>
        </w:rPr>
      </w:r>
      <w:r>
        <w:rPr/>
        <w:t>日的公允价值与账面价值间的差额计入当期损益，其他综合收益和其他所有者权益全部结转为当期损益。</w:t>
      </w:r>
    </w:p>
    <w:p>
      <w:pPr>
        <w:pStyle w:val="BodyText"/>
        <w:spacing w:line="316" w:lineRule="auto" w:before="20"/>
        <w:ind w:left="153" w:right="1126" w:firstLine="420"/>
        <w:jc w:val="both"/>
      </w:pPr>
      <w:r>
        <w:rPr/>
        <w:t>本公司通过多次交易分步处置对子公司股权投资直至丧失控制权，如果上述交易属于一揽子交易的，将各项交易作为</w:t>
      </w:r>
      <w:r>
        <w:rPr>
          <w:spacing w:val="1"/>
        </w:rPr>
        <w:t>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8951"/>
        <w:jc w:val="left"/>
      </w:pPr>
      <w:r>
        <w:rPr/>
        <w:t>投资性房地产计量模式 成本法计量 折旧或摊销方法</w:t>
      </w:r>
    </w:p>
    <w:p>
      <w:pPr>
        <w:pStyle w:val="BodyText"/>
        <w:spacing w:line="300" w:lineRule="auto" w:before="25"/>
        <w:ind w:left="153" w:right="1127" w:firstLine="420"/>
        <w:jc w:val="both"/>
      </w:pPr>
      <w:r>
        <w:rPr>
          <w:spacing w:val="-2"/>
        </w:rPr>
        <w:t>（</w:t>
      </w:r>
      <w:r>
        <w:rPr>
          <w:rFonts w:ascii="Times New Roman" w:hAnsi="Times New Roman" w:cs="Times New Roman" w:eastAsia="Times New Roman" w:hint="default"/>
          <w:spacing w:val="-2"/>
        </w:rPr>
        <w:t>1</w:t>
      </w:r>
      <w:r>
        <w:rPr>
          <w:spacing w:val="-2"/>
        </w:rPr>
        <w:t>）投资性房地产是指为赚取租金或资本增值、或者两者兼有而持有的房地产。包括已出租的土地使用权、持有并准</w:t>
      </w:r>
      <w:r>
        <w:rPr/>
        <w:t> 备增值后转让的土地使用权、已出租的建筑物</w:t>
      </w:r>
      <w:r>
        <w:rPr>
          <w:rFonts w:ascii="Times New Roman" w:hAnsi="Times New Roman" w:cs="Times New Roman" w:eastAsia="Times New Roman" w:hint="default"/>
        </w:rPr>
        <w:t>(</w:t>
      </w:r>
      <w:r>
        <w:rPr/>
        <w:t>含自行建造或开发活动完成后用于出租的建筑物以及正在建造或开发过程中</w:t>
      </w:r>
      <w:r>
        <w:rPr>
          <w:spacing w:val="-57"/>
        </w:rPr>
        <w:t> </w:t>
      </w:r>
      <w:r>
        <w:rPr>
          <w:spacing w:val="-57"/>
        </w:rPr>
      </w:r>
      <w:r>
        <w:rPr/>
        <w:t>将来用于出租的建筑物</w:t>
      </w:r>
      <w:r>
        <w:rPr>
          <w:rFonts w:ascii="Times New Roman" w:hAnsi="Times New Roman" w:cs="Times New Roman" w:eastAsia="Times New Roman" w:hint="default"/>
        </w:rPr>
        <w:t>)</w:t>
      </w:r>
      <w:r>
        <w:rPr/>
        <w:t>。</w:t>
      </w:r>
    </w:p>
    <w:p>
      <w:pPr>
        <w:pStyle w:val="BodyText"/>
        <w:spacing w:line="309" w:lineRule="auto" w:before="13"/>
        <w:ind w:left="153" w:right="1131" w:firstLine="435"/>
        <w:jc w:val="both"/>
      </w:pPr>
      <w:r>
        <w:rPr>
          <w:spacing w:val="-2"/>
        </w:rPr>
        <w:t>（</w:t>
      </w:r>
      <w:r>
        <w:rPr>
          <w:rFonts w:ascii="Times New Roman" w:hAnsi="Times New Roman" w:cs="Times New Roman" w:eastAsia="Times New Roman" w:hint="default"/>
          <w:spacing w:val="-2"/>
        </w:rPr>
        <w:t>2</w:t>
      </w:r>
      <w:r>
        <w:rPr>
          <w:spacing w:val="-2"/>
        </w:rPr>
        <w:t>）投资性房地产按照成本进行初始计量，采用成本模式进行后续计量。如与投资性房地产有关的后续支出，如果与</w:t>
      </w:r>
      <w:r>
        <w:rPr/>
        <w:t> </w:t>
      </w:r>
      <w:r>
        <w:rPr>
          <w:spacing w:val="-2"/>
        </w:rPr>
        <w:t>该资产有关的经济利益很可能流入且其成本能可靠地计量，则计入投资性房地产成本。其他后续支出，在发生时计入当期损</w:t>
      </w:r>
      <w:r>
        <w:rPr>
          <w:spacing w:val="-66"/>
        </w:rPr>
        <w:t> </w:t>
      </w:r>
      <w:r>
        <w:rPr>
          <w:spacing w:val="-66"/>
        </w:rPr>
      </w:r>
      <w:r>
        <w:rPr/>
        <w:t>益。</w:t>
      </w:r>
    </w:p>
    <w:p>
      <w:pPr>
        <w:pStyle w:val="BodyText"/>
        <w:spacing w:line="240" w:lineRule="auto" w:before="24"/>
        <w:ind w:left="589" w:right="0"/>
        <w:jc w:val="left"/>
      </w:pPr>
      <w:r>
        <w:rPr/>
        <w:t>（</w:t>
      </w:r>
      <w:r>
        <w:rPr>
          <w:rFonts w:ascii="Times New Roman" w:hAnsi="Times New Roman" w:cs="Times New Roman" w:eastAsia="Times New Roman" w:hint="default"/>
        </w:rPr>
        <w:t>3</w:t>
      </w:r>
      <w:r>
        <w:rPr/>
        <w:t>）对成本模式计量的投资性房地产，采用与固定资产和无形资产相同的方法计提折旧或进行摊销。</w:t>
      </w:r>
    </w:p>
    <w:p>
      <w:pPr>
        <w:pStyle w:val="BodyText"/>
        <w:spacing w:line="312" w:lineRule="auto" w:before="63"/>
        <w:ind w:left="153" w:right="1031" w:firstLine="420"/>
        <w:jc w:val="left"/>
      </w:pPr>
      <w:r>
        <w:rPr/>
        <w:t>（</w:t>
      </w:r>
      <w:r>
        <w:rPr>
          <w:rFonts w:ascii="Times New Roman" w:hAnsi="Times New Roman" w:cs="Times New Roman" w:eastAsia="Times New Roman" w:hint="default"/>
        </w:rPr>
        <w:t>4</w:t>
      </w:r>
      <w:r>
        <w:rPr/>
        <w:t>）投资性房地产的用途改变为自用时，自改变之日起，将该投资性房地产转换为固定资产或无形资产，按转换前的 </w:t>
      </w:r>
      <w:r>
        <w:rPr>
          <w:spacing w:val="-2"/>
        </w:rPr>
        <w:t>账面价值作为转换后的入账价值。自用房地产的用途或者存货改变为赚取租金或资本增值时，自改变之日起，将固定资产或</w:t>
      </w:r>
      <w:r>
        <w:rPr>
          <w:spacing w:val="-66"/>
        </w:rPr>
        <w:t> </w:t>
      </w:r>
      <w:r>
        <w:rPr>
          <w:spacing w:val="-66"/>
        </w:rPr>
      </w:r>
      <w:r>
        <w:rPr/>
        <w:t>无形资产转换为投资性房地产，转换为采用成本模式计量的投资性房地产的，以转换前的账面价值作为转换后的入账价值； 转换为以公允价值模式计量的投资性房地产的，以转换日的公允价值作为转换后的入账价值。</w:t>
      </w:r>
    </w:p>
    <w:p>
      <w:pPr>
        <w:pStyle w:val="BodyText"/>
        <w:spacing w:line="300" w:lineRule="auto" w:before="22"/>
        <w:ind w:left="153" w:right="0" w:firstLine="420"/>
        <w:jc w:val="left"/>
      </w:pPr>
      <w:r>
        <w:rPr>
          <w:spacing w:val="-3"/>
        </w:rPr>
        <w:t>（</w:t>
      </w:r>
      <w:r>
        <w:rPr>
          <w:rFonts w:ascii="Times New Roman" w:hAnsi="Times New Roman" w:cs="Times New Roman" w:eastAsia="Times New Roman" w:hint="default"/>
          <w:spacing w:val="-3"/>
        </w:rPr>
        <w:t>5</w:t>
      </w:r>
      <w:r>
        <w:rPr>
          <w:spacing w:val="-3"/>
        </w:rPr>
        <w:t>）当投资性房地产被处置、或者永久退出使用且预计不能从其处置中取得经济利益时，终止确认该项投资性房地产。</w:t>
      </w:r>
      <w:r>
        <w:rPr/>
        <w:t> 投资性房地产出售、转让、报废或毁损的处置收入扣除其账面价值和相关税费后计入当期损益。</w:t>
      </w:r>
    </w:p>
    <w:p>
      <w:pPr>
        <w:spacing w:after="0" w:line="30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1" w:firstLine="360"/>
        <w:jc w:val="both"/>
      </w:pPr>
      <w:r>
        <w:rPr>
          <w:spacing w:val="-1"/>
        </w:rPr>
        <w:t>固定资产是指同时具有下列特征的有形资产：</w:t>
      </w:r>
      <w:r>
        <w:rPr>
          <w:rFonts w:ascii="Times New Roman" w:hAnsi="Times New Roman" w:cs="Times New Roman" w:eastAsia="Times New Roman" w:hint="default"/>
          <w:spacing w:val="-1"/>
        </w:rPr>
        <w:t>1)</w:t>
      </w:r>
      <w:r>
        <w:rPr>
          <w:spacing w:val="-1"/>
        </w:rPr>
        <w:t>为生产商品、提供劳务、出租或经营管理持有的；</w:t>
      </w:r>
      <w:r>
        <w:rPr>
          <w:rFonts w:ascii="Times New Roman" w:hAnsi="Times New Roman" w:cs="Times New Roman" w:eastAsia="Times New Roman" w:hint="default"/>
          <w:spacing w:val="-1"/>
        </w:rPr>
        <w:t>2)</w:t>
      </w:r>
      <w:r>
        <w:rPr>
          <w:spacing w:val="-1"/>
        </w:rPr>
        <w:t>使用寿命超过一个</w:t>
      </w:r>
      <w:r>
        <w:rPr/>
        <w:t> 会计年度。</w:t>
      </w:r>
    </w:p>
    <w:p>
      <w:pPr>
        <w:pStyle w:val="BodyText"/>
        <w:spacing w:line="309" w:lineRule="auto" w:before="68"/>
        <w:ind w:left="153" w:right="1130" w:firstLine="360"/>
        <w:jc w:val="both"/>
      </w:pPr>
      <w:r>
        <w:rPr>
          <w:spacing w:val="-1"/>
        </w:rPr>
        <w:t>固定资产同时满足下列条件的予以确认：</w:t>
      </w:r>
      <w:r>
        <w:rPr>
          <w:rFonts w:ascii="Times New Roman" w:hAnsi="Times New Roman" w:cs="Times New Roman" w:eastAsia="Times New Roman" w:hint="default"/>
          <w:spacing w:val="-1"/>
        </w:rPr>
        <w:t>1)</w:t>
      </w:r>
      <w:r>
        <w:rPr>
          <w:spacing w:val="-1"/>
        </w:rPr>
        <w:t>与该固定资产有关的经济利益很可能流入企业；</w:t>
      </w:r>
      <w:r>
        <w:rPr>
          <w:rFonts w:ascii="Times New Roman" w:hAnsi="Times New Roman" w:cs="Times New Roman" w:eastAsia="Times New Roman" w:hint="default"/>
          <w:spacing w:val="-1"/>
        </w:rPr>
        <w:t>2)</w:t>
      </w:r>
      <w:r>
        <w:rPr>
          <w:spacing w:val="-1"/>
        </w:rPr>
        <w:t>该固定资产的成本能够可</w:t>
      </w:r>
      <w:r>
        <w:rPr/>
        <w:t> </w:t>
      </w:r>
      <w:r>
        <w:rPr>
          <w:spacing w:val="-2"/>
        </w:rPr>
        <w:t>靠地计量。与固定资产有关的后续支出，符合上述确认条件的，计入固定资产成本；不符合上述确认条件的，发生时计入当</w:t>
      </w:r>
      <w:r>
        <w:rPr>
          <w:spacing w:val="-66"/>
        </w:rPr>
        <w:t> </w:t>
      </w:r>
      <w:r>
        <w:rPr>
          <w:spacing w:val="-66"/>
        </w:rPr>
      </w:r>
      <w:r>
        <w:rPr/>
        <w:t>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03"/>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1.90-10.00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6.33-20.00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9.50-25.00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19.00-33.33</w:t>
            </w:r>
          </w:p>
        </w:tc>
      </w:tr>
    </w:tbl>
    <w:p>
      <w:pPr>
        <w:pStyle w:val="BodyText"/>
        <w:spacing w:line="316" w:lineRule="auto" w:before="10"/>
        <w:ind w:right="1129" w:firstLine="423"/>
        <w:jc w:val="both"/>
      </w:pPr>
      <w:r>
        <w:rPr/>
        <w:t>固定资产自达到预定可使用状态时开始计提折旧，终止确认时或划分为持有待售非流动资产时停止计提折旧。如固定 </w:t>
      </w:r>
      <w:r>
        <w:rPr>
          <w:spacing w:val="-2"/>
        </w:rPr>
        <w:t>资产各组成部分的使用寿命不同或者以不同的方式为企业提供经济利益，则选择不同折旧率和折旧方法，分别计提折旧。各</w:t>
      </w:r>
      <w:r>
        <w:rPr>
          <w:spacing w:val="-66"/>
        </w:rPr>
        <w:t> </w:t>
      </w:r>
      <w:r>
        <w:rPr>
          <w:spacing w:val="-66"/>
        </w:rPr>
      </w:r>
      <w:r>
        <w:rPr/>
        <w:t>类固定资产折旧年限和折旧率如下：</w:t>
      </w:r>
    </w:p>
    <w:p>
      <w:pPr>
        <w:pStyle w:val="BodyText"/>
        <w:spacing w:line="300" w:lineRule="auto" w:before="19"/>
        <w:ind w:right="1127" w:firstLine="420"/>
        <w:jc w:val="both"/>
      </w:pPr>
      <w:r>
        <w:rPr>
          <w:rFonts w:ascii="Times New Roman" w:hAnsi="Times New Roman" w:cs="Times New Roman" w:eastAsia="Times New Roman" w:hint="default"/>
        </w:rPr>
        <w:t>1)</w:t>
      </w:r>
      <w:r>
        <w:rPr/>
        <w:t>符合资本化条件的固定资产装修费用，在两次装修期间与固定资产尚可使用年限两者中较短的期间内，采用年限平</w:t>
      </w:r>
      <w:r>
        <w:rPr>
          <w:spacing w:val="1"/>
        </w:rPr>
        <w:t> </w:t>
      </w:r>
      <w:r>
        <w:rPr/>
        <w:t>均法单独计提折旧。</w:t>
      </w:r>
    </w:p>
    <w:p>
      <w:pPr>
        <w:pStyle w:val="BodyText"/>
        <w:spacing w:line="240" w:lineRule="auto" w:before="31"/>
        <w:ind w:left="573" w:right="0"/>
        <w:jc w:val="left"/>
      </w:pPr>
      <w:r>
        <w:rPr>
          <w:rFonts w:ascii="Times New Roman" w:hAnsi="Times New Roman" w:cs="Times New Roman" w:eastAsia="Times New Roman" w:hint="default"/>
        </w:rPr>
        <w:t>2)</w:t>
      </w:r>
      <w:r>
        <w:rPr/>
        <w:t>已计提减值准备的固定资产，还应扣除已计提的固定资产减值准备累计金额计算折旧率。</w:t>
      </w:r>
    </w:p>
    <w:p>
      <w:pPr>
        <w:pStyle w:val="BodyText"/>
        <w:spacing w:line="309" w:lineRule="auto" w:before="63"/>
        <w:ind w:left="573" w:right="1030"/>
        <w:jc w:val="left"/>
      </w:pPr>
      <w:r>
        <w:rPr>
          <w:rFonts w:ascii="Times New Roman" w:hAnsi="Times New Roman" w:cs="Times New Roman" w:eastAsia="Times New Roman" w:hint="default"/>
          <w:spacing w:val="-1"/>
        </w:rPr>
        <w:t>3)</w:t>
      </w:r>
      <w:r>
        <w:rPr>
          <w:spacing w:val="-1"/>
        </w:rPr>
        <w:t>公司至少年度终了对固定资产的使用寿命、预计净残值和折旧方法进行复核，如发生改变则作为会计估计变更处理。</w:t>
      </w:r>
      <w:r>
        <w:rPr>
          <w:spacing w:val="-59"/>
        </w:rPr>
        <w:t> </w:t>
      </w:r>
      <w:r>
        <w:rPr>
          <w:spacing w:val="-59"/>
        </w:rPr>
      </w:r>
      <w:r>
        <w:rPr/>
        <w:t>其他说明： </w:t>
      </w:r>
      <w:r>
        <w:rPr>
          <w:rFonts w:ascii="Times New Roman" w:hAnsi="Times New Roman" w:cs="Times New Roman" w:eastAsia="Times New Roman" w:hint="default"/>
        </w:rPr>
        <w:t>1)</w:t>
      </w:r>
      <w:r>
        <w:rPr/>
        <w:t>因开工不足、自然灾害等导致连续停用的固定资产确认为闲置固定资产</w:t>
      </w:r>
      <w:r>
        <w:rPr>
          <w:rFonts w:ascii="Times New Roman" w:hAnsi="Times New Roman" w:cs="Times New Roman" w:eastAsia="Times New Roman" w:hint="default"/>
        </w:rPr>
        <w:t>(</w:t>
      </w:r>
      <w:r>
        <w:rPr/>
        <w:t>季节性停用除外</w:t>
      </w:r>
      <w:r>
        <w:rPr>
          <w:rFonts w:ascii="Times New Roman" w:hAnsi="Times New Roman" w:cs="Times New Roman" w:eastAsia="Times New Roman" w:hint="default"/>
        </w:rPr>
        <w:t>)</w:t>
      </w:r>
      <w:r>
        <w:rPr/>
        <w:t>。闲置固定资产采用和其他</w:t>
      </w:r>
    </w:p>
    <w:p>
      <w:pPr>
        <w:pStyle w:val="BodyText"/>
        <w:spacing w:line="240" w:lineRule="auto" w:before="5"/>
        <w:ind w:left="153" w:right="0"/>
        <w:jc w:val="left"/>
      </w:pPr>
      <w:r>
        <w:rPr/>
        <w:t>同类别固定资产一致的折旧方法。</w:t>
      </w:r>
    </w:p>
    <w:p>
      <w:pPr>
        <w:pStyle w:val="BodyText"/>
        <w:spacing w:line="240" w:lineRule="auto" w:before="76"/>
        <w:ind w:left="573" w:right="0"/>
        <w:jc w:val="left"/>
      </w:pPr>
      <w:r>
        <w:rPr>
          <w:rFonts w:ascii="Times New Roman" w:hAnsi="Times New Roman" w:cs="Times New Roman" w:eastAsia="Times New Roman" w:hint="default"/>
        </w:rPr>
        <w:t>2)</w:t>
      </w:r>
      <w:r>
        <w:rPr/>
        <w:t>若固定资产处于处置状态，或者预期通过使用或处置不能产生经济利益，则终止确认</w:t>
      </w:r>
      <w:r>
        <w:rPr>
          <w:rFonts w:ascii="Times New Roman" w:hAnsi="Times New Roman" w:cs="Times New Roman" w:eastAsia="Times New Roman" w:hint="default"/>
        </w:rPr>
        <w:t>,</w:t>
      </w:r>
      <w:r>
        <w:rPr/>
        <w:t>并停止折旧和计提减值。</w:t>
      </w:r>
    </w:p>
    <w:p>
      <w:pPr>
        <w:pStyle w:val="BodyText"/>
        <w:spacing w:line="240" w:lineRule="auto" w:before="63"/>
        <w:ind w:left="573" w:right="0"/>
        <w:jc w:val="left"/>
      </w:pPr>
      <w:r>
        <w:rPr>
          <w:rFonts w:ascii="Times New Roman" w:hAnsi="Times New Roman" w:cs="Times New Roman" w:eastAsia="Times New Roman" w:hint="default"/>
        </w:rPr>
        <w:t>3)</w:t>
      </w:r>
      <w:r>
        <w:rPr/>
        <w:t>固定资产出售、转让、报废或者毁损的处置收入扣除其账面价值和相关税费后的差额计入当期损益。</w:t>
      </w:r>
    </w:p>
    <w:p>
      <w:pPr>
        <w:pStyle w:val="BodyText"/>
        <w:spacing w:line="300" w:lineRule="auto" w:before="63"/>
        <w:ind w:left="153" w:right="1127" w:firstLine="420"/>
        <w:jc w:val="both"/>
      </w:pPr>
      <w:r>
        <w:rPr>
          <w:rFonts w:ascii="Times New Roman" w:hAnsi="Times New Roman" w:cs="Times New Roman" w:eastAsia="Times New Roman" w:hint="default"/>
        </w:rPr>
        <w:t>4)</w:t>
      </w:r>
      <w:r>
        <w:rPr/>
        <w:t>本公司对固定资产进行定期检查发生的大修理费用，有确凿证据表明符合固定资产确认条件的部分，计入固定资产</w:t>
      </w:r>
      <w:r>
        <w:rPr>
          <w:spacing w:val="1"/>
        </w:rPr>
        <w:t> </w:t>
      </w:r>
      <w:r>
        <w:rPr/>
        <w:t>成本，不符合固定资产确认条件的计入当期损益。固定资产在定期大修理间隔期间，照提折旧。</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423"/>
        <w:jc w:val="both"/>
      </w:pPr>
      <w:r>
        <w:rPr>
          <w:spacing w:val="-2"/>
        </w:rPr>
        <w:t>（</w:t>
      </w:r>
      <w:r>
        <w:rPr>
          <w:rFonts w:ascii="Times New Roman" w:hAnsi="Times New Roman" w:cs="Times New Roman" w:eastAsia="Times New Roman" w:hint="default"/>
          <w:spacing w:val="-2"/>
        </w:rPr>
        <w:t>1</w:t>
      </w:r>
      <w:r>
        <w:rPr>
          <w:spacing w:val="-2"/>
        </w:rPr>
        <w:t>）在建工程同时满足经济利益很可能流入、成本能够可靠地计量则予以确认。在建工程按建造该项资产达到预定可</w:t>
      </w:r>
      <w:r>
        <w:rPr/>
        <w:t> 使用状态前所发生的实际成本计量。</w:t>
      </w:r>
    </w:p>
    <w:p>
      <w:pPr>
        <w:pStyle w:val="BodyText"/>
        <w:spacing w:line="300" w:lineRule="auto" w:before="31"/>
        <w:ind w:right="1038" w:firstLine="420"/>
        <w:jc w:val="both"/>
      </w:pPr>
      <w:r>
        <w:rPr>
          <w:spacing w:val="-3"/>
        </w:rPr>
        <w:t>（</w:t>
      </w:r>
      <w:r>
        <w:rPr>
          <w:rFonts w:ascii="Times New Roman" w:hAnsi="Times New Roman" w:cs="Times New Roman" w:eastAsia="Times New Roman" w:hint="default"/>
          <w:spacing w:val="-3"/>
        </w:rPr>
        <w:t>2</w:t>
      </w:r>
      <w:r>
        <w:rPr>
          <w:spacing w:val="-3"/>
        </w:rPr>
        <w:t>）在建工程达到预定可使用状态时，按工程实际成本转入固定资产。已达到预定可使用状态但尚未办理竣工结算的，</w:t>
      </w:r>
      <w:r>
        <w:rPr/>
        <w:t> 先按估计价值转入固定资产，待办理竣工决算后再按实际成本调整原暂估价值，但不再调整原已计提的折旧。</w:t>
      </w:r>
    </w:p>
    <w:p>
      <w:pPr>
        <w:spacing w:after="0" w:line="300" w:lineRule="auto"/>
        <w:jc w:val="both"/>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借款费用，包括借款利息、折价或者溢价的摊销、辅助费用以及因外币借款而发生的汇兑差额等。</w:t>
      </w:r>
    </w:p>
    <w:p>
      <w:pPr>
        <w:pStyle w:val="BodyText"/>
        <w:spacing w:line="300" w:lineRule="auto" w:before="76"/>
        <w:ind w:left="573" w:right="0" w:firstLine="3"/>
        <w:jc w:val="left"/>
      </w:pPr>
      <w:r>
        <w:rPr/>
        <w:t>（</w:t>
      </w: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right="0"/>
        <w:jc w:val="left"/>
      </w:pPr>
      <w:r>
        <w:rPr/>
        <w:t>他借款费用，在发生时根据其发生额确认为费用，计入当期损益。</w:t>
      </w:r>
    </w:p>
    <w:p>
      <w:pPr>
        <w:pStyle w:val="BodyText"/>
        <w:spacing w:line="240" w:lineRule="auto" w:before="76"/>
        <w:ind w:left="577" w:right="0"/>
        <w:jc w:val="left"/>
      </w:pPr>
      <w:r>
        <w:rPr/>
        <w:t>（</w:t>
      </w:r>
      <w:r>
        <w:rPr>
          <w:rFonts w:ascii="Times New Roman" w:hAnsi="Times New Roman" w:cs="Times New Roman" w:eastAsia="Times New Roman" w:hint="default"/>
        </w:rPr>
        <w:t>2</w:t>
      </w:r>
      <w:r>
        <w:rPr/>
        <w:t>）借款费用资本化期间</w:t>
      </w:r>
    </w:p>
    <w:p>
      <w:pPr>
        <w:pStyle w:val="BodyText"/>
        <w:spacing w:line="300" w:lineRule="auto" w:before="63"/>
        <w:ind w:left="153" w:right="1131" w:firstLine="420"/>
        <w:jc w:val="both"/>
      </w:pPr>
      <w:r>
        <w:rPr>
          <w:rFonts w:ascii="Times New Roman" w:hAnsi="Times New Roman" w:cs="Times New Roman" w:eastAsia="Times New Roman" w:hint="default"/>
          <w:spacing w:val="-1"/>
        </w:rPr>
        <w:t>1)</w:t>
      </w:r>
      <w:r>
        <w:rPr>
          <w:spacing w:val="-1"/>
        </w:rPr>
        <w:t>当同时满足下列条件时，开始资本化：</w:t>
      </w:r>
      <w:r>
        <w:rPr>
          <w:rFonts w:ascii="Times New Roman" w:hAnsi="Times New Roman" w:cs="Times New Roman" w:eastAsia="Times New Roman" w:hint="default"/>
          <w:spacing w:val="-1"/>
        </w:rPr>
        <w:t>1)</w:t>
      </w:r>
      <w:r>
        <w:rPr>
          <w:spacing w:val="-1"/>
        </w:rPr>
        <w:t>资产支出已经发生；</w:t>
      </w:r>
      <w:r>
        <w:rPr>
          <w:rFonts w:ascii="Times New Roman" w:hAnsi="Times New Roman" w:cs="Times New Roman" w:eastAsia="Times New Roman" w:hint="default"/>
          <w:spacing w:val="-1"/>
        </w:rPr>
        <w:t>2)</w:t>
      </w:r>
      <w:r>
        <w:rPr>
          <w:spacing w:val="-1"/>
        </w:rPr>
        <w:t>借款费用已经发生；</w:t>
      </w:r>
      <w:r>
        <w:rPr>
          <w:rFonts w:ascii="Times New Roman" w:hAnsi="Times New Roman" w:cs="Times New Roman" w:eastAsia="Times New Roman" w:hint="default"/>
          <w:spacing w:val="-1"/>
        </w:rPr>
        <w:t>3)</w:t>
      </w:r>
      <w:r>
        <w:rPr>
          <w:spacing w:val="-1"/>
        </w:rPr>
        <w:t>为使资产达到预定可使用或可</w:t>
      </w:r>
      <w:r>
        <w:rPr/>
        <w:t> 销售状态所必要的购建或者生产活动已经开始。</w:t>
      </w:r>
    </w:p>
    <w:p>
      <w:pPr>
        <w:pStyle w:val="BodyText"/>
        <w:spacing w:line="309" w:lineRule="auto" w:before="31"/>
        <w:ind w:left="153" w:right="1130" w:firstLine="420"/>
        <w:jc w:val="both"/>
      </w:pPr>
      <w:r>
        <w:rPr>
          <w:rFonts w:ascii="Times New Roman" w:hAnsi="Times New Roman" w:cs="Times New Roman" w:eastAsia="Times New Roman" w:hint="default"/>
          <w:spacing w:val="-1"/>
        </w:rPr>
        <w:t>2)</w:t>
      </w:r>
      <w:r>
        <w:rPr>
          <w:spacing w:val="-1"/>
        </w:rPr>
        <w:t>暂停资本化：若符合资本化条件的资产在购建或者生产过程中发生非正常中断，并且中断时间连续超过</w:t>
      </w:r>
      <w:r>
        <w:rPr>
          <w:rFonts w:ascii="Times New Roman" w:hAnsi="Times New Roman" w:cs="Times New Roman" w:eastAsia="Times New Roman" w:hint="default"/>
          <w:spacing w:val="-1"/>
        </w:rPr>
        <w:t>3</w:t>
      </w:r>
      <w:r>
        <w:rPr>
          <w:spacing w:val="-1"/>
        </w:rPr>
        <w:t>个月，暂停</w:t>
      </w:r>
      <w:r>
        <w:rPr/>
        <w:t> </w:t>
      </w:r>
      <w:r>
        <w:rPr>
          <w:spacing w:val="-2"/>
        </w:rPr>
        <w:t>借款费用的资本化；中断期间发生的借款费用确认为当期费用，直至资产的购建或者生产活动重新开始。该项中断如是所购</w:t>
      </w:r>
      <w:r>
        <w:rPr>
          <w:spacing w:val="-66"/>
        </w:rPr>
        <w:t> </w:t>
      </w:r>
      <w:r>
        <w:rPr>
          <w:spacing w:val="-66"/>
        </w:rPr>
      </w:r>
      <w:r>
        <w:rPr/>
        <w:t>建或生产的符合资本化条件的资产达到预定可使用状态或者可销售状态必要的程序，则借款费用继续资本化。</w:t>
      </w:r>
    </w:p>
    <w:p>
      <w:pPr>
        <w:pStyle w:val="BodyText"/>
        <w:spacing w:line="309" w:lineRule="auto" w:before="24"/>
        <w:ind w:left="153" w:right="1127" w:firstLine="420"/>
        <w:jc w:val="both"/>
      </w:pPr>
      <w:r>
        <w:rPr>
          <w:rFonts w:ascii="Times New Roman" w:hAnsi="Times New Roman" w:cs="Times New Roman" w:eastAsia="Times New Roman" w:hint="default"/>
        </w:rPr>
        <w:t>3)</w:t>
      </w:r>
      <w:r>
        <w:rPr/>
        <w:t>停止资本化：当所购建或者生产符合资本化条件的资产达到预定可使用或者可销售状态时，借款费用停止资本化。</w:t>
      </w:r>
      <w:r>
        <w:rPr>
          <w:spacing w:val="1"/>
        </w:rPr>
        <w:t> </w:t>
      </w:r>
      <w:r>
        <w:rPr>
          <w:spacing w:val="-2"/>
        </w:rPr>
        <w:t>当购建或者生产符合资本化的资产中部分项目分别完工且可单独使用时，该部分资产借款费用停止资本化。购建或者生产的</w:t>
      </w:r>
      <w:r>
        <w:rPr>
          <w:spacing w:val="-64"/>
        </w:rPr>
        <w:t> </w:t>
      </w:r>
      <w:r>
        <w:rPr>
          <w:spacing w:val="-64"/>
        </w:rPr>
      </w:r>
      <w:r>
        <w:rPr/>
        <w:t>资产的各部分分别完工，但必须等到整体完工后才可使用或者对外销售的，在该资产整体完工时停止借款费用资本化。</w:t>
      </w:r>
    </w:p>
    <w:p>
      <w:pPr>
        <w:pStyle w:val="BodyText"/>
        <w:spacing w:line="309" w:lineRule="auto" w:before="24"/>
        <w:ind w:left="153" w:right="1031" w:firstLine="423"/>
        <w:jc w:val="left"/>
      </w:pPr>
      <w:r>
        <w:rPr/>
        <w:t>（</w:t>
      </w:r>
      <w:r>
        <w:rPr>
          <w:rFonts w:ascii="Times New Roman" w:hAnsi="Times New Roman" w:cs="Times New Roman" w:eastAsia="Times New Roman" w:hint="default"/>
        </w:rPr>
        <w:t>3</w:t>
      </w:r>
      <w:r>
        <w:rPr/>
        <w:t>）借款费用资本化率及资本化金额的计算方法 为购建或者生产符合资本化条件的资产而借入专门借款的，以专门借款当期实际发生的利息费用</w:t>
      </w:r>
      <w:r>
        <w:rPr>
          <w:rFonts w:ascii="Times New Roman" w:hAnsi="Times New Roman" w:cs="Times New Roman" w:eastAsia="Times New Roman" w:hint="default"/>
        </w:rPr>
        <w:t>(</w:t>
      </w:r>
      <w:r>
        <w:rPr/>
        <w:t>包括按照实际利率法确定 的折价或溢价的摊销</w:t>
      </w:r>
      <w:r>
        <w:rPr>
          <w:rFonts w:ascii="Times New Roman" w:hAnsi="Times New Roman" w:cs="Times New Roman" w:eastAsia="Times New Roman" w:hint="default"/>
        </w:rPr>
        <w:t>)</w:t>
      </w:r>
      <w:r>
        <w:rPr/>
        <w:t>，减去将尚未动用的借款资金存入银行取得的利息收入或进行暂时性投资取得的投资收益后的金额， </w:t>
      </w: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，计算确定一般借款应予资本化的利息金额。在资本化期 </w:t>
      </w:r>
      <w:r>
        <w:rPr>
          <w:spacing w:val="-2"/>
        </w:rPr>
        <w:t>间内，每一会计期间的利息资本化金额不超过当期相关借款实际发生的利息金额。外币专门借款本金及利息的汇兑差额，在</w:t>
      </w:r>
      <w:r>
        <w:rPr>
          <w:spacing w:val="-66"/>
        </w:rPr>
        <w:t> </w:t>
      </w:r>
      <w:r>
        <w:rPr>
          <w:spacing w:val="-66"/>
        </w:rPr>
      </w:r>
      <w:r>
        <w:rPr>
          <w:spacing w:val="-2"/>
        </w:rPr>
        <w:t>资本化期间内予以资本化。专门借款发生的辅助费用，在所购建或生产的符合资本化条件的资产达到预定可使用或者可销售</w:t>
      </w:r>
      <w:r>
        <w:rPr>
          <w:spacing w:val="-64"/>
        </w:rPr>
        <w:t> </w:t>
      </w:r>
      <w:r>
        <w:rPr>
          <w:spacing w:val="-64"/>
        </w:rPr>
      </w:r>
      <w:r>
        <w:rPr/>
        <w:t>状态之前发生的，予以资本化；在达到预定可使用或者可销售状态之后发生的，计入当期损益。一般借款发生的辅助费用， </w:t>
      </w:r>
      <w:r>
        <w:rPr>
          <w:spacing w:val="-2"/>
        </w:rPr>
        <w:t>在发生时计入当期损益。借款存在折价或者溢价的，按照实际利率法确定每一会计期间应摊销的折价或者溢价金额，调整每</w:t>
      </w:r>
      <w:r>
        <w:rPr>
          <w:spacing w:val="-66"/>
        </w:rPr>
        <w:t> </w:t>
      </w:r>
      <w:r>
        <w:rPr>
          <w:spacing w:val="-66"/>
        </w:rPr>
      </w:r>
      <w:r>
        <w:rPr/>
        <w:t>期利息金额。</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50" w:firstLine="3"/>
        <w:jc w:val="left"/>
      </w:pPr>
      <w:r>
        <w:rPr>
          <w:rFonts w:ascii="Times New Roman" w:hAnsi="Times New Roman" w:cs="Times New Roman" w:eastAsia="Times New Roman" w:hint="default"/>
        </w:rPr>
        <w:t>1</w:t>
      </w:r>
      <w:r>
        <w:rPr/>
        <w:t>）无形资产的初始计量 无形资产按成本进行初始计量。外购无形资产的成本，包括购买价、相关税费以及直接归属于该项资产达到预定用途</w:t>
      </w:r>
    </w:p>
    <w:p>
      <w:pPr>
        <w:pStyle w:val="BodyText"/>
        <w:spacing w:line="316" w:lineRule="auto" w:before="31"/>
        <w:ind w:right="1030"/>
        <w:jc w:val="left"/>
      </w:pPr>
      <w:r>
        <w:rPr>
          <w:spacing w:val="-2"/>
        </w:rPr>
        <w:t>所发生的其他支出。购买无形资产的价款超过正常信用条件延期支付，实质上具有融资性质的，无形资产的成本以购买价款</w:t>
      </w:r>
      <w:r>
        <w:rPr>
          <w:spacing w:val="-66"/>
        </w:rPr>
        <w:t> </w:t>
      </w:r>
      <w:r>
        <w:rPr>
          <w:spacing w:val="-66"/>
        </w:rPr>
      </w:r>
      <w:r>
        <w:rPr>
          <w:spacing w:val="-2"/>
        </w:rPr>
        <w:t>的现值为基础确定。债务重组取得债务人用以抵债的无形资产，以放弃债权的公允价值和可直接归属于使该资产达到预定用</w:t>
      </w:r>
      <w:r>
        <w:rPr>
          <w:spacing w:val="-64"/>
        </w:rPr>
        <w:t> </w:t>
      </w:r>
      <w:r>
        <w:rPr>
          <w:spacing w:val="-64"/>
        </w:rPr>
      </w:r>
      <w:r>
        <w:rPr>
          <w:spacing w:val="-2"/>
        </w:rPr>
        <w:t>途所发生的税金等其他成本为基础确定其入账价值。在非货币性资产交换具备商业实质且换入或换出资产的公允价值能够可</w:t>
      </w:r>
      <w:r>
        <w:rPr>
          <w:spacing w:val="-64"/>
        </w:rPr>
        <w:t> </w:t>
      </w:r>
      <w:r>
        <w:rPr>
          <w:spacing w:val="-64"/>
        </w:rPr>
      </w:r>
      <w:r>
        <w:rPr/>
        <w:t>靠计量的前提下，非货币性资产交换换入的无形资产以换出资产的公允价值和应支付的相关税费作为换入无形资产的成本， </w:t>
      </w:r>
      <w:r>
        <w:rPr>
          <w:spacing w:val="-2"/>
        </w:rPr>
        <w:t>除非有确凿证据表明换入资产的公允价值更可靠；不满足上述前提的非货币性资产交换，以换出资产的账面价值和应支付的</w:t>
      </w:r>
      <w:r>
        <w:rPr>
          <w:spacing w:val="-64"/>
        </w:rPr>
        <w:t> </w:t>
      </w:r>
      <w:r>
        <w:rPr>
          <w:spacing w:val="-64"/>
        </w:rPr>
      </w:r>
      <w:r>
        <w:rPr/>
        <w:t>相关税费作为换入无形资产的成本，不确认损益。</w:t>
      </w:r>
    </w:p>
    <w:p>
      <w:pPr>
        <w:pStyle w:val="BodyText"/>
        <w:spacing w:line="240" w:lineRule="auto" w:before="19"/>
        <w:ind w:left="589" w:right="0"/>
        <w:jc w:val="left"/>
      </w:pPr>
      <w:r>
        <w:rPr/>
        <w:t>与无形资产有关的支出，如果相关的经济利益很可能流入本公司且成本能可靠地计量，则计入无形资产成本。除此之</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89" w:right="1135" w:hanging="436"/>
        <w:jc w:val="left"/>
      </w:pPr>
      <w:r>
        <w:rPr/>
        <w:t>外的其他项目的支出，在发生时计入当期损益。 取得的土地使用权通常作为无形资产核算。自行开发构建厂房等建筑物，相关的土地使用权支出和建筑物建造成本分</w:t>
      </w:r>
    </w:p>
    <w:p>
      <w:pPr>
        <w:pStyle w:val="BodyText"/>
        <w:spacing w:line="316" w:lineRule="auto" w:before="19"/>
        <w:ind w:left="153" w:right="0"/>
        <w:jc w:val="left"/>
      </w:pPr>
      <w:r>
        <w:rPr>
          <w:spacing w:val="-2"/>
        </w:rPr>
        <w:t>别作为无形资产和固定资产核算。如为外购的房屋及建筑物，则将有关价款在土地使用权和建筑物之间分配，难以合理分配</w:t>
      </w:r>
      <w:r>
        <w:rPr>
          <w:spacing w:val="-66"/>
        </w:rPr>
        <w:t> </w:t>
      </w:r>
      <w:r>
        <w:rPr>
          <w:spacing w:val="-66"/>
        </w:rPr>
      </w:r>
      <w:r>
        <w:rPr/>
        <w:t>的，全部作为固定资产处理。</w:t>
      </w:r>
    </w:p>
    <w:p>
      <w:pPr>
        <w:pStyle w:val="BodyText"/>
        <w:spacing w:line="300" w:lineRule="auto" w:before="19"/>
        <w:ind w:left="573" w:right="1151" w:firstLine="3"/>
        <w:jc w:val="left"/>
      </w:pPr>
      <w:r>
        <w:rPr>
          <w:rFonts w:ascii="Times New Roman" w:hAnsi="Times New Roman" w:cs="Times New Roman" w:eastAsia="Times New Roman" w:hint="default"/>
        </w:rPr>
        <w:t>2</w:t>
      </w:r>
      <w:r>
        <w:rPr/>
        <w:t>）无形资产使用寿命及摊销 根据无形资产的合同性权利或其他法定权利、同行业情况、历史经验、相关专家论证等综合因素判断，能合理确定无</w:t>
      </w:r>
    </w:p>
    <w:p>
      <w:pPr>
        <w:pStyle w:val="BodyText"/>
        <w:spacing w:line="316" w:lineRule="auto" w:before="31"/>
        <w:ind w:left="153" w:right="0"/>
        <w:jc w:val="left"/>
      </w:pPr>
      <w:r>
        <w:rPr>
          <w:spacing w:val="-2"/>
        </w:rPr>
        <w:t>形资产为公司带来经济利益期限的，作为使用寿命有限的无形资产；无法合理确定无形资产为公司带来经济利益期限的，视</w:t>
      </w:r>
      <w:r>
        <w:rPr>
          <w:spacing w:val="-66"/>
        </w:rPr>
        <w:t> </w:t>
      </w:r>
      <w:r>
        <w:rPr>
          <w:spacing w:val="-66"/>
        </w:rPr>
      </w:r>
      <w:r>
        <w:rPr/>
        <w:t>为使用寿命不确定的无形资产。</w:t>
      </w:r>
    </w:p>
    <w:p>
      <w:pPr>
        <w:pStyle w:val="BodyText"/>
        <w:spacing w:line="300" w:lineRule="auto" w:before="19"/>
        <w:ind w:left="153" w:right="1036" w:firstLine="420"/>
        <w:jc w:val="left"/>
      </w:pPr>
      <w:r>
        <w:rPr/>
        <w:t>对使用寿命有限的无形资产，估计其使用寿命时通常考虑以下因素：</w:t>
      </w:r>
      <w:r>
        <w:rPr>
          <w:rFonts w:ascii="Times New Roman" w:hAnsi="Times New Roman" w:cs="Times New Roman" w:eastAsia="Times New Roman" w:hint="default"/>
        </w:rPr>
        <w:t>A</w:t>
      </w:r>
      <w:r>
        <w:rPr/>
        <w:t>、运用该资产生产的产品通常的寿命周期、可 获得的类似资产使用寿命的信息；</w:t>
      </w:r>
      <w:r>
        <w:rPr>
          <w:rFonts w:ascii="Times New Roman" w:hAnsi="Times New Roman" w:cs="Times New Roman" w:eastAsia="Times New Roman" w:hint="default"/>
        </w:rPr>
        <w:t>B</w:t>
      </w:r>
      <w:r>
        <w:rPr/>
        <w:t>、技术、工艺等方面的现阶段情况及对未来发展趋势的估计；</w:t>
      </w:r>
      <w:r>
        <w:rPr>
          <w:rFonts w:ascii="Times New Roman" w:hAnsi="Times New Roman" w:cs="Times New Roman" w:eastAsia="Times New Roman" w:hint="default"/>
        </w:rPr>
        <w:t>C</w:t>
      </w:r>
      <w:r>
        <w:rPr/>
        <w:t>、以该资产生产的产品 或提供劳务的市场需求情况；</w:t>
      </w:r>
      <w:r>
        <w:rPr>
          <w:rFonts w:ascii="Times New Roman" w:hAnsi="Times New Roman" w:cs="Times New Roman" w:eastAsia="Times New Roman" w:hint="default"/>
        </w:rPr>
        <w:t>D</w:t>
      </w:r>
      <w:r>
        <w:rPr/>
        <w:t>、现在或潜在的竞争者预期采取的行动；</w:t>
      </w:r>
      <w:r>
        <w:rPr>
          <w:rFonts w:ascii="Times New Roman" w:hAnsi="Times New Roman" w:cs="Times New Roman" w:eastAsia="Times New Roman" w:hint="default"/>
        </w:rPr>
        <w:t>E</w:t>
      </w:r>
      <w:r>
        <w:rPr/>
        <w:t>、为维持该资产带来经济利益能力的预期维护支 </w:t>
      </w:r>
      <w:r>
        <w:rPr>
          <w:spacing w:val="-1"/>
        </w:rPr>
        <w:t>出，以及公司预计支付有关支出的能力；</w:t>
      </w:r>
      <w:r>
        <w:rPr>
          <w:rFonts w:ascii="Times New Roman" w:hAnsi="Times New Roman" w:cs="Times New Roman" w:eastAsia="Times New Roman" w:hint="default"/>
          <w:spacing w:val="-1"/>
        </w:rPr>
        <w:t>F</w:t>
      </w:r>
      <w:r>
        <w:rPr>
          <w:spacing w:val="-1"/>
        </w:rPr>
        <w:t>、对该资产控制期限的相关法律规定或类似限制，如特许使用期、租赁期等；</w:t>
      </w:r>
      <w:r>
        <w:rPr>
          <w:rFonts w:ascii="Times New Roman" w:hAnsi="Times New Roman" w:cs="Times New Roman" w:eastAsia="Times New Roman" w:hint="default"/>
          <w:spacing w:val="-1"/>
        </w:rPr>
        <w:t>G</w:t>
      </w:r>
      <w:r>
        <w:rPr>
          <w:spacing w:val="-1"/>
        </w:rPr>
        <w:t>、</w:t>
      </w:r>
      <w:r>
        <w:rPr>
          <w:spacing w:val="-84"/>
        </w:rPr>
        <w:t> </w:t>
      </w:r>
      <w:r>
        <w:rPr/>
        <w:t>与公司持有其他资产使用寿命的关联性等</w:t>
      </w:r>
    </w:p>
    <w:p>
      <w:pPr>
        <w:pStyle w:val="BodyText"/>
        <w:spacing w:line="316" w:lineRule="auto" w:before="31"/>
        <w:ind w:right="1126" w:firstLine="420"/>
        <w:jc w:val="both"/>
      </w:pPr>
      <w:r>
        <w:rPr/>
        <w:t>使用寿命有限的无形资产，在使用寿命内按照与该项无形资产有关的经济利益的预期实现方式系统合理地摊销，无法</w:t>
      </w:r>
      <w:r>
        <w:rPr>
          <w:spacing w:val="1"/>
        </w:rPr>
        <w:t> </w:t>
      </w:r>
      <w:r>
        <w:rPr>
          <w:spacing w:val="-2"/>
        </w:rPr>
        <w:t>可靠确定预期实现方式的，采用直线法摊销。使用寿命不确定的无形资产不予摊销，但每年均对该无形资产的使用寿命进行</w:t>
      </w:r>
      <w:r>
        <w:rPr>
          <w:spacing w:val="-66"/>
        </w:rPr>
        <w:t> </w:t>
      </w:r>
      <w:r>
        <w:rPr>
          <w:spacing w:val="-66"/>
        </w:rPr>
      </w:r>
      <w:r>
        <w:rPr/>
        <w:t>复核，并进行减值测试。</w:t>
      </w:r>
    </w:p>
    <w:p>
      <w:pPr>
        <w:pStyle w:val="BodyText"/>
        <w:spacing w:line="316" w:lineRule="auto" w:before="19"/>
        <w:ind w:right="1126" w:firstLine="420"/>
        <w:jc w:val="both"/>
      </w:pPr>
      <w:r>
        <w:rPr/>
        <w:t>本公司于每年年度终了，对使用寿命有限的无形资产的使用寿命及摊销方法进行复核，与以前估计不同的，调整原先</w:t>
      </w:r>
      <w:r>
        <w:rPr>
          <w:spacing w:val="1"/>
        </w:rPr>
        <w:t> </w:t>
      </w:r>
      <w:r>
        <w:rPr>
          <w:spacing w:val="-2"/>
        </w:rPr>
        <w:t>估计数，并按会计估计变更处理；预计某项无形资产已经不能给企业带来未来经济利益的，将该项无形资产的账面价值全部</w:t>
      </w:r>
      <w:r>
        <w:rPr>
          <w:spacing w:val="-66"/>
        </w:rPr>
        <w:t> </w:t>
      </w:r>
      <w:r>
        <w:rPr>
          <w:spacing w:val="-66"/>
        </w:rPr>
      </w:r>
      <w:r>
        <w:rPr/>
        <w:t>转入当期损益。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420"/>
        <w:jc w:val="left"/>
      </w:pPr>
      <w:r>
        <w:rPr/>
        <w:t>内部研究开发项目的支出，区分为研究阶段支出和开发阶段支出。划分研究阶段和开发阶段的标准：为获取新的技术</w:t>
      </w:r>
      <w:r>
        <w:rPr>
          <w:spacing w:val="1"/>
        </w:rPr>
        <w:t> </w:t>
      </w:r>
      <w:r>
        <w:rPr/>
        <w:t>和知识等进行的有计划的调查阶段，应确定为研究阶段，该阶段具有计划性和探索性等特点；在进行商业性生产或使用前，</w:t>
      </w:r>
      <w:r>
        <w:rPr/>
        <w:t> </w:t>
      </w:r>
      <w:r>
        <w:rPr>
          <w:spacing w:val="-2"/>
        </w:rPr>
        <w:t>将研究成果或其他知识应用于某项计划或设计，以生产出新的或具有实质性改进的材料、装置、产品等阶段，应确定为开发</w:t>
      </w:r>
      <w:r>
        <w:rPr>
          <w:spacing w:val="-66"/>
        </w:rPr>
        <w:t> </w:t>
      </w:r>
      <w:r>
        <w:rPr>
          <w:spacing w:val="-66"/>
        </w:rPr>
      </w:r>
      <w:r>
        <w:rPr/>
        <w:t>阶段，该阶段具有针对性和形成成果的可能性较大等特点。</w:t>
      </w:r>
    </w:p>
    <w:p>
      <w:pPr>
        <w:pStyle w:val="BodyText"/>
        <w:spacing w:line="304" w:lineRule="auto" w:before="19"/>
        <w:ind w:left="153" w:right="1126" w:firstLine="420"/>
        <w:jc w:val="both"/>
      </w:pPr>
      <w:r>
        <w:rPr/>
        <w:t>内部研究开发项目研究阶段的支出，于发生时计入当期损益。内部研究开发项目开发阶段的支出，同时满足下列条件</w:t>
      </w:r>
      <w:r>
        <w:rPr>
          <w:spacing w:val="1"/>
        </w:rPr>
        <w:t> </w:t>
      </w:r>
      <w:r>
        <w:rPr>
          <w:spacing w:val="-1"/>
        </w:rPr>
        <w:t>的，确认为无形资产：</w:t>
      </w:r>
      <w:r>
        <w:rPr>
          <w:rFonts w:ascii="Times New Roman" w:hAnsi="Times New Roman" w:cs="Times New Roman" w:eastAsia="Times New Roman" w:hint="default"/>
          <w:spacing w:val="-1"/>
        </w:rPr>
        <w:t>1)</w:t>
      </w:r>
      <w:r>
        <w:rPr>
          <w:spacing w:val="-1"/>
        </w:rPr>
        <w:t>完成该无形资产以使其能够使用或出售在技术上具有可行性；</w:t>
      </w:r>
      <w:r>
        <w:rPr>
          <w:rFonts w:ascii="Times New Roman" w:hAnsi="Times New Roman" w:cs="Times New Roman" w:eastAsia="Times New Roman" w:hint="default"/>
          <w:spacing w:val="-1"/>
        </w:rPr>
        <w:t>2)</w:t>
      </w:r>
      <w:r>
        <w:rPr>
          <w:spacing w:val="-1"/>
        </w:rPr>
        <w:t>具有完成该无形资产并使用或出售</w:t>
      </w:r>
      <w:r>
        <w:rPr>
          <w:spacing w:val="-58"/>
        </w:rPr>
        <w:t> </w:t>
      </w:r>
      <w:r>
        <w:rPr>
          <w:spacing w:val="-1"/>
        </w:rPr>
        <w:t>的意图；</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无形资产产生经济利益的方式，包括能够证明运用该无形资产生产的产品存在市场或无形资产自身存在市场，无</w:t>
      </w:r>
      <w:r>
        <w:rPr>
          <w:spacing w:val="-88"/>
        </w:rPr>
        <w:t> </w:t>
      </w:r>
      <w:r>
        <w:rPr>
          <w:spacing w:val="-88"/>
        </w:rPr>
      </w:r>
      <w:r>
        <w:rPr>
          <w:spacing w:val="-1"/>
        </w:rPr>
        <w:t>形资产将在内部使用的，可证明其有用性；</w:t>
      </w:r>
      <w:r>
        <w:rPr>
          <w:rFonts w:ascii="Times New Roman" w:hAnsi="Times New Roman" w:cs="Times New Roman" w:eastAsia="Times New Roman" w:hint="default"/>
          <w:spacing w:val="-1"/>
        </w:rPr>
        <w:t>4)</w:t>
      </w:r>
      <w:r>
        <w:rPr>
          <w:spacing w:val="-1"/>
        </w:rPr>
        <w:t>有足够的技术、财务资源和其他资源支持，以完成该无形资产的开发，并有能</w:t>
      </w:r>
      <w:r>
        <w:rPr/>
        <w:t> </w:t>
      </w:r>
      <w:r>
        <w:rPr>
          <w:spacing w:val="-1"/>
        </w:rPr>
        <w:t>力使用或出售该无形资产；</w:t>
      </w:r>
      <w:r>
        <w:rPr>
          <w:rFonts w:ascii="Times New Roman" w:hAnsi="Times New Roman" w:cs="Times New Roman" w:eastAsia="Times New Roman" w:hint="default"/>
          <w:spacing w:val="-1"/>
        </w:rPr>
        <w:t>5)</w:t>
      </w:r>
      <w:r>
        <w:rPr>
          <w:spacing w:val="-1"/>
        </w:rPr>
        <w:t>归属于该无形资产开发阶段的支出能够可靠地计量。如不满足上述条件的，于发生时计入当期</w:t>
      </w:r>
      <w:r>
        <w:rPr>
          <w:spacing w:val="-88"/>
        </w:rPr>
        <w:t> </w:t>
      </w:r>
      <w:r>
        <w:rPr>
          <w:spacing w:val="-88"/>
        </w:rPr>
      </w:r>
      <w:r>
        <w:rPr/>
        <w:t>损益；无法区分研究阶段支出和开发阶段支出的，将发生的研发支出全部计入当期损益。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长期股权投资、采用成本模式计量的投资性房地产和固定资产、在建工程、无形资产、商誉等长期资产，存在下列迹</w:t>
      </w:r>
      <w:r>
        <w:rPr>
          <w:spacing w:val="1"/>
        </w:rPr>
        <w:t> </w:t>
      </w:r>
      <w:r>
        <w:rPr/>
        <w:t>象的，表明资产可能发生了减值：</w:t>
      </w:r>
    </w:p>
    <w:p>
      <w:pPr>
        <w:pStyle w:val="BodyText"/>
        <w:spacing w:line="240" w:lineRule="auto" w:before="19"/>
        <w:ind w:left="573"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00" w:lineRule="auto" w:before="63"/>
        <w:ind w:right="1112" w:firstLine="420"/>
        <w:jc w:val="left"/>
      </w:pPr>
      <w:r>
        <w:rPr>
          <w:spacing w:val="-1"/>
        </w:rPr>
        <w:t>（</w:t>
      </w:r>
      <w:r>
        <w:rPr>
          <w:rFonts w:ascii="Times New Roman" w:hAnsi="Times New Roman" w:cs="Times New Roman" w:eastAsia="Times New Roman" w:hint="default"/>
          <w:spacing w:val="-1"/>
        </w:rPr>
        <w:t>2</w:t>
      </w:r>
      <w:r>
        <w:rPr>
          <w:spacing w:val="-1"/>
        </w:rPr>
        <w:t>）企业经营所处的经济、技术或者法律等环境以及资产所处的市场在当期或者将在近期发生重大变化，从而对企业</w:t>
      </w:r>
      <w:r>
        <w:rPr/>
        <w:t> 产生不利影响；</w:t>
      </w:r>
    </w:p>
    <w:p>
      <w:pPr>
        <w:pStyle w:val="BodyText"/>
        <w:spacing w:line="300" w:lineRule="auto" w:before="31"/>
        <w:ind w:right="1112" w:firstLine="420"/>
        <w:jc w:val="left"/>
      </w:pPr>
      <w:r>
        <w:rPr>
          <w:spacing w:val="-1"/>
        </w:rPr>
        <w:t>（</w:t>
      </w:r>
      <w:r>
        <w:rPr>
          <w:rFonts w:ascii="Times New Roman" w:hAnsi="Times New Roman" w:cs="Times New Roman" w:eastAsia="Times New Roman" w:hint="default"/>
          <w:spacing w:val="-1"/>
        </w:rPr>
        <w:t>3</w:t>
      </w:r>
      <w:r>
        <w:rPr>
          <w:spacing w:val="-1"/>
        </w:rPr>
        <w:t>）市场利率或者其他市场投资报酬率在当期已经提高，从而影响企业计算资产预计未来现金流量现值的折现率，导</w:t>
      </w:r>
      <w:r>
        <w:rPr/>
        <w:t> 致资产可收回金额大幅度降低；</w:t>
      </w:r>
    </w:p>
    <w:p>
      <w:pPr>
        <w:pStyle w:val="BodyText"/>
        <w:spacing w:line="240" w:lineRule="auto" w:before="31"/>
        <w:ind w:left="573" w:right="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63"/>
        <w:ind w:left="573"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40" w:lineRule="auto" w:before="63"/>
        <w:ind w:left="573" w:right="0"/>
        <w:jc w:val="left"/>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）企业内部报告的证据表明资产的经济绩效已经低于或者将低于预期，如资产所创造的净现金流量或者实现的营业</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both"/>
      </w:pPr>
      <w:r>
        <w:rPr/>
        <w:t>利润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00" w:lineRule="auto" w:before="63"/>
        <w:ind w:left="573" w:right="0"/>
        <w:jc w:val="left"/>
      </w:pPr>
      <w:r>
        <w:rPr/>
        <w:t>（</w:t>
      </w: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上述长期资产于资产负债日存在减值迹象的，应当进行减值测试。减值测试结果表明资产的可收回金额低于其账面价</w:t>
      </w:r>
    </w:p>
    <w:p>
      <w:pPr>
        <w:pStyle w:val="BodyText"/>
        <w:spacing w:line="312" w:lineRule="auto" w:before="31"/>
        <w:ind w:left="153" w:right="1128"/>
        <w:jc w:val="both"/>
      </w:pPr>
      <w:r>
        <w:rPr>
          <w:spacing w:val="-2"/>
        </w:rPr>
        <w:t>值的，按其差额计提减值准备并计入减值损失。可收回金额为资产的公允价值减去处置费用后的净额与资产预计未来现金流</w:t>
      </w:r>
      <w:r>
        <w:rPr>
          <w:spacing w:val="-64"/>
        </w:rPr>
        <w:t> </w:t>
      </w:r>
      <w:r>
        <w:rPr>
          <w:spacing w:val="-64"/>
        </w:rPr>
      </w:r>
      <w:r>
        <w:rPr/>
        <w:t>量的现值两者之间的较高者。公允价值的确定方法详见本节五、（</w:t>
      </w:r>
      <w:r>
        <w:rPr>
          <w:rFonts w:ascii="Times New Roman" w:hAnsi="Times New Roman" w:cs="Times New Roman" w:eastAsia="Times New Roman" w:hint="default"/>
        </w:rPr>
        <w:t>43</w:t>
      </w:r>
      <w:r>
        <w:rPr/>
        <w:t>、（</w:t>
      </w:r>
      <w:r>
        <w:rPr>
          <w:rFonts w:ascii="Times New Roman" w:hAnsi="Times New Roman" w:cs="Times New Roman" w:eastAsia="Times New Roman" w:hint="default"/>
        </w:rPr>
        <w:t>9</w:t>
      </w:r>
      <w:r>
        <w:rPr/>
        <w:t>）公允价值）；处置费用包括与资产处置有关的</w:t>
      </w:r>
      <w:r>
        <w:rPr>
          <w:spacing w:val="-83"/>
        </w:rPr>
        <w:t> </w:t>
      </w:r>
      <w:r>
        <w:rPr>
          <w:spacing w:val="-83"/>
        </w:rPr>
      </w:r>
      <w:r>
        <w:rPr>
          <w:spacing w:val="-2"/>
        </w:rPr>
        <w:t>法律费用、相关税费、搬运费以及为使资产达到可销售状态所发生的直接费用；资产预计未来现金流量的现值，按照资产在</w:t>
      </w:r>
      <w:r>
        <w:rPr>
          <w:spacing w:val="-66"/>
        </w:rPr>
        <w:t> </w:t>
      </w:r>
      <w:r>
        <w:rPr>
          <w:spacing w:val="-66"/>
        </w:rPr>
      </w:r>
      <w:r>
        <w:rPr/>
        <w:t>持续使用过程中和最终处置时所产生的预计未来现金流量，选择恰当的折现率对其进行折现后的金额加以确定。</w:t>
      </w:r>
    </w:p>
    <w:p>
      <w:pPr>
        <w:pStyle w:val="BodyText"/>
        <w:spacing w:line="316" w:lineRule="auto" w:before="22"/>
        <w:ind w:left="153" w:right="1126" w:firstLine="420"/>
        <w:jc w:val="both"/>
      </w:pPr>
      <w:r>
        <w:rPr/>
        <w:t>资产减值准备按单项资产为基础计算并确认，如果难以对单项资产的可收回金额进行估计的，以资产组所属的资产组</w:t>
      </w:r>
      <w:r>
        <w:rPr>
          <w:spacing w:val="1"/>
        </w:rPr>
        <w:t> </w:t>
      </w:r>
      <w:r>
        <w:rPr/>
        <w:t>确定资产组的可收回金额。资产组是能够独立产生现金流入的最小资产组合。</w:t>
      </w:r>
    </w:p>
    <w:p>
      <w:pPr>
        <w:pStyle w:val="BodyText"/>
        <w:spacing w:line="316" w:lineRule="auto" w:before="19"/>
        <w:ind w:left="153" w:right="1126" w:firstLine="420"/>
        <w:jc w:val="both"/>
      </w:pPr>
      <w:r>
        <w:rPr/>
        <w:t>在财务报表中单独列示的商誉，在进行减值测试时，将商誉的账面价值分摊至预期从企业合并的协同效应收益中收益</w:t>
      </w:r>
      <w:r>
        <w:rPr>
          <w:spacing w:val="1"/>
        </w:rPr>
        <w:t> </w:t>
      </w:r>
      <w:r>
        <w:rPr>
          <w:spacing w:val="-2"/>
        </w:rPr>
        <w:t>的资产组或资产组组合。测试结果表明包含分摊的商誉的资产组或者资产组组合的可收回金额低于其账面价值的，确认相应</w:t>
      </w:r>
      <w:r>
        <w:rPr>
          <w:spacing w:val="-64"/>
        </w:rPr>
        <w:t> </w:t>
      </w:r>
      <w:r>
        <w:rPr>
          <w:spacing w:val="-64"/>
        </w:rPr>
      </w:r>
      <w:r>
        <w:rPr>
          <w:spacing w:val="-2"/>
        </w:rPr>
        <w:t>的减值损失。减值损失金额先抵减分摊至该资产组或者资产组组合的商誉的账面价值，再根据资产组或者资产组组合中除商</w:t>
      </w:r>
      <w:r>
        <w:rPr>
          <w:spacing w:val="-64"/>
        </w:rPr>
        <w:t> </w:t>
      </w:r>
      <w:r>
        <w:rPr>
          <w:spacing w:val="-64"/>
        </w:rPr>
      </w:r>
      <w:r>
        <w:rPr/>
        <w:t>誉以外的其他各项资产的账面价值所占比重，按比例抵减其他各项资产的账面价值。</w:t>
      </w:r>
    </w:p>
    <w:p>
      <w:pPr>
        <w:pStyle w:val="BodyText"/>
        <w:spacing w:line="316" w:lineRule="auto" w:before="19"/>
        <w:ind w:left="573" w:right="4751"/>
        <w:jc w:val="left"/>
      </w:pPr>
      <w:r>
        <w:rPr/>
        <w:t>商誉和使用寿命不确定的无形资产至少在每年年终终了进行减值测试。 上述资产减值损失一经确认，在以后期间不予转回。</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6" w:firstLine="420"/>
        <w:jc w:val="both"/>
      </w:pPr>
      <w:r>
        <w:rPr/>
        <w:t>长期待摊费用按实际支出入账，在受益期或规定的期限内平均摊销。如果长期待摊的费用项目不能使以后会计期间受</w:t>
      </w:r>
      <w:r>
        <w:rPr>
          <w:spacing w:val="1"/>
        </w:rPr>
        <w:t> </w:t>
      </w:r>
      <w:r>
        <w:rPr/>
        <w:t>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1" w:firstLine="420"/>
        <w:jc w:val="both"/>
      </w:pPr>
      <w:r>
        <w:rPr>
          <w:spacing w:val="-2"/>
        </w:rPr>
        <w:t>职工薪酬，是指企业为获得职工提供的服务或解除劳动关系而给予的各种形式的报酬或补偿。职工薪酬包括短期薪酬、</w:t>
      </w:r>
      <w:r>
        <w:rPr/>
        <w:t> </w:t>
      </w:r>
      <w:r>
        <w:rPr>
          <w:spacing w:val="-4"/>
        </w:rPr>
        <w:t>离职后福利、辞退福利和其他长期职工福利。企业提供给职工配偶、子女、受赡养人、已故员工遗属及其他受益人等的福利，</w:t>
      </w:r>
      <w:r>
        <w:rPr>
          <w:spacing w:val="-44"/>
        </w:rPr>
        <w:t> </w:t>
      </w:r>
      <w:r>
        <w:rPr>
          <w:spacing w:val="-44"/>
        </w:rPr>
      </w:r>
      <w:r>
        <w:rPr/>
        <w:t>也属于职工薪酬。</w:t>
      </w:r>
    </w:p>
    <w:p>
      <w:pPr>
        <w:pStyle w:val="BodyText"/>
        <w:spacing w:line="300" w:lineRule="auto" w:before="19"/>
        <w:ind w:left="574" w:right="0"/>
        <w:jc w:val="left"/>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 本公司在职工提供服务的会计期间，将实际发生的职工工资、奖金、按规定的基准和比例为职工缴纳的医疗保险费、</w:t>
      </w:r>
    </w:p>
    <w:p>
      <w:pPr>
        <w:pStyle w:val="BodyText"/>
        <w:spacing w:line="316" w:lineRule="auto" w:before="31"/>
        <w:ind w:right="1131"/>
        <w:jc w:val="both"/>
      </w:pPr>
      <w:r>
        <w:rPr>
          <w:spacing w:val="-2"/>
        </w:rPr>
        <w:t>工伤保险费和生育保险费等社会保险费和住房公积金，确认为负债，并计入当期损益或相关资产成本。职工福利费为非货币</w:t>
      </w:r>
      <w:r>
        <w:rPr>
          <w:spacing w:val="-66"/>
        </w:rPr>
        <w:t> </w:t>
      </w:r>
      <w:r>
        <w:rPr>
          <w:spacing w:val="-66"/>
        </w:rPr>
      </w:r>
      <w:r>
        <w:rPr>
          <w:spacing w:val="-2"/>
        </w:rPr>
        <w:t>性福利的，如能够可靠计量的，按照公允价值计量。如果该负债预期在职工提供相关服务的年度报告期结束后十二个月内不</w:t>
      </w:r>
      <w:r>
        <w:rPr>
          <w:spacing w:val="-66"/>
        </w:rPr>
        <w:t> </w:t>
      </w:r>
      <w:r>
        <w:rPr>
          <w:spacing w:val="-66"/>
        </w:rPr>
      </w:r>
      <w:r>
        <w:rPr/>
        <w:t>能完全支付，且财务影响重大的，则该负债将以折现后的金额计量。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74" w:right="0"/>
        <w:jc w:val="left"/>
      </w:pPr>
      <w:r>
        <w:rPr/>
        <w:t>离职后福利计划包括设定提存计划，指向独立的基金缴存固定费用后，企业不再承担进一步支付义务的离职后福利计</w:t>
      </w:r>
    </w:p>
    <w:p>
      <w:pPr>
        <w:pStyle w:val="BodyText"/>
        <w:spacing w:line="240" w:lineRule="auto" w:before="76"/>
        <w:ind w:right="0"/>
        <w:jc w:val="left"/>
      </w:pPr>
      <w:r>
        <w:rPr/>
        <w:t>划。</w:t>
      </w:r>
    </w:p>
    <w:p>
      <w:pPr>
        <w:pStyle w:val="BodyText"/>
        <w:spacing w:line="240" w:lineRule="auto" w:before="76"/>
        <w:ind w:left="574" w:right="0"/>
        <w:jc w:val="left"/>
      </w:pPr>
      <w:r>
        <w:rPr/>
        <w:t>本公司按当期政府的相关规定为职工缴纳基本养老保险和失业保险，在职工为本公司提供服务的会计期间，根据设定</w:t>
      </w:r>
    </w:p>
    <w:p>
      <w:pPr>
        <w:pStyle w:val="BodyText"/>
        <w:spacing w:line="240" w:lineRule="auto" w:before="76"/>
        <w:ind w:right="0"/>
        <w:jc w:val="left"/>
      </w:pPr>
      <w:r>
        <w:rPr/>
        <w:t>提存计划计算的应缴存金额确认为负债，并计入当期损益或相关资产成本。</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27" w:firstLine="422"/>
        <w:jc w:val="both"/>
      </w:pPr>
      <w:r>
        <w:rPr/>
        <w:t>在本公司不能单方面撤回因解除劳动关系计划或者裁减建议所提供的辞退福利时，和本公司确认与涉及支付辞退福利 </w:t>
      </w:r>
      <w:r>
        <w:rPr>
          <w:spacing w:val="-2"/>
        </w:rPr>
        <w:t>的重组相关的成本或费用时两者孰早日，确认辞退福利产生的职工薪酬负债，并计入当期损益。但辞退福利预期在年度报告</w:t>
      </w:r>
      <w:r>
        <w:rPr>
          <w:spacing w:val="-66"/>
        </w:rPr>
        <w:t> </w:t>
      </w:r>
      <w:r>
        <w:rPr>
          <w:spacing w:val="-66"/>
        </w:rPr>
      </w:r>
      <w:r>
        <w:rPr/>
        <w:t>期结束后十二个月不能完全支付的，按照其他长期职工薪酬处理。</w:t>
      </w:r>
    </w:p>
    <w:p>
      <w:pPr>
        <w:pStyle w:val="BodyText"/>
        <w:spacing w:line="309" w:lineRule="auto" w:before="19"/>
        <w:ind w:left="153" w:right="1127" w:firstLine="422"/>
        <w:jc w:val="both"/>
      </w:pPr>
      <w:r>
        <w:rPr/>
        <w:t>职工内部退休计划采用与上述辞退福利相同的原则处理。本公司将自职工停止提供服务日至正常退休日的期间拟支付 </w:t>
      </w:r>
      <w:r>
        <w:rPr>
          <w:spacing w:val="-1"/>
        </w:rPr>
        <w:t>的内退人员工资和缴纳的社会保险费等，在符合预计负债确认条件时，计入当期损益</w:t>
      </w:r>
      <w:r>
        <w:rPr>
          <w:rFonts w:ascii="Times New Roman" w:hAnsi="Times New Roman" w:cs="Times New Roman" w:eastAsia="Times New Roman" w:hint="default"/>
          <w:spacing w:val="-1"/>
        </w:rPr>
        <w:t>(</w:t>
      </w:r>
      <w:r>
        <w:rPr>
          <w:spacing w:val="-1"/>
        </w:rPr>
        <w:t>辞退福利</w:t>
      </w:r>
      <w:r>
        <w:rPr>
          <w:rFonts w:ascii="Times New Roman" w:hAnsi="Times New Roman" w:cs="Times New Roman" w:eastAsia="Times New Roman" w:hint="default"/>
          <w:spacing w:val="-1"/>
        </w:rPr>
        <w:t>)</w:t>
      </w:r>
      <w:r>
        <w:rPr>
          <w:spacing w:val="-1"/>
        </w:rPr>
        <w:t>。正式退休日期之后的经济</w:t>
      </w:r>
      <w:r>
        <w:rPr>
          <w:spacing w:val="-59"/>
        </w:rPr>
        <w:t> </w:t>
      </w:r>
      <w:r>
        <w:rPr>
          <w:spacing w:val="-59"/>
        </w:rPr>
      </w:r>
      <w:r>
        <w:rPr/>
        <w:t>补偿</w:t>
      </w:r>
      <w:r>
        <w:rPr>
          <w:rFonts w:ascii="Times New Roman" w:hAnsi="Times New Roman" w:cs="Times New Roman" w:eastAsia="Times New Roman" w:hint="default"/>
        </w:rPr>
        <w:t>(</w:t>
      </w:r>
      <w:r>
        <w:rPr/>
        <w:t>如正常养老退休金</w:t>
      </w:r>
      <w:r>
        <w:rPr>
          <w:rFonts w:ascii="Times New Roman" w:hAnsi="Times New Roman" w:cs="Times New Roman" w:eastAsia="Times New Roman" w:hint="default"/>
        </w:rPr>
        <w:t>)</w:t>
      </w:r>
      <w:r>
        <w:rPr/>
        <w:t>，按照离职后福利处理。</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27" w:firstLine="422"/>
        <w:jc w:val="both"/>
      </w:pPr>
      <w:r>
        <w:rPr/>
        <w:t>本公司向职工提供的其他长期职工福利，符合设定提存计划的，按照设定提存计划进行会计处理，除此之外按照设定 </w:t>
      </w:r>
      <w:r>
        <w:rPr>
          <w:spacing w:val="-2"/>
        </w:rPr>
        <w:t>受益计划进行会计处理。但相关职工薪酬成本中</w:t>
      </w:r>
      <w:r>
        <w:rPr>
          <w:rFonts w:ascii="Times New Roman" w:hAnsi="Times New Roman" w:cs="Times New Roman" w:eastAsia="Times New Roman" w:hint="default"/>
          <w:spacing w:val="-2"/>
        </w:rPr>
        <w:t>“</w:t>
      </w:r>
      <w:r>
        <w:rPr>
          <w:spacing w:val="-2"/>
        </w:rPr>
        <w:t>重新计量设定受益计划净负债或净资产所产生的变动</w:t>
      </w:r>
      <w:r>
        <w:rPr>
          <w:rFonts w:ascii="Times New Roman" w:hAnsi="Times New Roman" w:cs="Times New Roman" w:eastAsia="Times New Roman" w:hint="default"/>
          <w:spacing w:val="-2"/>
        </w:rPr>
        <w:t>”</w:t>
      </w:r>
      <w:r>
        <w:rPr>
          <w:spacing w:val="-2"/>
        </w:rPr>
        <w:t>部分计入当期损益或</w:t>
      </w:r>
      <w:r>
        <w:rPr>
          <w:spacing w:val="-44"/>
        </w:rPr>
        <w:t> </w:t>
      </w:r>
      <w:r>
        <w:rPr/>
        <w:t>相关资产成本。</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420"/>
        <w:jc w:val="both"/>
      </w:pPr>
      <w:r>
        <w:rPr/>
        <w:t>当与或有事项相关的义务同时符合以下条件，将其确认为预计负债：</w:t>
      </w:r>
      <w:r>
        <w:rPr>
          <w:rFonts w:ascii="Times New Roman" w:hAnsi="Times New Roman" w:cs="Times New Roman" w:eastAsia="Times New Roman" w:hint="default"/>
        </w:rPr>
        <w:t>1</w:t>
      </w:r>
      <w:r>
        <w:rPr/>
        <w:t>．该义务是承担的现时义务；</w:t>
      </w:r>
      <w:r>
        <w:rPr>
          <w:rFonts w:ascii="Times New Roman" w:hAnsi="Times New Roman" w:cs="Times New Roman" w:eastAsia="Times New Roman" w:hint="default"/>
        </w:rPr>
        <w:t>2</w:t>
      </w:r>
      <w:r>
        <w:rPr/>
        <w:t>．该义务的履行 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26" w:firstLine="420"/>
        <w:jc w:val="both"/>
      </w:pPr>
      <w:r>
        <w:rPr/>
        <w:t>预计负债按照履行相关现时义务所需支出的最佳估计数进行初始计量，并综合考虑与或有事项有关的风险、不确定性</w:t>
      </w:r>
      <w:r>
        <w:rPr>
          <w:spacing w:val="1"/>
        </w:rPr>
        <w:t> </w:t>
      </w:r>
      <w:r>
        <w:rPr/>
        <w:t>和货币时间价值等因素。货币时间价值影响重大的，通过对相关未来现金流出进行折现后确定最佳估计数。</w:t>
      </w:r>
    </w:p>
    <w:p>
      <w:pPr>
        <w:pStyle w:val="BodyText"/>
        <w:spacing w:line="307" w:lineRule="auto" w:before="19"/>
        <w:ind w:left="153" w:right="1031" w:firstLine="420"/>
        <w:jc w:val="left"/>
      </w:pPr>
      <w:r>
        <w:rPr>
          <w:spacing w:val="-2"/>
        </w:rPr>
        <w:t>最佳估计数分别分以下情况处理：所需支出存在一个连续范围</w:t>
      </w:r>
      <w:r>
        <w:rPr>
          <w:rFonts w:ascii="Times New Roman" w:hAnsi="Times New Roman" w:cs="Times New Roman" w:eastAsia="Times New Roman" w:hint="default"/>
          <w:spacing w:val="-2"/>
        </w:rPr>
        <w:t>(</w:t>
      </w:r>
      <w:r>
        <w:rPr>
          <w:spacing w:val="-2"/>
        </w:rPr>
        <w:t>或区间</w:t>
      </w:r>
      <w:r>
        <w:rPr>
          <w:rFonts w:ascii="Times New Roman" w:hAnsi="Times New Roman" w:cs="Times New Roman" w:eastAsia="Times New Roman" w:hint="default"/>
          <w:spacing w:val="-2"/>
        </w:rPr>
        <w:t>)</w:t>
      </w:r>
      <w:r>
        <w:rPr>
          <w:spacing w:val="-2"/>
        </w:rPr>
        <w:t>，且该范围内各种结果发生的可能性相同的，则</w:t>
      </w:r>
      <w:r>
        <w:rPr/>
        <w:t> 最佳估计数按照该范围的中间值：即上下限金额的平均数确定。所需支出不存在一个连续范围</w:t>
      </w:r>
      <w:r>
        <w:rPr>
          <w:rFonts w:ascii="Times New Roman" w:hAnsi="Times New Roman" w:cs="Times New Roman" w:eastAsia="Times New Roman" w:hint="default"/>
        </w:rPr>
        <w:t>(</w:t>
      </w:r>
      <w:r>
        <w:rPr/>
        <w:t>或区间</w:t>
      </w:r>
      <w:r>
        <w:rPr>
          <w:rFonts w:ascii="Times New Roman" w:hAnsi="Times New Roman" w:cs="Times New Roman" w:eastAsia="Times New Roman" w:hint="default"/>
        </w:rPr>
        <w:t>)</w:t>
      </w:r>
      <w:r>
        <w:rPr/>
        <w:t>，或虽然存在一个连 续范围但该范围内各种结果发生的可能性不相同的，如或有事项涉及单个项目的，则最佳估计数按照最可能发生金额确定； 如或有事项涉及多个项目的，则最佳估计数按各种可能结果及相关概率计算确定。</w:t>
      </w:r>
    </w:p>
    <w:p>
      <w:pPr>
        <w:pStyle w:val="BodyText"/>
        <w:spacing w:line="316" w:lineRule="auto" w:before="26"/>
        <w:ind w:left="153" w:right="1041" w:firstLine="420"/>
        <w:jc w:val="both"/>
      </w:pPr>
      <w:r>
        <w:rPr>
          <w:spacing w:val="-2"/>
        </w:rPr>
        <w:t>本公司清偿预计负债所需支出全部或部分预期由第三方补偿的，补偿金额在基本确定能够收到时，作为资产单独确认，</w:t>
      </w:r>
      <w:r>
        <w:rPr/>
        <w:t> 且确认的补偿金额不超过预计负债的账面价值。</w:t>
      </w:r>
    </w:p>
    <w:p>
      <w:pPr>
        <w:pStyle w:val="BodyText"/>
        <w:spacing w:line="316" w:lineRule="auto" w:before="19"/>
        <w:ind w:left="153" w:right="1126" w:firstLine="420"/>
        <w:jc w:val="both"/>
      </w:pPr>
      <w:r>
        <w:rPr/>
        <w:t>每个资产负债表日对预计负债的账面价值进行复核。有确凿证据表明该账面价值不能反映当前最佳估计数的，按照当</w:t>
      </w:r>
      <w:r>
        <w:rPr>
          <w:spacing w:val="1"/>
        </w:rPr>
        <w:t> </w:t>
      </w:r>
      <w:r>
        <w:rPr/>
        <w:t>前最佳估计数对该账面价值进行调整。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574" w:right="0"/>
        <w:jc w:val="left"/>
      </w:pPr>
      <w:r>
        <w:rPr/>
        <w:t>收入的总确认原则</w:t>
      </w:r>
    </w:p>
    <w:p>
      <w:pPr>
        <w:pStyle w:val="BodyText"/>
        <w:spacing w:line="300" w:lineRule="auto" w:before="76"/>
        <w:ind w:left="574" w:right="1117"/>
        <w:jc w:val="left"/>
      </w:pPr>
      <w:r>
        <w:rPr>
          <w:rFonts w:ascii="Times New Roman" w:hAnsi="Times New Roman" w:cs="Times New Roman" w:eastAsia="Times New Roman" w:hint="default"/>
        </w:rPr>
        <w:t>(1)</w:t>
      </w:r>
      <w:r>
        <w:rPr/>
        <w:t>销售商品 </w:t>
      </w:r>
      <w:r>
        <w:rPr>
          <w:spacing w:val="-2"/>
        </w:rPr>
        <w:t>商品销售收入同时满足下列条件时予以确认：</w:t>
      </w:r>
      <w:r>
        <w:rPr>
          <w:rFonts w:ascii="Times New Roman" w:hAnsi="Times New Roman" w:cs="Times New Roman" w:eastAsia="Times New Roman" w:hint="default"/>
          <w:spacing w:val="-2"/>
        </w:rPr>
        <w:t>1)</w:t>
      </w:r>
      <w:r>
        <w:rPr>
          <w:spacing w:val="-2"/>
        </w:rPr>
        <w:t>公司已将商品所有权上的主要风险和报酬转移给购买方；</w:t>
      </w:r>
      <w:r>
        <w:rPr>
          <w:rFonts w:ascii="Times New Roman" w:hAnsi="Times New Roman" w:cs="Times New Roman" w:eastAsia="Times New Roman" w:hint="default"/>
          <w:spacing w:val="-2"/>
        </w:rPr>
        <w:t>2)</w:t>
      </w:r>
      <w:r>
        <w:rPr>
          <w:spacing w:val="-2"/>
        </w:rPr>
        <w:t>公司既没有</w:t>
      </w:r>
    </w:p>
    <w:p>
      <w:pPr>
        <w:pStyle w:val="BodyText"/>
        <w:spacing w:line="240" w:lineRule="auto" w:before="13"/>
        <w:ind w:left="153" w:right="0"/>
        <w:jc w:val="left"/>
      </w:pPr>
      <w:r>
        <w:rPr/>
        <w:t>保留与所有权相联系的继续管理权，也没有对已售出的商品实施有效控制；</w:t>
      </w:r>
      <w:r>
        <w:rPr>
          <w:rFonts w:ascii="Times New Roman" w:hAnsi="Times New Roman" w:cs="Times New Roman" w:eastAsia="Times New Roman" w:hint="default"/>
        </w:rPr>
        <w:t>3)</w:t>
      </w:r>
      <w:r>
        <w:rPr/>
        <w:t>收入的金额能够可靠地计量；</w:t>
      </w:r>
      <w:r>
        <w:rPr>
          <w:rFonts w:ascii="Times New Roman" w:hAnsi="Times New Roman" w:cs="Times New Roman" w:eastAsia="Times New Roman" w:hint="default"/>
        </w:rPr>
        <w:t>4)</w:t>
      </w:r>
      <w:r>
        <w:rPr/>
        <w:t>相关的经济利</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益很可能流入企业；</w:t>
      </w:r>
      <w:r>
        <w:rPr>
          <w:rFonts w:ascii="Times New Roman" w:hAnsi="Times New Roman" w:cs="Times New Roman" w:eastAsia="Times New Roman" w:hint="default"/>
        </w:rPr>
        <w:t>5)</w:t>
      </w:r>
      <w:r>
        <w:rPr/>
        <w:t>相关的已发生或将发生的成本能够可靠地计量时。</w:t>
      </w:r>
    </w:p>
    <w:p>
      <w:pPr>
        <w:pStyle w:val="BodyText"/>
        <w:spacing w:line="300" w:lineRule="auto" w:before="63"/>
        <w:ind w:left="573" w:right="1117"/>
        <w:jc w:val="left"/>
      </w:pPr>
      <w:r>
        <w:rPr>
          <w:rFonts w:ascii="Times New Roman" w:hAnsi="Times New Roman" w:cs="Times New Roman" w:eastAsia="Times New Roman" w:hint="default"/>
        </w:rPr>
        <w:t>(2)</w:t>
      </w:r>
      <w:r>
        <w:rPr/>
        <w:t>提供劳务 </w:t>
      </w:r>
      <w:r>
        <w:rPr>
          <w:spacing w:val="2"/>
        </w:rPr>
        <w:t>在资产负债表日提供劳务交易的结果能够可靠估计的</w:t>
      </w:r>
      <w:r>
        <w:rPr>
          <w:rFonts w:ascii="Times New Roman" w:hAnsi="Times New Roman" w:cs="Times New Roman" w:eastAsia="Times New Roman" w:hint="default"/>
          <w:spacing w:val="2"/>
        </w:rPr>
        <w:t>(</w:t>
      </w:r>
      <w:r>
        <w:rPr>
          <w:spacing w:val="2"/>
        </w:rPr>
        <w:t>同时满足收入的金额能够可靠地计量、相关经济利益很可能流</w:t>
      </w:r>
      <w:r>
        <w:rPr/>
      </w:r>
    </w:p>
    <w:p>
      <w:pPr>
        <w:pStyle w:val="BodyText"/>
        <w:spacing w:line="300" w:lineRule="auto" w:before="13"/>
        <w:ind w:left="153" w:right="0"/>
        <w:jc w:val="left"/>
      </w:pPr>
      <w:r>
        <w:rPr/>
        <w:t>入、交易的完工进度能够可靠地确定、交易中已发生和将发生的成本能够可靠地计量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，采用完工百分比法确认提供劳务收</w:t>
      </w:r>
      <w:r>
        <w:rPr>
          <w:spacing w:val="-57"/>
        </w:rPr>
        <w:t> </w:t>
      </w:r>
      <w:r>
        <w:rPr>
          <w:spacing w:val="-57"/>
        </w:rPr>
      </w:r>
      <w:r>
        <w:rPr/>
        <w:t>入，并按已完工作的测量结果已经提供的劳务占应提供劳务总量的比例确定提供劳务交易的完工进度。</w:t>
      </w:r>
    </w:p>
    <w:p>
      <w:pPr>
        <w:pStyle w:val="BodyText"/>
        <w:spacing w:line="316" w:lineRule="auto" w:before="31"/>
        <w:ind w:left="153" w:right="1126" w:firstLine="420"/>
        <w:jc w:val="both"/>
      </w:pPr>
      <w:r>
        <w:rPr/>
        <w:t>在资产负债表日提供劳务交易结果不能够可靠估计的，分别下列情况处理：若已经发生的劳务成本预计能够得到补偿</w:t>
      </w:r>
      <w:r>
        <w:rPr>
          <w:spacing w:val="1"/>
        </w:rPr>
        <w:t> </w:t>
      </w:r>
      <w:r>
        <w:rPr>
          <w:spacing w:val="-2"/>
        </w:rPr>
        <w:t>的，按照已经发生的劳务成本金额确认提供劳务收入，并按相同金额结转劳务成本；若已经发生的劳务成本预计不能够得到</w:t>
      </w:r>
      <w:r>
        <w:rPr>
          <w:spacing w:val="-66"/>
        </w:rPr>
        <w:t> </w:t>
      </w:r>
      <w:r>
        <w:rPr>
          <w:spacing w:val="-66"/>
        </w:rPr>
      </w:r>
      <w:r>
        <w:rPr/>
        <w:t>补偿的，将已经发生的劳务成本计入当期损益，不确认提供劳务收入。</w:t>
      </w:r>
    </w:p>
    <w:p>
      <w:pPr>
        <w:pStyle w:val="BodyText"/>
        <w:spacing w:line="300" w:lineRule="auto" w:before="19"/>
        <w:ind w:left="573" w:right="0"/>
        <w:jc w:val="left"/>
      </w:pPr>
      <w:r>
        <w:rPr>
          <w:rFonts w:ascii="Times New Roman" w:hAnsi="Times New Roman" w:cs="Times New Roman" w:eastAsia="Times New Roman" w:hint="default"/>
        </w:rPr>
        <w:t>(3)</w:t>
      </w:r>
      <w:r>
        <w:rPr/>
        <w:t>让渡资产使用权 </w:t>
      </w:r>
      <w:r>
        <w:rPr>
          <w:spacing w:val="-2"/>
        </w:rPr>
        <w:t>让渡资产使用权在同时满足相关的经济利益很可能流入、收入的金额能够可靠地计量时，确认让渡资产使用权的收入。</w:t>
      </w:r>
    </w:p>
    <w:p>
      <w:pPr>
        <w:pStyle w:val="BodyText"/>
        <w:spacing w:line="316" w:lineRule="auto" w:before="31"/>
        <w:ind w:left="153" w:right="0"/>
        <w:jc w:val="left"/>
      </w:pPr>
      <w:r>
        <w:rPr>
          <w:spacing w:val="-2"/>
        </w:rPr>
        <w:t>利息收入金额，按照他人使用本企业货币资金的时间和实际利率计算确定；使用费收入金额，按照有关合同或协议约定的收</w:t>
      </w:r>
      <w:r>
        <w:rPr>
          <w:spacing w:val="-66"/>
        </w:rPr>
        <w:t> </w:t>
      </w:r>
      <w:r>
        <w:rPr>
          <w:spacing w:val="-66"/>
        </w:rPr>
      </w:r>
      <w:r>
        <w:rPr/>
        <w:t>费时间和方法计算确定。</w:t>
      </w:r>
    </w:p>
    <w:p>
      <w:pPr>
        <w:pStyle w:val="BodyText"/>
        <w:spacing w:line="300" w:lineRule="auto" w:before="19"/>
        <w:ind w:left="573" w:right="1117"/>
        <w:jc w:val="left"/>
      </w:pPr>
      <w:r>
        <w:rPr>
          <w:rFonts w:ascii="Times New Roman" w:hAnsi="Times New Roman" w:cs="Times New Roman" w:eastAsia="Times New Roman" w:hint="default"/>
        </w:rPr>
        <w:t>(4)</w:t>
      </w:r>
      <w:r>
        <w:rPr/>
        <w:t>建造合同 </w:t>
      </w:r>
      <w:r>
        <w:rPr>
          <w:rFonts w:ascii="Times New Roman" w:hAnsi="Times New Roman" w:cs="Times New Roman" w:eastAsia="Times New Roman" w:hint="default"/>
        </w:rPr>
        <w:t>1)</w:t>
      </w:r>
      <w:r>
        <w:rPr/>
        <w:t>建造合同的结果在资产负债表日能够可靠估计的，根据完工百分比法确认合同收入和合同费用。建造合同的结果在</w:t>
      </w:r>
    </w:p>
    <w:p>
      <w:pPr>
        <w:pStyle w:val="BodyText"/>
        <w:spacing w:line="316" w:lineRule="auto" w:before="13"/>
        <w:ind w:left="153" w:right="0"/>
        <w:jc w:val="left"/>
      </w:pPr>
      <w:r>
        <w:rPr>
          <w:spacing w:val="-2"/>
        </w:rPr>
        <w:t>资产负债表日不能够可靠估计的，若合同成本能够收回的，合同收入根据能够收回的实际合同成本予以确认，合同成本在其</w:t>
      </w:r>
      <w:r>
        <w:rPr>
          <w:spacing w:val="-66"/>
        </w:rPr>
        <w:t> </w:t>
      </w:r>
      <w:r>
        <w:rPr>
          <w:spacing w:val="-66"/>
        </w:rPr>
      </w:r>
      <w:r>
        <w:rPr/>
        <w:t>发生的当期确认为合同费用；若合同成本不可能收回的，在发生时立即确认为合同费用，不确认合同收入。</w:t>
      </w:r>
    </w:p>
    <w:p>
      <w:pPr>
        <w:pStyle w:val="BodyText"/>
        <w:spacing w:line="312" w:lineRule="auto" w:before="19"/>
        <w:ind w:left="153" w:right="1031" w:firstLine="420"/>
        <w:jc w:val="left"/>
      </w:pPr>
      <w:r>
        <w:rPr>
          <w:rFonts w:ascii="Times New Roman" w:hAnsi="Times New Roman" w:cs="Times New Roman" w:eastAsia="Times New Roman" w:hint="default"/>
        </w:rPr>
        <w:t>2)</w:t>
      </w:r>
      <w:r>
        <w:rPr/>
        <w:t>固定造价合同同时满足下列条件表明其结果能够可靠估计：合同总收入能够可靠计量、与合同相关的经济利益很可</w:t>
      </w:r>
      <w:r>
        <w:rPr>
          <w:spacing w:val="1"/>
        </w:rPr>
        <w:t> </w:t>
      </w:r>
      <w:r>
        <w:rPr/>
        <w:t>能流入、实际发生的合同成本能够清楚地区分和可靠地计量、合同完工进度和为完成合同尚需发生的成本能够可靠地计量。</w:t>
      </w:r>
      <w:r>
        <w:rPr/>
        <w:t> </w:t>
      </w:r>
      <w:r>
        <w:rPr>
          <w:spacing w:val="-2"/>
        </w:rPr>
        <w:t>成本加成合同同时满足下列条件表明其结果能够可靠估计：与合同相关的经济利益很可能流入；实际发生的合同成本能够清</w:t>
      </w:r>
      <w:r>
        <w:rPr>
          <w:spacing w:val="-64"/>
        </w:rPr>
        <w:t> </w:t>
      </w:r>
      <w:r>
        <w:rPr>
          <w:spacing w:val="-64"/>
        </w:rPr>
      </w:r>
      <w:r>
        <w:rPr/>
        <w:t>楚地区分和可靠地计量。</w:t>
      </w:r>
    </w:p>
    <w:p>
      <w:pPr>
        <w:pStyle w:val="BodyText"/>
        <w:spacing w:line="300" w:lineRule="auto" w:before="22"/>
        <w:ind w:left="153" w:right="1131" w:firstLine="420"/>
        <w:jc w:val="both"/>
      </w:pPr>
      <w:r>
        <w:rPr>
          <w:rFonts w:ascii="Times New Roman" w:hAnsi="Times New Roman" w:cs="Times New Roman" w:eastAsia="Times New Roman" w:hint="default"/>
        </w:rPr>
        <w:t>3)</w:t>
      </w:r>
      <w:r>
        <w:rPr/>
        <w:t>确定合同完工进度的方法为累计实际发生的合同成本占合同预计总成本的比例</w:t>
      </w:r>
      <w:r>
        <w:rPr>
          <w:rFonts w:ascii="Times New Roman" w:hAnsi="Times New Roman" w:cs="Times New Roman" w:eastAsia="Times New Roman" w:hint="default"/>
        </w:rPr>
        <w:t>/</w:t>
      </w:r>
      <w:r>
        <w:rPr/>
        <w:t>已经完成的合同工作量占合同预计总 工作量的比例</w:t>
      </w:r>
      <w:r>
        <w:rPr>
          <w:rFonts w:ascii="Times New Roman" w:hAnsi="Times New Roman" w:cs="Times New Roman" w:eastAsia="Times New Roman" w:hint="default"/>
        </w:rPr>
        <w:t>/</w:t>
      </w:r>
      <w:r>
        <w:rPr/>
        <w:t>实际测定的完工进度。</w:t>
      </w:r>
    </w:p>
    <w:p>
      <w:pPr>
        <w:pStyle w:val="BodyText"/>
        <w:spacing w:line="312" w:lineRule="auto" w:before="13"/>
        <w:ind w:left="153" w:right="1127" w:firstLine="420"/>
        <w:jc w:val="both"/>
      </w:pPr>
      <w:r>
        <w:rPr>
          <w:rFonts w:ascii="Times New Roman" w:hAnsi="Times New Roman" w:cs="Times New Roman" w:eastAsia="Times New Roman" w:hint="default"/>
        </w:rPr>
        <w:t>4)</w:t>
      </w:r>
      <w:r>
        <w:rPr/>
        <w:t>当期未完成的建造合同，按照合同收入乘以完工进度扣除以前会计期间累计已确认收入，确认当期合同收入；按照</w:t>
      </w:r>
      <w:r>
        <w:rPr>
          <w:spacing w:val="1"/>
        </w:rPr>
        <w:t> </w:t>
      </w:r>
      <w:r>
        <w:rPr>
          <w:spacing w:val="-2"/>
        </w:rPr>
        <w:t>合同预计总成本乘以完工进度扣除以前会计期间累计已确认的费用，确认当期合同费用。当期完成的建造合同，按照实际合</w:t>
      </w:r>
      <w:r>
        <w:rPr>
          <w:spacing w:val="-66"/>
        </w:rPr>
        <w:t> </w:t>
      </w:r>
      <w:r>
        <w:rPr>
          <w:spacing w:val="-66"/>
        </w:rPr>
      </w:r>
      <w:r>
        <w:rPr>
          <w:spacing w:val="-2"/>
        </w:rPr>
        <w:t>同总收入扣除以前会计期间累计已确认收入，确认为当期合同收入；按照累计实际发生的合同成本扣除以前期间累计已确认</w:t>
      </w:r>
      <w:r>
        <w:rPr>
          <w:spacing w:val="-64"/>
        </w:rPr>
        <w:t> </w:t>
      </w:r>
      <w:r>
        <w:rPr>
          <w:spacing w:val="-64"/>
        </w:rPr>
      </w:r>
      <w:r>
        <w:rPr/>
        <w:t>费用，确认当期合同费用。</w:t>
      </w:r>
    </w:p>
    <w:p>
      <w:pPr>
        <w:pStyle w:val="BodyText"/>
        <w:spacing w:line="300" w:lineRule="auto" w:before="22"/>
        <w:ind w:left="153" w:right="1127" w:firstLine="420"/>
        <w:jc w:val="both"/>
      </w:pPr>
      <w:r>
        <w:rPr>
          <w:rFonts w:ascii="Times New Roman" w:hAnsi="Times New Roman" w:cs="Times New Roman" w:eastAsia="Times New Roman" w:hint="default"/>
        </w:rPr>
        <w:t>5)</w:t>
      </w:r>
      <w:r>
        <w:rPr/>
        <w:t>资产负债表日，合同预计总成本超过合同总收入的，将预计损失确认为当期费用。执行中的建造合同，按其差额计</w:t>
      </w:r>
      <w:r>
        <w:rPr>
          <w:spacing w:val="1"/>
        </w:rPr>
        <w:t> </w:t>
      </w:r>
      <w:r>
        <w:rPr/>
        <w:t>提存货跌价准备；待执行的亏损合同，按其差额确认预计负债。</w:t>
      </w:r>
    </w:p>
    <w:p>
      <w:pPr>
        <w:pStyle w:val="BodyText"/>
        <w:spacing w:line="309" w:lineRule="auto" w:before="31"/>
        <w:ind w:left="573" w:right="1117"/>
        <w:jc w:val="left"/>
      </w:pPr>
      <w:r>
        <w:rPr/>
        <w:t>本公司收入的具体确认原则。据本公司的业务情况，对广告及策划、报刊发行、印刷、教育培训具体收入原则： </w:t>
      </w:r>
      <w:r>
        <w:rPr>
          <w:rFonts w:ascii="Times New Roman" w:hAnsi="Times New Roman" w:cs="Times New Roman" w:eastAsia="Times New Roman" w:hint="default"/>
        </w:rPr>
        <w:t>(1)</w:t>
      </w:r>
      <w:r>
        <w:rPr/>
        <w:t>广告及策划收入 </w:t>
      </w:r>
      <w:r>
        <w:rPr>
          <w:spacing w:val="-2"/>
        </w:rPr>
        <w:t>广告及策划收入在同时满足下列条件时予以确认：</w:t>
      </w:r>
      <w:r>
        <w:rPr>
          <w:rFonts w:ascii="Times New Roman" w:hAnsi="Times New Roman" w:cs="Times New Roman" w:eastAsia="Times New Roman" w:hint="default"/>
          <w:spacing w:val="-2"/>
        </w:rPr>
        <w:t>1)</w:t>
      </w:r>
      <w:r>
        <w:rPr>
          <w:spacing w:val="-2"/>
        </w:rPr>
        <w:t>广告或商业行为开始出现于公众面前；</w:t>
      </w:r>
      <w:r>
        <w:rPr>
          <w:rFonts w:ascii="Times New Roman" w:hAnsi="Times New Roman" w:cs="Times New Roman" w:eastAsia="Times New Roman" w:hint="default"/>
          <w:spacing w:val="-2"/>
        </w:rPr>
        <w:t>2)</w:t>
      </w:r>
      <w:r>
        <w:rPr>
          <w:spacing w:val="-2"/>
        </w:rPr>
        <w:t>收入的金额能够可靠地计</w:t>
      </w:r>
    </w:p>
    <w:p>
      <w:pPr>
        <w:pStyle w:val="BodyText"/>
        <w:spacing w:line="240" w:lineRule="auto" w:before="5"/>
        <w:ind w:left="153" w:right="0"/>
        <w:jc w:val="left"/>
      </w:pPr>
      <w:r>
        <w:rPr/>
        <w:t>量；</w:t>
      </w:r>
      <w:r>
        <w:rPr>
          <w:rFonts w:ascii="Times New Roman" w:hAnsi="Times New Roman" w:cs="Times New Roman" w:eastAsia="Times New Roman" w:hint="default"/>
        </w:rPr>
        <w:t>3)</w:t>
      </w:r>
      <w:r>
        <w:rPr/>
        <w:t>相关的经济利益很可能流入；</w:t>
      </w:r>
      <w:r>
        <w:rPr>
          <w:rFonts w:ascii="Times New Roman" w:hAnsi="Times New Roman" w:cs="Times New Roman" w:eastAsia="Times New Roman" w:hint="default"/>
        </w:rPr>
        <w:t>4)</w:t>
      </w:r>
      <w:r>
        <w:rPr/>
        <w:t>相关的已发生或将发生的成本能够可靠地计量。</w:t>
      </w:r>
    </w:p>
    <w:p>
      <w:pPr>
        <w:pStyle w:val="BodyText"/>
        <w:spacing w:line="300" w:lineRule="auto" w:before="63"/>
        <w:ind w:left="573" w:right="1116"/>
        <w:jc w:val="left"/>
      </w:pPr>
      <w:r>
        <w:rPr>
          <w:rFonts w:ascii="Times New Roman" w:hAnsi="Times New Roman" w:cs="Times New Roman" w:eastAsia="Times New Roman" w:hint="default"/>
        </w:rPr>
        <w:t>(2)</w:t>
      </w:r>
      <w:r>
        <w:rPr/>
        <w:t>报刊发行收入 </w:t>
      </w:r>
      <w:r>
        <w:rPr>
          <w:spacing w:val="-1"/>
        </w:rPr>
        <w:t>报刊发行收入在同时满足下列条件时予以确认：</w:t>
      </w:r>
      <w:r>
        <w:rPr>
          <w:rFonts w:ascii="Times New Roman" w:hAnsi="Times New Roman" w:cs="Times New Roman" w:eastAsia="Times New Roman" w:hint="default"/>
          <w:spacing w:val="-1"/>
        </w:rPr>
        <w:t>1)</w:t>
      </w:r>
      <w:r>
        <w:rPr>
          <w:spacing w:val="-1"/>
        </w:rPr>
        <w:t>报刊已实际投递；</w:t>
      </w:r>
      <w:r>
        <w:rPr>
          <w:rFonts w:ascii="Times New Roman" w:hAnsi="Times New Roman" w:cs="Times New Roman" w:eastAsia="Times New Roman" w:hint="default"/>
          <w:spacing w:val="-1"/>
        </w:rPr>
        <w:t>2)</w:t>
      </w:r>
      <w:r>
        <w:rPr>
          <w:spacing w:val="-1"/>
        </w:rPr>
        <w:t>收入的金额能够可靠地计量；</w:t>
      </w:r>
      <w:r>
        <w:rPr>
          <w:rFonts w:ascii="Times New Roman" w:hAnsi="Times New Roman" w:cs="Times New Roman" w:eastAsia="Times New Roman" w:hint="default"/>
          <w:spacing w:val="-1"/>
        </w:rPr>
        <w:t>3)</w:t>
      </w:r>
      <w:r>
        <w:rPr>
          <w:spacing w:val="-1"/>
        </w:rPr>
        <w:t>相关的经济利益</w:t>
      </w:r>
    </w:p>
    <w:p>
      <w:pPr>
        <w:pStyle w:val="BodyText"/>
        <w:spacing w:line="240" w:lineRule="auto" w:before="13"/>
        <w:ind w:left="153" w:right="0"/>
        <w:jc w:val="left"/>
      </w:pPr>
      <w:r>
        <w:rPr/>
        <w:t>很可能流入；</w:t>
      </w:r>
      <w:r>
        <w:rPr>
          <w:rFonts w:ascii="Times New Roman" w:hAnsi="Times New Roman" w:cs="Times New Roman" w:eastAsia="Times New Roman" w:hint="default"/>
        </w:rPr>
        <w:t>4)</w:t>
      </w:r>
      <w:r>
        <w:rPr/>
        <w:t>相关的已发生或将发生的成本能够可靠地计量。</w:t>
      </w:r>
    </w:p>
    <w:p>
      <w:pPr>
        <w:pStyle w:val="BodyText"/>
        <w:spacing w:line="300" w:lineRule="auto" w:before="63"/>
        <w:ind w:left="573" w:right="1116"/>
        <w:jc w:val="left"/>
      </w:pPr>
      <w:r>
        <w:rPr>
          <w:rFonts w:ascii="Times New Roman" w:hAnsi="Times New Roman" w:cs="Times New Roman" w:eastAsia="Times New Roman" w:hint="default"/>
        </w:rPr>
        <w:t>(3)</w:t>
      </w:r>
      <w:r>
        <w:rPr/>
        <w:t>印刷收入 </w:t>
      </w:r>
      <w:r>
        <w:rPr>
          <w:spacing w:val="-1"/>
        </w:rPr>
        <w:t>印刷收入在同时满足下列条件时予以确认：</w:t>
      </w:r>
      <w:r>
        <w:rPr>
          <w:rFonts w:ascii="Times New Roman" w:hAnsi="Times New Roman" w:cs="Times New Roman" w:eastAsia="Times New Roman" w:hint="default"/>
          <w:spacing w:val="-1"/>
        </w:rPr>
        <w:t>1)</w:t>
      </w:r>
      <w:r>
        <w:rPr>
          <w:spacing w:val="-1"/>
        </w:rPr>
        <w:t>产品完工交付订货单位；</w:t>
      </w:r>
      <w:r>
        <w:rPr>
          <w:rFonts w:ascii="Times New Roman" w:hAnsi="Times New Roman" w:cs="Times New Roman" w:eastAsia="Times New Roman" w:hint="default"/>
          <w:spacing w:val="-1"/>
        </w:rPr>
        <w:t>2)</w:t>
      </w:r>
      <w:r>
        <w:rPr>
          <w:spacing w:val="-1"/>
        </w:rPr>
        <w:t>收入的金额能够可靠地计量；</w:t>
      </w:r>
      <w:r>
        <w:rPr>
          <w:rFonts w:ascii="Times New Roman" w:hAnsi="Times New Roman" w:cs="Times New Roman" w:eastAsia="Times New Roman" w:hint="default"/>
          <w:spacing w:val="-1"/>
        </w:rPr>
        <w:t>3)</w:t>
      </w:r>
      <w:r>
        <w:rPr>
          <w:spacing w:val="-1"/>
        </w:rPr>
        <w:t>相关的经济利</w:t>
      </w:r>
    </w:p>
    <w:p>
      <w:pPr>
        <w:pStyle w:val="BodyText"/>
        <w:spacing w:line="240" w:lineRule="auto" w:before="13"/>
        <w:ind w:left="153" w:right="0"/>
        <w:jc w:val="left"/>
      </w:pPr>
      <w:r>
        <w:rPr/>
        <w:t>益很可能流入；</w:t>
      </w:r>
      <w:r>
        <w:rPr>
          <w:rFonts w:ascii="Times New Roman" w:hAnsi="Times New Roman" w:cs="Times New Roman" w:eastAsia="Times New Roman" w:hint="default"/>
        </w:rPr>
        <w:t>4)</w:t>
      </w:r>
      <w:r>
        <w:rPr/>
        <w:t>相关的已发生或将发生的成本能够可靠地计量。</w:t>
      </w:r>
    </w:p>
    <w:p>
      <w:pPr>
        <w:pStyle w:val="BodyText"/>
        <w:spacing w:line="300" w:lineRule="auto" w:before="63"/>
        <w:ind w:left="573" w:right="0"/>
        <w:jc w:val="left"/>
      </w:pPr>
      <w:r>
        <w:rPr>
          <w:rFonts w:ascii="Times New Roman" w:hAnsi="Times New Roman" w:cs="Times New Roman" w:eastAsia="Times New Roman" w:hint="default"/>
        </w:rPr>
        <w:t>(4)</w:t>
      </w:r>
      <w:r>
        <w:rPr/>
        <w:t>教育培训收入 </w:t>
      </w:r>
      <w:r>
        <w:rPr>
          <w:spacing w:val="-2"/>
        </w:rPr>
        <w:t>教育培训收入在同时满足下列条件时予以确认：</w:t>
      </w:r>
      <w:r>
        <w:rPr>
          <w:rFonts w:ascii="Times New Roman" w:hAnsi="Times New Roman" w:cs="Times New Roman" w:eastAsia="Times New Roman" w:hint="default"/>
          <w:spacing w:val="-2"/>
        </w:rPr>
        <w:t>1)</w:t>
      </w:r>
      <w:r>
        <w:rPr>
          <w:spacing w:val="-2"/>
        </w:rPr>
        <w:t>公司已根据约定提供教育服务或教育培训；</w:t>
      </w:r>
      <w:r>
        <w:rPr>
          <w:rFonts w:ascii="Times New Roman" w:hAnsi="Times New Roman" w:cs="Times New Roman" w:eastAsia="Times New Roman" w:hint="default"/>
          <w:spacing w:val="-2"/>
        </w:rPr>
        <w:t>2)</w:t>
      </w:r>
      <w:r>
        <w:rPr>
          <w:spacing w:val="-2"/>
        </w:rPr>
        <w:t>收入的金额能够可靠地</w:t>
      </w:r>
    </w:p>
    <w:p>
      <w:pPr>
        <w:pStyle w:val="BodyText"/>
        <w:spacing w:line="240" w:lineRule="auto" w:before="13"/>
        <w:ind w:left="153" w:right="0"/>
        <w:jc w:val="left"/>
      </w:pPr>
      <w:r>
        <w:rPr/>
        <w:t>计量；</w:t>
      </w:r>
      <w:r>
        <w:rPr>
          <w:rFonts w:ascii="Times New Roman" w:hAnsi="Times New Roman" w:cs="Times New Roman" w:eastAsia="Times New Roman" w:hint="default"/>
        </w:rPr>
        <w:t>3)</w:t>
      </w:r>
      <w:r>
        <w:rPr/>
        <w:t>相关的经济利益很可能流入；</w:t>
      </w:r>
      <w:r>
        <w:rPr>
          <w:rFonts w:ascii="Times New Roman" w:hAnsi="Times New Roman" w:cs="Times New Roman" w:eastAsia="Times New Roman" w:hint="default"/>
        </w:rPr>
        <w:t>4)</w:t>
      </w:r>
      <w:r>
        <w:rPr/>
        <w:t>相关的已发生或将发生的成本能够可靠地计量。</w:t>
      </w:r>
    </w:p>
    <w:p>
      <w:pPr>
        <w:spacing w:after="0" w:line="24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t>（</w:t>
      </w:r>
      <w:r>
        <w:rPr>
          <w:rFonts w:ascii="Times New Roman" w:hAnsi="Times New Roman" w:cs="Times New Roman" w:eastAsia="Times New Roman" w:hint="default"/>
        </w:rPr>
        <w:t>1</w:t>
      </w:r>
      <w:r>
        <w:rPr/>
        <w:t>）政府补助的分类 政府补助，是指本公司从政府无偿取得货币性资产或非货币性资产。分为与资产相关的政府补助和与收益相关的政府</w:t>
      </w:r>
    </w:p>
    <w:p>
      <w:pPr>
        <w:pStyle w:val="BodyText"/>
        <w:spacing w:line="240" w:lineRule="auto" w:before="31"/>
        <w:ind w:right="0"/>
        <w:jc w:val="left"/>
      </w:pPr>
      <w:r>
        <w:rPr/>
        <w:t>补助。</w:t>
      </w:r>
    </w:p>
    <w:p>
      <w:pPr>
        <w:pStyle w:val="BodyText"/>
        <w:spacing w:line="316" w:lineRule="auto" w:before="76"/>
        <w:ind w:right="1126" w:firstLine="420"/>
        <w:jc w:val="both"/>
      </w:pPr>
      <w:r>
        <w:rPr/>
        <w:t>与资产相关的政府补助，是指本公司取得的、用于购建或以其他方式形成长期资产的政府补助，包括购买固定资产或</w:t>
      </w:r>
      <w:r>
        <w:rPr>
          <w:spacing w:val="1"/>
        </w:rPr>
        <w:t> </w:t>
      </w:r>
      <w:r>
        <w:rPr>
          <w:spacing w:val="-2"/>
        </w:rPr>
        <w:t>无形资产的财政拨款、固定资产专门借款的财政贴息等；与收益相关的政府补助，是指除与资产相关的政府补助之外的政府</w:t>
      </w:r>
      <w:r>
        <w:rPr>
          <w:spacing w:val="-66"/>
        </w:rPr>
        <w:t> </w:t>
      </w:r>
      <w:r>
        <w:rPr>
          <w:spacing w:val="-66"/>
        </w:rPr>
      </w:r>
      <w:r>
        <w:rPr>
          <w:spacing w:val="-2"/>
        </w:rPr>
        <w:t>补助。对于同时包含与资产相关部分和与收益相关部分的政府补助，区分不同部分分别进行会计处理；难以区分的，整体归</w:t>
      </w:r>
      <w:r>
        <w:rPr>
          <w:spacing w:val="-66"/>
        </w:rPr>
        <w:t> </w:t>
      </w:r>
      <w:r>
        <w:rPr>
          <w:spacing w:val="-66"/>
        </w:rPr>
      </w:r>
      <w:r>
        <w:rPr/>
        <w:t>类为与收益相关的政府补助。</w:t>
      </w:r>
    </w:p>
    <w:p>
      <w:pPr>
        <w:pStyle w:val="BodyText"/>
        <w:spacing w:line="240" w:lineRule="auto" w:before="19"/>
        <w:ind w:left="573" w:right="0"/>
        <w:jc w:val="left"/>
      </w:pPr>
      <w:r>
        <w:rPr/>
        <w:t>本公司在进行政府补助分类时采取的具体标准为：</w:t>
      </w:r>
    </w:p>
    <w:p>
      <w:pPr>
        <w:pStyle w:val="BodyText"/>
        <w:spacing w:line="300" w:lineRule="auto" w:before="76"/>
        <w:ind w:right="1127" w:firstLine="420"/>
        <w:jc w:val="both"/>
      </w:pPr>
      <w:r>
        <w:rPr>
          <w:rFonts w:ascii="Times New Roman" w:hAnsi="Times New Roman" w:cs="Times New Roman" w:eastAsia="Times New Roman" w:hint="default"/>
        </w:rPr>
        <w:t>1)</w:t>
      </w:r>
      <w:r>
        <w:rPr/>
        <w:t>政府补助文件规定的补助对象用于购建或以其他方式形成长期资产，或者补助对象的支出主要用于购建或以其他方</w:t>
      </w:r>
      <w:r>
        <w:rPr>
          <w:spacing w:val="1"/>
        </w:rPr>
        <w:t> </w:t>
      </w:r>
      <w:r>
        <w:rPr/>
        <w:t>式形成长期资产的，划分为与资产相关的政府补助。</w:t>
      </w:r>
    </w:p>
    <w:p>
      <w:pPr>
        <w:pStyle w:val="BodyText"/>
        <w:spacing w:line="300" w:lineRule="auto" w:before="31"/>
        <w:ind w:right="1127" w:firstLine="420"/>
        <w:jc w:val="both"/>
      </w:pPr>
      <w:r>
        <w:rPr>
          <w:rFonts w:ascii="Times New Roman" w:hAnsi="Times New Roman" w:cs="Times New Roman" w:eastAsia="Times New Roman" w:hint="default"/>
        </w:rPr>
        <w:t>2)</w:t>
      </w:r>
      <w:r>
        <w:rPr/>
        <w:t>根据政府补助文件获得的政府补助全部或者主要用于补偿以后期间或已发生的费用或损失的政府补助，划分为与收</w:t>
      </w:r>
      <w:r>
        <w:rPr>
          <w:spacing w:val="1"/>
        </w:rPr>
        <w:t> </w:t>
      </w:r>
      <w:r>
        <w:rPr/>
        <w:t>益相关的政府补助。</w:t>
      </w:r>
    </w:p>
    <w:p>
      <w:pPr>
        <w:pStyle w:val="BodyText"/>
        <w:spacing w:line="300" w:lineRule="auto" w:before="31"/>
        <w:ind w:right="1127" w:firstLine="420"/>
        <w:jc w:val="both"/>
      </w:pPr>
      <w:r>
        <w:rPr>
          <w:rFonts w:ascii="Times New Roman" w:hAnsi="Times New Roman" w:cs="Times New Roman" w:eastAsia="Times New Roman" w:hint="default"/>
        </w:rPr>
        <w:t>3)</w:t>
      </w:r>
      <w:r>
        <w:rPr/>
        <w:t>若政府文件未明确规定补助对象，则采用以下方式将该政府补助款划分为与资产相关的政府补助或与收益相关的政</w:t>
      </w:r>
      <w:r>
        <w:rPr>
          <w:spacing w:val="1"/>
        </w:rPr>
        <w:t> </w:t>
      </w:r>
      <w:r>
        <w:rPr>
          <w:spacing w:val="-1"/>
        </w:rPr>
        <w:t>府补助：</w:t>
      </w:r>
      <w:r>
        <w:rPr>
          <w:rFonts w:ascii="Times New Roman" w:hAnsi="Times New Roman" w:cs="Times New Roman" w:eastAsia="Times New Roman" w:hint="default"/>
          <w:spacing w:val="-1"/>
        </w:rPr>
        <w:t>A</w:t>
      </w:r>
      <w:r>
        <w:rPr>
          <w:spacing w:val="-1"/>
        </w:rPr>
        <w:t>、政府文件明确了补助所针对的特定项目的，根据该特定项目的预算中将形成资产的支出金额和计入费用的支出</w:t>
      </w:r>
      <w:r>
        <w:rPr>
          <w:spacing w:val="-69"/>
        </w:rPr>
        <w:t> </w:t>
      </w:r>
      <w:r>
        <w:rPr>
          <w:spacing w:val="-69"/>
        </w:rPr>
      </w:r>
      <w:r>
        <w:rPr>
          <w:spacing w:val="-1"/>
        </w:rPr>
        <w:t>金额的相对比例进行划分，对该划分比例需在每个资产负债表日进行复核，必要时进行变更；</w:t>
      </w:r>
      <w:r>
        <w:rPr>
          <w:rFonts w:ascii="Times New Roman" w:hAnsi="Times New Roman" w:cs="Times New Roman" w:eastAsia="Times New Roman" w:hint="default"/>
          <w:spacing w:val="-1"/>
        </w:rPr>
        <w:t>B</w:t>
      </w:r>
      <w:r>
        <w:rPr>
          <w:spacing w:val="-1"/>
        </w:rPr>
        <w:t>、政府文件中对用途仅作一</w:t>
      </w:r>
      <w:r>
        <w:rPr>
          <w:spacing w:val="-60"/>
        </w:rPr>
        <w:t> </w:t>
      </w:r>
      <w:r>
        <w:rPr>
          <w:spacing w:val="-60"/>
        </w:rPr>
      </w:r>
      <w:r>
        <w:rPr/>
        <w:t>般性表述，没有指明特定项目的，作为与收益相关的政府补助。</w:t>
      </w:r>
    </w:p>
    <w:p>
      <w:pPr>
        <w:pStyle w:val="BodyText"/>
        <w:spacing w:line="300" w:lineRule="auto" w:before="31"/>
        <w:ind w:left="573" w:right="1151"/>
        <w:jc w:val="left"/>
      </w:pPr>
      <w:r>
        <w:rPr/>
        <w:t>（</w:t>
      </w:r>
      <w:r>
        <w:rPr>
          <w:rFonts w:ascii="Times New Roman" w:hAnsi="Times New Roman" w:cs="Times New Roman" w:eastAsia="Times New Roman" w:hint="default"/>
        </w:rPr>
        <w:t>2</w:t>
      </w:r>
      <w:r>
        <w:rPr/>
        <w:t>）政府补助的确认时点 本公司对于政府补助通常在实际收到时，按照实收金额予以确认和计量。但对于期末有确凿证据表明能够符合财政扶</w:t>
      </w:r>
    </w:p>
    <w:p>
      <w:pPr>
        <w:pStyle w:val="BodyText"/>
        <w:spacing w:line="316" w:lineRule="auto" w:before="31"/>
        <w:ind w:right="1117"/>
        <w:jc w:val="left"/>
      </w:pP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p>
    <w:p>
      <w:pPr>
        <w:pStyle w:val="BodyText"/>
        <w:spacing w:line="300" w:lineRule="auto" w:before="19"/>
        <w:ind w:left="153" w:right="1181" w:firstLine="420"/>
        <w:jc w:val="left"/>
      </w:pPr>
      <w:r>
        <w:rPr>
          <w:rFonts w:ascii="Times New Roman" w:hAnsi="Times New Roman" w:cs="Times New Roman" w:eastAsia="Times New Roman" w:hint="default"/>
        </w:rPr>
        <w:t>1)</w:t>
      </w:r>
      <w:r>
        <w:rPr/>
        <w:t>所依据的是当地财政部门正式发布并按照《政府信息公开条例》的规定予以主动公开的财政扶持项目及其财政资金 管理办法，且该管理办法应当是普惠性的</w:t>
      </w:r>
      <w:r>
        <w:rPr>
          <w:rFonts w:ascii="Times New Roman" w:hAnsi="Times New Roman" w:cs="Times New Roman" w:eastAsia="Times New Roman" w:hint="default"/>
        </w:rPr>
        <w:t>(</w:t>
      </w:r>
      <w:r>
        <w:rPr/>
        <w:t>任何符合规定条件的企业均可申请</w:t>
      </w:r>
      <w:r>
        <w:rPr>
          <w:rFonts w:ascii="Times New Roman" w:hAnsi="Times New Roman" w:cs="Times New Roman" w:eastAsia="Times New Roman" w:hint="default"/>
        </w:rPr>
        <w:t>)</w:t>
      </w:r>
      <w:r>
        <w:rPr/>
        <w:t>，而不是专门针对特定企业制定的；</w:t>
      </w:r>
    </w:p>
    <w:p>
      <w:pPr>
        <w:pStyle w:val="BodyText"/>
        <w:spacing w:line="300" w:lineRule="auto" w:before="13"/>
        <w:ind w:left="153" w:right="1181" w:firstLine="420"/>
        <w:jc w:val="left"/>
      </w:pPr>
      <w:r>
        <w:rPr>
          <w:rFonts w:ascii="Times New Roman" w:hAnsi="Times New Roman" w:cs="Times New Roman" w:eastAsia="Times New Roman" w:hint="default"/>
        </w:rPr>
        <w:t>2)</w:t>
      </w:r>
      <w:r>
        <w:rPr/>
        <w:t>应收补助款的金额已经过有权政府部门发文确认，或者可根据正式发布的财政资金管理办法的有关规定自行合理测 算，且预计其金额不存在重大不确定性；</w:t>
      </w:r>
    </w:p>
    <w:p>
      <w:pPr>
        <w:pStyle w:val="BodyText"/>
        <w:spacing w:line="300" w:lineRule="auto" w:before="31"/>
        <w:ind w:left="153" w:right="1181" w:firstLine="420"/>
        <w:jc w:val="left"/>
      </w:pPr>
      <w:r>
        <w:rPr>
          <w:rFonts w:ascii="Times New Roman" w:hAnsi="Times New Roman" w:cs="Times New Roman" w:eastAsia="Times New Roman" w:hint="default"/>
        </w:rPr>
        <w:t>3)</w:t>
      </w:r>
      <w:r>
        <w:rPr/>
        <w:t>相关的补助款批文中已明确承诺了拨付期限，且该款项的拨付是有相应财政预算作为保障的，因而可以合理保证其 可在规定期限内收到；</w:t>
      </w:r>
    </w:p>
    <w:p>
      <w:pPr>
        <w:pStyle w:val="BodyText"/>
        <w:spacing w:line="240" w:lineRule="auto" w:before="31"/>
        <w:ind w:left="573" w:right="0"/>
        <w:jc w:val="left"/>
      </w:pPr>
      <w:r>
        <w:rPr>
          <w:rFonts w:ascii="Times New Roman" w:hAnsi="Times New Roman" w:cs="Times New Roman" w:eastAsia="Times New Roman" w:hint="default"/>
        </w:rPr>
        <w:t>4)</w:t>
      </w:r>
      <w:r>
        <w:rPr/>
        <w:t>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p>
    <w:p>
      <w:pPr>
        <w:pStyle w:val="BodyText"/>
        <w:spacing w:line="300" w:lineRule="auto" w:before="63"/>
        <w:ind w:left="573" w:right="1151"/>
        <w:jc w:val="left"/>
      </w:pPr>
      <w:r>
        <w:rPr/>
        <w:t>（</w:t>
      </w:r>
      <w:r>
        <w:rPr>
          <w:rFonts w:ascii="Times New Roman" w:hAnsi="Times New Roman" w:cs="Times New Roman" w:eastAsia="Times New Roman" w:hint="default"/>
        </w:rPr>
        <w:t>3</w:t>
      </w:r>
      <w:r>
        <w:rPr/>
        <w:t>）政府补助的会计处理 政府补助为货币性资产的，按收到或应收的金额计量；为非货币性资产的，按公允价值计量；非货币性资产公允价值</w:t>
      </w:r>
    </w:p>
    <w:p>
      <w:pPr>
        <w:pStyle w:val="BodyText"/>
        <w:spacing w:line="316" w:lineRule="auto" w:before="31"/>
        <w:ind w:left="573" w:right="0" w:hanging="420"/>
        <w:jc w:val="left"/>
      </w:pPr>
      <w:r>
        <w:rPr/>
        <w:t>不能可靠取得的，按名义金额计量。按照名义金额计量的政府补助，直接计入当期损益。 本公司对政府补助采用的是总额法，具体会计处理如下： 与资产相关的政府补助确认为递延收益，在相关资产使用寿命内按照合理、系统的方法分期计入当期损益；相关资产</w:t>
      </w:r>
    </w:p>
    <w:p>
      <w:pPr>
        <w:pStyle w:val="BodyText"/>
        <w:spacing w:line="316" w:lineRule="auto" w:before="19"/>
        <w:ind w:left="573" w:right="0" w:hanging="420"/>
        <w:jc w:val="left"/>
      </w:pPr>
      <w:r>
        <w:rPr/>
        <w:t>在使用寿命结束前被出售、转让、报废或发生毁损的，将相关递延收益余额转入资产处置当期的损益。 与收益相关的政府补助，用于补偿本公司以后期间的相关成本费用或损失的，确认为递延收益，并在确认相关成本费</w:t>
      </w:r>
    </w:p>
    <w:p>
      <w:pPr>
        <w:pStyle w:val="BodyText"/>
        <w:spacing w:line="316" w:lineRule="auto" w:before="19"/>
        <w:ind w:left="573" w:right="1151" w:hanging="420"/>
        <w:jc w:val="left"/>
      </w:pPr>
      <w:r>
        <w:rPr/>
        <w:t>用或损失的期间，计入当期损益；用于补偿企业已发生的相关成本费用或损失的，直接计入当期损益。 政府补助计入不同损益项目的区分原则为：与本公司日常活动相关的政府补助，按照经济业务实质，计入其他收益或</w:t>
      </w:r>
    </w:p>
    <w:p>
      <w:pPr>
        <w:pStyle w:val="BodyText"/>
        <w:spacing w:line="240" w:lineRule="auto" w:before="19"/>
        <w:ind w:left="153" w:right="0"/>
        <w:jc w:val="left"/>
      </w:pPr>
      <w:r>
        <w:rPr/>
        <w:t>冲减相关成本费用；与本公司日常活动无关的政府补助，计入营业外收支。</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t>（</w:t>
      </w:r>
      <w:r>
        <w:rPr>
          <w:rFonts w:ascii="Times New Roman" w:hAnsi="Times New Roman" w:cs="Times New Roman" w:eastAsia="Times New Roman" w:hint="default"/>
        </w:rPr>
        <w:t>1</w:t>
      </w:r>
      <w:r>
        <w:rPr/>
        <w:t>）递延所得税资产和递延所得税负债的确认和计量 本公司根据资产、负债与资产负债日的账面价值与计税基础之间的暂时性差异，采用资产负债表债务法确认递延所得</w:t>
      </w:r>
    </w:p>
    <w:p>
      <w:pPr>
        <w:spacing w:after="0" w:line="300" w:lineRule="auto"/>
        <w:jc w:val="left"/>
        <w:sectPr>
          <w:footerReference w:type="default" r:id="rId35"/>
          <w:pgSz w:w="11910" w:h="16840"/>
          <w:pgMar w:footer="982" w:header="877"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153" w:right="0"/>
        <w:jc w:val="left"/>
      </w:pPr>
      <w:r>
        <w:rPr>
          <w:spacing w:val="-1"/>
        </w:rPr>
        <w:t>税。公司当期所得税和递延所得税作为所得税费用或收益计入当期损益，但不包括下列情况产生的所得税：</w:t>
      </w:r>
      <w:r>
        <w:rPr>
          <w:rFonts w:ascii="Times New Roman" w:hAnsi="Times New Roman" w:cs="Times New Roman" w:eastAsia="Times New Roman" w:hint="default"/>
          <w:spacing w:val="-1"/>
        </w:rPr>
        <w:t>1)</w:t>
      </w:r>
      <w:r>
        <w:rPr>
          <w:spacing w:val="-1"/>
        </w:rPr>
        <w:t>企业合并；</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11"/>
        </w:rPr>
        <w:t> </w:t>
      </w:r>
      <w:r>
        <w:rPr/>
        <w:t>直接在所有者权益中确认的交易或者事项。</w:t>
      </w:r>
    </w:p>
    <w:p>
      <w:pPr>
        <w:pStyle w:val="BodyText"/>
        <w:spacing w:line="316" w:lineRule="auto" w:before="31"/>
        <w:ind w:left="153" w:right="1030" w:firstLine="420"/>
        <w:jc w:val="left"/>
      </w:pPr>
      <w:r>
        <w:rPr>
          <w:spacing w:val="-2"/>
        </w:rPr>
        <w:t>对于可抵扣暂时性差异、能够结转以后年度的可抵扣亏损和税款抵减，公司以很可能取得用来抵扣可抵扣暂时性差异、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19"/>
        <w:ind w:left="573" w:right="0"/>
        <w:jc w:val="left"/>
      </w:pP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00" w:lineRule="auto" w:before="63"/>
        <w:ind w:left="153" w:right="1127" w:firstLine="420"/>
        <w:jc w:val="both"/>
      </w:pP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w:t>
      </w:r>
      <w:r>
        <w:rPr>
          <w:spacing w:val="1"/>
        </w:rPr>
        <w:t> </w:t>
      </w:r>
      <w:r>
        <w:rPr/>
        <w:t>资产：暂时性差异在可预见的未来很可能转回，且未来很可能获得用来抵扣可抵扣暂时性差异的应纳税所得额。</w:t>
      </w:r>
    </w:p>
    <w:p>
      <w:pPr>
        <w:pStyle w:val="BodyText"/>
        <w:spacing w:line="240" w:lineRule="auto" w:before="31"/>
        <w:ind w:left="573" w:right="0"/>
        <w:jc w:val="left"/>
      </w:pPr>
      <w:r>
        <w:rPr/>
        <w:t>各项应纳税暂时性差异均确认相关的递延所得税负债，除非该应纳税暂时性差异是在以下交易中产生的：</w:t>
      </w:r>
    </w:p>
    <w:p>
      <w:pPr>
        <w:pStyle w:val="BodyText"/>
        <w:spacing w:line="300" w:lineRule="auto" w:before="76"/>
        <w:ind w:left="153" w:right="1181" w:firstLine="420"/>
        <w:jc w:val="left"/>
      </w:pP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 时既不影响会计利润也不影响应纳税所得额；</w:t>
      </w:r>
    </w:p>
    <w:p>
      <w:pPr>
        <w:pStyle w:val="BodyText"/>
        <w:spacing w:line="300" w:lineRule="auto" w:before="31"/>
        <w:ind w:left="153" w:right="1181" w:firstLine="420"/>
        <w:jc w:val="left"/>
      </w:pP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 性差异在可预见的未来很可能不会转回。</w:t>
      </w:r>
    </w:p>
    <w:p>
      <w:pPr>
        <w:pStyle w:val="BodyText"/>
        <w:spacing w:line="300" w:lineRule="auto" w:before="31"/>
        <w:ind w:left="153" w:right="1130" w:firstLine="420"/>
        <w:jc w:val="both"/>
      </w:pPr>
      <w:r>
        <w:rPr>
          <w:spacing w:val="-1"/>
        </w:rPr>
        <w:t>根据资产、负债的账面价值与其计税基础之间的差额</w:t>
      </w:r>
      <w:r>
        <w:rPr>
          <w:rFonts w:ascii="Times New Roman" w:hAnsi="Times New Roman" w:cs="Times New Roman" w:eastAsia="Times New Roman" w:hint="default"/>
          <w:spacing w:val="-1"/>
        </w:rPr>
        <w:t>(</w:t>
      </w:r>
      <w:r>
        <w:rPr>
          <w:spacing w:val="-1"/>
        </w:rPr>
        <w:t>未作为资产和负债确认的项目按照税法规定可以确定其计税基础</w:t>
      </w:r>
      <w:r>
        <w:rPr/>
        <w:t> 的，该计税基础与其账面数之间的差额</w:t>
      </w:r>
      <w:r>
        <w:rPr>
          <w:rFonts w:ascii="Times New Roman" w:hAnsi="Times New Roman" w:cs="Times New Roman" w:eastAsia="Times New Roman" w:hint="default"/>
        </w:rPr>
        <w:t>)</w:t>
      </w:r>
      <w:r>
        <w:rPr/>
        <w:t>，按照预期收回该资产或清偿该负债期间的适用税率计算确认递延所得税资产或递 延所得税负债。</w:t>
      </w:r>
    </w:p>
    <w:p>
      <w:pPr>
        <w:pStyle w:val="BodyText"/>
        <w:spacing w:line="316" w:lineRule="auto" w:before="31"/>
        <w:ind w:left="153" w:right="1130" w:firstLine="420"/>
        <w:jc w:val="both"/>
      </w:pPr>
      <w:r>
        <w:rPr/>
        <w:t>确认递延所得税资产以很可能取得用来抵扣可抵扣暂时性差异的应纳税所得额为限。资产负债表日，有确凿证据表明 </w:t>
      </w:r>
      <w:r>
        <w:rPr>
          <w:spacing w:val="-2"/>
        </w:rPr>
        <w:t>未来期间很可能获得足够的应纳税所得额用来抵扣可抵扣暂时性差异的，确认以前会计期间未确认的递延所得税资产。对递</w:t>
      </w:r>
      <w:r>
        <w:rPr>
          <w:spacing w:val="-64"/>
        </w:rPr>
        <w:t> </w:t>
      </w:r>
      <w:r>
        <w:rPr>
          <w:spacing w:val="-64"/>
        </w:rPr>
      </w:r>
      <w:r>
        <w:rPr>
          <w:spacing w:val="-2"/>
        </w:rPr>
        <w:t>延所得税资产的账面价值进行复核，如果未来期间很可能无法获得足够的应纳税所得额用以抵扣递延所得税资产的利益，则</w:t>
      </w:r>
      <w:r>
        <w:rPr>
          <w:spacing w:val="-64"/>
        </w:rPr>
        <w:t> </w:t>
      </w:r>
      <w:r>
        <w:rPr>
          <w:spacing w:val="-64"/>
        </w:rPr>
      </w:r>
      <w:r>
        <w:rPr/>
        <w:t>减记递延所得税资产的账面价值。在很可能获得足够的应纳税所得额时，转回减记的金额。</w:t>
      </w:r>
    </w:p>
    <w:p>
      <w:pPr>
        <w:pStyle w:val="BodyText"/>
        <w:spacing w:line="300" w:lineRule="auto" w:before="19"/>
        <w:ind w:left="153" w:right="1131" w:firstLine="420"/>
        <w:jc w:val="both"/>
      </w:pPr>
      <w:r>
        <w:rPr>
          <w:spacing w:val="-2"/>
        </w:rPr>
        <w:t>（</w:t>
      </w:r>
      <w:r>
        <w:rPr>
          <w:rFonts w:ascii="Times New Roman" w:hAnsi="Times New Roman" w:cs="Times New Roman" w:eastAsia="Times New Roman" w:hint="default"/>
          <w:spacing w:val="-2"/>
        </w:rPr>
        <w:t>2</w:t>
      </w:r>
      <w:r>
        <w:rPr>
          <w:spacing w:val="-2"/>
        </w:rPr>
        <w:t>）当拥有以净额结算的法定权利，且意图以净额结算或取得资产、清偿负债同时进行时，本公司当期所得税资产及</w:t>
      </w:r>
      <w:r>
        <w:rPr/>
        <w:t> 当期所得税负债以抵销后的净额列报。</w:t>
      </w:r>
    </w:p>
    <w:p>
      <w:pPr>
        <w:pStyle w:val="BodyText"/>
        <w:spacing w:line="316" w:lineRule="auto" w:before="31"/>
        <w:ind w:left="153" w:right="1130" w:firstLine="420"/>
        <w:jc w:val="both"/>
      </w:pPr>
      <w:r>
        <w:rPr/>
        <w:t>当拥有以净额结算当期所得税资产及当期所得税负债的法定权利，且递延所得税资产及递延所得税负债是与同一税收 </w:t>
      </w: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0" w:firstLine="423"/>
        <w:jc w:val="left"/>
      </w:pPr>
      <w:r>
        <w:rPr>
          <w:rFonts w:ascii="Times New Roman" w:hAnsi="Times New Roman" w:cs="Times New Roman" w:eastAsia="Times New Roman" w:hint="default"/>
          <w:spacing w:val="-1"/>
        </w:rPr>
        <w:t>1)</w:t>
      </w:r>
      <w:r>
        <w:rPr>
          <w:spacing w:val="-1"/>
        </w:rPr>
        <w:t>出租人：公司出租资产收取的租赁费，在不扣除免租期的整个租赁期内，按直线法进行分摊，确认为租赁相关收入。</w:t>
      </w:r>
      <w:r>
        <w:rPr/>
        <w:t> </w:t>
      </w:r>
      <w:r>
        <w:rPr>
          <w:spacing w:val="-2"/>
        </w:rPr>
        <w:t>公司支付的与租赁交易相关的初始直接费用，计入当期费用；如金额较大的，则予以资本化，在这个租赁期间内按照与租赁</w:t>
      </w:r>
      <w:r>
        <w:rPr>
          <w:spacing w:val="-66"/>
        </w:rPr>
        <w:t> </w:t>
      </w:r>
      <w:r>
        <w:rPr>
          <w:spacing w:val="-66"/>
        </w:rPr>
      </w:r>
      <w:r>
        <w:rPr>
          <w:spacing w:val="-2"/>
        </w:rPr>
        <w:t>相关收入确认相同的基础分期计入当期收益。公司承担了应由承租方承担的与租赁相关的费用时，公司将该部分费用从租金</w:t>
      </w:r>
      <w:r>
        <w:rPr>
          <w:spacing w:val="-64"/>
        </w:rPr>
        <w:t> </w:t>
      </w:r>
      <w:r>
        <w:rPr>
          <w:spacing w:val="-64"/>
        </w:rPr>
      </w:r>
      <w:r>
        <w:rPr/>
        <w:t>收入总额扣除，按扣除后的租金费用在租赁期内分配。或有租金于实际发生时计入当期损益。</w:t>
      </w:r>
    </w:p>
    <w:p>
      <w:pPr>
        <w:pStyle w:val="BodyText"/>
        <w:spacing w:line="309" w:lineRule="auto" w:before="22"/>
        <w:ind w:left="153" w:right="1041" w:firstLine="423"/>
        <w:jc w:val="both"/>
      </w:pPr>
      <w:r>
        <w:rPr>
          <w:rFonts w:ascii="Times New Roman" w:hAnsi="Times New Roman" w:cs="Times New Roman" w:eastAsia="Times New Roman" w:hint="default"/>
        </w:rPr>
        <w:t>2)</w:t>
      </w:r>
      <w:r>
        <w:rPr/>
        <w:t>承租人：公司租入资产所支付的租赁费，在不扣除免租期的整个租赁期内，按直线法进行分摊，计入当期费用。公</w:t>
      </w:r>
      <w:r>
        <w:rPr>
          <w:spacing w:val="2"/>
        </w:rPr>
        <w:t> </w:t>
      </w:r>
      <w:r>
        <w:rPr>
          <w:spacing w:val="-2"/>
        </w:rPr>
        <w:t>司支付的与租赁交易相关的初始直接费用，计入当期费用；资产出租方承担了应由公司承担的与租赁相关的费用时，公司将</w:t>
      </w:r>
      <w:r>
        <w:rPr>
          <w:spacing w:val="-66"/>
        </w:rPr>
        <w:t> </w:t>
      </w:r>
      <w:r>
        <w:rPr>
          <w:spacing w:val="-66"/>
        </w:rPr>
      </w:r>
      <w:r>
        <w:rPr>
          <w:spacing w:val="-4"/>
        </w:rPr>
        <w:t>该部分费用从租金总额中扣除，按扣除后的租金费用在租赁期内分摊，计入当期费用。或有租金于实际发生时计入当期损益。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41" w:firstLine="372"/>
        <w:jc w:val="both"/>
      </w:pPr>
      <w:r>
        <w:rPr/>
        <w:t>本公司在运用会计政策过程中，由于经营活动内在的不确定性，本公司需要对无法准确计量的报表项目的账面价值进 </w:t>
      </w:r>
      <w:r>
        <w:rPr>
          <w:spacing w:val="-4"/>
        </w:rPr>
        <w:t>行判断、估计和假设。这些判断、估计和假设是基于本公司管理层过去的历史经验，并在考虑其他相关因素的基础上做出的。</w:t>
      </w:r>
    </w:p>
    <w:p>
      <w:pPr>
        <w:spacing w:after="0" w:line="316" w:lineRule="auto"/>
        <w:jc w:val="both"/>
        <w:sectPr>
          <w:footerReference w:type="default" r:id="rId36"/>
          <w:pgSz w:w="11910" w:h="16840"/>
          <w:pgMar w:footer="982" w:header="877" w:top="1100" w:bottom="1180" w:left="980" w:right="0"/>
          <w:pgNumType w:start="101"/>
        </w:sectPr>
      </w:pPr>
    </w:p>
    <w:p>
      <w:pPr>
        <w:spacing w:line="240" w:lineRule="auto" w:before="12"/>
        <w:rPr>
          <w:rFonts w:ascii="宋体" w:hAnsi="宋体" w:cs="宋体" w:eastAsia="宋体" w:hint="default"/>
          <w:sz w:val="21"/>
          <w:szCs w:val="21"/>
        </w:rPr>
      </w:pPr>
    </w:p>
    <w:p>
      <w:pPr>
        <w:pStyle w:val="BodyText"/>
        <w:spacing w:line="316" w:lineRule="auto" w:before="44"/>
        <w:ind w:left="153" w:right="1131"/>
        <w:jc w:val="both"/>
      </w:pP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spacing w:val="-2"/>
        </w:rPr>
        <w:t>大调整。本公司对前述判断、估计和假设在持续经营的基础上进行定期复核，会计估计的变更仅影响变更当期的，其影响数</w:t>
      </w:r>
      <w:r>
        <w:rPr>
          <w:spacing w:val="-66"/>
        </w:rPr>
        <w:t> </w:t>
      </w:r>
      <w:r>
        <w:rPr>
          <w:spacing w:val="-66"/>
        </w:rPr>
      </w:r>
      <w:r>
        <w:rPr/>
        <w:t>在变更当期予以确认；既影响变更当期又影响未来期间的，其影响数在变更当期和未来期间予以确认。</w:t>
      </w:r>
    </w:p>
    <w:p>
      <w:pPr>
        <w:pStyle w:val="BodyText"/>
        <w:spacing w:line="240" w:lineRule="auto" w:before="19"/>
        <w:ind w:left="573" w:right="0"/>
        <w:jc w:val="left"/>
      </w:pPr>
      <w:r>
        <w:rPr/>
        <w:t>（</w:t>
      </w:r>
      <w:r>
        <w:rPr>
          <w:rFonts w:ascii="Times New Roman" w:hAnsi="Times New Roman" w:cs="Times New Roman" w:eastAsia="Times New Roman" w:hint="default"/>
        </w:rPr>
        <w:t>1</w:t>
      </w:r>
      <w:r>
        <w:rPr/>
        <w:t>）租赁的分类</w:t>
      </w:r>
    </w:p>
    <w:p>
      <w:pPr>
        <w:pStyle w:val="BodyText"/>
        <w:spacing w:line="309" w:lineRule="auto" w:before="63"/>
        <w:ind w:left="153" w:right="1130" w:firstLine="420"/>
        <w:jc w:val="both"/>
      </w:pP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租赁》的规定，将租赁归类为经营租赁和融资租赁，在进行归类时，管理层需要对</w:t>
      </w:r>
      <w:r>
        <w:rPr/>
        <w:t> </w:t>
      </w:r>
      <w:r>
        <w:rPr>
          <w:spacing w:val="-2"/>
        </w:rPr>
        <w:t>是否已将与租出资产所有权有关的全部风险和报酬实质上转移给承租人，或者本公司是否已经实质上承担与租入资产所有权</w:t>
      </w:r>
      <w:r>
        <w:rPr>
          <w:spacing w:val="-64"/>
        </w:rPr>
        <w:t> </w:t>
      </w:r>
      <w:r>
        <w:rPr>
          <w:spacing w:val="-64"/>
        </w:rPr>
      </w:r>
      <w:r>
        <w:rPr/>
        <w:t>有关的全部风险和报酬，作出分析和判断。</w:t>
      </w:r>
    </w:p>
    <w:p>
      <w:pPr>
        <w:pStyle w:val="BodyText"/>
        <w:spacing w:line="300" w:lineRule="auto" w:before="24"/>
        <w:ind w:left="573" w:right="0"/>
        <w:jc w:val="left"/>
      </w:pPr>
      <w:r>
        <w:rPr/>
        <w:t>（</w:t>
      </w:r>
      <w:r>
        <w:rPr>
          <w:rFonts w:ascii="Times New Roman" w:hAnsi="Times New Roman" w:cs="Times New Roman" w:eastAsia="Times New Roman" w:hint="default"/>
        </w:rPr>
        <w:t>2</w:t>
      </w:r>
      <w:r>
        <w:rPr/>
        <w:t>）金融工具的减值 本公司采用预期信用损失模型对以摊余成本计量的应收款项及债权投资、以公允价值计量且其变动计入其他综合收益</w:t>
      </w:r>
    </w:p>
    <w:p>
      <w:pPr>
        <w:pStyle w:val="BodyText"/>
        <w:spacing w:line="316" w:lineRule="auto" w:before="31"/>
        <w:ind w:left="153" w:right="1130"/>
        <w:jc w:val="both"/>
      </w:pPr>
      <w:r>
        <w:rPr>
          <w:spacing w:val="-2"/>
        </w:rPr>
        <w:t>的应收款项融资及其他债权投资等的减值进行评估。运用预期信用损失模型涉及管理层的重大判断和估计。预期信用损失计</w:t>
      </w:r>
      <w:r>
        <w:rPr>
          <w:spacing w:val="-64"/>
        </w:rPr>
        <w:t> </w:t>
      </w:r>
      <w:r>
        <w:rPr>
          <w:spacing w:val="-64"/>
        </w:rPr>
      </w:r>
      <w:r>
        <w:rPr>
          <w:spacing w:val="-2"/>
        </w:rPr>
        <w:t>量的关键参数包括违约概率、违约损失率和违约风险敞口。本公司考虑历史统计数据的定量分析及前瞻性信息，建立违约概</w:t>
      </w:r>
      <w:r>
        <w:rPr>
          <w:spacing w:val="-66"/>
        </w:rPr>
        <w:t> </w:t>
      </w:r>
      <w:r>
        <w:rPr>
          <w:spacing w:val="-66"/>
        </w:rPr>
      </w:r>
      <w:r>
        <w:rPr>
          <w:spacing w:val="-2"/>
        </w:rPr>
        <w:t>率、违约损失率及违约风险敞口模型。实际的金融工具减值结果与原先估计的差异将在估计被改变的期间影响金融工具的账</w:t>
      </w:r>
      <w:r>
        <w:rPr>
          <w:spacing w:val="-64"/>
        </w:rPr>
        <w:t> </w:t>
      </w:r>
      <w:r>
        <w:rPr>
          <w:spacing w:val="-64"/>
        </w:rPr>
      </w:r>
      <w:r>
        <w:rPr/>
        <w:t>面价值及信用减值损失的计提或转回。</w:t>
      </w:r>
    </w:p>
    <w:p>
      <w:pPr>
        <w:pStyle w:val="BodyText"/>
        <w:spacing w:line="300" w:lineRule="auto" w:before="19"/>
        <w:ind w:left="573" w:right="0"/>
        <w:jc w:val="left"/>
      </w:pPr>
      <w:r>
        <w:rPr/>
        <w:t>（</w:t>
      </w:r>
      <w:r>
        <w:rPr>
          <w:rFonts w:ascii="Times New Roman" w:hAnsi="Times New Roman" w:cs="Times New Roman" w:eastAsia="Times New Roman" w:hint="default"/>
        </w:rPr>
        <w:t>3</w:t>
      </w:r>
      <w:r>
        <w:rPr/>
        <w:t>）存货跌价准备 本公司根据存货会计政策，按照成本与可变现净值孰低计量，对成本高于可变现净值及陈旧和滞销的存货，计提存货</w:t>
      </w:r>
    </w:p>
    <w:p>
      <w:pPr>
        <w:pStyle w:val="BodyText"/>
        <w:spacing w:line="316" w:lineRule="auto" w:before="31"/>
        <w:ind w:left="153" w:right="1130"/>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300" w:lineRule="auto" w:before="19"/>
        <w:ind w:left="573" w:right="0"/>
        <w:jc w:val="left"/>
      </w:pPr>
      <w:r>
        <w:rPr/>
        <w:t>（</w:t>
      </w:r>
      <w:r>
        <w:rPr>
          <w:rFonts w:ascii="Times New Roman" w:hAnsi="Times New Roman" w:cs="Times New Roman" w:eastAsia="Times New Roman" w:hint="default"/>
        </w:rPr>
        <w:t>4</w:t>
      </w:r>
      <w:r>
        <w:rPr/>
        <w:t>）非金融非流动资产减值 本公司于资产负债表日对除金融资产之外的非流动资产判断是否存在可能发生减值的迹象。对使用寿命不确定的无形</w:t>
      </w:r>
    </w:p>
    <w:p>
      <w:pPr>
        <w:pStyle w:val="BodyText"/>
        <w:spacing w:line="316" w:lineRule="auto" w:before="31"/>
        <w:ind w:left="153" w:right="1131"/>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9"/>
        <w:ind w:left="153" w:right="1126" w:firstLine="420"/>
        <w:jc w:val="both"/>
      </w:pPr>
      <w:r>
        <w:rPr/>
        <w:t>当资产或资产组的账面价值高于可收回金额，即公允价值减去处置费用后的净额和预计未来现金流量的现值中的较高</w:t>
      </w:r>
      <w:r>
        <w:rPr>
          <w:spacing w:val="1"/>
        </w:rPr>
        <w:t> </w:t>
      </w:r>
      <w:r>
        <w:rPr/>
        <w:t>者，表明发生了减值。</w:t>
      </w:r>
    </w:p>
    <w:p>
      <w:pPr>
        <w:pStyle w:val="BodyText"/>
        <w:spacing w:line="312" w:lineRule="auto" w:before="19"/>
        <w:ind w:left="153" w:right="1126" w:firstLine="420"/>
        <w:jc w:val="both"/>
      </w:pPr>
      <w:r>
        <w:rPr/>
        <w:t>公允价值减去处置费用后的净额，参考公平交易中类似资产的销售协议价格或可观察到的市场价格，减去可直接归属</w:t>
      </w:r>
      <w:r>
        <w:rPr>
          <w:spacing w:val="1"/>
        </w:rPr>
        <w:t> </w:t>
      </w:r>
      <w:r>
        <w:rPr>
          <w:spacing w:val="-1"/>
        </w:rPr>
        <w:t>于该资产处置的增量成本确定。在预计未来现金流量现值时，需要对该资产</w:t>
      </w:r>
      <w:r>
        <w:rPr>
          <w:rFonts w:ascii="Times New Roman" w:hAnsi="Times New Roman" w:cs="Times New Roman" w:eastAsia="Times New Roman" w:hint="default"/>
          <w:spacing w:val="-1"/>
        </w:rPr>
        <w:t>(</w:t>
      </w:r>
      <w:r>
        <w:rPr>
          <w:spacing w:val="-1"/>
        </w:rPr>
        <w:t>或资产组</w:t>
      </w:r>
      <w:r>
        <w:rPr>
          <w:rFonts w:ascii="Times New Roman" w:hAnsi="Times New Roman" w:cs="Times New Roman" w:eastAsia="Times New Roman" w:hint="default"/>
          <w:spacing w:val="-1"/>
        </w:rPr>
        <w:t>)</w:t>
      </w:r>
      <w:r>
        <w:rPr>
          <w:spacing w:val="-1"/>
        </w:rPr>
        <w:t>的产量、售价、相关经营成本以及计</w:t>
      </w:r>
      <w:r>
        <w:rPr>
          <w:spacing w:val="-58"/>
        </w:rPr>
        <w:t> </w:t>
      </w:r>
      <w:r>
        <w:rPr>
          <w:spacing w:val="-58"/>
        </w:rPr>
      </w:r>
      <w:r>
        <w:rPr>
          <w:spacing w:val="-2"/>
        </w:rPr>
        <w:t>算现值时使用的折现率等作出重大判断。本公司在估计可收回金额时会采用所有能够获得的相关资料，包括根据合理和可支</w:t>
      </w:r>
      <w:r>
        <w:rPr>
          <w:spacing w:val="-64"/>
        </w:rPr>
        <w:t> </w:t>
      </w:r>
      <w:r>
        <w:rPr>
          <w:spacing w:val="-64"/>
        </w:rPr>
      </w:r>
      <w:r>
        <w:rPr/>
        <w:t>持的假设所作出有关产量、售价和相关经营成本的预测。</w:t>
      </w:r>
    </w:p>
    <w:p>
      <w:pPr>
        <w:pStyle w:val="BodyText"/>
        <w:spacing w:line="316" w:lineRule="auto" w:before="22"/>
        <w:ind w:left="153" w:right="1126" w:firstLine="420"/>
        <w:jc w:val="both"/>
      </w:pPr>
      <w:r>
        <w:rPr/>
        <w:t>本公司至少每年评估商誉是否发生减值，要求对分配了商誉的资产组的使用价值进行估计。估计使用价值时，本公司</w:t>
      </w:r>
      <w:r>
        <w:rPr>
          <w:spacing w:val="1"/>
        </w:rPr>
        <w:t> </w:t>
      </w:r>
      <w:r>
        <w:rPr/>
        <w:t>需要估计未来来自资产组的现金流量，同时选择恰当的折现率计算未来现金流量的现值。</w:t>
      </w:r>
    </w:p>
    <w:p>
      <w:pPr>
        <w:pStyle w:val="BodyText"/>
        <w:spacing w:line="300" w:lineRule="auto" w:before="19"/>
        <w:ind w:left="573" w:right="0"/>
        <w:jc w:val="left"/>
      </w:pPr>
      <w:r>
        <w:rPr/>
        <w:t>（</w:t>
      </w:r>
      <w:r>
        <w:rPr>
          <w:rFonts w:ascii="Times New Roman" w:hAnsi="Times New Roman" w:cs="Times New Roman" w:eastAsia="Times New Roman" w:hint="default"/>
        </w:rPr>
        <w:t>5</w:t>
      </w:r>
      <w:r>
        <w:rPr/>
        <w:t>）折旧和摊销 本公司对投资性房地产、固定资产和无形资产在考虑其残值后，在使用寿命内按直线法计提折旧和摊销。本公司定期</w:t>
      </w:r>
    </w:p>
    <w:p>
      <w:pPr>
        <w:pStyle w:val="BodyText"/>
        <w:spacing w:line="316" w:lineRule="auto" w:before="31"/>
        <w:ind w:left="153" w:right="1130"/>
        <w:jc w:val="both"/>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00" w:lineRule="auto" w:before="19"/>
        <w:ind w:left="573" w:right="0"/>
        <w:jc w:val="left"/>
      </w:pPr>
      <w:r>
        <w:rPr/>
        <w:t>（</w:t>
      </w:r>
      <w:r>
        <w:rPr>
          <w:rFonts w:ascii="Times New Roman" w:hAnsi="Times New Roman" w:cs="Times New Roman" w:eastAsia="Times New Roman" w:hint="default"/>
        </w:rPr>
        <w:t>6</w:t>
      </w:r>
      <w:r>
        <w:rPr/>
        <w:t>）递延所得税资产 在很有可能有足够的应纳税利润来抵扣亏损的限度内，本公司就所有未利用的税务亏损确认递延所得税资产。这需要</w:t>
      </w:r>
    </w:p>
    <w:p>
      <w:pPr>
        <w:pStyle w:val="BodyText"/>
        <w:spacing w:line="316" w:lineRule="auto" w:before="31"/>
        <w:ind w:left="153" w:right="1130"/>
        <w:jc w:val="both"/>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00" w:lineRule="auto" w:before="19"/>
        <w:ind w:left="573" w:right="1117"/>
        <w:jc w:val="left"/>
      </w:pPr>
      <w:r>
        <w:rPr/>
        <w:t>（</w:t>
      </w:r>
      <w:r>
        <w:rPr>
          <w:rFonts w:ascii="Times New Roman" w:hAnsi="Times New Roman" w:cs="Times New Roman" w:eastAsia="Times New Roman" w:hint="default"/>
        </w:rPr>
        <w:t>7</w:t>
      </w:r>
      <w:r>
        <w:rPr/>
        <w:t>）所得税 本公司在正常的经营活动中，有部分交易其最终的税务处理和计算存在一定的不确定性。部分项目是否能够在税前列</w:t>
      </w:r>
    </w:p>
    <w:p>
      <w:pPr>
        <w:pStyle w:val="BodyText"/>
        <w:spacing w:line="316" w:lineRule="auto" w:before="31"/>
        <w:ind w:left="153" w:right="1130"/>
        <w:jc w:val="both"/>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pStyle w:val="BodyText"/>
        <w:spacing w:line="240" w:lineRule="auto" w:before="19"/>
        <w:ind w:left="573" w:right="0"/>
        <w:jc w:val="left"/>
      </w:pPr>
      <w:r>
        <w:rPr/>
        <w:t>（</w:t>
      </w:r>
      <w:r>
        <w:rPr>
          <w:rFonts w:ascii="Times New Roman" w:hAnsi="Times New Roman" w:cs="Times New Roman" w:eastAsia="Times New Roman" w:hint="default"/>
        </w:rPr>
        <w:t>8</w:t>
      </w:r>
      <w:r>
        <w:rPr/>
        <w:t>）开发支出</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74" w:right="0"/>
        <w:jc w:val="left"/>
      </w:pPr>
      <w:r>
        <w:rPr>
          <w:spacing w:val="-2"/>
        </w:rPr>
        <w:t>确定资本化的金额时，本公司管理层需要作出有关资产的预计未来现金流量、适用的折现率以及预计受益期间的假设。</w:t>
      </w:r>
      <w:r>
        <w:rPr>
          <w:spacing w:val="-40"/>
        </w:rPr>
        <w:t> </w:t>
      </w:r>
      <w:r>
        <w:rPr>
          <w:spacing w:val="-40"/>
        </w:rPr>
      </w:r>
      <w:r>
        <w:rPr/>
        <w:t>本公司管理层认为该业务的前景和目前的发展良好，市场对以该无形资产生产的产品的反应也证实了管理层之前对这</w:t>
      </w:r>
    </w:p>
    <w:p>
      <w:pPr>
        <w:pStyle w:val="BodyText"/>
        <w:spacing w:line="316" w:lineRule="auto" w:before="19"/>
        <w:ind w:right="1048"/>
        <w:jc w:val="both"/>
      </w:pPr>
      <w:r>
        <w:rPr>
          <w:spacing w:val="-2"/>
        </w:rPr>
        <w:t>一项目预期收入的估计。但是日益增加的竞争也使得管理层重新考虑对市场份额和有关产品的预计毛利等方面的假设。经过</w:t>
      </w:r>
      <w:r>
        <w:rPr>
          <w:spacing w:val="-64"/>
        </w:rPr>
        <w:t> </w:t>
      </w:r>
      <w:r>
        <w:rPr>
          <w:spacing w:val="-64"/>
        </w:rPr>
      </w:r>
      <w:r>
        <w:rPr>
          <w:spacing w:val="-2"/>
        </w:rPr>
        <w:t>全面的检视后，本公司管理层认为即使在产品回报率出现下调的情况下，仍可以全额收回自行开发的无形资产账面价值。本</w:t>
      </w:r>
      <w:r>
        <w:rPr>
          <w:spacing w:val="-66"/>
        </w:rPr>
        <w:t> </w:t>
      </w:r>
      <w:r>
        <w:rPr>
          <w:spacing w:val="-66"/>
        </w:rPr>
      </w:r>
      <w:r>
        <w:rPr/>
        <w:t>公司将继续密切检视有关情况，一旦有迹象表明需要调整相关会计估计的假设，本公司将在有关迹象发生的期间作出调整。</w:t>
      </w:r>
    </w:p>
    <w:p>
      <w:pPr>
        <w:pStyle w:val="BodyText"/>
        <w:spacing w:line="300" w:lineRule="auto" w:before="19"/>
        <w:ind w:left="574" w:right="1117"/>
        <w:jc w:val="left"/>
      </w:pPr>
      <w:r>
        <w:rPr/>
        <w:t>（</w:t>
      </w:r>
      <w:r>
        <w:rPr>
          <w:rFonts w:ascii="Times New Roman" w:hAnsi="Times New Roman" w:cs="Times New Roman" w:eastAsia="Times New Roman" w:hint="default"/>
        </w:rPr>
        <w:t>9</w:t>
      </w:r>
      <w:r>
        <w:rPr/>
        <w:t>）公允价值 公允价值是指市场参与者在计量日发生的有序交易中，出售一项资产所能收到或者转移一项负债所需支付的价格。本</w:t>
      </w:r>
    </w:p>
    <w:p>
      <w:pPr>
        <w:pStyle w:val="BodyText"/>
        <w:spacing w:line="309" w:lineRule="auto" w:before="31"/>
        <w:ind w:right="1131"/>
        <w:jc w:val="both"/>
      </w:pPr>
      <w:r>
        <w:rPr>
          <w:spacing w:val="-2"/>
        </w:rPr>
        <w:t>公司以公允价值计量相关资产或负债，假定出售资产或者转移负债的有序交易在相关资产或负债的主要市场进行；不存在主</w:t>
      </w:r>
      <w:r>
        <w:rPr>
          <w:spacing w:val="-64"/>
        </w:rPr>
        <w:t> </w:t>
      </w:r>
      <w:r>
        <w:rPr>
          <w:spacing w:val="-64"/>
        </w:rPr>
      </w:r>
      <w:r>
        <w:rPr>
          <w:spacing w:val="-1"/>
        </w:rPr>
        <w:t>要市场的，本公司假定该交易在相关资产或负债的最有利市场进行。主要市场</w:t>
      </w:r>
      <w:r>
        <w:rPr>
          <w:rFonts w:ascii="Times New Roman" w:hAnsi="Times New Roman" w:cs="Times New Roman" w:eastAsia="Times New Roman" w:hint="default"/>
          <w:spacing w:val="-1"/>
        </w:rPr>
        <w:t>(</w:t>
      </w:r>
      <w:r>
        <w:rPr>
          <w:spacing w:val="-1"/>
        </w:rPr>
        <w:t>或最有利市场</w:t>
      </w:r>
      <w:r>
        <w:rPr>
          <w:rFonts w:ascii="Times New Roman" w:hAnsi="Times New Roman" w:cs="Times New Roman" w:eastAsia="Times New Roman" w:hint="default"/>
          <w:spacing w:val="-1"/>
        </w:rPr>
        <w:t>)</w:t>
      </w:r>
      <w:r>
        <w:rPr>
          <w:spacing w:val="-1"/>
        </w:rPr>
        <w:t>是本公司在计量日能够进入的</w:t>
      </w:r>
      <w:r>
        <w:rPr>
          <w:spacing w:val="-57"/>
        </w:rPr>
        <w:t> </w:t>
      </w:r>
      <w:r>
        <w:rPr/>
        <w:t>交易市场。</w:t>
      </w:r>
    </w:p>
    <w:p>
      <w:pPr>
        <w:pStyle w:val="BodyText"/>
        <w:spacing w:line="316" w:lineRule="auto" w:before="24"/>
        <w:ind w:right="1126" w:firstLine="420"/>
        <w:jc w:val="both"/>
      </w:pPr>
      <w:r>
        <w:rPr/>
        <w:t>本公司采用在当前情况下适用并且有足够可利用数据和其他信息支持的估值技术，考虑市场参与者将该资产用于最佳</w:t>
      </w:r>
      <w:r>
        <w:rPr>
          <w:spacing w:val="1"/>
        </w:rPr>
        <w:t> </w:t>
      </w:r>
      <w:r>
        <w:rPr>
          <w:spacing w:val="-2"/>
        </w:rPr>
        <w:t>用途产生经济利益的能力，或者将该资产出售给能够用于最佳用途的其他市场参与者产生经济利益的能力，优先使用相关可</w:t>
      </w:r>
      <w:r>
        <w:rPr>
          <w:spacing w:val="-64"/>
        </w:rPr>
        <w:t> </w:t>
      </w:r>
      <w:r>
        <w:rPr>
          <w:spacing w:val="-64"/>
        </w:rPr>
      </w:r>
      <w:r>
        <w:rPr/>
        <w:t>观察输入值，只有在可观察输入值无法取得或取得不切实可行的情况下，才使用不可观察输入值。</w:t>
      </w:r>
    </w:p>
    <w:p>
      <w:pPr>
        <w:pStyle w:val="BodyText"/>
        <w:spacing w:line="316" w:lineRule="auto" w:before="19"/>
        <w:ind w:right="0" w:firstLine="420"/>
        <w:jc w:val="left"/>
      </w:pPr>
      <w:r>
        <w:rPr/>
        <w:t>在财务报表中以公允价值计量或披露的资产和负债，根据对公允价值计量整体而言具有重要意义的最低层次输入值，</w:t>
      </w:r>
      <w:r>
        <w:rPr>
          <w:spacing w:val="1"/>
        </w:rPr>
        <w:t> </w:t>
      </w:r>
      <w:r>
        <w:rPr>
          <w:spacing w:val="-2"/>
        </w:rPr>
        <w:t>确定所属的公允价值层次：第一层次输入值，是在计量日能够取得的相同资产或负债在活跃市场上未经调整的报价；第二层</w:t>
      </w:r>
      <w:r>
        <w:rPr>
          <w:spacing w:val="-66"/>
        </w:rPr>
        <w:t> </w:t>
      </w:r>
      <w:r>
        <w:rPr>
          <w:spacing w:val="-66"/>
        </w:rPr>
      </w:r>
      <w:r>
        <w:rPr>
          <w:spacing w:val="-4"/>
        </w:rPr>
        <w:t>次输入值，是除第一层次输入值外相关资产或负债直接或间接可观察的输入值，包括：活跃市场中有类似资产或负债的报价；</w:t>
      </w:r>
      <w:r>
        <w:rPr>
          <w:spacing w:val="-44"/>
        </w:rPr>
        <w:t> </w:t>
      </w:r>
      <w:r>
        <w:rPr>
          <w:spacing w:val="-44"/>
        </w:rPr>
      </w:r>
      <w:r>
        <w:rPr>
          <w:spacing w:val="-2"/>
        </w:rPr>
        <w:t>非活跃市场中相同或类似资产或负债的报价；除报价以外的其他可观察输入值，如在正常报价间隔期间可观察的利益和收益</w:t>
      </w:r>
      <w:r>
        <w:rPr>
          <w:spacing w:val="-64"/>
        </w:rPr>
        <w:t> </w:t>
      </w:r>
      <w:r>
        <w:rPr>
          <w:spacing w:val="-64"/>
        </w:rPr>
      </w:r>
      <w:r>
        <w:rPr>
          <w:spacing w:val="-4"/>
        </w:rPr>
        <w:t>率曲线等；第三层次输入值，是相关资产或负债的不可观察输入值，包括不能直接观察或无法由可观察市场数据验证的利率、</w:t>
      </w:r>
      <w:r>
        <w:rPr>
          <w:spacing w:val="-44"/>
        </w:rPr>
        <w:t> </w:t>
      </w:r>
      <w:r>
        <w:rPr>
          <w:spacing w:val="-44"/>
        </w:rPr>
      </w:r>
      <w:r>
        <w:rPr>
          <w:spacing w:val="-2"/>
        </w:rPr>
        <w:t>股票波动率、企业合并中承担的弃置义务的未来现金流量、使用自身数据做出的财务预测等。每个资产负债表日，本公司对</w:t>
      </w:r>
      <w:r>
        <w:rPr>
          <w:spacing w:val="-66"/>
        </w:rPr>
        <w:t> </w:t>
      </w:r>
      <w:r>
        <w:rPr>
          <w:spacing w:val="-66"/>
        </w:rPr>
      </w:r>
      <w:r>
        <w:rPr/>
        <w:t>在财务报表中确认的持续以公允价值计量的资产和负债进行重新评估，以确定是否在公允价值计量层次之间发生转换。</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04"/>
        <w:gridCol w:w="2268"/>
        <w:gridCol w:w="594"/>
      </w:tblGrid>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0"/>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363" w:hRule="exact"/>
        </w:trPr>
        <w:tc>
          <w:tcPr>
            <w:tcW w:w="680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日分别发布了《企业会计准则第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p>
        </w:tc>
        <w:tc>
          <w:tcPr>
            <w:tcW w:w="2268" w:type="dxa"/>
            <w:tcBorders>
              <w:top w:val="single" w:sz="4" w:space="0" w:color="000000"/>
              <w:left w:val="single" w:sz="4" w:space="0" w:color="000000"/>
              <w:bottom w:val="nil" w:sz="6" w:space="0" w:color="auto"/>
              <w:right w:val="single" w:sz="4" w:space="0" w:color="000000"/>
            </w:tcBorders>
            <w:shd w:val="clear" w:color="auto" w:fill="C7EDCC"/>
          </w:tcPr>
          <w:p>
            <w:pPr/>
          </w:p>
        </w:tc>
        <w:tc>
          <w:tcPr>
            <w:tcW w:w="59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68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nil" w:sz="6" w:space="0" w:color="auto"/>
              <w:left w:val="single" w:sz="4" w:space="0" w:color="000000"/>
              <w:bottom w:val="nil" w:sz="6" w:space="0" w:color="auto"/>
              <w:right w:val="single" w:sz="4" w:space="0" w:color="000000"/>
            </w:tcBorders>
            <w:shd w:val="clear" w:color="auto" w:fill="C7EDCC"/>
          </w:tcPr>
          <w:p>
            <w:pPr/>
          </w:p>
        </w:tc>
        <w:tc>
          <w:tcPr>
            <w:tcW w:w="59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4" w:hRule="exact"/>
        </w:trPr>
        <w:tc>
          <w:tcPr>
            <w:tcW w:w="68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企</w:t>
            </w: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日发布了《企业会计准则第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(2017</w:t>
            </w:r>
          </w:p>
        </w:tc>
        <w:tc>
          <w:tcPr>
            <w:tcW w:w="22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73"/>
              <w:jc w:val="left"/>
              <w:rPr>
                <w:rFonts w:ascii="宋体" w:hAnsi="宋体" w:cs="宋体" w:eastAsia="宋体" w:hint="default"/>
                <w:sz w:val="18"/>
                <w:szCs w:val="18"/>
              </w:rPr>
            </w:pPr>
            <w:r>
              <w:rPr>
                <w:rFonts w:ascii="宋体" w:hAnsi="宋体" w:cs="宋体" w:eastAsia="宋体" w:hint="default"/>
                <w:sz w:val="18"/>
                <w:szCs w:val="18"/>
              </w:rPr>
              <w:t>本次变更经公司第九届董事 会第八次会议审议通过。</w:t>
            </w:r>
          </w:p>
        </w:tc>
        <w:tc>
          <w:tcPr>
            <w:tcW w:w="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13" w:hRule="exact"/>
        </w:trPr>
        <w:tc>
          <w:tcPr>
            <w:tcW w:w="68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上述准则以下统称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w:t>
            </w:r>
          </w:p>
        </w:tc>
        <w:tc>
          <w:tcPr>
            <w:tcW w:w="2268" w:type="dxa"/>
            <w:tcBorders>
              <w:top w:val="nil" w:sz="6" w:space="0" w:color="auto"/>
              <w:left w:val="single" w:sz="4" w:space="0" w:color="000000"/>
              <w:bottom w:val="nil" w:sz="6" w:space="0" w:color="auto"/>
              <w:right w:val="single" w:sz="4" w:space="0" w:color="000000"/>
            </w:tcBorders>
            <w:shd w:val="clear" w:color="auto" w:fill="C7EDCC"/>
          </w:tcPr>
          <w:p>
            <w:pPr/>
          </w:p>
        </w:tc>
        <w:tc>
          <w:tcPr>
            <w:tcW w:w="594"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1" w:hRule="exact"/>
        </w:trPr>
        <w:tc>
          <w:tcPr>
            <w:tcW w:w="680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日起执行新金融工具准则。</w:t>
            </w:r>
          </w:p>
        </w:tc>
        <w:tc>
          <w:tcPr>
            <w:tcW w:w="2268" w:type="dxa"/>
            <w:tcBorders>
              <w:top w:val="nil" w:sz="6" w:space="0" w:color="auto"/>
              <w:left w:val="single" w:sz="4" w:space="0" w:color="000000"/>
              <w:bottom w:val="single" w:sz="4" w:space="0" w:color="000000"/>
              <w:right w:val="single" w:sz="4" w:space="0" w:color="000000"/>
            </w:tcBorders>
            <w:shd w:val="clear" w:color="auto" w:fill="C7EDCC"/>
          </w:tcPr>
          <w:p>
            <w:pPr/>
          </w:p>
        </w:tc>
        <w:tc>
          <w:tcPr>
            <w:tcW w:w="594"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6804" w:type="dxa"/>
            <w:tcBorders>
              <w:top w:val="single" w:sz="4" w:space="0" w:color="000000"/>
              <w:left w:val="single" w:sz="4" w:space="0" w:color="000000"/>
              <w:bottom w:val="nil" w:sz="6" w:space="0" w:color="auto"/>
              <w:right w:val="single" w:sz="4" w:space="0" w:color="000000"/>
            </w:tcBorders>
            <w:shd w:val="clear" w:color="auto" w:fill="C7EDCC"/>
          </w:tcPr>
          <w:p>
            <w:pPr/>
          </w:p>
        </w:tc>
        <w:tc>
          <w:tcPr>
            <w:tcW w:w="226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本次变更经公司第九届董事</w:t>
            </w:r>
          </w:p>
        </w:tc>
        <w:tc>
          <w:tcPr>
            <w:tcW w:w="59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8" w:hRule="exact"/>
        </w:trPr>
        <w:tc>
          <w:tcPr>
            <w:tcW w:w="68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财务报表格式要求变化</w:t>
            </w:r>
          </w:p>
        </w:tc>
        <w:tc>
          <w:tcPr>
            <w:tcW w:w="22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会第七次、第八次会议审议</w:t>
            </w:r>
          </w:p>
        </w:tc>
        <w:tc>
          <w:tcPr>
            <w:tcW w:w="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12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351" w:hRule="exact"/>
        </w:trPr>
        <w:tc>
          <w:tcPr>
            <w:tcW w:w="6804" w:type="dxa"/>
            <w:tcBorders>
              <w:top w:val="nil" w:sz="6" w:space="0" w:color="auto"/>
              <w:left w:val="single" w:sz="4" w:space="0" w:color="000000"/>
              <w:bottom w:val="single" w:sz="4" w:space="0" w:color="000000"/>
              <w:right w:val="single" w:sz="4" w:space="0" w:color="000000"/>
            </w:tcBorders>
            <w:shd w:val="clear" w:color="auto" w:fill="C7EDCC"/>
          </w:tcPr>
          <w:p>
            <w:pPr/>
          </w:p>
        </w:tc>
        <w:tc>
          <w:tcPr>
            <w:tcW w:w="226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594"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026" w:hRule="exact"/>
        </w:trPr>
        <w:tc>
          <w:tcPr>
            <w:tcW w:w="68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产交换</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新非货币性资产交换准则</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本次变更经公司第九届董事 会第八次会议审议通过。</w:t>
            </w:r>
          </w:p>
        </w:tc>
        <w:tc>
          <w:tcPr>
            <w:tcW w:w="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714" w:hRule="exact"/>
        </w:trPr>
        <w:tc>
          <w:tcPr>
            <w:tcW w:w="68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日发布《关于印发修订《企业会计准则第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债务重组》</w:t>
            </w:r>
            <w:r>
              <w:rPr>
                <w:rFonts w:ascii="宋体" w:hAnsi="宋体" w:cs="宋体" w:eastAsia="宋体" w:hint="default"/>
                <w:sz w:val="18"/>
                <w:szCs w:val="18"/>
              </w:rPr>
            </w:r>
          </w:p>
          <w:p>
            <w:pPr>
              <w:pStyle w:val="TableParagraph"/>
              <w:spacing w:line="240" w:lineRule="auto" w:before="63"/>
              <w:ind w:left="22" w:right="-33"/>
              <w:jc w:val="left"/>
              <w:rPr>
                <w:rFonts w:ascii="宋体" w:hAnsi="宋体" w:cs="宋体" w:eastAsia="宋体" w:hint="default"/>
                <w:sz w:val="18"/>
                <w:szCs w:val="18"/>
              </w:rPr>
            </w:pP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新债务重组准则</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日起施行。</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本次变更经公司第九届董事 会第八次会议审议通过。</w:t>
            </w:r>
          </w:p>
        </w:tc>
        <w:tc>
          <w:tcPr>
            <w:tcW w:w="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bl>
    <w:p>
      <w:pPr>
        <w:pStyle w:val="BodyText"/>
        <w:spacing w:line="300" w:lineRule="auto" w:before="11"/>
        <w:ind w:right="1120"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新金融工具准则改变了原准则下金融资产的分类和计量方式，将金融资产分为三类：按摊余成本计量、按公允价 </w:t>
      </w:r>
      <w:r>
        <w:rPr>
          <w:spacing w:val="-2"/>
        </w:rPr>
        <w:t>值计量且其变动计入其他综合收益、按公允价值计量且其变动计入当期损益。本公司考虑金融资产的合同现金流量特征和自</w:t>
      </w:r>
    </w:p>
    <w:p>
      <w:pPr>
        <w:spacing w:after="0" w:line="30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4"/>
        </w:rPr>
        <w:t>身管理金融资产的业务模式进行上述分类。权益类投资需按公允价值计量且其变动计入当期损益，但对非交易性权益类投资，</w:t>
      </w:r>
      <w:r>
        <w:rPr>
          <w:spacing w:val="-44"/>
        </w:rPr>
        <w:t> </w:t>
      </w:r>
      <w:r>
        <w:rPr>
          <w:spacing w:val="-44"/>
        </w:rPr>
      </w:r>
      <w:r>
        <w:rPr>
          <w:spacing w:val="-2"/>
        </w:rPr>
        <w:t>在初始确认时可选择按公允价值计量且其变动计入其他综合收益，该等金融资产终止确认时累计利得或损失从其他综合收益</w:t>
      </w:r>
      <w:r>
        <w:rPr>
          <w:spacing w:val="-64"/>
        </w:rPr>
        <w:t> </w:t>
      </w:r>
      <w:r>
        <w:rPr>
          <w:spacing w:val="-64"/>
        </w:rPr>
      </w:r>
      <w:r>
        <w:rPr/>
        <w:t>转入留存收益，不计入当期损益。</w:t>
      </w:r>
    </w:p>
    <w:p>
      <w:pPr>
        <w:pStyle w:val="BodyText"/>
        <w:spacing w:line="300" w:lineRule="auto" w:before="19"/>
        <w:ind w:left="153" w:right="1131" w:firstLine="420"/>
        <w:jc w:val="both"/>
      </w:pPr>
      <w:r>
        <w:rPr/>
        <w:t>新金融工具准则将金融资产减值计量由原准则下的</w:t>
      </w:r>
      <w:r>
        <w:rPr>
          <w:rFonts w:ascii="Times New Roman" w:hAnsi="Times New Roman" w:cs="Times New Roman" w:eastAsia="Times New Roman" w:hint="default"/>
        </w:rPr>
        <w:t>“</w:t>
      </w:r>
      <w:r>
        <w:rPr/>
        <w:t>已发生损失模型</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预期信用损失模型</w:t>
      </w:r>
      <w:r>
        <w:rPr>
          <w:rFonts w:ascii="Times New Roman" w:hAnsi="Times New Roman" w:cs="Times New Roman" w:eastAsia="Times New Roman" w:hint="default"/>
        </w:rPr>
        <w:t>”</w:t>
      </w:r>
      <w:r>
        <w:rPr/>
        <w:t>，适用于以摊余成本计 量的金融资产、以公允价值计量且其变动计入其他综合收益的债务工具投资、租赁应收款及财务担保合同。</w:t>
      </w:r>
    </w:p>
    <w:p>
      <w:pPr>
        <w:pStyle w:val="BodyText"/>
        <w:spacing w:line="316" w:lineRule="auto" w:before="31"/>
        <w:ind w:left="153" w:right="1126" w:firstLine="420"/>
        <w:jc w:val="both"/>
      </w:pPr>
      <w:r>
        <w:rPr/>
        <w:t>本公司按照新金融工具准则的相关规定，对比较期间财务报表不予调整，首次执行日执行新准则与原准则的差异追溯</w:t>
      </w:r>
      <w:r>
        <w:rPr>
          <w:spacing w:val="1"/>
        </w:rPr>
        <w:t> </w:t>
      </w:r>
      <w:r>
        <w:rPr/>
        <w:t>调整本报告期期初留存收益或其他综合收益。调整情况详见本节、五、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3</w:t>
      </w:r>
      <w:r>
        <w:rPr/>
        <w:t>）。</w:t>
      </w:r>
    </w:p>
    <w:p>
      <w:pPr>
        <w:pStyle w:val="BodyText"/>
        <w:spacing w:line="302" w:lineRule="auto"/>
        <w:ind w:left="153" w:right="112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日发布《关于修订印发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[2019]6</w:t>
      </w:r>
      <w:r>
        <w:rPr/>
        <w:t>号，以下简称 </w:t>
      </w:r>
      <w:r>
        <w:rPr>
          <w:rFonts w:ascii="Times New Roman" w:hAnsi="Times New Roman" w:cs="Times New Roman" w:eastAsia="Times New Roman" w:hint="default"/>
        </w:rPr>
        <w:t>“2019</w:t>
      </w:r>
      <w:r>
        <w:rPr/>
        <w:t>年新修订的财务报表格式</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年新修订的财务报表格式将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w:t>
      </w:r>
      <w:r>
        <w:rPr>
          <w:spacing w:val="-82"/>
        </w:rPr>
        <w:t> </w:t>
      </w:r>
      <w:r>
        <w:rPr/>
        <w:t>款</w:t>
      </w:r>
      <w:r>
        <w:rPr>
          <w:rFonts w:ascii="Times New Roman" w:hAnsi="Times New Roman" w:cs="Times New Roman" w:eastAsia="Times New Roman" w:hint="default"/>
        </w:rPr>
        <w:t>”</w:t>
      </w:r>
      <w:r>
        <w:rPr/>
        <w:t>两个项目列报，将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两个项目列报；增加对仅执行新金融工具</w:t>
      </w:r>
      <w:r>
        <w:rPr>
          <w:spacing w:val="-27"/>
        </w:rPr>
        <w:t> </w:t>
      </w:r>
      <w:r>
        <w:rPr>
          <w:spacing w:val="-27"/>
        </w:rPr>
      </w:r>
      <w:r>
        <w:rPr>
          <w:spacing w:val="-1"/>
        </w:rPr>
        <w:t>准则对报表项目的调整要求；补充</w:t>
      </w:r>
      <w:r>
        <w:rPr>
          <w:rFonts w:ascii="Times New Roman" w:hAnsi="Times New Roman" w:cs="Times New Roman" w:eastAsia="Times New Roman" w:hint="default"/>
          <w:spacing w:val="-1"/>
        </w:rPr>
        <w:t>“</w:t>
      </w:r>
      <w:r>
        <w:rPr>
          <w:spacing w:val="-1"/>
        </w:rPr>
        <w:t>研发费用</w:t>
      </w:r>
      <w:r>
        <w:rPr>
          <w:rFonts w:ascii="Times New Roman" w:hAnsi="Times New Roman" w:cs="Times New Roman" w:eastAsia="Times New Roman" w:hint="default"/>
          <w:spacing w:val="-1"/>
        </w:rPr>
        <w:t>”</w:t>
      </w:r>
      <w:r>
        <w:rPr>
          <w:spacing w:val="-1"/>
        </w:rPr>
        <w:t>核算范围，明确</w:t>
      </w:r>
      <w:r>
        <w:rPr>
          <w:rFonts w:ascii="Times New Roman" w:hAnsi="Times New Roman" w:cs="Times New Roman" w:eastAsia="Times New Roman" w:hint="default"/>
          <w:spacing w:val="-1"/>
        </w:rPr>
        <w:t>“</w:t>
      </w:r>
      <w:r>
        <w:rPr>
          <w:spacing w:val="-1"/>
        </w:rPr>
        <w:t>研发费用</w:t>
      </w:r>
      <w:r>
        <w:rPr>
          <w:rFonts w:ascii="Times New Roman" w:hAnsi="Times New Roman" w:cs="Times New Roman" w:eastAsia="Times New Roman" w:hint="default"/>
          <w:spacing w:val="-1"/>
        </w:rPr>
        <w:t>”</w:t>
      </w:r>
      <w:r>
        <w:rPr>
          <w:spacing w:val="-1"/>
        </w:rPr>
        <w:t>项目还包括计入管理费用的自行开发无形资产的摊</w:t>
      </w:r>
      <w:r>
        <w:rPr>
          <w:spacing w:val="-78"/>
        </w:rPr>
        <w:t> </w:t>
      </w:r>
      <w:r>
        <w:rPr/>
        <w:t>销；</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项目中删除债务重组利得和损失。此外，在新金融工具准则下，</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 </w:t>
      </w:r>
      <w:r>
        <w:rPr>
          <w:spacing w:val="-2"/>
        </w:rPr>
        <w:t>仅反映相关金融工具已到期可收取但于资产负债表日尚未收到的利息，基于实际利率法计提的金融工具的利息应包含在相应</w:t>
      </w:r>
      <w:r>
        <w:rPr>
          <w:spacing w:val="-64"/>
        </w:rPr>
        <w:t> </w:t>
      </w:r>
      <w:r>
        <w:rPr>
          <w:spacing w:val="-64"/>
        </w:rPr>
      </w:r>
      <w:r>
        <w:rPr/>
        <w:t>金融工具的账面余额中。</w:t>
      </w:r>
    </w:p>
    <w:p>
      <w:pPr>
        <w:pStyle w:val="BodyText"/>
        <w:spacing w:line="300" w:lineRule="auto" w:before="29"/>
        <w:ind w:left="153" w:right="1128" w:firstLine="420"/>
        <w:jc w:val="both"/>
      </w:pP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日发布《关于修订印发合并财务报表格式</w:t>
      </w:r>
      <w:r>
        <w:rPr>
          <w:rFonts w:ascii="Times New Roman" w:hAnsi="Times New Roman" w:cs="Times New Roman" w:eastAsia="Times New Roman" w:hint="default"/>
          <w:spacing w:val="-2"/>
        </w:rPr>
        <w:t>(2019</w:t>
      </w:r>
      <w:r>
        <w:rPr>
          <w:spacing w:val="-2"/>
        </w:rPr>
        <w:t>版</w:t>
      </w:r>
      <w:r>
        <w:rPr>
          <w:rFonts w:ascii="Times New Roman" w:hAnsi="Times New Roman" w:cs="Times New Roman" w:eastAsia="Times New Roman" w:hint="default"/>
          <w:spacing w:val="-2"/>
        </w:rPr>
        <w:t>)</w:t>
      </w:r>
      <w:r>
        <w:rPr>
          <w:spacing w:val="-2"/>
        </w:rPr>
        <w:t>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[2019]16</w:t>
      </w:r>
      <w:r>
        <w:rPr>
          <w:spacing w:val="-2"/>
        </w:rPr>
        <w:t>号，以下简称</w:t>
      </w:r>
      <w:r>
        <w:rPr>
          <w:rFonts w:ascii="Times New Roman" w:hAnsi="Times New Roman" w:cs="Times New Roman" w:eastAsia="Times New Roman" w:hint="default"/>
          <w:spacing w:val="-2"/>
        </w:rPr>
        <w:t>“2019</w:t>
      </w:r>
      <w:r>
        <w:rPr>
          <w:spacing w:val="-2"/>
        </w:rPr>
        <w:t>年新</w:t>
      </w:r>
      <w:r>
        <w:rPr>
          <w:spacing w:val="1"/>
        </w:rPr>
        <w:t> </w:t>
      </w:r>
      <w:r>
        <w:rPr/>
        <w:t>修订的合并财务报表格式</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年新修订的合并财务报表格式除上述</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r>
        <w:rPr>
          <w:spacing w:val="-26"/>
        </w:rPr>
        <w:t> </w:t>
      </w:r>
      <w:r>
        <w:rPr/>
        <w:t>的拆分外，删除了原合并现金流量表中</w:t>
      </w:r>
      <w:r>
        <w:rPr>
          <w:rFonts w:ascii="Times New Roman" w:hAnsi="Times New Roman" w:cs="Times New Roman" w:eastAsia="Times New Roman" w:hint="default"/>
        </w:rPr>
        <w:t>“</w:t>
      </w:r>
      <w:r>
        <w:rPr/>
        <w:t>发行债券收到的现金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为交易目的而持有的金融资产净增加额</w:t>
      </w:r>
      <w:r>
        <w:rPr>
          <w:rFonts w:ascii="Times New Roman" w:hAnsi="Times New Roman" w:cs="Times New Roman" w:eastAsia="Times New Roman" w:hint="default"/>
        </w:rPr>
        <w:t>”</w:t>
      </w:r>
      <w:r>
        <w:rPr/>
        <w:t>等行项目。</w:t>
      </w:r>
    </w:p>
    <w:p>
      <w:pPr>
        <w:pStyle w:val="BodyText"/>
        <w:spacing w:line="300" w:lineRule="auto" w:before="13"/>
        <w:ind w:left="153" w:right="1127" w:firstLine="420"/>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财务报表列报》等相关规定，对上述会计政策变更进行追溯调整，其中对仅适</w:t>
      </w:r>
      <w:r>
        <w:rPr>
          <w:spacing w:val="1"/>
        </w:rPr>
        <w:t> </w:t>
      </w:r>
      <w:r>
        <w:rPr>
          <w:spacing w:val="-2"/>
        </w:rPr>
        <w:t>用新金融工具准则的会计政策变更追溯调整至</w:t>
      </w:r>
      <w:r>
        <w:rPr>
          <w:rFonts w:ascii="Times New Roman" w:hAnsi="Times New Roman" w:cs="Times New Roman" w:eastAsia="Times New Roman" w:hint="default"/>
          <w:spacing w:val="-2"/>
        </w:rPr>
        <w:t>2019</w:t>
      </w:r>
      <w:r>
        <w:rPr>
          <w:spacing w:val="-2"/>
        </w:rPr>
        <w:t>年期初数，对其他会计政策变更重新表述可比期间财务报表。对于上述报</w:t>
      </w:r>
      <w:r>
        <w:rPr>
          <w:spacing w:val="-60"/>
        </w:rPr>
        <w:t> </w:t>
      </w:r>
      <w:r>
        <w:rPr>
          <w:spacing w:val="-60"/>
        </w:rPr>
      </w:r>
      <w:r>
        <w:rPr/>
        <w:t>表格式变更中简单合并与拆分的财务报表项目，本公司已在财务报表中直接进行了调整，不再专门列示重分类调整情况。</w:t>
      </w:r>
    </w:p>
    <w:p>
      <w:pPr>
        <w:pStyle w:val="BodyText"/>
        <w:spacing w:line="300" w:lineRule="auto" w:before="31"/>
        <w:ind w:left="153" w:right="1125"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3]</w:t>
      </w:r>
      <w:r>
        <w:rPr>
          <w:spacing w:val="2"/>
        </w:rPr>
        <w:t>新非货币性资产交换准则规定对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日至本准则施行日之间发生的非货币性资产交换根据本准则进行调</w:t>
      </w:r>
      <w:r>
        <w:rPr>
          <w:spacing w:val="3"/>
        </w:rPr>
        <w:t> </w:t>
      </w:r>
      <w:r>
        <w:rPr/>
        <w:t>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日之前发生的非货币性资产交换，不需要进行追溯调整。</w:t>
      </w:r>
    </w:p>
    <w:p>
      <w:pPr>
        <w:pStyle w:val="BodyText"/>
        <w:spacing w:line="300" w:lineRule="auto" w:before="13"/>
        <w:ind w:left="153" w:right="1130" w:firstLine="420"/>
        <w:jc w:val="both"/>
      </w:pPr>
      <w:r>
        <w:rPr>
          <w:spacing w:val="-1"/>
        </w:rPr>
        <w:t>本公司按照规定自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日起执行新非货币性资产交换准则，对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日存在的非货币性资产交换采用未来</w:t>
      </w:r>
      <w:r>
        <w:rPr/>
        <w:t> 适用法处理。</w:t>
      </w:r>
    </w:p>
    <w:p>
      <w:pPr>
        <w:pStyle w:val="BodyText"/>
        <w:spacing w:line="300" w:lineRule="auto" w:before="31"/>
        <w:ind w:right="1128" w:firstLine="419"/>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新债务重组准则规定对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之前发生的债务重组，不需要进行追溯调整。</w:t>
      </w:r>
    </w:p>
    <w:p>
      <w:pPr>
        <w:pStyle w:val="BodyText"/>
        <w:spacing w:line="240" w:lineRule="auto" w:before="31"/>
        <w:ind w:left="573" w:right="0"/>
        <w:jc w:val="left"/>
      </w:pPr>
      <w:r>
        <w:rPr/>
        <w:t>本公司按照规定自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日起执行新债务重组准则，对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日存在的债务重组采用未来适用法处理。</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1532" w:space="7386"/>
            <w:col w:w="2012"/>
          </w:cols>
        </w:sectPr>
      </w:pP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891"/>
        <w:gridCol w:w="1742"/>
        <w:gridCol w:w="1732"/>
        <w:gridCol w:w="1318"/>
      </w:tblGrid>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894,104,918.75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824,104,918.75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-70,000,000.00</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891"/>
        <w:gridCol w:w="1742"/>
        <w:gridCol w:w="1732"/>
        <w:gridCol w:w="1318"/>
      </w:tblGrid>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159,011,267.77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159,011,267.77</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2,011,267.77</w:t>
            </w: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-2,011,267.77</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7,204,008.80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-7,204,008.80</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371,732,276.99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364,186,888.09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-7,545,388.90</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7,204,008.80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7,204,008.80</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22,573,360.52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22,573,360.52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86,187,580.58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83,372,282.29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-2,815,298.29</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523,888.90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-23,888.89</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41,915,530.99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41,915,530.99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140,181,902.58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53,205,791.47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-86,976,111.11</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1,565,910,846.98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1,555,574,048.68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-10,336,798.30</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85,585,686.64</w:t>
            </w: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-85,585,686.64</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649,780,455.57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649,780,455.57</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85,585,686.64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85,585,686.64</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17,353,491.43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17,353,491.43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192,256,636.44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192,256,636.44</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237,237,966.42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237,237,966.42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891"/>
        <w:gridCol w:w="1742"/>
        <w:gridCol w:w="1732"/>
        <w:gridCol w:w="1318"/>
      </w:tblGrid>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85,112,323.99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85,112,323.99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575,579,932.05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575,579,932.05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33,202,728.45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33,202,728.45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2,417,962.61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2,565,148.39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147,185.78</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48,476,158.80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48,476,158.80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1,927,003,342.40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1,927,150,528.18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147,185.78</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3,492,914,189.38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3,482,724,576.86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-10,189,612.52</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216,450,000.00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216,773,003.21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323,003.21</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52,234,777.00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52,234,777.00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155,516,048.21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155,516,048.21</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359,616,459.27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359,616,459.27</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90,276,382.79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90,276,382.79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31,745,099.85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31,745,099.85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249,009,106.02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248,594,969.43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-414,136.59</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414,136.59</w:t>
            </w: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-414,136.59</w:t>
            </w: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11,061,765.67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11,061,765.67</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42"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30,341,133.38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91,133.38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886"/>
        <w:gridCol w:w="1747"/>
        <w:gridCol w:w="1732"/>
        <w:gridCol w:w="1318"/>
      </w:tblGrid>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1,185,097,873.14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1,185,097,873.14</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30,380,023.75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30,380,023.75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3,242,056.24</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116,287.93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116,287.93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33,738,367.92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33,738,367.92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1,218,836,241.06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1,218,836,241.06</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-147,973,114.31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-147,973,114.31</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2,322,335.12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2,322,335.12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71,286,408.39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71,286,408.39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1,030,858,968.80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1,021,365,090.37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-9,493,878.43</w:t>
            </w: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1,974,193,008.00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1,964,699,129.57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-9,493,878.43</w:t>
            </w: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299,884,940.32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299,189,206.23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-695,734.09</w:t>
            </w: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2,274,077,948.32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2,263,888,335.80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-10,189,612.52</w:t>
            </w:r>
          </w:p>
        </w:tc>
      </w:tr>
      <w:tr>
        <w:trPr>
          <w:trHeight w:val="402" w:hRule="exact"/>
        </w:trPr>
        <w:tc>
          <w:tcPr>
            <w:tcW w:w="4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3,492,914,189.38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3,482,724,576.86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-10,189,612.52</w:t>
            </w:r>
          </w:p>
        </w:tc>
      </w:tr>
    </w:tbl>
    <w:p>
      <w:pPr>
        <w:pStyle w:val="BodyText"/>
        <w:spacing w:line="357" w:lineRule="auto" w:before="51"/>
        <w:ind w:left="444" w:right="3800" w:hanging="291"/>
        <w:jc w:val="left"/>
      </w:pPr>
      <w:r>
        <w:rPr/>
        <w:t>调整情况说明 上述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日数据包括同一控制下企业合并追溯调整杭州萧文置业有限公司。</w:t>
      </w:r>
    </w:p>
    <w:p>
      <w:pPr>
        <w:spacing w:after="0" w:line="357" w:lineRule="auto"/>
        <w:jc w:val="left"/>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母公司资产负债表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901"/>
        <w:gridCol w:w="1751"/>
        <w:gridCol w:w="1735"/>
        <w:gridCol w:w="1295"/>
      </w:tblGrid>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35,278,451.26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35,278,451.26</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312,237.03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305,992.29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-6,244.74</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493,124,991.91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491,373,925.80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-1,751,066.11</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500,000.01</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10,526.00</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35,060,927.68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60,927.68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563,787,133.88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562,029,823.03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-1,757,310.85</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2,932,814,951.62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2,932,814,951.62</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273,910.34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273,910.34</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901"/>
        <w:gridCol w:w="1751"/>
        <w:gridCol w:w="1735"/>
        <w:gridCol w:w="1295"/>
      </w:tblGrid>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318,532.60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318,532.60</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110,026.75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110,026.75</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1,782,020.00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1,782,020.00</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2,935,299,441.31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2,935,299,441.31</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3,499,086,575.19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3,497,329,264.34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-1,757,310.85</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155,238,166.81</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238,166.81</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3,578,663.14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3,578,663.14</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1,033,960.23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1,033,960.23</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322,948,831.74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322,710,664.93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-238,166.81</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238,166.81</w:t>
            </w: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-238,166.81</w:t>
            </w: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10,081,765.67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10,081,765.67</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482,564,955.11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482,564,955.11</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51"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906"/>
        <w:gridCol w:w="1747"/>
        <w:gridCol w:w="1735"/>
        <w:gridCol w:w="1295"/>
      </w:tblGrid>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482,564,955.11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482,564,955.11</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1,809,704,919.76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1,809,704,919.76</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2,322,335.12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2,322,335.12</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47" w:type="dxa"/>
            <w:tcBorders>
              <w:top w:val="single" w:sz="4" w:space="0" w:color="000000"/>
              <w:left w:val="single" w:sz="13" w:space="0" w:color="D3D3D3"/>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53,068,207.84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53,068,207.84</w:t>
            </w: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133,727,747.36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131,970,436.51</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-1,757,310.85</w:t>
            </w: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3,016,521,620.08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3,014,764,309.23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-1,757,310.85</w:t>
            </w:r>
          </w:p>
        </w:tc>
      </w:tr>
      <w:tr>
        <w:trPr>
          <w:trHeight w:val="402" w:hRule="exact"/>
        </w:trPr>
        <w:tc>
          <w:tcPr>
            <w:tcW w:w="4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3,499,086,575.19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3,497,329,264.34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-1,757,310.85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年起执行新金融工具准则或新租赁准则追溯调整前期比较数据说明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）本公司金融资产在首次执行日按照修订前后金融工具确认计量准则的规定进行分类和计量结果对比如下：</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442"/>
        <w:gridCol w:w="2496"/>
        <w:gridCol w:w="1577"/>
        <w:gridCol w:w="2362"/>
        <w:gridCol w:w="1781"/>
      </w:tblGrid>
      <w:tr>
        <w:trPr>
          <w:trHeight w:val="342" w:hRule="exact"/>
        </w:trPr>
        <w:tc>
          <w:tcPr>
            <w:tcW w:w="144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金融工具类别</w:t>
            </w:r>
          </w:p>
        </w:tc>
        <w:tc>
          <w:tcPr>
            <w:tcW w:w="4073"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770" w:right="0"/>
              <w:jc w:val="left"/>
              <w:rPr>
                <w:rFonts w:ascii="宋体" w:hAnsi="宋体" w:cs="宋体" w:eastAsia="宋体" w:hint="default"/>
                <w:sz w:val="18"/>
                <w:szCs w:val="18"/>
              </w:rPr>
            </w:pPr>
            <w:r>
              <w:rPr>
                <w:rFonts w:ascii="宋体" w:hAnsi="宋体" w:cs="宋体" w:eastAsia="宋体" w:hint="default"/>
                <w:sz w:val="18"/>
                <w:szCs w:val="18"/>
              </w:rPr>
              <w:t>修订前的金融工具确认计量准则</w:t>
            </w:r>
          </w:p>
        </w:tc>
        <w:tc>
          <w:tcPr>
            <w:tcW w:w="4142"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806" w:right="0"/>
              <w:jc w:val="left"/>
              <w:rPr>
                <w:rFonts w:ascii="宋体" w:hAnsi="宋体" w:cs="宋体" w:eastAsia="宋体" w:hint="default"/>
                <w:sz w:val="18"/>
                <w:szCs w:val="18"/>
              </w:rPr>
            </w:pPr>
            <w:r>
              <w:rPr>
                <w:rFonts w:ascii="宋体" w:hAnsi="宋体" w:cs="宋体" w:eastAsia="宋体" w:hint="default"/>
                <w:sz w:val="18"/>
                <w:szCs w:val="18"/>
              </w:rPr>
              <w:t>修订后的金融工具确认计量准则</w:t>
            </w:r>
          </w:p>
        </w:tc>
      </w:tr>
      <w:tr>
        <w:trPr>
          <w:trHeight w:val="341" w:hRule="exact"/>
        </w:trPr>
        <w:tc>
          <w:tcPr>
            <w:tcW w:w="1442" w:type="dxa"/>
            <w:vMerge/>
            <w:tcBorders>
              <w:left w:val="single" w:sz="4" w:space="0" w:color="000000"/>
              <w:bottom w:val="single" w:sz="4" w:space="0" w:color="000000"/>
              <w:right w:val="single" w:sz="4" w:space="0" w:color="000000"/>
            </w:tcBorders>
            <w:shd w:val="clear" w:color="auto" w:fill="DDDDDD"/>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894,104,918.75</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824,104,918.75</w:t>
            </w:r>
          </w:p>
        </w:tc>
      </w:tr>
      <w:tr>
        <w:trPr>
          <w:trHeight w:val="342" w:hRule="exact"/>
        </w:trPr>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4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35" w:right="0"/>
              <w:jc w:val="left"/>
              <w:rPr>
                <w:rFonts w:ascii="Times New Roman" w:hAnsi="Times New Roman" w:cs="Times New Roman" w:eastAsia="Times New Roman" w:hint="default"/>
                <w:sz w:val="18"/>
                <w:szCs w:val="18"/>
              </w:rPr>
            </w:pPr>
            <w:r>
              <w:rPr>
                <w:rFonts w:ascii="Times New Roman"/>
                <w:sz w:val="18"/>
              </w:rPr>
              <w:t>464,599,977.47</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447,059,170.37</w:t>
            </w:r>
          </w:p>
        </w:tc>
      </w:tr>
      <w:tr>
        <w:trPr>
          <w:trHeight w:val="654" w:hRule="exact"/>
        </w:trPr>
        <w:tc>
          <w:tcPr>
            <w:tcW w:w="1442" w:type="dxa"/>
            <w:vMerge/>
            <w:tcBorders>
              <w:left w:val="single" w:sz="4" w:space="0" w:color="000000"/>
              <w:bottom w:val="single" w:sz="4" w:space="0" w:color="000000"/>
              <w:right w:val="single" w:sz="4" w:space="0" w:color="000000"/>
            </w:tcBorders>
          </w:tcPr>
          <w:p>
            <w:pPr/>
          </w:p>
        </w:tc>
        <w:tc>
          <w:tcPr>
            <w:tcW w:w="2496"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 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7,204,008.80</w:t>
            </w:r>
          </w:p>
        </w:tc>
      </w:tr>
      <w:tr>
        <w:trPr>
          <w:trHeight w:val="654"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以公允价值计量且其变动计入</w:t>
            </w:r>
            <w:r>
              <w:rPr>
                <w:rFonts w:ascii="宋体" w:hAnsi="宋体" w:cs="宋体" w:eastAsia="宋体" w:hint="default"/>
                <w:sz w:val="18"/>
                <w:szCs w:val="18"/>
              </w:rPr>
              <w:t> 当期损益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w:t>
            </w:r>
            <w:r>
              <w:rPr>
                <w:rFonts w:ascii="Times New Roman" w:hAnsi="Times New Roman" w:cs="Times New Roman" w:eastAsia="Times New Roman"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2,011,267.77</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 当期损益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159,011,267.77</w:t>
            </w:r>
          </w:p>
        </w:tc>
      </w:tr>
      <w:tr>
        <w:trPr>
          <w:trHeight w:val="654" w:hRule="exact"/>
        </w:trPr>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证券投资</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85,585,686.64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 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r>
              <w:rPr>
                <w:rFonts w:ascii="Times New Roman" w:hAnsi="Times New Roman" w:cs="Times New Roman" w:eastAsia="Times New Roman"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85,585,686.64</w:t>
            </w:r>
          </w:p>
        </w:tc>
      </w:tr>
      <w:tr>
        <w:trPr>
          <w:trHeight w:val="342" w:hRule="exact"/>
        </w:trPr>
        <w:tc>
          <w:tcPr>
            <w:tcW w:w="1442" w:type="dxa"/>
            <w:vMerge/>
            <w:tcBorders>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87,000,000.00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tc>
        <w:tc>
          <w:tcPr>
            <w:tcW w:w="1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1442"/>
        <w:gridCol w:w="2496"/>
        <w:gridCol w:w="1577"/>
        <w:gridCol w:w="2362"/>
        <w:gridCol w:w="1781"/>
      </w:tblGrid>
      <w:tr>
        <w:trPr>
          <w:trHeight w:val="342" w:hRule="exact"/>
        </w:trPr>
        <w:tc>
          <w:tcPr>
            <w:tcW w:w="144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借款及利息</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277,080,023.75</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1" w:right="0"/>
              <w:jc w:val="left"/>
              <w:rPr>
                <w:rFonts w:ascii="Times New Roman" w:hAnsi="Times New Roman" w:cs="Times New Roman" w:eastAsia="Times New Roman" w:hint="default"/>
                <w:sz w:val="18"/>
                <w:szCs w:val="18"/>
              </w:rPr>
            </w:pPr>
            <w:r>
              <w:rPr>
                <w:rFonts w:ascii="Times New Roman"/>
                <w:sz w:val="18"/>
              </w:rPr>
              <w:t>277,494,160.34</w:t>
            </w:r>
          </w:p>
        </w:tc>
      </w:tr>
      <w:tr>
        <w:trPr>
          <w:trHeight w:val="342" w:hRule="exact"/>
        </w:trPr>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414,136.59</w:t>
            </w:r>
          </w:p>
        </w:tc>
        <w:tc>
          <w:tcPr>
            <w:tcW w:w="2362"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300" w:lineRule="auto" w:before="44"/>
        <w:ind w:right="1120"/>
        <w:jc w:val="left"/>
      </w:pPr>
      <w:r>
        <w:rPr>
          <w:rFonts w:ascii="Times New Roman" w:hAnsi="Times New Roman" w:cs="Times New Roman" w:eastAsia="Times New Roman" w:hint="default"/>
        </w:rPr>
        <w:t>2</w:t>
      </w:r>
      <w:r>
        <w:rPr/>
        <w:t>）本公司金融资产在首次执行日原账面价值调整为按照修订后金融工具确认计量准则的规定进行分类和计量的新账面价值</w:t>
      </w:r>
      <w:r>
        <w:rPr>
          <w:spacing w:val="-83"/>
        </w:rPr>
        <w:t> </w:t>
      </w:r>
      <w:r>
        <w:rPr>
          <w:spacing w:val="-83"/>
        </w:rPr>
      </w:r>
      <w:r>
        <w:rPr/>
        <w:t>的调节表：</w:t>
      </w:r>
    </w:p>
    <w:tbl>
      <w:tblPr>
        <w:tblW w:w="0" w:type="auto"/>
        <w:jc w:val="left"/>
        <w:tblInd w:w="139" w:type="dxa"/>
        <w:tblLayout w:type="fixed"/>
        <w:tblCellMar>
          <w:top w:w="0" w:type="dxa"/>
          <w:left w:w="0" w:type="dxa"/>
          <w:bottom w:w="0" w:type="dxa"/>
          <w:right w:w="0" w:type="dxa"/>
        </w:tblCellMar>
        <w:tblLook w:val="01E0"/>
      </w:tblPr>
      <w:tblGrid>
        <w:gridCol w:w="4682"/>
        <w:gridCol w:w="1367"/>
        <w:gridCol w:w="1123"/>
        <w:gridCol w:w="1115"/>
        <w:gridCol w:w="1370"/>
      </w:tblGrid>
      <w:tr>
        <w:trPr>
          <w:trHeight w:val="990" w:hRule="exact"/>
        </w:trPr>
        <w:tc>
          <w:tcPr>
            <w:tcW w:w="46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4" w:lineRule="auto"/>
              <w:ind w:left="17" w:right="17"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按原金融工具准 则列示的账面价 值</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36"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11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3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left="50"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按新金融工具准 则列示的账面价 值</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270" w:hRule="exact"/>
        </w:trPr>
        <w:tc>
          <w:tcPr>
            <w:tcW w:w="96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列示的余额和按新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894,104,918.75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 w:right="0"/>
              <w:jc w:val="left"/>
              <w:rPr>
                <w:rFonts w:ascii="Times New Roman" w:hAnsi="Times New Roman" w:cs="Times New Roman" w:eastAsia="Times New Roman" w:hint="default"/>
                <w:sz w:val="18"/>
                <w:szCs w:val="18"/>
              </w:rPr>
            </w:pPr>
            <w:r>
              <w:rPr>
                <w:rFonts w:ascii="Times New Roman"/>
                <w:sz w:val="18"/>
              </w:rPr>
              <w:t>-70,000,000.00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824,104,918.75</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464,599,977.47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51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减：转出至以公允价值计量且其变动计入其他综合收益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w:t>
            </w:r>
          </w:p>
          <w:p>
            <w:pPr>
              <w:pStyle w:val="TableParagraph"/>
              <w:spacing w:line="240" w:lineRule="auto" w:before="33"/>
              <w:ind w:left="4" w:right="0"/>
              <w:jc w:val="left"/>
              <w:rPr>
                <w:rFonts w:ascii="Times New Roman" w:hAnsi="Times New Roman" w:cs="Times New Roman" w:eastAsia="Times New Roman" w:hint="default"/>
                <w:sz w:val="18"/>
                <w:szCs w:val="18"/>
              </w:rPr>
            </w:pPr>
            <w:r>
              <w:rPr>
                <w:rFonts w:ascii="Times New Roman"/>
                <w:sz w:val="18"/>
              </w:rPr>
              <w:t>CAS22)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-7,204,008.80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重新计量：预期信用损失准备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-10,336,798.30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447,059,170.37</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借款及利息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列示的余额和按新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277,080,023.75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z w:val="18"/>
              </w:rPr>
              <w:t>414,136.59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spacing w:val="-1"/>
                <w:sz w:val="18"/>
              </w:rPr>
              <w:t>277,494,160.34</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列示的余额和按新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z w:val="18"/>
              </w:rPr>
              <w:t>414,136.59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z w:val="18"/>
              </w:rPr>
              <w:t>-414,136.59</w:t>
            </w: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96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列示的余额和按新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spacing w:val="-1"/>
                <w:sz w:val="18"/>
              </w:rPr>
              <w:t>2,011,267.77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sz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证券投资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以公允价值计量且其变动计入当期损益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按准</w:t>
            </w:r>
            <w:r>
              <w:rPr>
                <w:rFonts w:ascii="宋体" w:hAnsi="宋体" w:cs="宋体" w:eastAsia="宋体" w:hint="default"/>
                <w:spacing w:val="-81"/>
                <w:sz w:val="18"/>
                <w:szCs w:val="18"/>
              </w:rPr>
              <w:t> </w:t>
            </w:r>
            <w:r>
              <w:rPr>
                <w:rFonts w:ascii="宋体" w:hAnsi="宋体" w:cs="宋体" w:eastAsia="宋体" w:hint="default"/>
                <w:sz w:val="18"/>
                <w:szCs w:val="18"/>
              </w:rPr>
              <w:t>则要求必须分类为此</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加：自摊余成本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70,000,000.00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加：自可供出售类</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87,000,000.00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159,011,267.77</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9658" w:type="dxa"/>
            <w:gridSpan w:val="5"/>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96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加：自摊余成本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7,204,008.80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7,204,008.80</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证券投资</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Times New Roman" w:hAnsi="Times New Roman" w:cs="Times New Roman" w:eastAsia="Times New Roman" w:hint="default"/>
                <w:sz w:val="18"/>
                <w:szCs w:val="18"/>
              </w:rPr>
            </w:pPr>
            <w:r>
              <w:rPr>
                <w:rFonts w:ascii="Times New Roman"/>
                <w:sz w:val="18"/>
              </w:rPr>
              <w:t>172,585,686.64</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 w:right="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减：转出至按照要求必须分类为以公允价值计量且其变动计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入当期损益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87,000,000.00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4682"/>
        <w:gridCol w:w="1367"/>
        <w:gridCol w:w="1123"/>
        <w:gridCol w:w="1115"/>
        <w:gridCol w:w="1370"/>
      </w:tblGrid>
      <w:tr>
        <w:trPr>
          <w:trHeight w:val="51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4" w:right="47"/>
              <w:jc w:val="left"/>
              <w:rPr>
                <w:rFonts w:ascii="宋体" w:hAnsi="宋体" w:cs="宋体" w:eastAsia="宋体" w:hint="default"/>
                <w:sz w:val="18"/>
                <w:szCs w:val="18"/>
              </w:rPr>
            </w:pPr>
            <w:r>
              <w:rPr>
                <w:rFonts w:ascii="宋体" w:hAnsi="宋体" w:cs="宋体" w:eastAsia="宋体" w:hint="default"/>
                <w:sz w:val="18"/>
                <w:szCs w:val="18"/>
              </w:rPr>
              <w:t>减：转出至以公允价值计量且其变动计入其他综合收益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权 益工具投资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85,585,686.64</w:t>
            </w: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left"/>
              <w:rPr>
                <w:rFonts w:ascii="宋体" w:hAnsi="宋体" w:cs="宋体" w:eastAsia="宋体" w:hint="default"/>
                <w:sz w:val="18"/>
                <w:szCs w:val="18"/>
              </w:rPr>
            </w:pPr>
            <w:r>
              <w:rPr>
                <w:rFonts w:ascii="宋体" w:hAnsi="宋体" w:cs="宋体" w:eastAsia="宋体" w:hint="default"/>
                <w:spacing w:val="6"/>
                <w:sz w:val="18"/>
                <w:szCs w:val="18"/>
              </w:rPr>
              <w:t>证券投资</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以公允价值计量且其变动计入其他综合收益</w:t>
            </w:r>
          </w:p>
          <w:p>
            <w:pPr>
              <w:pStyle w:val="TableParagraph"/>
              <w:spacing w:line="245" w:lineRule="exact"/>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权益工具投资</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加：自可供出售类</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85,585,686.64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7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85,585,686.64</w:t>
            </w:r>
          </w:p>
        </w:tc>
      </w:tr>
    </w:tbl>
    <w:p>
      <w:pPr>
        <w:pStyle w:val="BodyText"/>
        <w:spacing w:line="300" w:lineRule="auto" w:before="10"/>
        <w:ind w:right="1120"/>
        <w:jc w:val="left"/>
      </w:pPr>
      <w:r>
        <w:rPr>
          <w:rFonts w:ascii="Times New Roman" w:hAnsi="Times New Roman" w:cs="Times New Roman" w:eastAsia="Times New Roman" w:hint="default"/>
        </w:rPr>
        <w:t>3</w:t>
      </w:r>
      <w:r>
        <w:rPr/>
        <w:t>）本公司在首次执行日原金融资产减值准备期末金额调整为按照修订后金融工具准则的规定进行分类和计量的新损失准备</w:t>
      </w:r>
      <w:r>
        <w:rPr>
          <w:spacing w:val="-83"/>
        </w:rPr>
        <w:t> </w:t>
      </w:r>
      <w:r>
        <w:rPr>
          <w:spacing w:val="-83"/>
        </w:rPr>
      </w:r>
      <w:r>
        <w:rPr/>
        <w:t>调节表：</w:t>
      </w:r>
    </w:p>
    <w:tbl>
      <w:tblPr>
        <w:tblW w:w="0" w:type="auto"/>
        <w:jc w:val="left"/>
        <w:tblInd w:w="139" w:type="dxa"/>
        <w:tblLayout w:type="fixed"/>
        <w:tblCellMar>
          <w:top w:w="0" w:type="dxa"/>
          <w:left w:w="0" w:type="dxa"/>
          <w:bottom w:w="0" w:type="dxa"/>
          <w:right w:w="0" w:type="dxa"/>
        </w:tblCellMar>
        <w:tblLook w:val="01E0"/>
      </w:tblPr>
      <w:tblGrid>
        <w:gridCol w:w="2500"/>
        <w:gridCol w:w="2020"/>
        <w:gridCol w:w="1536"/>
        <w:gridCol w:w="1420"/>
        <w:gridCol w:w="2183"/>
      </w:tblGrid>
      <w:tr>
        <w:trPr>
          <w:trHeight w:val="966" w:hRule="exact"/>
        </w:trPr>
        <w:tc>
          <w:tcPr>
            <w:tcW w:w="25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0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9" w:lineRule="auto" w:before="21"/>
              <w:ind w:left="14" w:right="13"/>
              <w:jc w:val="center"/>
              <w:rPr>
                <w:rFonts w:ascii="宋体" w:hAnsi="宋体" w:cs="宋体" w:eastAsia="宋体" w:hint="default"/>
                <w:sz w:val="18"/>
                <w:szCs w:val="18"/>
              </w:rPr>
            </w:pPr>
            <w:r>
              <w:rPr>
                <w:rFonts w:ascii="宋体" w:hAnsi="宋体" w:cs="宋体" w:eastAsia="宋体" w:hint="default"/>
                <w:sz w:val="18"/>
                <w:szCs w:val="18"/>
              </w:rPr>
              <w:t>按原金融工具准则计提损 失准备</w:t>
            </w:r>
            <w:r>
              <w:rPr>
                <w:rFonts w:ascii="Times New Roman" w:hAnsi="Times New Roman" w:cs="Times New Roman" w:eastAsia="Times New Roman" w:hint="default"/>
                <w:sz w:val="18"/>
                <w:szCs w:val="18"/>
              </w:rPr>
              <w:t>/</w:t>
            </w:r>
            <w:r>
              <w:rPr>
                <w:rFonts w:ascii="宋体" w:hAnsi="宋体" w:cs="宋体" w:eastAsia="宋体" w:hint="default"/>
                <w:sz w:val="18"/>
                <w:szCs w:val="18"/>
              </w:rPr>
              <w:t>按或有事项准则 确认的预计负债</w:t>
            </w:r>
          </w:p>
        </w:tc>
        <w:tc>
          <w:tcPr>
            <w:tcW w:w="153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65" w:right="365"/>
              <w:jc w:val="left"/>
              <w:rPr>
                <w:rFonts w:ascii="宋体" w:hAnsi="宋体" w:cs="宋体" w:eastAsia="宋体" w:hint="default"/>
                <w:sz w:val="18"/>
                <w:szCs w:val="18"/>
              </w:rPr>
            </w:pPr>
            <w:r>
              <w:rPr>
                <w:rFonts w:ascii="宋体" w:hAnsi="宋体" w:cs="宋体" w:eastAsia="宋体" w:hint="default"/>
                <w:sz w:val="18"/>
                <w:szCs w:val="18"/>
              </w:rPr>
              <w:t>按新金融工具准则 计提信用损失准备</w:t>
            </w:r>
          </w:p>
        </w:tc>
      </w:tr>
      <w:tr>
        <w:trPr>
          <w:trHeight w:val="342" w:hRule="exact"/>
        </w:trPr>
        <w:tc>
          <w:tcPr>
            <w:tcW w:w="96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r>
      <w:tr>
        <w:trPr>
          <w:trHeight w:val="342"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83,647,979.83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Times New Roman" w:hAnsi="Times New Roman" w:cs="Times New Roman" w:eastAsia="Times New Roman" w:hint="default"/>
                <w:sz w:val="18"/>
                <w:szCs w:val="18"/>
              </w:rPr>
            </w:pPr>
            <w:r>
              <w:rPr>
                <w:rFonts w:ascii="Times New Roman"/>
                <w:sz w:val="18"/>
              </w:rPr>
              <w:t>10,336,798.30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93,984,778.13</w:t>
            </w:r>
          </w:p>
        </w:tc>
      </w:tr>
      <w:tr>
        <w:trPr>
          <w:trHeight w:val="343" w:hRule="exact"/>
        </w:trPr>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83,647,979.83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Times New Roman" w:hAnsi="Times New Roman" w:cs="Times New Roman" w:eastAsia="Times New Roman" w:hint="default"/>
                <w:sz w:val="18"/>
                <w:szCs w:val="18"/>
              </w:rPr>
            </w:pPr>
            <w:r>
              <w:rPr>
                <w:rFonts w:ascii="Times New Roman"/>
                <w:sz w:val="18"/>
              </w:rPr>
              <w:t>10,336,798.30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93,984,778.13</w:t>
            </w:r>
          </w:p>
        </w:tc>
      </w:tr>
    </w:tbl>
    <w:p>
      <w:pPr>
        <w:spacing w:line="240" w:lineRule="auto" w:before="11"/>
        <w:rPr>
          <w:rFonts w:ascii="宋体" w:hAnsi="宋体" w:cs="宋体" w:eastAsia="宋体" w:hint="default"/>
          <w:sz w:val="20"/>
          <w:szCs w:val="20"/>
        </w:rPr>
      </w:pPr>
    </w:p>
    <w:p>
      <w:pPr>
        <w:spacing w:line="487" w:lineRule="auto" w:before="35"/>
        <w:ind w:left="154" w:right="89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before="44"/>
        <w:ind w:left="0" w:right="1161"/>
        <w:jc w:val="right"/>
      </w:pPr>
      <w:r>
        <w:rPr/>
        <w:pict>
          <v:shape style="position:absolute;margin-left:57.029995pt;margin-top:-20.947948pt;width:478.05pt;height:141.2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6"/>
                    <w:gridCol w:w="3811"/>
                    <w:gridCol w:w="4329"/>
                  </w:tblGrid>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1406"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11"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销售货物或提供应税劳务过程中产生的增值额</w:t>
                        </w:r>
                      </w:p>
                    </w:tc>
                    <w:tc>
                      <w:tcPr>
                        <w:tcW w:w="4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等税率计缴</w:t>
                        </w:r>
                      </w:p>
                    </w:tc>
                  </w:tr>
                  <w:tr>
                    <w:trPr>
                      <w:trHeight w:val="402" w:hRule="exact"/>
                    </w:trPr>
                    <w:tc>
                      <w:tcPr>
                        <w:tcW w:w="1406"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811"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406"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11"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1406"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11"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8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44"/>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）①</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福州风盛传媒有限公司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杭州好声音风尚传媒有限公司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浙江华媒优培资产管理有限公司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杭州市拱墅区华媒维翰幼儿园</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杭州都市快报研学文化传播有限公司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中网世纪教育科技（北京）有限公司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贵州雅致思语教育科技有限公司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杭州钱塘传媒有限公司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北京星干线艺术教育科技有限公司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贵州星干线新思维文化传播有限公司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北京未来之星人力资源服务有限公司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北京加美环球教育咨询有限公司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广州正索教育咨询有限公司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北京领域兄弟教育科技有限公司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北京产学研教育科技有限公司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智云未来教育科技（北京）有限公司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北京未名环球教育科技有限公司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合肥中教正远教育科技有限公司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中教知本教育科技（北京）有限公司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贵州中教未来教育科技有限公司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昆明市五华区云师未来培训中心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杭州知政网络科技有限公司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浙江融艺典当有限公司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浙江崇理启文教育科技有限公司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中教远大教育科技（北京）有限公司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北京未来大业教育科技有限公司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哈尔滨哈报未来教育科技有限公司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珠海市励耘自学考试辅导中心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杭州咏芝元中医诊所有限公司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杭州华媒文化发展有限公司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浙江华媒智谷商业运营管理有限公司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砺行科技（北京）有限公司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中教京安教育科技（北京）有限公司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云科未来科技（北京）有限公司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北京大业未来教育科技有限公司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）②</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北京翻译研修学院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）③</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霍尔果斯中教未来教育咨询有限公司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）④</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京师教培教育科技（北京）有限公司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计缴。见六、</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）⑧</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w:t>
      </w:r>
      <w:r>
        <w:rPr>
          <w:rFonts w:ascii="Times New Roman" w:hAnsi="Times New Roman" w:cs="Times New Roman" w:eastAsia="Times New Roman" w:hint="default"/>
        </w:rPr>
        <w:t>1</w:t>
      </w:r>
      <w:r>
        <w:rPr/>
        <w:t>）所得税税收优惠</w:t>
      </w:r>
    </w:p>
    <w:p>
      <w:pPr>
        <w:pStyle w:val="BodyText"/>
        <w:spacing w:line="300" w:lineRule="auto" w:before="63"/>
        <w:ind w:left="153" w:right="1131" w:firstLine="420"/>
        <w:jc w:val="both"/>
      </w:pPr>
      <w:r>
        <w:rPr>
          <w:spacing w:val="-1"/>
        </w:rPr>
        <w:t>①根据</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日财政部、税务总局、中央宣传部《关于继续实施文化体制改革中经营性文化事业单位转制为企业</w:t>
      </w:r>
      <w:r>
        <w:rPr/>
        <w:t> </w:t>
      </w:r>
      <w:r>
        <w:rPr>
          <w:spacing w:val="-5"/>
        </w:rPr>
        <w:t>若干税收政策的通知》财税〔</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16</w:t>
      </w:r>
      <w:r>
        <w:rPr>
          <w:spacing w:val="-5"/>
        </w:rPr>
        <w:t>号，经营性文化事业单位转制为企业，自转制注册之日起五年内免征企业所得税。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日之前已完成转制的企业，自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日起可继续免征五年企业所得税。</w:t>
      </w:r>
    </w:p>
    <w:p>
      <w:pPr>
        <w:pStyle w:val="BodyText"/>
        <w:spacing w:line="316" w:lineRule="auto" w:before="13"/>
        <w:ind w:left="153" w:right="0" w:firstLine="420"/>
        <w:jc w:val="left"/>
      </w:pPr>
      <w:r>
        <w:rPr/>
        <w:t>子公司杭州日报传媒有限公司、浙江都市快报控股有限公司、杭州每日传媒有限公司、杭州网络传媒有限公司、杭州</w:t>
      </w:r>
      <w:r>
        <w:rPr>
          <w:spacing w:val="1"/>
        </w:rPr>
        <w:t> </w:t>
      </w:r>
      <w:r>
        <w:rPr>
          <w:spacing w:val="-2"/>
        </w:rPr>
        <w:t>萧山日报传媒有限公司、杭州富阳日报传媒有限公司、杭州余杭晨报传媒有限公司、杭州日报报业集团每日送电子商务有限</w:t>
      </w:r>
      <w:r>
        <w:rPr>
          <w:spacing w:val="-66"/>
        </w:rPr>
        <w:t> </w:t>
      </w:r>
      <w:r>
        <w:rPr>
          <w:spacing w:val="-66"/>
        </w:rPr>
      </w:r>
      <w:r>
        <w:rPr>
          <w:spacing w:val="-2"/>
        </w:rPr>
        <w:t>公司、杭州日报报业集团盛元印务有限公司、杭州都市周报传媒有限公司、杭州休闲文化传媒有限公司、杭州风景名胜传媒</w:t>
      </w:r>
      <w:r>
        <w:rPr>
          <w:spacing w:val="-66"/>
        </w:rPr>
        <w:t> </w:t>
      </w:r>
      <w:r>
        <w:rPr>
          <w:spacing w:val="-66"/>
        </w:rPr>
      </w:r>
      <w:r>
        <w:rPr>
          <w:spacing w:val="-4"/>
        </w:rPr>
        <w:t>有限公司、杭州房产传媒有限公司、浙江风盛传媒股份有限公司、杭州萧山网络传媒有限公司、杭州富阳网络传媒有限公司、</w:t>
      </w:r>
      <w:r>
        <w:rPr>
          <w:spacing w:val="-46"/>
        </w:rPr>
        <w:t> </w:t>
      </w:r>
      <w:r>
        <w:rPr>
          <w:spacing w:val="-46"/>
        </w:rPr>
      </w:r>
      <w:r>
        <w:rPr>
          <w:spacing w:val="-2"/>
        </w:rPr>
        <w:t>杭州萧滨每日送发行有限公司、杭州朗盛传媒有限公司、杭州萧山萧报教育咨询有限公司、杭州快房传媒有限公司、杭州都</w:t>
      </w:r>
      <w:r>
        <w:rPr>
          <w:spacing w:val="-66"/>
        </w:rPr>
        <w:t> </w:t>
      </w:r>
      <w:r>
        <w:rPr>
          <w:spacing w:val="-66"/>
        </w:rPr>
      </w:r>
      <w:r>
        <w:rPr/>
        <w:t>健网络科技有限公司、杭州日报品牌策划有限公司、杭州盛友广告设计有限公司均享受上述优惠政策。</w:t>
      </w:r>
    </w:p>
    <w:p>
      <w:pPr>
        <w:pStyle w:val="BodyText"/>
        <w:spacing w:line="300" w:lineRule="auto" w:before="19"/>
        <w:ind w:right="1129" w:firstLine="419"/>
        <w:jc w:val="both"/>
      </w:pPr>
      <w:r>
        <w:rPr/>
        <w:t>②根据财政部税务总局《关于实施小微企业普惠性税收减免政策的通知》财税（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w:t>
      </w:r>
      <w:r>
        <w:rPr>
          <w:spacing w:val="-34"/>
        </w:rPr>
        <w:t> </w:t>
      </w:r>
      <w:r>
        <w:rPr>
          <w:spacing w:val="-34"/>
        </w:rPr>
      </w:r>
      <w:r>
        <w:rPr>
          <w:spacing w:val="-1"/>
        </w:rPr>
        <w:t>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的税率缴纳企业所得</w:t>
      </w:r>
      <w:r>
        <w:rPr>
          <w:spacing w:val="-55"/>
        </w:rPr>
        <w:t> </w:t>
      </w:r>
      <w:r>
        <w:rPr/>
        <w:t>税。</w:t>
      </w:r>
    </w:p>
    <w:p>
      <w:pPr>
        <w:pStyle w:val="BodyText"/>
        <w:spacing w:line="316" w:lineRule="auto" w:before="31"/>
        <w:ind w:right="1030" w:firstLine="420"/>
        <w:jc w:val="left"/>
      </w:pPr>
      <w:r>
        <w:rPr/>
        <w:t>子公司杭州都市快报研学文化传播有限公司、杭州悦报传媒有限公司、浙江智骊文化传媒有限公司、北京文教英才科</w:t>
      </w:r>
      <w:r>
        <w:rPr>
          <w:spacing w:val="1"/>
        </w:rPr>
        <w:t> </w:t>
      </w:r>
      <w:r>
        <w:rPr>
          <w:spacing w:val="-2"/>
        </w:rPr>
        <w:t>贸有限公司、云南求知教育信息咨询有限公司、中网世纪教育科技（北京）有限公司、贵州雅致思语教育科技有限公司、北</w:t>
      </w:r>
      <w:r>
        <w:rPr>
          <w:spacing w:val="-67"/>
        </w:rPr>
        <w:t> </w:t>
      </w:r>
      <w:r>
        <w:rPr>
          <w:spacing w:val="-67"/>
        </w:rPr>
      </w:r>
      <w:r>
        <w:rPr>
          <w:spacing w:val="-2"/>
        </w:rPr>
        <w:t>京星干线艺术教育科技有限公司、贵州星干线新思维文化传播有限公司、艾特嘉信息技术（北京）有限公司、北京未来之星</w:t>
      </w:r>
      <w:r>
        <w:rPr>
          <w:spacing w:val="-66"/>
        </w:rPr>
        <w:t> </w:t>
      </w:r>
      <w:r>
        <w:rPr>
          <w:spacing w:val="-66"/>
        </w:rPr>
      </w:r>
      <w:r>
        <w:rPr/>
        <w:t>人力资源服务有限公司、中教未来科技（北京）有限公司、北京加美环球教育咨询有限公司、广州正索教育咨询有限公司、 </w:t>
      </w:r>
      <w:r>
        <w:rPr>
          <w:spacing w:val="-2"/>
        </w:rPr>
        <w:t>北京领域兄弟教育科技有限公司、北京产学研教育科技有限公司、智云未来教育科技（北京）有限公司、苏州中育教育科技</w:t>
      </w:r>
      <w:r>
        <w:rPr>
          <w:spacing w:val="-66"/>
        </w:rPr>
        <w:t> </w:t>
      </w:r>
      <w:r>
        <w:rPr>
          <w:spacing w:val="-66"/>
        </w:rPr>
      </w:r>
      <w:r>
        <w:rPr>
          <w:spacing w:val="-2"/>
        </w:rPr>
        <w:t>有限公司、北京未名环球教育科技有限公司、北京红舞星文化传播有限公司、南京博彦教育科技有限公司、合肥中教正远教</w:t>
      </w:r>
      <w:r>
        <w:rPr>
          <w:spacing w:val="-66"/>
        </w:rPr>
        <w:t> </w:t>
      </w:r>
      <w:r>
        <w:rPr>
          <w:spacing w:val="-66"/>
        </w:rPr>
      </w:r>
      <w:r>
        <w:rPr>
          <w:spacing w:val="-2"/>
        </w:rPr>
        <w:t>育科技有限公司、中教知本教育科技（北京）有限公司、杭州华媒教育科技有限公司、贵州中教未来教育科技有限公司、广</w:t>
      </w:r>
      <w:r>
        <w:rPr>
          <w:spacing w:val="-67"/>
        </w:rPr>
        <w:t> </w:t>
      </w:r>
      <w:r>
        <w:rPr>
          <w:spacing w:val="-67"/>
        </w:rPr>
      </w:r>
      <w:r>
        <w:rPr>
          <w:spacing w:val="-2"/>
        </w:rPr>
        <w:t>州励耘教育科技有限公司、昆明市五华区云师未来培训中心、杭州日报华知投资有限公司、杭州知政网络科技有限公司、中</w:t>
      </w:r>
      <w:r>
        <w:rPr>
          <w:spacing w:val="-66"/>
        </w:rPr>
        <w:t> </w:t>
      </w:r>
      <w:r>
        <w:rPr>
          <w:spacing w:val="-66"/>
        </w:rPr>
      </w:r>
      <w:r>
        <w:rPr>
          <w:spacing w:val="-2"/>
        </w:rPr>
        <w:t>教远大教育科技（北京）有限公司、北京未来大业教育科技有限公司、哈尔滨哈报未来教育科技有限公司、珠海市励耘自学</w:t>
      </w:r>
      <w:r>
        <w:rPr>
          <w:spacing w:val="-66"/>
        </w:rPr>
        <w:t> </w:t>
      </w:r>
      <w:r>
        <w:rPr>
          <w:spacing w:val="-66"/>
        </w:rPr>
      </w:r>
      <w:r>
        <w:rPr>
          <w:spacing w:val="-2"/>
        </w:rPr>
        <w:t>考试辅导中心、北京朋智博信教育科技有限公司、杭州咏芝元中医诊所有限公司、杭州余杭晨报文化创意有限公司、杭州都</w:t>
      </w:r>
      <w:r>
        <w:rPr>
          <w:spacing w:val="-66"/>
        </w:rPr>
        <w:t> </w:t>
      </w:r>
      <w:r>
        <w:rPr>
          <w:spacing w:val="-66"/>
        </w:rPr>
      </w:r>
      <w:r>
        <w:rPr>
          <w:spacing w:val="-2"/>
        </w:rPr>
        <w:t>快投资管理有限公司、浙江华媒教育科技有限公司、杭州华媒企业管理有限公司、上海盛元第高数码图文影像有限公司、浙</w:t>
      </w:r>
      <w:r>
        <w:rPr>
          <w:spacing w:val="-66"/>
        </w:rPr>
        <w:t> </w:t>
      </w:r>
      <w:r>
        <w:rPr>
          <w:spacing w:val="-66"/>
        </w:rPr>
      </w:r>
      <w:r>
        <w:rPr>
          <w:spacing w:val="-2"/>
        </w:rPr>
        <w:t>江华媒优培资产管理有限公司、杭州市拱墅区华媒维翰幼儿园、杭州华媒文化发展有限公司、浙江华媒智谷商业运营管理有</w:t>
      </w:r>
      <w:r>
        <w:rPr>
          <w:spacing w:val="-66"/>
        </w:rPr>
        <w:t> </w:t>
      </w:r>
      <w:r>
        <w:rPr>
          <w:spacing w:val="-66"/>
        </w:rPr>
      </w:r>
      <w:r>
        <w:rPr>
          <w:spacing w:val="-2"/>
        </w:rPr>
        <w:t>限公司、福州风盛传媒有限公司、杭州好声音风尚传媒有限公司、杭州钱塘传媒有限公司、浙江融艺典当有限公司、浙江崇</w:t>
      </w:r>
      <w:r>
        <w:rPr>
          <w:spacing w:val="-66"/>
        </w:rPr>
        <w:t> </w:t>
      </w:r>
      <w:r>
        <w:rPr>
          <w:spacing w:val="-66"/>
        </w:rPr>
      </w:r>
      <w:r>
        <w:rPr>
          <w:spacing w:val="-2"/>
        </w:rPr>
        <w:t>理启文教育科技有限公司、砺行科技（北京）有限公司、中教京安教育科技（北京）有限公司、北京星干线文化传播有限公</w:t>
      </w:r>
      <w:r>
        <w:rPr>
          <w:spacing w:val="-65"/>
        </w:rPr>
        <w:t> </w:t>
      </w:r>
      <w:r>
        <w:rPr>
          <w:spacing w:val="-65"/>
        </w:rPr>
      </w:r>
      <w:r>
        <w:rPr>
          <w:spacing w:val="-2"/>
        </w:rPr>
        <w:t>司、云科未来科技（北京）有限公司、智明远扬教育科技（北京）有限公司、北京大业未来教育科技有限公司均享受上述优</w:t>
      </w:r>
      <w:r>
        <w:rPr>
          <w:spacing w:val="-65"/>
        </w:rPr>
        <w:t> </w:t>
      </w:r>
      <w:r>
        <w:rPr>
          <w:spacing w:val="-65"/>
        </w:rPr>
      </w:r>
      <w:r>
        <w:rPr/>
        <w:t>惠政策。</w:t>
      </w:r>
    </w:p>
    <w:p>
      <w:pPr>
        <w:pStyle w:val="BodyText"/>
        <w:spacing w:line="300" w:lineRule="auto" w:before="19"/>
        <w:ind w:right="1115" w:firstLine="420"/>
        <w:jc w:val="left"/>
      </w:pPr>
      <w:r>
        <w:rPr>
          <w:spacing w:val="-1"/>
        </w:rPr>
        <w:t>③根据国家税务总局关于校办企业征免所得税问题的批复</w:t>
      </w:r>
      <w:r>
        <w:rPr>
          <w:rFonts w:ascii="Times New Roman" w:hAnsi="Times New Roman" w:cs="Times New Roman" w:eastAsia="Times New Roman" w:hint="default"/>
          <w:spacing w:val="-1"/>
        </w:rPr>
        <w:t>——</w:t>
      </w:r>
      <w:r>
        <w:rPr>
          <w:spacing w:val="-1"/>
        </w:rPr>
        <w:t>国税函（</w:t>
      </w:r>
      <w:r>
        <w:rPr>
          <w:rFonts w:ascii="Times New Roman" w:hAnsi="Times New Roman" w:cs="Times New Roman" w:eastAsia="Times New Roman" w:hint="default"/>
          <w:spacing w:val="-1"/>
        </w:rPr>
        <w:t>1996</w:t>
      </w:r>
      <w:r>
        <w:rPr>
          <w:spacing w:val="-1"/>
        </w:rPr>
        <w:t>）</w:t>
      </w:r>
      <w:r>
        <w:rPr>
          <w:rFonts w:ascii="Times New Roman" w:hAnsi="Times New Roman" w:cs="Times New Roman" w:eastAsia="Times New Roman" w:hint="default"/>
          <w:spacing w:val="-1"/>
        </w:rPr>
        <w:t>138</w:t>
      </w:r>
      <w:r>
        <w:rPr>
          <w:spacing w:val="-1"/>
        </w:rPr>
        <w:t>号，子公司北京翻译研修学院属于非</w:t>
      </w:r>
      <w:r>
        <w:rPr/>
        <w:t> 营利性高等教育机构，免征企业所得税。</w:t>
      </w:r>
    </w:p>
    <w:p>
      <w:pPr>
        <w:spacing w:after="0" w:line="30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8" w:firstLine="420"/>
        <w:jc w:val="both"/>
      </w:pPr>
      <w:r>
        <w:rPr/>
        <w:t>④根据《财政部国家税务总局关于新疆喀什霍尔果斯两个特殊经济开发区企业所得税优惠政策的通知》财税（</w:t>
      </w:r>
      <w:r>
        <w:rPr>
          <w:rFonts w:ascii="Times New Roman" w:hAnsi="Times New Roman" w:cs="Times New Roman" w:eastAsia="Times New Roman" w:hint="default"/>
        </w:rPr>
        <w:t>2011</w:t>
      </w:r>
      <w:r>
        <w:rPr/>
        <w:t>） </w:t>
      </w:r>
      <w:r>
        <w:rPr>
          <w:rFonts w:ascii="Times New Roman" w:hAnsi="Times New Roman" w:cs="Times New Roman" w:eastAsia="Times New Roman" w:hint="default"/>
          <w:spacing w:val="-3"/>
        </w:rPr>
        <w:t>112</w:t>
      </w:r>
      <w:r>
        <w:rPr>
          <w:spacing w:val="-3"/>
        </w:rPr>
        <w:t>号第一条，新疆喀什、霍尔果斯特殊经济开发区新办企业定期免征企业所得税，享受税收优惠期间自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日。子公司霍尔果斯中教未来教育咨询有限公司享受上述优惠政策。</w:t>
      </w:r>
    </w:p>
    <w:p>
      <w:pPr>
        <w:pStyle w:val="BodyText"/>
        <w:spacing w:line="316" w:lineRule="auto" w:before="13"/>
        <w:ind w:right="1126" w:firstLine="420"/>
        <w:jc w:val="both"/>
      </w:pPr>
      <w:r>
        <w:rPr/>
        <w:t>⑤根据《新疆困难地区重点鼓励发展产业企业所得税优惠目录》，符合政策扶持的新注册企业，自取得第一笔生产经</w:t>
      </w:r>
      <w:r>
        <w:rPr>
          <w:spacing w:val="1"/>
        </w:rPr>
        <w:t> </w:t>
      </w:r>
      <w:r>
        <w:rPr>
          <w:spacing w:val="-2"/>
        </w:rPr>
        <w:t>营收入起，可享受企业所得税五免五减半的优惠政策（前五年免征企业所得税，后五年采取先征后返的方式，返还地方财政</w:t>
      </w:r>
      <w:r>
        <w:rPr>
          <w:spacing w:val="-66"/>
        </w:rPr>
        <w:t> </w:t>
      </w:r>
      <w:r>
        <w:rPr>
          <w:spacing w:val="-66"/>
        </w:rPr>
      </w:r>
      <w:r>
        <w:rPr/>
        <w:t>留存部分给企业）。子公司霍尔果斯东昂信息科技有限公司享受上述优惠政策。</w:t>
      </w:r>
    </w:p>
    <w:p>
      <w:pPr>
        <w:pStyle w:val="BodyText"/>
        <w:spacing w:line="304" w:lineRule="auto" w:before="19"/>
        <w:ind w:right="1050" w:firstLine="420"/>
        <w:jc w:val="left"/>
      </w:pPr>
      <w:r>
        <w:rPr/>
        <w:t>⑥子公司中教未来国际教育科技（北京）有限公司被认定为高新技术企业，取得北京市科学技术委员会、北京市财政</w:t>
      </w:r>
      <w:r>
        <w:rPr>
          <w:spacing w:val="1"/>
        </w:rPr>
        <w:t> </w:t>
      </w:r>
      <w:r>
        <w:rPr/>
        <w:t>局、北京市国家税务局、北京市地方税务局于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日联合颁发的编号为</w:t>
      </w:r>
      <w:r>
        <w:rPr>
          <w:rFonts w:ascii="Times New Roman" w:hAnsi="Times New Roman" w:cs="Times New Roman" w:eastAsia="Times New Roman" w:hint="default"/>
        </w:rPr>
        <w:t>GR201611000592</w:t>
      </w:r>
      <w:r>
        <w:rPr/>
        <w:t>的《高新技术企业证书》， </w:t>
      </w:r>
      <w:r>
        <w:rPr>
          <w:spacing w:val="-1"/>
        </w:rPr>
        <w:t>根据《中华人民共和国企业所得税法》规定，企业所得税享受高新技术企业税收优惠政策，减按</w:t>
      </w:r>
      <w:r>
        <w:rPr>
          <w:rFonts w:ascii="Times New Roman" w:hAnsi="Times New Roman" w:cs="Times New Roman" w:eastAsia="Times New Roman" w:hint="default"/>
          <w:spacing w:val="-1"/>
        </w:rPr>
        <w:t>15%</w:t>
      </w:r>
      <w:r>
        <w:rPr>
          <w:spacing w:val="-1"/>
        </w:rPr>
        <w:t>的税率计缴，有效期三</w:t>
      </w:r>
      <w:r>
        <w:rPr/>
        <w:t> 年；取得北京市科学技术委员会、北京市财政局、北京市国家税务局、北京市地方税务局于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日联合颁发的编号</w:t>
      </w:r>
      <w:r>
        <w:rPr>
          <w:spacing w:val="-84"/>
        </w:rPr>
        <w:t> </w:t>
      </w:r>
      <w:r>
        <w:rPr>
          <w:spacing w:val="-84"/>
        </w:rPr>
      </w:r>
      <w:r>
        <w:rPr/>
        <w:t>为</w:t>
      </w:r>
      <w:r>
        <w:rPr>
          <w:rFonts w:ascii="Times New Roman" w:hAnsi="Times New Roman" w:cs="Times New Roman" w:eastAsia="Times New Roman" w:hint="default"/>
        </w:rPr>
        <w:t>GR201911006375</w:t>
      </w:r>
      <w:r>
        <w:rPr/>
        <w:t>的《高新技术企业证书》，根据《中华人民共和国企业所得税法》规定，企业所得税享受高新技术企业</w:t>
      </w:r>
      <w:r>
        <w:rPr>
          <w:spacing w:val="-79"/>
        </w:rPr>
        <w:t> </w:t>
      </w:r>
      <w:r>
        <w:rPr>
          <w:spacing w:val="-79"/>
        </w:rPr>
      </w:r>
      <w:r>
        <w:rPr/>
        <w:t>税收优惠政策，减按</w:t>
      </w:r>
      <w:r>
        <w:rPr>
          <w:rFonts w:ascii="Times New Roman" w:hAnsi="Times New Roman" w:cs="Times New Roman" w:eastAsia="Times New Roman" w:hint="default"/>
        </w:rPr>
        <w:t>15%</w:t>
      </w:r>
      <w:r>
        <w:rPr/>
        <w:t>的税率计缴，有效期三年。</w:t>
      </w:r>
    </w:p>
    <w:p>
      <w:pPr>
        <w:pStyle w:val="BodyText"/>
        <w:spacing w:line="309" w:lineRule="auto" w:before="9"/>
        <w:ind w:right="1041" w:firstLine="420"/>
        <w:jc w:val="both"/>
      </w:pPr>
      <w:r>
        <w:rPr/>
        <w:t>⑦子公司京师教培教育科技（北京）有限公司被认定为高新技术企业，取得北京市科学技术委员会、北京市财政局、</w:t>
      </w:r>
      <w:r>
        <w:rPr>
          <w:spacing w:val="1"/>
        </w:rPr>
        <w:t> </w:t>
      </w:r>
      <w:r>
        <w:rPr/>
        <w:t>北京市国家税务局、北京市地方税务局于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日联合颁发的编号为</w:t>
      </w:r>
      <w:r>
        <w:rPr>
          <w:rFonts w:ascii="Times New Roman" w:hAnsi="Times New Roman" w:cs="Times New Roman" w:eastAsia="Times New Roman" w:hint="default"/>
        </w:rPr>
        <w:t>GR201811004427</w:t>
      </w:r>
      <w:r>
        <w:rPr/>
        <w:t>的《高新技术企业证书》，根</w:t>
      </w:r>
      <w:r>
        <w:rPr>
          <w:spacing w:val="-80"/>
        </w:rPr>
        <w:t> </w:t>
      </w:r>
      <w:r>
        <w:rPr>
          <w:spacing w:val="-80"/>
        </w:rPr>
      </w:r>
      <w:r>
        <w:rPr>
          <w:spacing w:val="-3"/>
        </w:rPr>
        <w:t>据《中华人民共和国企业所得税法》规定，企业所得税享受高新技术企业税收优惠政策，减按</w:t>
      </w:r>
      <w:r>
        <w:rPr>
          <w:rFonts w:ascii="Times New Roman" w:hAnsi="Times New Roman" w:cs="Times New Roman" w:eastAsia="Times New Roman" w:hint="default"/>
          <w:spacing w:val="-3"/>
        </w:rPr>
        <w:t>15%</w:t>
      </w:r>
      <w:r>
        <w:rPr>
          <w:spacing w:val="-3"/>
        </w:rPr>
        <w:t>的税率计缴，有效期三年。</w:t>
      </w:r>
    </w:p>
    <w:p>
      <w:pPr>
        <w:pStyle w:val="BodyText"/>
        <w:spacing w:line="300" w:lineRule="auto" w:before="5"/>
        <w:ind w:right="1104" w:firstLine="420"/>
        <w:jc w:val="both"/>
      </w:pPr>
      <w:r>
        <w:rPr>
          <w:spacing w:val="18"/>
        </w:rPr>
        <w:t>⑧子公</w:t>
      </w:r>
      <w:r>
        <w:rPr>
          <w:spacing w:val="-62"/>
        </w:rPr>
        <w:t> </w:t>
      </w:r>
      <w:r>
        <w:rPr>
          <w:spacing w:val="13"/>
        </w:rPr>
        <w:t>司杭</w:t>
      </w:r>
      <w:r>
        <w:rPr>
          <w:spacing w:val="-62"/>
        </w:rPr>
        <w:t> </w:t>
      </w:r>
      <w:r>
        <w:rPr>
          <w:spacing w:val="18"/>
        </w:rPr>
        <w:t>州华泰</w:t>
      </w:r>
      <w:r>
        <w:rPr>
          <w:spacing w:val="-62"/>
        </w:rPr>
        <w:t> </w:t>
      </w:r>
      <w:r>
        <w:rPr>
          <w:spacing w:val="13"/>
        </w:rPr>
        <w:t>一媒</w:t>
      </w:r>
      <w:r>
        <w:rPr>
          <w:spacing w:val="-62"/>
        </w:rPr>
        <w:t> </w:t>
      </w:r>
      <w:r>
        <w:rPr>
          <w:spacing w:val="18"/>
        </w:rPr>
        <w:t>文化传</w:t>
      </w:r>
      <w:r>
        <w:rPr>
          <w:spacing w:val="-62"/>
        </w:rPr>
        <w:t> </w:t>
      </w:r>
      <w:r>
        <w:rPr>
          <w:spacing w:val="13"/>
        </w:rPr>
        <w:t>媒有</w:t>
      </w:r>
      <w:r>
        <w:rPr>
          <w:spacing w:val="-62"/>
        </w:rPr>
        <w:t> </w:t>
      </w:r>
      <w:r>
        <w:rPr>
          <w:spacing w:val="18"/>
        </w:rPr>
        <w:t>限公司</w:t>
      </w:r>
      <w:r>
        <w:rPr>
          <w:spacing w:val="-62"/>
        </w:rPr>
        <w:t> </w:t>
      </w:r>
      <w:r>
        <w:rPr>
          <w:spacing w:val="13"/>
        </w:rPr>
        <w:t>被认</w:t>
      </w:r>
      <w:r>
        <w:rPr>
          <w:spacing w:val="-62"/>
        </w:rPr>
        <w:t> </w:t>
      </w:r>
      <w:r>
        <w:rPr>
          <w:spacing w:val="18"/>
        </w:rPr>
        <w:t>定为高</w:t>
      </w:r>
      <w:r>
        <w:rPr>
          <w:spacing w:val="-62"/>
        </w:rPr>
        <w:t> </w:t>
      </w:r>
      <w:r>
        <w:rPr>
          <w:spacing w:val="13"/>
        </w:rPr>
        <w:t>新技</w:t>
      </w:r>
      <w:r>
        <w:rPr>
          <w:spacing w:val="-62"/>
        </w:rPr>
        <w:t> </w:t>
      </w:r>
      <w:r>
        <w:rPr>
          <w:spacing w:val="18"/>
        </w:rPr>
        <w:t>术企业</w:t>
      </w:r>
      <w:r>
        <w:rPr>
          <w:spacing w:val="-62"/>
        </w:rPr>
        <w:t> </w:t>
      </w:r>
      <w:r>
        <w:rPr>
          <w:spacing w:val="13"/>
        </w:rPr>
        <w:t>，已</w:t>
      </w:r>
      <w:r>
        <w:rPr>
          <w:spacing w:val="-62"/>
        </w:rPr>
        <w:t> </w:t>
      </w:r>
      <w:r>
        <w:rPr/>
        <w:t>于</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13"/>
        </w:rPr>
        <w:t>日取</w:t>
      </w:r>
      <w:r>
        <w:rPr>
          <w:spacing w:val="-62"/>
        </w:rPr>
        <w:t> </w:t>
      </w:r>
      <w:r>
        <w:rPr>
          <w:spacing w:val="18"/>
        </w:rPr>
        <w:t>得企业</w:t>
      </w:r>
      <w:r>
        <w:rPr>
          <w:spacing w:val="-62"/>
        </w:rPr>
        <w:t> </w:t>
      </w:r>
      <w:r>
        <w:rPr>
          <w:spacing w:val="18"/>
        </w:rPr>
        <w:t>编号为</w:t>
      </w:r>
      <w:r>
        <w:rPr>
          <w:spacing w:val="-63"/>
        </w:rPr>
        <w:t> </w:t>
      </w:r>
      <w:r>
        <w:rPr>
          <w:rFonts w:ascii="Times New Roman" w:hAnsi="Times New Roman" w:cs="Times New Roman" w:eastAsia="Times New Roman" w:hint="default"/>
        </w:rPr>
        <w:t>GR201933005785</w:t>
      </w:r>
      <w:r>
        <w:rPr/>
        <w:t>的《高新技术企业证书》，根据《中华人民共和国企业所得税法》规定，企业所得税享受高新技术企业税</w:t>
      </w:r>
      <w:r>
        <w:rPr>
          <w:spacing w:val="-80"/>
        </w:rPr>
        <w:t> </w:t>
      </w:r>
      <w:r>
        <w:rPr>
          <w:spacing w:val="-80"/>
        </w:rPr>
      </w:r>
      <w:r>
        <w:rPr/>
        <w:t>收优惠政策，减按</w:t>
      </w:r>
      <w:r>
        <w:rPr>
          <w:rFonts w:ascii="Times New Roman" w:hAnsi="Times New Roman" w:cs="Times New Roman" w:eastAsia="Times New Roman" w:hint="default"/>
        </w:rPr>
        <w:t>15%</w:t>
      </w:r>
      <w:r>
        <w:rPr/>
        <w:t>的税率计缴，有效期三年。</w:t>
      </w:r>
    </w:p>
    <w:p>
      <w:pPr>
        <w:pStyle w:val="BodyText"/>
        <w:spacing w:line="240" w:lineRule="auto" w:before="13"/>
        <w:ind w:left="574" w:right="0"/>
        <w:jc w:val="left"/>
      </w:pPr>
      <w:r>
        <w:rPr/>
        <w:t>（</w:t>
      </w:r>
      <w:r>
        <w:rPr>
          <w:rFonts w:ascii="Times New Roman" w:hAnsi="Times New Roman" w:cs="Times New Roman" w:eastAsia="Times New Roman" w:hint="default"/>
        </w:rPr>
        <w:t>2</w:t>
      </w:r>
      <w:r>
        <w:rPr/>
        <w:t>）增值税税收优惠</w:t>
      </w:r>
    </w:p>
    <w:p>
      <w:pPr>
        <w:pStyle w:val="BodyText"/>
        <w:spacing w:line="309" w:lineRule="auto" w:before="63"/>
        <w:ind w:left="153" w:right="1127" w:firstLine="420"/>
        <w:jc w:val="both"/>
      </w:pPr>
      <w:r>
        <w:rPr>
          <w:spacing w:val="-2"/>
        </w:rPr>
        <w:t>①按照财政部、国家税务总局财税</w:t>
      </w:r>
      <w:r>
        <w:rPr>
          <w:rFonts w:ascii="Times New Roman" w:hAnsi="Times New Roman" w:cs="Times New Roman" w:eastAsia="Times New Roman" w:hint="default"/>
          <w:spacing w:val="-2"/>
        </w:rPr>
        <w:t>[2016]68</w:t>
      </w:r>
      <w:r>
        <w:rPr>
          <w:spacing w:val="-2"/>
        </w:rPr>
        <w:t>号文件要求：一般纳税人提供非学历教育服务，可以选择适用简易计税方法</w:t>
      </w:r>
      <w:r>
        <w:rPr/>
        <w:t> 按照</w:t>
      </w:r>
      <w:r>
        <w:rPr>
          <w:rFonts w:ascii="Times New Roman" w:hAnsi="Times New Roman" w:cs="Times New Roman" w:eastAsia="Times New Roman" w:hint="default"/>
        </w:rPr>
        <w:t>3%</w:t>
      </w:r>
      <w:r>
        <w:rPr/>
        <w:t>征收率计算应纳税额。子公司中教未来国际教育科技（北京）有限公司、北京星干线文化传播有限公司、北京星干</w:t>
      </w:r>
      <w:r>
        <w:rPr>
          <w:spacing w:val="-57"/>
        </w:rPr>
        <w:t> </w:t>
      </w:r>
      <w:r>
        <w:rPr>
          <w:spacing w:val="-57"/>
        </w:rPr>
      </w:r>
      <w:r>
        <w:rPr>
          <w:spacing w:val="-2"/>
        </w:rPr>
        <w:t>线艺术教育科技有限公司、贵州星干线新思维文化传播有限公司、励耘行知教育科技（北京）有限公司、云科未来科技（北</w:t>
      </w:r>
      <w:r>
        <w:rPr>
          <w:spacing w:val="-68"/>
        </w:rPr>
        <w:t> </w:t>
      </w:r>
      <w:r>
        <w:rPr>
          <w:spacing w:val="-68"/>
        </w:rPr>
      </w:r>
      <w:r>
        <w:rPr>
          <w:spacing w:val="-2"/>
        </w:rPr>
        <w:t>京）有限公司、中教未来（北京）文化传播有限公司、霍尔果斯中教未来教育咨询有限公司、智明远扬教育科技（北京）有</w:t>
      </w:r>
      <w:r>
        <w:rPr>
          <w:spacing w:val="-68"/>
        </w:rPr>
        <w:t> </w:t>
      </w:r>
      <w:r>
        <w:rPr>
          <w:spacing w:val="-68"/>
        </w:rPr>
      </w:r>
      <w:r>
        <w:rPr/>
        <w:t>限公司、中教未来科技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有限公司享受上述优惠政策。</w:t>
      </w:r>
    </w:p>
    <w:p>
      <w:pPr>
        <w:pStyle w:val="BodyText"/>
        <w:spacing w:line="300" w:lineRule="auto" w:before="5"/>
        <w:ind w:left="153" w:right="1131" w:firstLine="420"/>
        <w:jc w:val="both"/>
      </w:pPr>
      <w:r>
        <w:rPr/>
        <w:t>②根据财政部、国家税务总局《关于延续宣传文化增值税优惠政策的通知》（财税〔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53</w:t>
      </w:r>
      <w:r>
        <w:rPr/>
        <w:t>号）规定，自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 </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日，免征图书批发、零售环节增值税。子公司北京文教英才科贸有限公司已于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日在北京</w:t>
      </w:r>
      <w:r>
        <w:rPr>
          <w:spacing w:val="-50"/>
        </w:rPr>
        <w:t> </w:t>
      </w:r>
      <w:r>
        <w:rPr/>
        <w:t>市昌平区国家税务局办理了备案登记手续。</w:t>
      </w:r>
    </w:p>
    <w:p>
      <w:pPr>
        <w:pStyle w:val="BodyText"/>
        <w:spacing w:line="307" w:lineRule="auto" w:before="31"/>
        <w:ind w:left="153" w:right="1127" w:firstLine="420"/>
        <w:jc w:val="both"/>
      </w:pPr>
      <w:r>
        <w:rPr/>
        <w:t>③按照《财政部、国家税务总局关于全面推开营业税改征增值税试点的通知》（财税〔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号）的有关规定，劳</w:t>
      </w:r>
      <w:r>
        <w:rPr>
          <w:spacing w:val="1"/>
        </w:rPr>
        <w:t> </w:t>
      </w:r>
      <w:r>
        <w:rPr>
          <w:spacing w:val="-2"/>
        </w:rPr>
        <w:t>务派遣服务可以以取得的全部价款和价外费用，扣除代用工单位支付给劳务派遣员工的工资、福利和为其办理社会保险及住</w:t>
      </w:r>
      <w:r>
        <w:rPr>
          <w:spacing w:val="-64"/>
        </w:rPr>
        <w:t> </w:t>
      </w:r>
      <w:r>
        <w:rPr>
          <w:spacing w:val="-64"/>
        </w:rPr>
      </w:r>
      <w:r>
        <w:rPr/>
        <w:t>房公积金后的余额为销售额，按照简易计税方法依</w:t>
      </w:r>
      <w:r>
        <w:rPr>
          <w:rFonts w:ascii="Times New Roman" w:hAnsi="Times New Roman" w:cs="Times New Roman" w:eastAsia="Times New Roman" w:hint="default"/>
        </w:rPr>
        <w:t>5%</w:t>
      </w:r>
      <w:r>
        <w:rPr/>
        <w:t>的征收率缴纳增值税。子公司北京未来之星人力资源服务有限公司享</w:t>
      </w:r>
      <w:r>
        <w:rPr>
          <w:spacing w:val="-57"/>
        </w:rPr>
        <w:t> </w:t>
      </w:r>
      <w:r>
        <w:rPr>
          <w:spacing w:val="-57"/>
        </w:rPr>
      </w:r>
      <w:r>
        <w:rPr/>
        <w:t>受上述优惠政策。</w:t>
      </w:r>
    </w:p>
    <w:p>
      <w:pPr>
        <w:pStyle w:val="BodyText"/>
        <w:spacing w:line="300" w:lineRule="auto" w:before="26"/>
        <w:ind w:left="153" w:right="1131" w:firstLine="420"/>
        <w:jc w:val="both"/>
      </w:pPr>
      <w:r>
        <w:rPr/>
        <w:t>④根据《财政部、国家税务总局关于全面推开营业税改征增值税试点的通知》（财税</w:t>
      </w:r>
      <w:r>
        <w:rPr>
          <w:rFonts w:ascii="Times New Roman" w:hAnsi="Times New Roman" w:cs="Times New Roman" w:eastAsia="Times New Roman" w:hint="default"/>
        </w:rPr>
        <w:t>[2016]36</w:t>
      </w:r>
      <w:r>
        <w:rPr/>
        <w:t>号）相关规定，</w:t>
      </w:r>
      <w:r>
        <w:rPr>
          <w:rFonts w:ascii="Times New Roman" w:hAnsi="Times New Roman" w:cs="Times New Roman" w:eastAsia="Times New Roman" w:hint="default"/>
        </w:rPr>
        <w:t>1</w:t>
      </w:r>
      <w:r>
        <w:rPr/>
        <w:t>）从事 </w:t>
      </w:r>
      <w:r>
        <w:rPr>
          <w:spacing w:val="-2"/>
        </w:rPr>
        <w:t>学历教育的学校提供的教育服务收入免征增值税。北京翻译研修学院已于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日在北京市昌平区国家税务局办理了备</w:t>
      </w:r>
      <w:r>
        <w:rPr>
          <w:spacing w:val="-58"/>
        </w:rPr>
        <w:t> </w:t>
      </w:r>
      <w:r>
        <w:rPr/>
        <w:t>案登记手续。</w:t>
      </w:r>
      <w:r>
        <w:rPr>
          <w:rFonts w:ascii="Times New Roman" w:hAnsi="Times New Roman" w:cs="Times New Roman" w:eastAsia="Times New Roman" w:hint="default"/>
        </w:rPr>
        <w:t>2</w:t>
      </w:r>
      <w:r>
        <w:rPr/>
        <w:t>）托儿所、幼儿园提供的保育和教育服务免征增值税。杭州市拱墅区华媒维翰幼儿园免征增值税。</w:t>
      </w:r>
    </w:p>
    <w:p>
      <w:pPr>
        <w:pStyle w:val="BodyText"/>
        <w:spacing w:line="307" w:lineRule="auto" w:before="13"/>
        <w:ind w:left="153" w:right="0" w:firstLine="420"/>
        <w:jc w:val="left"/>
      </w:pPr>
      <w:r>
        <w:rPr/>
        <w:t>⑤根据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日财政部、税务总局、中央宣传部《关于继续实施文化体制改革中经营性文化事业单位转制为企业 </w:t>
      </w:r>
      <w:r>
        <w:rPr>
          <w:spacing w:val="-2"/>
        </w:rPr>
        <w:t>若干税收政策的通知》财税〔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16</w:t>
      </w:r>
      <w:r>
        <w:rPr>
          <w:spacing w:val="-2"/>
        </w:rPr>
        <w:t>号，党报、党刊将其发行、印刷业务及相应的经营性资产剥离组建的文化企业，自注</w:t>
      </w:r>
      <w:r>
        <w:rPr>
          <w:spacing w:val="-59"/>
        </w:rPr>
        <w:t> </w:t>
      </w:r>
      <w:r>
        <w:rPr>
          <w:spacing w:val="-59"/>
        </w:rPr>
      </w:r>
      <w:r>
        <w:rPr>
          <w:spacing w:val="-4"/>
        </w:rPr>
        <w:t>册之日起所取得的党报、党刊发行收入和印刷收入免征增值税。子公司杭州日报传媒有限公司、杭州萧山日报传媒有限公司、</w:t>
      </w:r>
      <w:r>
        <w:rPr>
          <w:spacing w:val="-44"/>
        </w:rPr>
        <w:t> </w:t>
      </w:r>
      <w:r>
        <w:rPr>
          <w:spacing w:val="-44"/>
        </w:rPr>
      </w:r>
      <w:r>
        <w:rPr/>
        <w:t>杭州富阳日报传媒有限公司、杭州余杭晨报传媒有限公司享受上述优惠政策。</w:t>
      </w:r>
    </w:p>
    <w:p>
      <w:pPr>
        <w:pStyle w:val="BodyText"/>
        <w:spacing w:line="307" w:lineRule="auto" w:before="26"/>
        <w:ind w:left="153" w:right="1078" w:firstLine="420"/>
        <w:jc w:val="both"/>
      </w:pPr>
      <w:r>
        <w:rPr/>
        <w:t>⑥根据财政部、税务总局、海关总署《关于深化增值税改革有关政策的公告》（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日，允许生产、生活性服务业纳税人按照当期可抵扣进项税额加计</w:t>
      </w:r>
      <w:r>
        <w:rPr>
          <w:rFonts w:ascii="Times New Roman" w:hAnsi="Times New Roman" w:cs="Times New Roman" w:eastAsia="Times New Roman" w:hint="default"/>
        </w:rPr>
        <w:t>10%</w:t>
      </w:r>
      <w:r>
        <w:rPr/>
        <w:t>，抵减应纳税额；公告所称生产、 </w:t>
      </w:r>
      <w:r>
        <w:rPr>
          <w:spacing w:val="-2"/>
        </w:rPr>
        <w:t>生活性服务业纳税人，是指提供邮政服务、电信服务、现代服务、生活服务（以下称四项服务）取得的销售额占全部销售额</w:t>
      </w:r>
      <w:r>
        <w:rPr>
          <w:spacing w:val="-67"/>
        </w:rPr>
        <w:t> </w:t>
      </w:r>
      <w:r>
        <w:rPr>
          <w:spacing w:val="-67"/>
        </w:rPr>
      </w:r>
      <w:r>
        <w:rPr>
          <w:spacing w:val="-1"/>
        </w:rPr>
        <w:t>的比重超过</w:t>
      </w:r>
      <w:r>
        <w:rPr>
          <w:rFonts w:ascii="Times New Roman" w:hAnsi="Times New Roman" w:cs="Times New Roman" w:eastAsia="Times New Roman" w:hint="default"/>
          <w:spacing w:val="-1"/>
        </w:rPr>
        <w:t>50%</w:t>
      </w:r>
      <w:r>
        <w:rPr>
          <w:spacing w:val="-1"/>
        </w:rPr>
        <w:t>的纳税人，浙江华媒控股股份有限公司、浙江都市快报控股有限公司、杭州余杭晨报传媒有限公司、杭州日</w:t>
      </w:r>
      <w:r>
        <w:rPr/>
        <w:t> </w:t>
      </w:r>
      <w:r>
        <w:rPr>
          <w:spacing w:val="-2"/>
        </w:rPr>
        <w:t>报传媒有限公司、杭州日报品牌策划有限公司、杭州休闲文化传媒有限公司、杭州风景名胜传媒有限公司、杭州日报报业集</w:t>
      </w:r>
      <w:r>
        <w:rPr>
          <w:spacing w:val="-66"/>
        </w:rPr>
        <w:t> </w:t>
      </w:r>
      <w:r>
        <w:rPr>
          <w:spacing w:val="-66"/>
        </w:rPr>
      </w:r>
      <w:r>
        <w:rPr>
          <w:spacing w:val="-2"/>
        </w:rPr>
        <w:t>团每日送电子商务有限公司、杭州萧滨每日送发行有限公司、杭州网络传媒有限公司、杭州每日传媒有限公司、杭州钱塘传</w:t>
      </w:r>
    </w:p>
    <w:p>
      <w:pPr>
        <w:spacing w:after="0" w:line="307"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媒有限公司、杭州快房传媒有限公司、杭州余杭晨报文化创意有限公司、杭州萧山萧报教育咨询有限公司、浙江风盛传媒股</w:t>
      </w:r>
      <w:r>
        <w:rPr>
          <w:spacing w:val="-66"/>
        </w:rPr>
        <w:t> </w:t>
      </w:r>
      <w:r>
        <w:rPr>
          <w:spacing w:val="-66"/>
        </w:rPr>
      </w:r>
      <w:r>
        <w:rPr>
          <w:spacing w:val="-4"/>
        </w:rPr>
        <w:t>份有限公司、杭州好声音风尚传媒有限公司、杭州悦报传媒有限公司、福州风盛传媒有限公司、杭州萧山日报传媒有限公司、</w:t>
      </w:r>
      <w:r>
        <w:rPr>
          <w:spacing w:val="-46"/>
        </w:rPr>
        <w:t> </w:t>
      </w:r>
      <w:r>
        <w:rPr>
          <w:spacing w:val="-46"/>
        </w:rPr>
      </w:r>
      <w:r>
        <w:rPr>
          <w:spacing w:val="-2"/>
        </w:rPr>
        <w:t>杭州萧山网络传媒有限公司、杭州富阳日报传媒有限公司、杭州咏芝元中医诊所有限公司、杭州都市快报研学文化传播有限</w:t>
      </w:r>
      <w:r>
        <w:rPr>
          <w:spacing w:val="-66"/>
        </w:rPr>
        <w:t> </w:t>
      </w:r>
      <w:r>
        <w:rPr>
          <w:spacing w:val="-66"/>
        </w:rPr>
      </w:r>
      <w:r>
        <w:rPr/>
        <w:t>公司、杭州朗盛传媒有限公司、浙江智骊文化传媒有限公司享受上述优惠政策。</w:t>
      </w:r>
    </w:p>
    <w:p>
      <w:pPr>
        <w:pStyle w:val="BodyText"/>
        <w:spacing w:line="312" w:lineRule="auto" w:before="19"/>
        <w:ind w:left="153" w:right="0" w:firstLine="420"/>
        <w:jc w:val="left"/>
      </w:pPr>
      <w:r>
        <w:rPr/>
        <w:t>⑦根据国家税务总局《国家税务总局关于小规模纳税人免征增值税政策有关征管问题的公告》国家税务总局公告</w:t>
      </w:r>
      <w:r>
        <w:rPr>
          <w:rFonts w:ascii="Times New Roman" w:hAnsi="Times New Roman" w:cs="Times New Roman" w:eastAsia="Times New Roman" w:hint="default"/>
        </w:rPr>
        <w:t>2019 </w:t>
      </w:r>
      <w:r>
        <w:rPr/>
        <w:t>年第</w:t>
      </w:r>
      <w:r>
        <w:rPr>
          <w:rFonts w:ascii="Times New Roman" w:hAnsi="Times New Roman" w:cs="Times New Roman" w:eastAsia="Times New Roman" w:hint="default"/>
        </w:rPr>
        <w:t>4</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日起，小规模纳税人发生增值税应税销售行为，合计月销售额未超过</w:t>
      </w:r>
      <w:r>
        <w:rPr>
          <w:rFonts w:ascii="Times New Roman" w:hAnsi="Times New Roman" w:cs="Times New Roman" w:eastAsia="Times New Roman" w:hint="default"/>
        </w:rPr>
        <w:t>10</w:t>
      </w:r>
      <w:r>
        <w:rPr/>
        <w:t>万元（以</w:t>
      </w:r>
      <w:r>
        <w:rPr>
          <w:rFonts w:ascii="Times New Roman" w:hAnsi="Times New Roman" w:cs="Times New Roman" w:eastAsia="Times New Roman" w:hint="default"/>
        </w:rPr>
        <w:t>1</w:t>
      </w:r>
      <w:r>
        <w:rPr/>
        <w:t>个季度为</w:t>
      </w:r>
      <w:r>
        <w:rPr>
          <w:rFonts w:ascii="Times New Roman" w:hAnsi="Times New Roman" w:cs="Times New Roman" w:eastAsia="Times New Roman" w:hint="default"/>
        </w:rPr>
        <w:t>1</w:t>
      </w:r>
      <w:r>
        <w:rPr/>
        <w:t>个纳税 </w:t>
      </w:r>
      <w:r>
        <w:rPr>
          <w:spacing w:val="-2"/>
        </w:rPr>
        <w:t>期的，季度销售额未超过</w:t>
      </w:r>
      <w:r>
        <w:rPr>
          <w:rFonts w:ascii="Times New Roman" w:hAnsi="Times New Roman" w:cs="Times New Roman" w:eastAsia="Times New Roman" w:hint="default"/>
          <w:spacing w:val="-2"/>
        </w:rPr>
        <w:t>30</w:t>
      </w:r>
      <w:r>
        <w:rPr>
          <w:spacing w:val="-2"/>
        </w:rPr>
        <w:t>万元）的，免征增值税。子公司浙江华媒投资有限公司、浙江华媒优培资产管理有限公司、浙江</w:t>
      </w:r>
      <w:r>
        <w:rPr>
          <w:spacing w:val="-66"/>
        </w:rPr>
        <w:t> </w:t>
      </w:r>
      <w:r>
        <w:rPr>
          <w:spacing w:val="-66"/>
        </w:rPr>
      </w:r>
      <w:r>
        <w:rPr>
          <w:spacing w:val="-4"/>
        </w:rPr>
        <w:t>华媒智谷商业运营管理有限公司、杭州华媒文化发展有限公司、崇理启文教育科技有限公司、珠海市励耘自学考试辅导中心、</w:t>
      </w:r>
      <w:r>
        <w:rPr>
          <w:spacing w:val="-44"/>
        </w:rPr>
        <w:t> </w:t>
      </w:r>
      <w:r>
        <w:rPr>
          <w:spacing w:val="-44"/>
        </w:rPr>
      </w:r>
      <w:r>
        <w:rPr>
          <w:spacing w:val="-2"/>
        </w:rPr>
        <w:t>云南求知教育信息咨询有限公司、昆明市五华区云师未来培训中心、北京领域兄弟教育科技有限公司、砺行科技（北京）有</w:t>
      </w:r>
      <w:r>
        <w:rPr>
          <w:spacing w:val="-67"/>
        </w:rPr>
        <w:t> </w:t>
      </w:r>
      <w:r>
        <w:rPr>
          <w:spacing w:val="-67"/>
        </w:rPr>
      </w:r>
      <w:r>
        <w:rPr>
          <w:spacing w:val="-2"/>
        </w:rPr>
        <w:t>限公司、北京加美环球教育咨询有限公司、艾特嘉信息技术（北京）有限公司、北京红舞星文化传播有限公司、中教京安教</w:t>
      </w:r>
      <w:r>
        <w:rPr>
          <w:spacing w:val="-67"/>
        </w:rPr>
        <w:t> </w:t>
      </w:r>
      <w:r>
        <w:rPr>
          <w:spacing w:val="-67"/>
        </w:rPr>
      </w:r>
      <w:r>
        <w:rPr>
          <w:spacing w:val="-2"/>
        </w:rPr>
        <w:t>育科技（北京）有限公司、广州正索教育咨询有限公司、中网世纪教育科技（北京）有限公司、北京未名环球教育科技有限</w:t>
      </w:r>
      <w:r>
        <w:rPr>
          <w:spacing w:val="-65"/>
        </w:rPr>
        <w:t> </w:t>
      </w:r>
      <w:r>
        <w:rPr>
          <w:spacing w:val="-65"/>
        </w:rPr>
      </w:r>
      <w:r>
        <w:rPr>
          <w:spacing w:val="-2"/>
        </w:rPr>
        <w:t>公司、中教京安教育科技（北京）有限公司、哈尔滨哈报未来教育科技有限公司、贵州雅致思语教育科技有限公司、北京朋</w:t>
      </w:r>
      <w:r>
        <w:rPr>
          <w:spacing w:val="-68"/>
        </w:rPr>
        <w:t> </w:t>
      </w:r>
      <w:r>
        <w:rPr>
          <w:spacing w:val="-68"/>
        </w:rPr>
      </w:r>
      <w:r>
        <w:rPr/>
        <w:t>智博信教育科技有限公司、北京产学研教育科技有限公司享受上述优惠政策。</w:t>
      </w:r>
    </w:p>
    <w:p>
      <w:pPr>
        <w:pStyle w:val="BodyText"/>
        <w:spacing w:line="300" w:lineRule="auto" w:before="22"/>
        <w:ind w:left="573" w:right="0"/>
        <w:jc w:val="left"/>
      </w:pPr>
      <w:r>
        <w:rPr/>
        <w:t>（</w:t>
      </w:r>
      <w:r>
        <w:rPr>
          <w:rFonts w:ascii="Times New Roman" w:hAnsi="Times New Roman" w:cs="Times New Roman" w:eastAsia="Times New Roman" w:hint="default"/>
        </w:rPr>
        <w:t>3</w:t>
      </w:r>
      <w:r>
        <w:rPr/>
        <w:t>）文化事业建设费税收优惠 根据国务院、财政部《财政部关于调整部分政府性基金有关政策的通知》（财税〔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46</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p>
    <w:p>
      <w:pPr>
        <w:pStyle w:val="BodyText"/>
        <w:spacing w:line="309" w:lineRule="auto" w:before="13"/>
        <w:ind w:left="153" w:right="1128"/>
        <w:jc w:val="both"/>
      </w:pPr>
      <w:r>
        <w:rPr>
          <w:rFonts w:ascii="Times New Roman" w:hAnsi="Times New Roman" w:cs="Times New Roman" w:eastAsia="Times New Roman" w:hint="default"/>
          <w:spacing w:val="-2"/>
        </w:rPr>
        <w:t>2024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日，对归属中央收入的文化事业建设费，按照缴纳义务人应缴费额的</w:t>
      </w:r>
      <w:r>
        <w:rPr>
          <w:rFonts w:ascii="Times New Roman" w:hAnsi="Times New Roman" w:cs="Times New Roman" w:eastAsia="Times New Roman" w:hint="default"/>
          <w:spacing w:val="-2"/>
        </w:rPr>
        <w:t>50</w:t>
      </w:r>
      <w:r>
        <w:rPr>
          <w:spacing w:val="-2"/>
        </w:rPr>
        <w:t>％减征；浙江省财政厅、国家税务总局</w:t>
      </w:r>
      <w:r>
        <w:rPr>
          <w:spacing w:val="-56"/>
        </w:rPr>
        <w:t> </w:t>
      </w:r>
      <w:r>
        <w:rPr>
          <w:spacing w:val="-56"/>
        </w:rPr>
      </w:r>
      <w:r>
        <w:rPr>
          <w:spacing w:val="-1"/>
        </w:rPr>
        <w:t>浙江省税务局《浙江省税务局关于降低文化事业建设费有关事项的通知》（浙财综</w:t>
      </w:r>
      <w:r>
        <w:rPr>
          <w:rFonts w:ascii="Times New Roman" w:hAnsi="Times New Roman" w:cs="Times New Roman" w:eastAsia="Times New Roman" w:hint="default"/>
          <w:spacing w:val="-1"/>
        </w:rPr>
        <w:t>[2019]20</w:t>
      </w:r>
      <w:r>
        <w:rPr>
          <w:spacing w:val="-1"/>
        </w:rPr>
        <w:t>号），经省政府批准，自</w:t>
      </w:r>
      <w:r>
        <w:rPr>
          <w:rFonts w:ascii="Times New Roman" w:hAnsi="Times New Roman" w:cs="Times New Roman" w:eastAsia="Times New Roman" w:hint="default"/>
          <w:spacing w:val="-1"/>
        </w:rPr>
        <w:t>2019</w:t>
      </w:r>
      <w:r>
        <w:rPr>
          <w:spacing w:val="-1"/>
        </w:rPr>
        <w:t>年</w:t>
      </w:r>
      <w:r>
        <w:rPr>
          <w:spacing w:val="-55"/>
        </w:rPr>
        <w:t> </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日，对归属地方收入的文化事业建设费，按照缴纳义务人应缴费额的</w:t>
      </w:r>
      <w:r>
        <w:rPr>
          <w:rFonts w:ascii="Times New Roman" w:hAnsi="Times New Roman" w:cs="Times New Roman" w:eastAsia="Times New Roman" w:hint="default"/>
          <w:spacing w:val="-1"/>
        </w:rPr>
        <w:t>50%</w:t>
      </w:r>
      <w:r>
        <w:rPr>
          <w:spacing w:val="-1"/>
        </w:rPr>
        <w:t>减征；子公司浙江风盛传媒</w:t>
      </w:r>
      <w:r>
        <w:rPr>
          <w:spacing w:val="-81"/>
        </w:rPr>
        <w:t> </w:t>
      </w:r>
      <w:r>
        <w:rPr>
          <w:spacing w:val="-81"/>
        </w:rPr>
      </w:r>
      <w:r>
        <w:rPr>
          <w:spacing w:val="-2"/>
        </w:rPr>
        <w:t>股份有限公司、杭州朗盛传媒有限公司、浙江智骊文化传媒有限公司、杭州悦报传媒有限公司、杭州好声音风尚传媒有限公</w:t>
      </w:r>
      <w:r>
        <w:rPr>
          <w:spacing w:val="-66"/>
        </w:rPr>
        <w:t> </w:t>
      </w:r>
      <w:r>
        <w:rPr>
          <w:spacing w:val="-66"/>
        </w:rPr>
      </w:r>
      <w:r>
        <w:rPr>
          <w:spacing w:val="-2"/>
        </w:rPr>
        <w:t>司、福州风盛传媒有限公司、杭州钱塘传媒有限公司、杭州萧山日报传媒有限公司、杭州萧山网络传媒有限公司、杭州富阳</w:t>
      </w:r>
      <w:r>
        <w:rPr>
          <w:spacing w:val="-66"/>
        </w:rPr>
        <w:t> </w:t>
      </w:r>
      <w:r>
        <w:rPr>
          <w:spacing w:val="-66"/>
        </w:rPr>
      </w:r>
      <w:r>
        <w:rPr>
          <w:spacing w:val="-2"/>
        </w:rPr>
        <w:t>日报传媒有限公司、杭州富阳网络传媒有限公司、杭州日报传媒有限公司、杭州休闲文化传媒有限公司、杭州风景名胜传媒</w:t>
      </w:r>
      <w:r>
        <w:rPr>
          <w:spacing w:val="-66"/>
        </w:rPr>
        <w:t> </w:t>
      </w:r>
      <w:r>
        <w:rPr>
          <w:spacing w:val="-66"/>
        </w:rPr>
      </w:r>
      <w:r>
        <w:rPr>
          <w:spacing w:val="-2"/>
        </w:rPr>
        <w:t>有限公司、杭州网络传媒有限公司、杭州知政网络科技有限公司、杭州快房传媒有限公司、浙江都市快报控股有限公司、杭</w:t>
      </w:r>
      <w:r>
        <w:rPr>
          <w:spacing w:val="-66"/>
        </w:rPr>
        <w:t> </w:t>
      </w:r>
      <w:r>
        <w:rPr>
          <w:spacing w:val="-66"/>
        </w:rPr>
      </w:r>
      <w:r>
        <w:rPr/>
        <w:t>州余杭晨报传媒有限公司、杭州每日传媒有限公司享受上述优惠政策。</w:t>
      </w:r>
    </w:p>
    <w:p>
      <w:pPr>
        <w:spacing w:line="240" w:lineRule="auto" w:before="12"/>
        <w:rPr>
          <w:rFonts w:ascii="宋体" w:hAnsi="宋体" w:cs="宋体" w:eastAsia="宋体" w:hint="default"/>
          <w:sz w:val="22"/>
          <w:szCs w:val="22"/>
        </w:rPr>
      </w:pPr>
    </w:p>
    <w:p>
      <w:pPr>
        <w:spacing w:line="487" w:lineRule="auto" w:before="0"/>
        <w:ind w:left="15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618,821.50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716,398.51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780,280,313.12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797,826,345.45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19,325,869.55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25,562,174.79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800,225,004.17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824,104,918.75</w:t>
            </w:r>
          </w:p>
        </w:tc>
      </w:tr>
    </w:tbl>
    <w:p>
      <w:pPr>
        <w:pStyle w:val="BodyText"/>
        <w:spacing w:line="240" w:lineRule="auto" w:before="51"/>
        <w:ind w:right="0"/>
        <w:jc w:val="left"/>
      </w:pPr>
      <w:r>
        <w:rPr/>
        <w:t>其他说明</w:t>
      </w:r>
    </w:p>
    <w:p>
      <w:pPr>
        <w:pStyle w:val="BodyText"/>
        <w:spacing w:line="300" w:lineRule="auto" w:before="115"/>
        <w:ind w:left="444" w:right="0"/>
        <w:jc w:val="left"/>
      </w:pPr>
      <w:r>
        <w:rPr/>
        <w:t>银行存款年末余额中</w:t>
      </w:r>
      <w:r>
        <w:rPr>
          <w:rFonts w:ascii="Times New Roman" w:hAnsi="Times New Roman" w:cs="Times New Roman" w:eastAsia="Times New Roman" w:hint="default"/>
        </w:rPr>
        <w:t>2,496,371.23</w:t>
      </w:r>
      <w:r>
        <w:rPr/>
        <w:t>元系因合同纠纷被冻结，使用受限。 </w:t>
      </w:r>
      <w:r>
        <w:rPr>
          <w:spacing w:val="-1"/>
        </w:rPr>
        <w:t>其他货币资金年末余额中</w:t>
      </w:r>
      <w:r>
        <w:rPr>
          <w:rFonts w:ascii="Times New Roman" w:hAnsi="Times New Roman" w:cs="Times New Roman" w:eastAsia="Times New Roman" w:hint="default"/>
          <w:spacing w:val="-1"/>
        </w:rPr>
        <w:t>15,022,824.46</w:t>
      </w:r>
      <w:r>
        <w:rPr>
          <w:spacing w:val="-1"/>
        </w:rPr>
        <w:t>元系银行承兑汇票保证金存款，</w:t>
      </w:r>
      <w:r>
        <w:rPr>
          <w:rFonts w:ascii="Times New Roman" w:hAnsi="Times New Roman" w:cs="Times New Roman" w:eastAsia="Times New Roman" w:hint="default"/>
          <w:spacing w:val="-1"/>
        </w:rPr>
        <w:t>3,237,603.00</w:t>
      </w:r>
      <w:r>
        <w:rPr>
          <w:spacing w:val="-1"/>
        </w:rPr>
        <w:t>元系保函保证金，使用受限。</w:t>
      </w:r>
    </w:p>
    <w:p>
      <w:pPr>
        <w:spacing w:after="0" w:line="30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84"/>
        <w:gridCol w:w="2835"/>
        <w:gridCol w:w="2339"/>
      </w:tblGrid>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182,448,916.91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159,011,267.77</w:t>
            </w:r>
          </w:p>
        </w:tc>
      </w:tr>
      <w:tr>
        <w:trPr>
          <w:trHeight w:val="403"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4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基金及信托产品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96,903,793.62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73,782,318.00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80,545,123.29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70,228,949.77</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182,448,916.91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159,011,267.77</w:t>
            </w:r>
          </w:p>
        </w:tc>
      </w:tr>
    </w:tbl>
    <w:p>
      <w:pPr>
        <w:pStyle w:val="BodyText"/>
        <w:spacing w:line="240" w:lineRule="auto" w:before="51"/>
        <w:ind w:right="0"/>
        <w:jc w:val="left"/>
      </w:pPr>
      <w:r>
        <w:rPr/>
        <w:t>其他说明：</w:t>
      </w:r>
    </w:p>
    <w:p>
      <w:pPr>
        <w:pStyle w:val="BodyText"/>
        <w:spacing w:line="300" w:lineRule="auto" w:before="115"/>
        <w:ind w:left="153" w:right="0" w:firstLine="29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日，本公司之子公司浙江华媒投资有限公司持有的华侨丝路宝瑞金拾贰号基金年末估值为 </w:t>
      </w:r>
      <w:r>
        <w:rPr>
          <w:rFonts w:ascii="Times New Roman" w:hAnsi="Times New Roman" w:cs="Times New Roman" w:eastAsia="Times New Roman" w:hint="default"/>
        </w:rPr>
        <w:t>19,160,273.97</w:t>
      </w:r>
      <w:r>
        <w:rPr/>
        <w:t>元，该基金的投资标的为由中国造币总公司发行的金银纪念币／纪念章以及其它金银制品；持有的中建投</w:t>
      </w:r>
      <w:r>
        <w:rPr>
          <w:rFonts w:ascii="Times New Roman" w:hAnsi="Times New Roman" w:cs="Times New Roman" w:eastAsia="Times New Roman" w:hint="default"/>
        </w:rPr>
        <w:t>·</w:t>
      </w:r>
      <w:r>
        <w:rPr/>
        <w:t>信 </w:t>
      </w:r>
      <w:r>
        <w:rPr>
          <w:spacing w:val="-3"/>
        </w:rPr>
        <w:t>托安泉</w:t>
      </w:r>
      <w:r>
        <w:rPr>
          <w:rFonts w:ascii="Times New Roman" w:hAnsi="Times New Roman" w:cs="Times New Roman" w:eastAsia="Times New Roman" w:hint="default"/>
          <w:spacing w:val="-3"/>
        </w:rPr>
        <w:t>452</w:t>
      </w:r>
      <w:r>
        <w:rPr>
          <w:spacing w:val="-3"/>
        </w:rPr>
        <w:t>号（融创嘉兴）集合资金信托计划年末估值为</w:t>
      </w:r>
      <w:r>
        <w:rPr>
          <w:rFonts w:ascii="Times New Roman" w:hAnsi="Times New Roman" w:cs="Times New Roman" w:eastAsia="Times New Roman" w:hint="default"/>
          <w:spacing w:val="-3"/>
        </w:rPr>
        <w:t>15,570,583.33</w:t>
      </w:r>
      <w:r>
        <w:rPr>
          <w:spacing w:val="-3"/>
        </w:rPr>
        <w:t>元，该信托资金用于向海盐山水鑫悦置业有限公司（以</w:t>
      </w:r>
      <w:r>
        <w:rPr>
          <w:spacing w:val="-34"/>
        </w:rPr>
        <w:t> </w:t>
      </w:r>
      <w:r>
        <w:rPr>
          <w:spacing w:val="-34"/>
        </w:rPr>
      </w:r>
      <w:r>
        <w:rPr/>
        <w:t>下简称</w:t>
      </w:r>
      <w:r>
        <w:rPr>
          <w:rFonts w:ascii="Times New Roman" w:hAnsi="Times New Roman" w:cs="Times New Roman" w:eastAsia="Times New Roman" w:hint="default"/>
        </w:rPr>
        <w:t>“</w:t>
      </w:r>
      <w:r>
        <w:rPr/>
        <w:t>交易对手</w:t>
      </w:r>
      <w:r>
        <w:rPr>
          <w:rFonts w:ascii="Times New Roman" w:hAnsi="Times New Roman" w:cs="Times New Roman" w:eastAsia="Times New Roman" w:hint="default"/>
        </w:rPr>
        <w:t>”)</w:t>
      </w:r>
      <w:r>
        <w:rPr/>
        <w:t>发放信托贷款，贷款资金用于交易对手名下的用款项目开发建设；持有的浙金</w:t>
      </w:r>
      <w:r>
        <w:rPr>
          <w:rFonts w:ascii="Times New Roman" w:hAnsi="Times New Roman" w:cs="Times New Roman" w:eastAsia="Times New Roman" w:hint="default"/>
        </w:rPr>
        <w:t>·</w:t>
      </w:r>
      <w:r>
        <w:rPr/>
        <w:t>汇业</w:t>
      </w:r>
      <w:r>
        <w:rPr>
          <w:rFonts w:ascii="Times New Roman" w:hAnsi="Times New Roman" w:cs="Times New Roman" w:eastAsia="Times New Roman" w:hint="default"/>
        </w:rPr>
        <w:t>365</w:t>
      </w:r>
      <w:r>
        <w:rPr/>
        <w:t>号恒大湖州珺睿 府集合资金信托计划年末估值为</w:t>
      </w:r>
      <w:r>
        <w:rPr>
          <w:rFonts w:ascii="Times New Roman" w:hAnsi="Times New Roman" w:cs="Times New Roman" w:eastAsia="Times New Roman" w:hint="default"/>
        </w:rPr>
        <w:t>20,254,465.75</w:t>
      </w:r>
      <w:r>
        <w:rPr/>
        <w:t>元，信托计划资金以受托人的名义向湖州金碧置业有限公司发放信托贷款。</w:t>
      </w:r>
    </w:p>
    <w:p>
      <w:pPr>
        <w:pStyle w:val="BodyText"/>
        <w:spacing w:line="300" w:lineRule="auto" w:before="13"/>
        <w:ind w:left="153" w:right="1130" w:firstLine="290"/>
        <w:jc w:val="both"/>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日，本公司之子公司杭州余杭晨报传媒有限公司持有的保本浮动收益型结构性存款估值</w:t>
      </w:r>
      <w:r>
        <w:rPr>
          <w:rFonts w:ascii="Times New Roman" w:hAnsi="Times New Roman" w:cs="Times New Roman" w:eastAsia="Times New Roman" w:hint="default"/>
        </w:rPr>
        <w:t>80,545,123.29 </w:t>
      </w:r>
      <w:r>
        <w:rPr>
          <w:spacing w:val="-4"/>
        </w:rPr>
        <w:t>元，其中，挂钩</w:t>
      </w:r>
      <w:r>
        <w:rPr>
          <w:rFonts w:ascii="Times New Roman" w:hAnsi="Times New Roman" w:cs="Times New Roman" w:eastAsia="Times New Roman" w:hint="default"/>
          <w:spacing w:val="-4"/>
        </w:rPr>
        <w:t>3</w:t>
      </w:r>
      <w:r>
        <w:rPr>
          <w:spacing w:val="-4"/>
        </w:rPr>
        <w:t>个月</w:t>
      </w:r>
      <w:r>
        <w:rPr>
          <w:rFonts w:ascii="Times New Roman" w:hAnsi="Times New Roman" w:cs="Times New Roman" w:eastAsia="Times New Roman" w:hint="default"/>
          <w:spacing w:val="-4"/>
        </w:rPr>
        <w:t>LIBOR</w:t>
      </w:r>
      <w:r>
        <w:rPr>
          <w:spacing w:val="-4"/>
        </w:rPr>
        <w:t>的产品年末估值为</w:t>
      </w:r>
      <w:r>
        <w:rPr>
          <w:rFonts w:ascii="Times New Roman" w:hAnsi="Times New Roman" w:cs="Times New Roman" w:eastAsia="Times New Roman" w:hint="default"/>
          <w:spacing w:val="-4"/>
        </w:rPr>
        <w:t>40,095,780.82</w:t>
      </w:r>
      <w:r>
        <w:rPr>
          <w:spacing w:val="-4"/>
        </w:rPr>
        <w:t>元，到期日为</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w:t>
      </w:r>
      <w:r>
        <w:rPr>
          <w:spacing w:val="-4"/>
        </w:rPr>
        <w:t>日的结构性存款年末估值为</w:t>
      </w:r>
      <w:r>
        <w:rPr>
          <w:rFonts w:ascii="Times New Roman" w:hAnsi="Times New Roman" w:cs="Times New Roman" w:eastAsia="Times New Roman" w:hint="default"/>
          <w:spacing w:val="-4"/>
        </w:rPr>
        <w:t>20,054,136.99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元，到期日为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日的结构性存款年末估值为</w:t>
      </w:r>
      <w:r>
        <w:rPr>
          <w:rFonts w:ascii="Times New Roman" w:hAnsi="Times New Roman" w:cs="Times New Roman" w:eastAsia="Times New Roman" w:hint="default"/>
        </w:rPr>
        <w:t>20,041,643.83</w:t>
      </w:r>
      <w:r>
        <w:rPr/>
        <w:t>元，到期日归还投资本金和收益；挂钩</w:t>
      </w:r>
      <w:r>
        <w:rPr>
          <w:rFonts w:ascii="Times New Roman" w:hAnsi="Times New Roman" w:cs="Times New Roman" w:eastAsia="Times New Roman" w:hint="default"/>
        </w:rPr>
        <w:t>3</w:t>
      </w:r>
      <w:r>
        <w:rPr/>
        <w:t>个月</w:t>
      </w:r>
      <w:r>
        <w:rPr>
          <w:rFonts w:ascii="Times New Roman" w:hAnsi="Times New Roman" w:cs="Times New Roman" w:eastAsia="Times New Roman" w:hint="default"/>
        </w:rPr>
        <w:t>SHIBOR</w:t>
      </w:r>
      <w:r>
        <w:rPr/>
        <w:t>的 </w:t>
      </w:r>
      <w:r>
        <w:rPr>
          <w:spacing w:val="-2"/>
        </w:rPr>
        <w:t>产品年末估值为</w:t>
      </w:r>
      <w:r>
        <w:rPr>
          <w:rFonts w:ascii="Times New Roman" w:hAnsi="Times New Roman" w:cs="Times New Roman" w:eastAsia="Times New Roman" w:hint="default"/>
          <w:spacing w:val="-2"/>
        </w:rPr>
        <w:t>40,449,342.47</w:t>
      </w:r>
      <w:r>
        <w:rPr>
          <w:spacing w:val="-2"/>
        </w:rPr>
        <w:t>元，到期日为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日的结构性存款，年末估值为</w:t>
      </w:r>
      <w:r>
        <w:rPr>
          <w:rFonts w:ascii="Times New Roman" w:hAnsi="Times New Roman" w:cs="Times New Roman" w:eastAsia="Times New Roman" w:hint="default"/>
          <w:spacing w:val="-2"/>
        </w:rPr>
        <w:t>20,244,712.33</w:t>
      </w:r>
      <w:r>
        <w:rPr>
          <w:spacing w:val="-2"/>
        </w:rPr>
        <w:t>元，到期日为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17"/>
        </w:rPr>
        <w:t> </w:t>
      </w:r>
      <w:r>
        <w:rPr/>
        <w:t>日的结构性存款年末估值为</w:t>
      </w:r>
      <w:r>
        <w:rPr>
          <w:rFonts w:ascii="Times New Roman" w:hAnsi="Times New Roman" w:cs="Times New Roman" w:eastAsia="Times New Roman" w:hint="default"/>
        </w:rPr>
        <w:t>20,204,630.14</w:t>
      </w:r>
      <w:r>
        <w:rPr/>
        <w:t>元，到期日归还投资本金和收益。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250"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0.00</w:t>
            </w:r>
          </w:p>
        </w:tc>
      </w:tr>
      <w:tr>
        <w:trPr>
          <w:trHeight w:val="250"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820,278.05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0.00</w:t>
            </w:r>
          </w:p>
        </w:tc>
      </w:tr>
      <w:tr>
        <w:trPr>
          <w:trHeight w:val="25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820,278.05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64"/>
        <w:gridCol w:w="866"/>
        <w:gridCol w:w="718"/>
        <w:gridCol w:w="759"/>
        <w:gridCol w:w="776"/>
        <w:gridCol w:w="878"/>
        <w:gridCol w:w="404"/>
        <w:gridCol w:w="521"/>
        <w:gridCol w:w="416"/>
        <w:gridCol w:w="776"/>
        <w:gridCol w:w="776"/>
      </w:tblGrid>
      <w:tr>
        <w:trPr>
          <w:trHeight w:val="251" w:hRule="exact"/>
        </w:trPr>
        <w:tc>
          <w:tcPr>
            <w:tcW w:w="2564"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25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2" w:lineRule="exact"/>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5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78" w:type="dxa"/>
            <w:vMerge w:val="restart"/>
            <w:tcBorders>
              <w:top w:val="single" w:sz="54" w:space="0" w:color="D3D3D3"/>
              <w:left w:val="single" w:sz="23" w:space="0" w:color="D3D3D3"/>
              <w:right w:val="single" w:sz="23" w:space="0" w:color="D3D3D3"/>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shd w:fill="D3D3D3" w:color="auto" w:val="clear"/>
              </w:rPr>
              <w:t> </w:t>
            </w:r>
            <w:r>
              <w:rPr>
                <w:rFonts w:ascii="宋体" w:hAnsi="宋体" w:cs="宋体" w:eastAsia="宋体" w:hint="default"/>
                <w:sz w:val="18"/>
                <w:szCs w:val="18"/>
                <w:shd w:fill="D3D3D3" w:color="auto" w:val="clear"/>
              </w:rPr>
              <w:t>账面价值</w:t>
            </w:r>
            <w:r>
              <w:rPr>
                <w:rFonts w:ascii="宋体" w:hAnsi="宋体" w:cs="宋体" w:eastAsia="宋体" w:hint="default"/>
                <w:sz w:val="18"/>
                <w:szCs w:val="18"/>
              </w:rPr>
            </w:r>
          </w:p>
        </w:tc>
        <w:tc>
          <w:tcPr>
            <w:tcW w:w="9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6" w:type="dxa"/>
            <w:vMerge w:val="restart"/>
            <w:tcBorders>
              <w:top w:val="single" w:sz="54" w:space="0" w:color="D3D3D3"/>
              <w:left w:val="single" w:sz="23" w:space="0" w:color="D3D3D3"/>
              <w:right w:val="single" w:sz="13" w:space="0" w:color="D3D3D3"/>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账面价值</w:t>
            </w:r>
            <w:r>
              <w:rPr>
                <w:rFonts w:ascii="宋体" w:hAnsi="宋体" w:cs="宋体" w:eastAsia="宋体" w:hint="default"/>
                <w:sz w:val="18"/>
                <w:szCs w:val="18"/>
              </w:rPr>
            </w:r>
          </w:p>
        </w:tc>
      </w:tr>
      <w:tr>
        <w:trPr>
          <w:trHeight w:val="250" w:hRule="exact"/>
        </w:trPr>
        <w:tc>
          <w:tcPr>
            <w:tcW w:w="25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3"/>
              <w:jc w:val="center"/>
              <w:rPr>
                <w:rFonts w:ascii="宋体" w:hAnsi="宋体" w:cs="宋体" w:eastAsia="宋体" w:hint="default"/>
                <w:sz w:val="18"/>
                <w:szCs w:val="18"/>
              </w:rPr>
            </w:pPr>
            <w:r>
              <w:rPr>
                <w:rFonts w:ascii="宋体" w:hAnsi="宋体" w:cs="宋体" w:eastAsia="宋体" w:hint="default"/>
                <w:sz w:val="18"/>
                <w:szCs w:val="18"/>
              </w:rPr>
              <w:t>比例</w:t>
            </w:r>
          </w:p>
        </w:tc>
        <w:tc>
          <w:tcPr>
            <w:tcW w:w="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878" w:type="dxa"/>
            <w:vMerge/>
            <w:tcBorders>
              <w:left w:val="single" w:sz="23" w:space="0" w:color="D3D3D3"/>
              <w:bottom w:val="single" w:sz="54" w:space="0" w:color="D3D3D3"/>
              <w:right w:val="single" w:sz="23" w:space="0" w:color="D3D3D3"/>
            </w:tcBorders>
          </w:tcPr>
          <w:p>
            <w:pPr/>
          </w:p>
        </w:tc>
        <w:tc>
          <w:tcPr>
            <w:tcW w:w="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0"/>
              <w:jc w:val="right"/>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76" w:type="dxa"/>
            <w:vMerge/>
            <w:tcBorders>
              <w:left w:val="single" w:sz="23" w:space="0" w:color="D3D3D3"/>
              <w:bottom w:val="single" w:sz="54" w:space="0" w:color="D3D3D3"/>
              <w:right w:val="single" w:sz="13" w:space="0" w:color="D3D3D3"/>
            </w:tcBorders>
          </w:tcPr>
          <w:p>
            <w:pPr/>
          </w:p>
        </w:tc>
      </w:tr>
      <w:tr>
        <w:trPr>
          <w:trHeight w:val="251" w:hRule="exact"/>
        </w:trPr>
        <w:tc>
          <w:tcPr>
            <w:tcW w:w="2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按组合计提坏账准备的应收票据</w:t>
            </w:r>
          </w:p>
        </w:tc>
        <w:tc>
          <w:tcPr>
            <w:tcW w:w="8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3"/>
              <w:jc w:val="center"/>
              <w:rPr>
                <w:rFonts w:ascii="Times New Roman" w:hAnsi="Times New Roman" w:cs="Times New Roman" w:eastAsia="Times New Roman" w:hint="default"/>
                <w:sz w:val="18"/>
                <w:szCs w:val="18"/>
              </w:rPr>
            </w:pPr>
            <w:r>
              <w:rPr>
                <w:rFonts w:ascii="Times New Roman"/>
                <w:sz w:val="18"/>
              </w:rPr>
              <w:t>875,719.00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
              <w:jc w:val="center"/>
              <w:rPr>
                <w:rFonts w:ascii="Times New Roman" w:hAnsi="Times New Roman" w:cs="Times New Roman" w:eastAsia="Times New Roman" w:hint="default"/>
                <w:sz w:val="18"/>
                <w:szCs w:val="18"/>
              </w:rPr>
            </w:pPr>
            <w:r>
              <w:rPr>
                <w:rFonts w:ascii="Times New Roman"/>
                <w:sz w:val="18"/>
              </w:rPr>
              <w:t>100.00%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
              <w:jc w:val="center"/>
              <w:rPr>
                <w:rFonts w:ascii="Times New Roman" w:hAnsi="Times New Roman" w:cs="Times New Roman" w:eastAsia="Times New Roman" w:hint="default"/>
                <w:sz w:val="18"/>
                <w:szCs w:val="18"/>
              </w:rPr>
            </w:pPr>
            <w:r>
              <w:rPr>
                <w:rFonts w:ascii="Times New Roman"/>
                <w:sz w:val="18"/>
              </w:rPr>
              <w:t>55,440.95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6.33%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right"/>
              <w:rPr>
                <w:rFonts w:ascii="Times New Roman" w:hAnsi="Times New Roman" w:cs="Times New Roman" w:eastAsia="Times New Roman" w:hint="default"/>
                <w:sz w:val="18"/>
                <w:szCs w:val="18"/>
              </w:rPr>
            </w:pPr>
            <w:r>
              <w:rPr>
                <w:rFonts w:ascii="Times New Roman"/>
                <w:sz w:val="18"/>
              </w:rPr>
              <w:t>820,278.05</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Times New Roman"/>
                <w:sz w:val="18"/>
              </w:rPr>
              <w:t>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7" w:right="0"/>
              <w:jc w:val="center"/>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0.00</w:t>
            </w:r>
          </w:p>
        </w:tc>
      </w:tr>
      <w:tr>
        <w:trPr>
          <w:trHeight w:val="250" w:hRule="exact"/>
        </w:trPr>
        <w:tc>
          <w:tcPr>
            <w:tcW w:w="2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5"/>
              <w:ind w:right="3"/>
              <w:jc w:val="center"/>
              <w:rPr>
                <w:rFonts w:ascii="Times New Roman" w:hAnsi="Times New Roman" w:cs="Times New Roman" w:eastAsia="Times New Roman" w:hint="default"/>
                <w:sz w:val="18"/>
                <w:szCs w:val="18"/>
              </w:rPr>
            </w:pPr>
            <w:r>
              <w:rPr>
                <w:rFonts w:ascii="Times New Roman"/>
                <w:sz w:val="18"/>
              </w:rPr>
              <w:t>875,719.00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center"/>
              <w:rPr>
                <w:rFonts w:ascii="Times New Roman" w:hAnsi="Times New Roman" w:cs="Times New Roman" w:eastAsia="Times New Roman" w:hint="default"/>
                <w:sz w:val="18"/>
                <w:szCs w:val="18"/>
              </w:rPr>
            </w:pPr>
            <w:r>
              <w:rPr>
                <w:rFonts w:ascii="Times New Roman"/>
                <w:sz w:val="18"/>
              </w:rPr>
              <w:t>100.00%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center"/>
              <w:rPr>
                <w:rFonts w:ascii="Times New Roman" w:hAnsi="Times New Roman" w:cs="Times New Roman" w:eastAsia="Times New Roman" w:hint="default"/>
                <w:sz w:val="18"/>
                <w:szCs w:val="18"/>
              </w:rPr>
            </w:pPr>
            <w:r>
              <w:rPr>
                <w:rFonts w:ascii="Times New Roman"/>
                <w:sz w:val="18"/>
              </w:rPr>
              <w:t>55,440.95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6.33%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
              <w:jc w:val="right"/>
              <w:rPr>
                <w:rFonts w:ascii="Times New Roman" w:hAnsi="Times New Roman" w:cs="Times New Roman" w:eastAsia="Times New Roman" w:hint="default"/>
                <w:sz w:val="18"/>
                <w:szCs w:val="18"/>
              </w:rPr>
            </w:pPr>
            <w:r>
              <w:rPr>
                <w:rFonts w:ascii="Times New Roman"/>
                <w:sz w:val="18"/>
              </w:rPr>
              <w:t>820,278.05</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Times New Roman" w:hAnsi="Times New Roman" w:cs="Times New Roman" w:eastAsia="Times New Roman" w:hint="default"/>
                <w:sz w:val="18"/>
                <w:szCs w:val="18"/>
              </w:rPr>
            </w:pPr>
            <w:r>
              <w:rPr>
                <w:rFonts w:ascii="Times New Roman"/>
                <w:sz w:val="18"/>
              </w:rPr>
              <w:t>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 w:right="0"/>
              <w:jc w:val="center"/>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按单项计提坏账准备：无</w:t>
      </w:r>
    </w:p>
    <w:p>
      <w:pPr>
        <w:spacing w:after="0" w:line="240" w:lineRule="auto"/>
        <w:jc w:val="left"/>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393" w:right="0"/>
        <w:jc w:val="left"/>
      </w:pPr>
      <w:r>
        <w:rPr/>
        <w:t>按组合计提坏账准备：</w:t>
      </w:r>
      <w:r>
        <w:rPr>
          <w:rFonts w:ascii="Times New Roman" w:hAnsi="Times New Roman" w:cs="Times New Roman" w:eastAsia="Times New Roman" w:hint="default"/>
        </w:rPr>
        <w:t>55,440.95</w:t>
      </w:r>
      <w:r>
        <w:rPr>
          <w:rFonts w:ascii="Times New Roman" w:hAnsi="Times New Roman" w:cs="Times New Roman" w:eastAsia="Times New Roman" w:hint="default"/>
          <w:spacing w:val="-3"/>
        </w:rPr>
        <w:t> </w:t>
      </w:r>
      <w:r>
        <w:rPr/>
        <w:t>元</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0" w:type="dxa"/>
            <w:vMerge/>
            <w:tcBorders>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04"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4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875,719.00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55,440.95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875,719.00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55,440.95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393" w:right="8591"/>
        <w:jc w:val="left"/>
      </w:pPr>
      <w:r>
        <w:rPr/>
        <w:t>确定该组合依据的说明：无 按组合计提坏账准备：无 确定该组合依据的说明：无</w:t>
      </w:r>
    </w:p>
    <w:p>
      <w:pPr>
        <w:pStyle w:val="BodyText"/>
        <w:spacing w:line="240" w:lineRule="auto" w:before="26"/>
        <w:ind w:left="393" w:right="0"/>
        <w:jc w:val="left"/>
      </w:pPr>
      <w:r>
        <w:rPr/>
        <w:t>如是按照预期信用损失一般模型计提应收票据坏账准备，请参照其他应收款的披露方式披露坏账准备的相关信息：</w:t>
      </w:r>
    </w:p>
    <w:p>
      <w:pPr>
        <w:pStyle w:val="BodyText"/>
        <w:spacing w:line="240" w:lineRule="auto" w:before="117"/>
        <w:ind w:left="3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94"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394" w:right="0"/>
        <w:jc w:val="left"/>
      </w:pPr>
      <w:r>
        <w:rPr/>
        <w:t>本期计提坏账准备情况：</w:t>
      </w:r>
    </w:p>
    <w:p>
      <w:pPr>
        <w:pStyle w:val="BodyText"/>
        <w:spacing w:line="240" w:lineRule="auto" w:before="116"/>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1702"/>
        <w:gridCol w:w="1034"/>
        <w:gridCol w:w="1367"/>
        <w:gridCol w:w="1367"/>
        <w:gridCol w:w="1368"/>
        <w:gridCol w:w="1367"/>
        <w:gridCol w:w="1367"/>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034"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55,440.95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55,440.95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55,440.95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55,440.95</w:t>
            </w:r>
          </w:p>
        </w:tc>
      </w:tr>
    </w:tbl>
    <w:p>
      <w:pPr>
        <w:pStyle w:val="BodyText"/>
        <w:spacing w:line="240" w:lineRule="auto" w:before="51"/>
        <w:ind w:left="394" w:right="0"/>
        <w:jc w:val="left"/>
      </w:pPr>
      <w:r>
        <w:rPr/>
        <w:t>其中本期坏账准备收回或转回金额重要的：</w:t>
      </w:r>
    </w:p>
    <w:p>
      <w:pPr>
        <w:pStyle w:val="BodyText"/>
        <w:spacing w:line="240" w:lineRule="auto" w:before="116"/>
        <w:ind w:left="3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155"/>
        <w:ind w:left="394" w:right="0"/>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pStyle w:val="Heading3"/>
        <w:spacing w:line="240" w:lineRule="auto" w:before="177"/>
        <w:ind w:left="394" w:right="0"/>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pStyle w:val="Heading3"/>
        <w:spacing w:line="240" w:lineRule="auto" w:before="177"/>
        <w:ind w:left="394" w:right="0"/>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pStyle w:val="Heading3"/>
        <w:spacing w:line="240" w:lineRule="auto" w:before="177"/>
        <w:ind w:left="394"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pStyle w:val="Heading3"/>
        <w:spacing w:line="240" w:lineRule="auto" w:before="177"/>
        <w:ind w:left="394" w:right="0"/>
        <w:jc w:val="left"/>
        <w:rPr>
          <w:b w:val="0"/>
          <w:bCs w:val="0"/>
        </w:rPr>
      </w:pPr>
      <w:r>
        <w:rPr>
          <w:rFonts w:ascii="Times New Roman" w:hAnsi="Times New Roman" w:cs="Times New Roman" w:eastAsia="Times New Roman" w:hint="default"/>
        </w:rPr>
        <w:t>5</w:t>
      </w:r>
      <w:r>
        <w:rPr/>
        <w:t>、应收账款</w:t>
      </w:r>
      <w:r>
        <w:rPr>
          <w:b w:val="0"/>
          <w:bCs w:val="0"/>
        </w:rPr>
      </w:r>
    </w:p>
    <w:p>
      <w:pPr>
        <w:pStyle w:val="Heading3"/>
        <w:spacing w:line="240" w:lineRule="auto" w:before="177"/>
        <w:ind w:left="394"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507"/>
        <w:gridCol w:w="1045"/>
        <w:gridCol w:w="630"/>
        <w:gridCol w:w="1056"/>
        <w:gridCol w:w="605"/>
        <w:gridCol w:w="1067"/>
        <w:gridCol w:w="1045"/>
        <w:gridCol w:w="630"/>
        <w:gridCol w:w="987"/>
        <w:gridCol w:w="582"/>
        <w:gridCol w:w="1067"/>
      </w:tblGrid>
      <w:tr>
        <w:trPr>
          <w:trHeight w:val="251" w:hRule="exact"/>
        </w:trPr>
        <w:tc>
          <w:tcPr>
            <w:tcW w:w="1507" w:type="dxa"/>
            <w:vMerge w:val="restart"/>
            <w:tcBorders>
              <w:top w:val="single" w:sz="4" w:space="0" w:color="000000"/>
              <w:left w:val="single" w:sz="4" w:space="0" w:color="000000"/>
              <w:right w:val="single" w:sz="4" w:space="0" w:color="000000"/>
            </w:tcBorders>
            <w:shd w:val="clear" w:color="auto" w:fill="D3D3D3"/>
          </w:tcPr>
          <w:p>
            <w:pPr/>
          </w:p>
        </w:tc>
        <w:tc>
          <w:tcPr>
            <w:tcW w:w="440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5" w:hRule="exact"/>
        </w:trPr>
        <w:tc>
          <w:tcPr>
            <w:tcW w:w="1507" w:type="dxa"/>
            <w:vMerge/>
            <w:tcBorders>
              <w:left w:val="single" w:sz="4" w:space="0" w:color="000000"/>
              <w:bottom w:val="nil" w:sz="6" w:space="0" w:color="auto"/>
              <w:right w:val="single" w:sz="4" w:space="0" w:color="000000"/>
            </w:tcBorders>
            <w:shd w:val="clear" w:color="auto" w:fill="D3D3D3"/>
          </w:tcPr>
          <w:p>
            <w:pPr/>
          </w:p>
        </w:tc>
        <w:tc>
          <w:tcPr>
            <w:tcW w:w="167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4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7" w:type="dxa"/>
            <w:vMerge w:val="restart"/>
            <w:tcBorders>
              <w:top w:val="single" w:sz="4" w:space="0" w:color="000000"/>
              <w:left w:val="single" w:sz="4" w:space="0" w:color="000000"/>
              <w:right w:val="single" w:sz="4" w:space="0" w:color="000000"/>
            </w:tcBorders>
            <w:shd w:val="clear" w:color="auto" w:fill="D3D3D3"/>
          </w:tcPr>
          <w:p>
            <w:pPr/>
          </w:p>
        </w:tc>
        <w:tc>
          <w:tcPr>
            <w:tcW w:w="167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4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4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7" w:type="dxa"/>
            <w:vMerge w:val="restart"/>
            <w:tcBorders>
              <w:top w:val="single" w:sz="4" w:space="0" w:color="000000"/>
              <w:left w:val="single" w:sz="4" w:space="0" w:color="000000"/>
              <w:right w:val="single" w:sz="4" w:space="0" w:color="000000"/>
            </w:tcBorders>
            <w:shd w:val="clear" w:color="auto" w:fill="D3D3D3"/>
          </w:tcPr>
          <w:p>
            <w:pPr/>
          </w:p>
        </w:tc>
      </w:tr>
      <w:tr>
        <w:trPr>
          <w:trHeight w:val="124" w:hRule="exact"/>
        </w:trPr>
        <w:tc>
          <w:tcPr>
            <w:tcW w:w="1507"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right="23"/>
              <w:jc w:val="center"/>
              <w:rPr>
                <w:rFonts w:ascii="宋体" w:hAnsi="宋体" w:cs="宋体" w:eastAsia="宋体" w:hint="default"/>
                <w:sz w:val="18"/>
                <w:szCs w:val="18"/>
              </w:rPr>
            </w:pPr>
            <w:r>
              <w:rPr>
                <w:rFonts w:ascii="宋体" w:hAnsi="宋体" w:cs="宋体" w:eastAsia="宋体" w:hint="default"/>
                <w:sz w:val="18"/>
                <w:szCs w:val="18"/>
              </w:rPr>
              <w:t>类别</w:t>
            </w:r>
          </w:p>
        </w:tc>
        <w:tc>
          <w:tcPr>
            <w:tcW w:w="1675" w:type="dxa"/>
            <w:gridSpan w:val="2"/>
            <w:vMerge/>
            <w:tcBorders>
              <w:left w:val="single" w:sz="4" w:space="0" w:color="000000"/>
              <w:bottom w:val="single" w:sz="4" w:space="0" w:color="000000"/>
              <w:right w:val="single" w:sz="4" w:space="0" w:color="000000"/>
            </w:tcBorders>
            <w:shd w:val="clear" w:color="auto" w:fill="D3D3D3"/>
          </w:tcPr>
          <w:p>
            <w:pPr/>
          </w:p>
        </w:tc>
        <w:tc>
          <w:tcPr>
            <w:tcW w:w="1661" w:type="dxa"/>
            <w:gridSpan w:val="2"/>
            <w:vMerge/>
            <w:tcBorders>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c>
          <w:tcPr>
            <w:tcW w:w="1675" w:type="dxa"/>
            <w:gridSpan w:val="2"/>
            <w:vMerge/>
            <w:tcBorders>
              <w:left w:val="single" w:sz="4" w:space="0" w:color="000000"/>
              <w:bottom w:val="single" w:sz="4" w:space="0" w:color="000000"/>
              <w:right w:val="single" w:sz="4" w:space="0" w:color="000000"/>
            </w:tcBorders>
            <w:shd w:val="clear" w:color="auto" w:fill="D3D3D3"/>
          </w:tcPr>
          <w:p>
            <w:pPr/>
          </w:p>
        </w:tc>
        <w:tc>
          <w:tcPr>
            <w:tcW w:w="1569" w:type="dxa"/>
            <w:gridSpan w:val="2"/>
            <w:vMerge/>
            <w:tcBorders>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r>
      <w:tr>
        <w:trPr>
          <w:trHeight w:val="122" w:hRule="exact"/>
        </w:trPr>
        <w:tc>
          <w:tcPr>
            <w:tcW w:w="1507" w:type="dxa"/>
            <w:vMerge/>
            <w:tcBorders>
              <w:left w:val="single" w:sz="4" w:space="0" w:color="000000"/>
              <w:bottom w:val="single" w:sz="4" w:space="0" w:color="FFFFFF"/>
              <w:right w:val="single" w:sz="4" w:space="0" w:color="000000"/>
            </w:tcBorders>
            <w:shd w:val="clear" w:color="auto" w:fill="D3D3D3"/>
          </w:tcPr>
          <w:p>
            <w:pPr/>
          </w:p>
        </w:tc>
        <w:tc>
          <w:tcPr>
            <w:tcW w:w="1045"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30"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06" w:right="2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67"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4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87" w:type="dxa"/>
            <w:tcBorders>
              <w:top w:val="single" w:sz="4" w:space="0" w:color="000000"/>
              <w:left w:val="single" w:sz="4" w:space="0" w:color="000000"/>
              <w:bottom w:val="nil" w:sz="6" w:space="0" w:color="auto"/>
              <w:right w:val="single" w:sz="4" w:space="0" w:color="000000"/>
            </w:tcBorders>
            <w:shd w:val="clear" w:color="auto" w:fill="D3D3D3"/>
          </w:tcPr>
          <w:p>
            <w:pPr/>
          </w:p>
        </w:tc>
        <w:tc>
          <w:tcPr>
            <w:tcW w:w="5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194" w:right="1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67"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18" w:hRule="exact"/>
        </w:trPr>
        <w:tc>
          <w:tcPr>
            <w:tcW w:w="1507" w:type="dxa"/>
            <w:vMerge w:val="restart"/>
            <w:tcBorders>
              <w:top w:val="single" w:sz="4" w:space="0" w:color="FFFFFF"/>
              <w:left w:val="single" w:sz="4" w:space="0" w:color="000000"/>
              <w:right w:val="single" w:sz="4" w:space="0" w:color="000000"/>
            </w:tcBorders>
            <w:shd w:val="clear" w:color="auto" w:fill="D3D3D3"/>
          </w:tcPr>
          <w:p>
            <w:pPr/>
          </w:p>
        </w:tc>
        <w:tc>
          <w:tcPr>
            <w:tcW w:w="1045" w:type="dxa"/>
            <w:vMerge w:val="restart"/>
            <w:tcBorders>
              <w:top w:val="single" w:sz="4" w:space="0" w:color="FFFFFF"/>
              <w:left w:val="single" w:sz="4" w:space="0" w:color="000000"/>
              <w:right w:val="single" w:sz="4" w:space="0" w:color="000000"/>
            </w:tcBorders>
            <w:shd w:val="clear" w:color="auto" w:fill="D3D3D3"/>
          </w:tcPr>
          <w:p>
            <w:pPr>
              <w:pStyle w:val="TableParagraph"/>
              <w:spacing w:line="215" w:lineRule="exact"/>
              <w:ind w:left="3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single" w:sz="4" w:space="0" w:color="FFFFFF"/>
              <w:left w:val="single" w:sz="4" w:space="0" w:color="000000"/>
              <w:right w:val="single" w:sz="4" w:space="0" w:color="000000"/>
            </w:tcBorders>
            <w:shd w:val="clear" w:color="auto" w:fill="D3D3D3"/>
          </w:tcPr>
          <w:p>
            <w:pPr>
              <w:pStyle w:val="TableParagraph"/>
              <w:spacing w:line="215" w:lineRule="exact"/>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6" w:type="dxa"/>
            <w:vMerge w:val="restart"/>
            <w:tcBorders>
              <w:top w:val="single" w:sz="4" w:space="0" w:color="FFFFFF"/>
              <w:left w:val="single" w:sz="4" w:space="0" w:color="000000"/>
              <w:right w:val="single" w:sz="4" w:space="0" w:color="000000"/>
            </w:tcBorders>
            <w:shd w:val="clear" w:color="auto" w:fill="D3D3D3"/>
          </w:tcPr>
          <w:p>
            <w:pPr>
              <w:pStyle w:val="TableParagraph"/>
              <w:spacing w:line="215" w:lineRule="exact"/>
              <w:ind w:left="3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5" w:type="dxa"/>
            <w:vMerge/>
            <w:tcBorders>
              <w:left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c>
          <w:tcPr>
            <w:tcW w:w="1045"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ind w:left="3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7"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2" w:type="dxa"/>
            <w:vMerge/>
            <w:tcBorders>
              <w:left w:val="single" w:sz="4" w:space="0" w:color="000000"/>
              <w:right w:val="single" w:sz="4" w:space="0" w:color="000000"/>
            </w:tcBorders>
            <w:shd w:val="clear" w:color="auto" w:fill="D3D3D3"/>
          </w:tcPr>
          <w:p>
            <w:pPr/>
          </w:p>
        </w:tc>
        <w:tc>
          <w:tcPr>
            <w:tcW w:w="1067" w:type="dxa"/>
            <w:vMerge/>
            <w:tcBorders>
              <w:left w:val="single" w:sz="4" w:space="0" w:color="000000"/>
              <w:bottom w:val="nil" w:sz="6" w:space="0" w:color="auto"/>
              <w:right w:val="single" w:sz="4" w:space="0" w:color="000000"/>
            </w:tcBorders>
            <w:shd w:val="clear" w:color="auto" w:fill="D3D3D3"/>
          </w:tcPr>
          <w:p>
            <w:pPr/>
          </w:p>
        </w:tc>
      </w:tr>
      <w:tr>
        <w:trPr>
          <w:trHeight w:val="250" w:hRule="exact"/>
        </w:trPr>
        <w:tc>
          <w:tcPr>
            <w:tcW w:w="1507" w:type="dxa"/>
            <w:vMerge/>
            <w:tcBorders>
              <w:left w:val="single" w:sz="4" w:space="0" w:color="000000"/>
              <w:bottom w:val="single" w:sz="4" w:space="0" w:color="000000"/>
              <w:right w:val="single" w:sz="4" w:space="0" w:color="000000"/>
            </w:tcBorders>
            <w:shd w:val="clear" w:color="auto" w:fill="D3D3D3"/>
          </w:tcPr>
          <w:p>
            <w:pPr/>
          </w:p>
        </w:tc>
        <w:tc>
          <w:tcPr>
            <w:tcW w:w="1045" w:type="dxa"/>
            <w:vMerge/>
            <w:tcBorders>
              <w:left w:val="single" w:sz="4" w:space="0" w:color="000000"/>
              <w:bottom w:val="single" w:sz="4" w:space="0" w:color="000000"/>
              <w:right w:val="single" w:sz="4" w:space="0" w:color="000000"/>
            </w:tcBorders>
            <w:shd w:val="clear" w:color="auto" w:fill="D3D3D3"/>
          </w:tcPr>
          <w:p>
            <w:pPr/>
          </w:p>
        </w:tc>
        <w:tc>
          <w:tcPr>
            <w:tcW w:w="630"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5" w:type="dxa"/>
            <w:vMerge/>
            <w:tcBorders>
              <w:left w:val="single" w:sz="4" w:space="0" w:color="000000"/>
              <w:bottom w:val="single" w:sz="4" w:space="0" w:color="000000"/>
              <w:right w:val="single" w:sz="4" w:space="0" w:color="000000"/>
            </w:tcBorders>
            <w:shd w:val="clear" w:color="auto" w:fill="D3D3D3"/>
          </w:tcPr>
          <w:p>
            <w:pPr/>
          </w:p>
        </w:tc>
        <w:tc>
          <w:tcPr>
            <w:tcW w:w="630" w:type="dxa"/>
            <w:vMerge/>
            <w:tcBorders>
              <w:left w:val="single" w:sz="4" w:space="0" w:color="000000"/>
              <w:bottom w:val="single" w:sz="4" w:space="0" w:color="000000"/>
              <w:right w:val="single" w:sz="4" w:space="0" w:color="000000"/>
            </w:tcBorders>
            <w:shd w:val="clear" w:color="auto" w:fill="D3D3D3"/>
          </w:tcPr>
          <w:p>
            <w:pPr/>
          </w:p>
        </w:tc>
        <w:tc>
          <w:tcPr>
            <w:tcW w:w="987" w:type="dxa"/>
            <w:vMerge/>
            <w:tcBorders>
              <w:left w:val="single" w:sz="4" w:space="0" w:color="000000"/>
              <w:bottom w:val="single" w:sz="4" w:space="0" w:color="000000"/>
              <w:right w:val="single" w:sz="4" w:space="0" w:color="000000"/>
            </w:tcBorders>
            <w:shd w:val="clear" w:color="auto" w:fill="D3D3D3"/>
          </w:tcPr>
          <w:p>
            <w:pPr/>
          </w:p>
        </w:tc>
        <w:tc>
          <w:tcPr>
            <w:tcW w:w="582"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91" w:hRule="exact"/>
        </w:trPr>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4"/>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1045" w:type="dxa"/>
            <w:tcBorders>
              <w:top w:val="single" w:sz="52" w:space="0" w:color="D3D3D3"/>
              <w:left w:val="single" w:sz="13" w:space="0" w:color="D3D3D3"/>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spacing w:val="-1"/>
                <w:sz w:val="16"/>
              </w:rPr>
              <w:t>62,113,951.52</w:t>
            </w:r>
          </w:p>
        </w:tc>
        <w:tc>
          <w:tcPr>
            <w:tcW w:w="630"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spacing w:val="-1"/>
                <w:sz w:val="16"/>
              </w:rPr>
              <w:t>12.73%</w:t>
            </w:r>
          </w:p>
        </w:tc>
        <w:tc>
          <w:tcPr>
            <w:tcW w:w="1056"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spacing w:val="-1"/>
                <w:sz w:val="16"/>
              </w:rPr>
              <w:t>54,514,602.67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87.77%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6"/>
                <w:szCs w:val="16"/>
              </w:rPr>
            </w:pPr>
            <w:r>
              <w:rPr>
                <w:rFonts w:ascii="Times New Roman"/>
                <w:spacing w:val="-1"/>
                <w:sz w:val="16"/>
              </w:rPr>
              <w:t>7,599,348.85</w:t>
            </w:r>
          </w:p>
        </w:tc>
        <w:tc>
          <w:tcPr>
            <w:tcW w:w="1045"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04"/>
              <w:ind w:left="67" w:right="0"/>
              <w:jc w:val="center"/>
              <w:rPr>
                <w:rFonts w:ascii="Times New Roman" w:hAnsi="Times New Roman" w:cs="Times New Roman" w:eastAsia="Times New Roman" w:hint="default"/>
                <w:sz w:val="16"/>
                <w:szCs w:val="16"/>
              </w:rPr>
            </w:pPr>
            <w:r>
              <w:rPr>
                <w:rFonts w:ascii="Times New Roman"/>
                <w:sz w:val="16"/>
              </w:rPr>
              <w:t>28,749,680.88</w:t>
            </w:r>
          </w:p>
        </w:tc>
        <w:tc>
          <w:tcPr>
            <w:tcW w:w="630"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6"/>
                <w:szCs w:val="16"/>
              </w:rPr>
            </w:pPr>
            <w:r>
              <w:rPr>
                <w:rFonts w:ascii="Times New Roman"/>
                <w:spacing w:val="-1"/>
                <w:sz w:val="16"/>
              </w:rPr>
              <w:t>6.34%</w:t>
            </w:r>
          </w:p>
        </w:tc>
        <w:tc>
          <w:tcPr>
            <w:tcW w:w="987" w:type="dxa"/>
            <w:tcBorders>
              <w:top w:val="single" w:sz="52" w:space="0" w:color="D3D3D3"/>
              <w:left w:val="single" w:sz="4" w:space="0" w:color="000000"/>
              <w:bottom w:val="single" w:sz="4" w:space="0" w:color="000000"/>
              <w:right w:val="single" w:sz="4" w:space="0" w:color="000000"/>
            </w:tcBorders>
          </w:tcPr>
          <w:p>
            <w:pPr>
              <w:pStyle w:val="TableParagraph"/>
              <w:spacing w:line="240" w:lineRule="auto" w:before="103"/>
              <w:ind w:right="8"/>
              <w:jc w:val="center"/>
              <w:rPr>
                <w:rFonts w:ascii="Times New Roman" w:hAnsi="Times New Roman" w:cs="Times New Roman" w:eastAsia="Times New Roman" w:hint="default"/>
                <w:sz w:val="16"/>
                <w:szCs w:val="16"/>
              </w:rPr>
            </w:pPr>
            <w:r>
              <w:rPr>
                <w:rFonts w:ascii="Times New Roman"/>
                <w:sz w:val="16"/>
              </w:rPr>
              <w:t>24,627,602.64</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6"/>
                <w:szCs w:val="16"/>
              </w:rPr>
            </w:pPr>
            <w:r>
              <w:rPr>
                <w:rFonts w:ascii="Times New Roman"/>
                <w:spacing w:val="-1"/>
                <w:sz w:val="16"/>
              </w:rPr>
              <w:t>85.66%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4,122,078.24</w:t>
            </w:r>
          </w:p>
        </w:tc>
      </w:tr>
      <w:tr>
        <w:trPr>
          <w:trHeight w:val="250" w:hRule="exact"/>
        </w:trPr>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91" w:hRule="exact"/>
        </w:trPr>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4"/>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104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21"/>
              <w:jc w:val="right"/>
              <w:rPr>
                <w:rFonts w:ascii="Times New Roman" w:hAnsi="Times New Roman" w:cs="Times New Roman" w:eastAsia="Times New Roman" w:hint="default"/>
                <w:sz w:val="16"/>
                <w:szCs w:val="16"/>
              </w:rPr>
            </w:pPr>
            <w:r>
              <w:rPr>
                <w:rFonts w:ascii="Times New Roman"/>
                <w:spacing w:val="-1"/>
                <w:sz w:val="16"/>
              </w:rPr>
              <w:t>425,716,012.70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87.27%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52,085,431.65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12.23%</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6"/>
                <w:szCs w:val="16"/>
              </w:rPr>
            </w:pPr>
            <w:r>
              <w:rPr>
                <w:rFonts w:ascii="Times New Roman"/>
                <w:spacing w:val="-1"/>
                <w:sz w:val="16"/>
              </w:rPr>
              <w:t>373,630,581.05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center"/>
              <w:rPr>
                <w:rFonts w:ascii="Times New Roman" w:hAnsi="Times New Roman" w:cs="Times New Roman" w:eastAsia="Times New Roman" w:hint="default"/>
                <w:sz w:val="16"/>
                <w:szCs w:val="16"/>
              </w:rPr>
            </w:pPr>
            <w:r>
              <w:rPr>
                <w:rFonts w:ascii="Times New Roman"/>
                <w:sz w:val="16"/>
              </w:rPr>
              <w:t>424,436,433.88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93.66%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center"/>
              <w:rPr>
                <w:rFonts w:ascii="Times New Roman" w:hAnsi="Times New Roman" w:cs="Times New Roman" w:eastAsia="Times New Roman" w:hint="default"/>
                <w:sz w:val="16"/>
                <w:szCs w:val="16"/>
              </w:rPr>
            </w:pPr>
            <w:r>
              <w:rPr>
                <w:rFonts w:ascii="Times New Roman"/>
                <w:sz w:val="16"/>
              </w:rPr>
              <w:t>64,371,624.03</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6"/>
                <w:szCs w:val="16"/>
              </w:rPr>
            </w:pPr>
            <w:r>
              <w:rPr>
                <w:rFonts w:ascii="Times New Roman"/>
                <w:spacing w:val="-1"/>
                <w:sz w:val="16"/>
              </w:rPr>
              <w:t>15.17%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360,064,809.85</w:t>
            </w:r>
          </w:p>
        </w:tc>
      </w:tr>
    </w:tbl>
    <w:p>
      <w:pPr>
        <w:spacing w:after="0" w:line="240" w:lineRule="auto"/>
        <w:jc w:val="right"/>
        <w:rPr>
          <w:rFonts w:ascii="Times New Roman" w:hAnsi="Times New Roman" w:cs="Times New Roman" w:eastAsia="Times New Roman" w:hint="default"/>
          <w:sz w:val="16"/>
          <w:szCs w:val="16"/>
        </w:rPr>
        <w:sectPr>
          <w:pgSz w:w="11910" w:h="16840"/>
          <w:pgMar w:header="877" w:footer="982" w:top="1100" w:bottom="1180" w:left="740" w:right="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484"/>
        <w:gridCol w:w="1068"/>
        <w:gridCol w:w="630"/>
        <w:gridCol w:w="1056"/>
        <w:gridCol w:w="605"/>
        <w:gridCol w:w="1055"/>
        <w:gridCol w:w="1056"/>
        <w:gridCol w:w="631"/>
        <w:gridCol w:w="976"/>
        <w:gridCol w:w="605"/>
        <w:gridCol w:w="1056"/>
      </w:tblGrid>
      <w:tr>
        <w:trPr>
          <w:trHeight w:val="250"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6"/>
                <w:szCs w:val="16"/>
              </w:rPr>
            </w:pPr>
            <w:r>
              <w:rPr>
                <w:rFonts w:ascii="Times New Roman"/>
                <w:sz w:val="16"/>
              </w:rPr>
              <w:t>487,829,964.22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6"/>
                <w:szCs w:val="16"/>
              </w:rPr>
            </w:pPr>
            <w:r>
              <w:rPr>
                <w:rFonts w:ascii="Times New Roman"/>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6"/>
                <w:szCs w:val="16"/>
              </w:rPr>
            </w:pPr>
            <w:r>
              <w:rPr>
                <w:rFonts w:ascii="Times New Roman"/>
                <w:sz w:val="16"/>
              </w:rPr>
              <w:t>106,600,034.32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8" w:right="0"/>
              <w:jc w:val="left"/>
              <w:rPr>
                <w:rFonts w:ascii="Times New Roman" w:hAnsi="Times New Roman" w:cs="Times New Roman" w:eastAsia="Times New Roman" w:hint="default"/>
                <w:sz w:val="16"/>
                <w:szCs w:val="16"/>
              </w:rPr>
            </w:pPr>
            <w:r>
              <w:rPr>
                <w:rFonts w:ascii="Times New Roman"/>
                <w:sz w:val="16"/>
              </w:rPr>
              <w:t>21.85%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6"/>
                <w:szCs w:val="16"/>
              </w:rPr>
            </w:pPr>
            <w:r>
              <w:rPr>
                <w:rFonts w:ascii="Times New Roman"/>
                <w:sz w:val="16"/>
              </w:rPr>
              <w:t>381,229,929.90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9" w:right="0"/>
              <w:jc w:val="left"/>
              <w:rPr>
                <w:rFonts w:ascii="Times New Roman" w:hAnsi="Times New Roman" w:cs="Times New Roman" w:eastAsia="Times New Roman" w:hint="default"/>
                <w:sz w:val="16"/>
                <w:szCs w:val="16"/>
              </w:rPr>
            </w:pPr>
            <w:r>
              <w:rPr>
                <w:rFonts w:ascii="Times New Roman"/>
                <w:sz w:val="16"/>
              </w:rPr>
              <w:t>453,186,114.76</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6"/>
                <w:szCs w:val="16"/>
              </w:rPr>
            </w:pPr>
            <w:r>
              <w:rPr>
                <w:rFonts w:ascii="Times New Roman"/>
                <w:sz w:val="16"/>
              </w:rPr>
              <w:t>100.00%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6"/>
                <w:szCs w:val="16"/>
              </w:rPr>
            </w:pPr>
            <w:r>
              <w:rPr>
                <w:rFonts w:ascii="Times New Roman"/>
                <w:sz w:val="16"/>
              </w:rPr>
              <w:t>88,999,226.67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7" w:right="0"/>
              <w:jc w:val="left"/>
              <w:rPr>
                <w:rFonts w:ascii="Times New Roman" w:hAnsi="Times New Roman" w:cs="Times New Roman" w:eastAsia="Times New Roman" w:hint="default"/>
                <w:sz w:val="16"/>
                <w:szCs w:val="16"/>
              </w:rPr>
            </w:pPr>
            <w:r>
              <w:rPr>
                <w:rFonts w:ascii="Times New Roman"/>
                <w:sz w:val="16"/>
              </w:rPr>
              <w:t>19.64%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Times New Roman" w:hAnsi="Times New Roman" w:cs="Times New Roman" w:eastAsia="Times New Roman" w:hint="default"/>
                <w:sz w:val="16"/>
                <w:szCs w:val="16"/>
              </w:rPr>
            </w:pPr>
            <w:r>
              <w:rPr>
                <w:rFonts w:ascii="Times New Roman"/>
                <w:sz w:val="16"/>
              </w:rPr>
              <w:t>364,186,888.09</w:t>
            </w:r>
          </w:p>
        </w:tc>
      </w:tr>
    </w:tbl>
    <w:p>
      <w:pPr>
        <w:pStyle w:val="BodyText"/>
        <w:spacing w:line="240" w:lineRule="auto" w:before="51"/>
        <w:ind w:left="394" w:right="0"/>
        <w:jc w:val="left"/>
      </w:pPr>
      <w:r>
        <w:rPr/>
        <w:t>按单项计提坏账准备：</w:t>
      </w:r>
      <w:r>
        <w:rPr>
          <w:rFonts w:ascii="Times New Roman" w:hAnsi="Times New Roman" w:cs="Times New Roman" w:eastAsia="Times New Roman" w:hint="default"/>
        </w:rPr>
        <w:t>54,514,602.67</w:t>
      </w:r>
      <w:r>
        <w:rPr>
          <w:rFonts w:ascii="Times New Roman" w:hAnsi="Times New Roman" w:cs="Times New Roman" w:eastAsia="Times New Roman" w:hint="default"/>
          <w:spacing w:val="-3"/>
        </w:rPr>
        <w:t> </w:t>
      </w:r>
      <w:r>
        <w:rPr/>
        <w:t>元</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361" w:type="dxa"/>
        <w:tblLayout w:type="fixed"/>
        <w:tblCellMar>
          <w:top w:w="0" w:type="dxa"/>
          <w:left w:w="0" w:type="dxa"/>
          <w:bottom w:w="0" w:type="dxa"/>
          <w:right w:w="0" w:type="dxa"/>
        </w:tblCellMar>
        <w:tblLook w:val="01E0"/>
      </w:tblPr>
      <w:tblGrid>
        <w:gridCol w:w="4045"/>
        <w:gridCol w:w="1152"/>
        <w:gridCol w:w="1152"/>
        <w:gridCol w:w="818"/>
        <w:gridCol w:w="2515"/>
      </w:tblGrid>
      <w:tr>
        <w:trPr>
          <w:trHeight w:val="402" w:hRule="exact"/>
        </w:trPr>
        <w:tc>
          <w:tcPr>
            <w:tcW w:w="40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63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045" w:type="dxa"/>
            <w:vMerge/>
            <w:tcBorders>
              <w:left w:val="single" w:sz="4" w:space="0" w:color="000000"/>
              <w:bottom w:val="single" w:sz="4" w:space="0" w:color="000000"/>
              <w:right w:val="single" w:sz="4" w:space="0" w:color="000000"/>
            </w:tcBorders>
            <w:shd w:val="clear" w:color="auto" w:fill="D3D3D3"/>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2"/>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上海奔灵印务科技有限公司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17,017,263.79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10,017,914.94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预计应收款不能全额收回</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昆山永丰余广告印务有限公司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10,839,490.06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10,839,490.06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上海靓讯工贸有限公司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8,244,156.48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8,244,156.48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北京翰林世纪艺术设计有限公司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4,883,863.96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4,883,863.96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上海轻松文化传播有限公司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4,703,238.94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4,703,238.94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义乌市邮政局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3,038,294.00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3,038,294.00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1,772,138.87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1,772,138.87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北京师范大学教育培训中心</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预计应收款不能全额收回</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门客（杭州）网络科技有限公司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955,796.10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955,796.10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上海富行文化传播有限公司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895,279.80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895,279.80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杭州庙街网络科技有限公司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894,332.43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894,332.43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上海纽赉富国际贸易有限公司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836,280.01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836,280.01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杭州国际旅行社有限公司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810,450.00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810,450.00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上海山垦印业有限公司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杭州微云力文化传播有限公司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436,886.79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436,886.79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上海恒泰书报刊发行有限公司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407,458.89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407,458.89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黄山广播电视报社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372,330.00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372,330.00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港中旅成得（杭州）置业有限公司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324,265.00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324,265.00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杭州百安锦图广告有限公司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萧山区瓜沥镇人民政府</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杭州世茂新里程置业有限公司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286,564.00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286,564.00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余杭记者站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277,380.80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277,380.80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杭州尚诚置业有限公司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237,365.74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237,365.74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浙江中意房地产开发有限公司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232,578.00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232,578.00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上海余峰文化传播有限公司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175,540.00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175,540.00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深圳华巨臣事业有限公司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杭州合源房地产开发有限公司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137,375.00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137,375.00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杭州东导数据技术有限公司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127,169.81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127,169.81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杭州钱江意中经营管理公司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bl>
    <w:p>
      <w:pPr>
        <w:spacing w:after="0" w:line="240" w:lineRule="auto"/>
        <w:jc w:val="left"/>
        <w:rPr>
          <w:rFonts w:ascii="宋体" w:hAnsi="宋体" w:cs="宋体" w:eastAsia="宋体" w:hint="default"/>
          <w:sz w:val="18"/>
          <w:szCs w:val="18"/>
        </w:rPr>
        <w:sectPr>
          <w:pgSz w:w="11910" w:h="16840"/>
          <w:pgMar w:header="877" w:footer="982" w:top="1100" w:bottom="118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045"/>
        <w:gridCol w:w="1152"/>
        <w:gridCol w:w="1152"/>
        <w:gridCol w:w="818"/>
        <w:gridCol w:w="2515"/>
      </w:tblGrid>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杭州汗成汤泉健康管理有限公司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104,250.00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杭州欣华置业有限公司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101,886.79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101,886.79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杭州沃美教育咨询有限公司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杭州昆仑西润房地产开发有限公司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杭州市产权交易所有限责任公司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111,020.00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111,020.00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乐视体育文化产业发展（北京）有限公司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浙江在线品牌营销策划有限公司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51,282.20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51,282.20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深圳市基石创业投资管理有限公司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浙江新航国际旅行社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天工艺苑股份有限公司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杭州品道文化创意有限公司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杭州祐康优谷大地科技发展有限公司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杭州慧力包装印刷有限公司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36,364.40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36,364.40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上海新熠实业有限公司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33,601.74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33,601.74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乐视控股（北京）有限公司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杭州市之江度假区征地事务所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32,410.00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32,410.00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上海美幽商贸有限公司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杭州市余杭区博文教育培训中心</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杭州北雅外语专修学校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杭州嘉信房地产开发有限公司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杭州思珺文化创意有限公司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杭州金都水灵有限公司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浙江山屿海旅游发展股份有限公司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杭州潘岩德文化艺术有限公司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浙江鸿艺影视文化有限公司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浙江南奥文化创意有限公司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38,867.92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38,867.92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杭州桃花源度假村有限公司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杭州市北大青鸟职业技能培训学校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湖北日报传媒集团</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杭州益文广告有限公司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杭州奕玥广告有限公司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杭州金源建设项目管理有限公司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北京清澈高远文化传播有限公司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杭州中野传媒有限公司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045"/>
        <w:gridCol w:w="1152"/>
        <w:gridCol w:w="1152"/>
        <w:gridCol w:w="818"/>
        <w:gridCol w:w="2515"/>
      </w:tblGrid>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杭州瑞尔建筑装饰设计有限公司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浙江寰瑞投资管理有限公司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杭州市国土资源局之江分局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杭州旭辐检测技术有限公司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桐庐滨江建设有限公司春江景苑分公司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杭州市居住区发展中心有限公司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浙江国际招（投）标公司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建友工程咨询有限公司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广东启德教育服务有限公司杭州分公司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杭州龙禧硅谷酒店有限公司福朋喜来登酒店</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浙江天际企业有限公司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杭州市固废直运有限公司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拱宸桥街道办事处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拱墅区信访局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杭州之江国家旅游度假区基础设施建设开发中心</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浙江省成套招标代理有限公司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预计应收款收回的可能性不大</w:t>
            </w:r>
          </w:p>
        </w:tc>
      </w:tr>
      <w:tr>
        <w:trPr>
          <w:trHeight w:val="402" w:hRule="exact"/>
        </w:trPr>
        <w:tc>
          <w:tcPr>
            <w:tcW w:w="4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62,113,951.52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54,514,602.67</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按组合计提坏账准备：</w:t>
      </w:r>
      <w:r>
        <w:rPr>
          <w:rFonts w:ascii="Times New Roman" w:hAnsi="Times New Roman" w:cs="Times New Roman" w:eastAsia="Times New Roman" w:hint="default"/>
        </w:rPr>
        <w:t>52,085,431.65</w:t>
      </w:r>
      <w:r>
        <w:rPr>
          <w:rFonts w:ascii="Times New Roman" w:hAnsi="Times New Roman" w:cs="Times New Roman" w:eastAsia="Times New Roman" w:hint="default"/>
          <w:spacing w:val="-3"/>
        </w:rPr>
        <w:t> </w:t>
      </w:r>
      <w:r>
        <w:rPr/>
        <w:t>元</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425,716,012.70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52,085,431.65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425,716,012.70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52,085,431.65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73" w:right="8771" w:hanging="420"/>
        <w:jc w:val="left"/>
      </w:pPr>
      <w:r>
        <w:rPr/>
        <w:pict>
          <v:shape style="position:absolute;margin-left:55.98pt;margin-top:35.142059pt;width:483.6pt;height:137.3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6"/>
                    <w:gridCol w:w="2864"/>
                    <w:gridCol w:w="2640"/>
                    <w:gridCol w:w="2527"/>
                  </w:tblGrid>
                  <w:tr>
                    <w:trPr>
                      <w:trHeight w:val="342" w:hRule="exact"/>
                    </w:trPr>
                    <w:tc>
                      <w:tcPr>
                        <w:tcW w:w="16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626"/>
                          <w:jc w:val="right"/>
                          <w:rPr>
                            <w:rFonts w:ascii="宋体" w:hAnsi="宋体" w:cs="宋体" w:eastAsia="宋体" w:hint="default"/>
                            <w:sz w:val="18"/>
                            <w:szCs w:val="18"/>
                          </w:rPr>
                        </w:pPr>
                        <w:r>
                          <w:rPr>
                            <w:rFonts w:ascii="宋体" w:hAnsi="宋体" w:cs="宋体" w:eastAsia="宋体" w:hint="default"/>
                            <w:sz w:val="18"/>
                            <w:szCs w:val="18"/>
                          </w:rPr>
                          <w:t>账龄</w:t>
                        </w:r>
                      </w:p>
                    </w:tc>
                    <w:tc>
                      <w:tcPr>
                        <w:tcW w:w="2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7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2"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355,344,416.53</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6,768,100.32</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1.90</w:t>
                        </w:r>
                      </w:p>
                    </w:tc>
                  </w:tr>
                  <w:tr>
                    <w:trPr>
                      <w:trHeight w:val="342"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14,474,642.88</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2,195,776.86</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15.17</w:t>
                        </w:r>
                      </w:p>
                    </w:tc>
                  </w:tr>
                  <w:tr>
                    <w:trPr>
                      <w:trHeight w:val="342"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13,210,954.71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4,583,162.57</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34.69</w:t>
                        </w:r>
                      </w:p>
                    </w:tc>
                  </w:tr>
                  <w:tr>
                    <w:trPr>
                      <w:trHeight w:val="342"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7,827,864.17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4,752,470.40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60.71</w:t>
                        </w:r>
                      </w:p>
                    </w:tc>
                  </w:tr>
                  <w:tr>
                    <w:trPr>
                      <w:trHeight w:val="342"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5,294,907.00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4,222,694.09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79.75</w:t>
                        </w:r>
                      </w:p>
                    </w:tc>
                  </w:tr>
                  <w:tr>
                    <w:trPr>
                      <w:trHeight w:val="342"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29,563,227.41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29,563,227.41</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3" w:hRule="exact"/>
                    </w:trPr>
                    <w:tc>
                      <w:tcPr>
                        <w:tcW w:w="16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626"/>
                          <w:jc w:val="right"/>
                          <w:rPr>
                            <w:rFonts w:ascii="宋体" w:hAnsi="宋体" w:cs="宋体" w:eastAsia="宋体" w:hint="default"/>
                            <w:sz w:val="18"/>
                            <w:szCs w:val="18"/>
                          </w:rPr>
                        </w:pPr>
                        <w:r>
                          <w:rPr>
                            <w:rFonts w:ascii="宋体" w:hAnsi="宋体" w:cs="宋体" w:eastAsia="宋体" w:hint="default"/>
                            <w:sz w:val="18"/>
                            <w:szCs w:val="18"/>
                          </w:rPr>
                          <w:t>小计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425,716,012.70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52,085,431.65</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12.23</w:t>
                        </w:r>
                      </w:p>
                    </w:tc>
                  </w:tr>
                </w:tbl>
                <w:p>
                  <w:pPr/>
                </w:p>
              </w:txbxContent>
            </v:textbox>
            <w10:wrap type="none"/>
          </v:shape>
        </w:pict>
      </w:r>
      <w:r>
        <w:rPr/>
        <w:t>确定该组合依据的说明： 其中：账龄组合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57" w:lineRule="auto" w:before="44"/>
        <w:ind w:left="153" w:right="8591"/>
        <w:jc w:val="left"/>
      </w:pPr>
      <w:r>
        <w:rPr/>
        <w:t>按组合计提坏账准备：无 确定该组合依据的说明：无</w:t>
      </w:r>
    </w:p>
    <w:p>
      <w:pPr>
        <w:pStyle w:val="BodyText"/>
        <w:spacing w:line="240" w:lineRule="auto" w:before="29"/>
        <w:ind w:left="153" w:right="0"/>
        <w:jc w:val="left"/>
      </w:pPr>
      <w:r>
        <w:rPr/>
        <w:t>如是按照预期信用损失一般模型计提应收账款坏账准备，请参照其他应收款的披露方式披露坏账准备的相关信息：</w:t>
      </w:r>
    </w:p>
    <w:p>
      <w:pPr>
        <w:spacing w:after="0" w:line="240" w:lineRule="auto"/>
        <w:jc w:val="left"/>
        <w:sectPr>
          <w:pgSz w:w="11910" w:h="16840"/>
          <w:pgMar w:header="877" w:footer="982" w:top="1100" w:bottom="118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532" w:space="7296"/>
            <w:col w:w="2102"/>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72"/>
        <w:gridCol w:w="4784"/>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356,927,061.71</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33,374,001.87</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23,102,577.94</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74,426,322.70</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10,769,315.17</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11,439,079.17</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52,217,928.36</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487,829,964.22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174"/>
        <w:gridCol w:w="1415"/>
        <w:gridCol w:w="1494"/>
        <w:gridCol w:w="1241"/>
        <w:gridCol w:w="1298"/>
        <w:gridCol w:w="539"/>
        <w:gridCol w:w="1532"/>
      </w:tblGrid>
      <w:tr>
        <w:trPr>
          <w:trHeight w:val="402" w:hRule="exact"/>
        </w:trPr>
        <w:tc>
          <w:tcPr>
            <w:tcW w:w="21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74" w:type="dxa"/>
            <w:vMerge/>
            <w:tcBorders>
              <w:left w:val="single" w:sz="4" w:space="0" w:color="000000"/>
              <w:bottom w:val="single" w:sz="4" w:space="0" w:color="000000"/>
              <w:right w:val="single" w:sz="4" w:space="0" w:color="000000"/>
            </w:tcBorders>
            <w:shd w:val="clear" w:color="auto" w:fill="D3D3D3"/>
          </w:tcPr>
          <w:p>
            <w:pPr/>
          </w:p>
        </w:tc>
        <w:tc>
          <w:tcPr>
            <w:tcW w:w="1415" w:type="dxa"/>
            <w:vMerge/>
            <w:tcBorders>
              <w:left w:val="single" w:sz="4" w:space="0" w:color="000000"/>
              <w:bottom w:val="single" w:sz="4" w:space="0" w:color="000000"/>
              <w:right w:val="single" w:sz="4" w:space="0" w:color="000000"/>
            </w:tcBorders>
            <w:shd w:val="clear" w:color="auto" w:fill="D3D3D3"/>
          </w:tcPr>
          <w:p>
            <w:pPr/>
          </w:p>
        </w:tc>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1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24,747,602.64</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35,582,210.36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13,036.80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5,802,173.53</w:t>
            </w:r>
          </w:p>
        </w:tc>
        <w:tc>
          <w:tcPr>
            <w:tcW w:w="53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54,514,602.67</w:t>
            </w:r>
          </w:p>
        </w:tc>
      </w:tr>
      <w:tr>
        <w:trPr>
          <w:trHeight w:val="402" w:hRule="exact"/>
        </w:trPr>
        <w:tc>
          <w:tcPr>
            <w:tcW w:w="21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1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64,251,624.03</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-12,166,192.38</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52,085,431.65</w:t>
            </w:r>
          </w:p>
        </w:tc>
      </w:tr>
      <w:tr>
        <w:trPr>
          <w:trHeight w:val="402" w:hRule="exact"/>
        </w:trPr>
        <w:tc>
          <w:tcPr>
            <w:tcW w:w="2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88,999,226.67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23,416,017.98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13,036.80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5,802,173.53</w:t>
            </w:r>
          </w:p>
        </w:tc>
        <w:tc>
          <w:tcPr>
            <w:tcW w:w="53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106,600,034.32</w:t>
            </w:r>
          </w:p>
        </w:tc>
      </w:tr>
    </w:tbl>
    <w:p>
      <w:pPr>
        <w:pStyle w:val="BodyText"/>
        <w:spacing w:line="240" w:lineRule="auto" w:before="51"/>
        <w:ind w:right="0"/>
        <w:jc w:val="left"/>
      </w:pPr>
      <w:r>
        <w:rPr/>
        <w:t>其中本期坏账准备收回或转回金额重要的：无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5,802,173.53</w:t>
            </w:r>
          </w:p>
        </w:tc>
      </w:tr>
    </w:tbl>
    <w:p>
      <w:pPr>
        <w:pStyle w:val="BodyText"/>
        <w:spacing w:line="240" w:lineRule="auto" w:before="51"/>
        <w:ind w:right="0"/>
        <w:jc w:val="left"/>
      </w:pPr>
      <w:r>
        <w:rPr/>
        <w:t>其中重要的应收账款核销情况：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46"/>
        <w:gridCol w:w="1013"/>
        <w:gridCol w:w="1001"/>
        <w:gridCol w:w="858"/>
        <w:gridCol w:w="3058"/>
        <w:gridCol w:w="1790"/>
      </w:tblGrid>
      <w:tr>
        <w:trPr>
          <w:trHeight w:val="570"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411" w:right="49" w:hanging="360"/>
              <w:jc w:val="left"/>
              <w:rPr>
                <w:rFonts w:ascii="宋体" w:hAnsi="宋体" w:cs="宋体" w:eastAsia="宋体" w:hint="default"/>
                <w:sz w:val="18"/>
                <w:szCs w:val="18"/>
              </w:rPr>
            </w:pPr>
            <w:r>
              <w:rPr>
                <w:rFonts w:ascii="宋体" w:hAnsi="宋体" w:cs="宋体" w:eastAsia="宋体" w:hint="default"/>
                <w:sz w:val="18"/>
                <w:szCs w:val="18"/>
              </w:rPr>
              <w:t>应收账款性 质</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13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6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89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710" w:right="78" w:hanging="630"/>
              <w:jc w:val="left"/>
              <w:rPr>
                <w:rFonts w:ascii="宋体" w:hAnsi="宋体" w:cs="宋体" w:eastAsia="宋体" w:hint="default"/>
                <w:sz w:val="18"/>
                <w:szCs w:val="18"/>
              </w:rPr>
            </w:pPr>
            <w:r>
              <w:rPr>
                <w:rFonts w:ascii="宋体" w:hAnsi="宋体" w:cs="宋体" w:eastAsia="宋体" w:hint="default"/>
                <w:sz w:val="18"/>
                <w:szCs w:val="18"/>
              </w:rPr>
              <w:t>款项是否由关联交易 产生</w:t>
            </w:r>
          </w:p>
        </w:tc>
      </w:tr>
      <w:tr>
        <w:trPr>
          <w:trHeight w:val="570" w:hRule="exact"/>
        </w:trPr>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113"/>
              <w:jc w:val="left"/>
              <w:rPr>
                <w:rFonts w:ascii="宋体" w:hAnsi="宋体" w:cs="宋体" w:eastAsia="宋体" w:hint="default"/>
                <w:sz w:val="18"/>
                <w:szCs w:val="18"/>
              </w:rPr>
            </w:pPr>
            <w:r>
              <w:rPr>
                <w:rFonts w:ascii="宋体" w:hAnsi="宋体" w:cs="宋体" w:eastAsia="宋体" w:hint="default"/>
                <w:sz w:val="18"/>
                <w:szCs w:val="18"/>
              </w:rPr>
              <w:t>上海逸领电子商务有限 公司</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印刷款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1,283,963.73</w:t>
            </w:r>
          </w:p>
        </w:tc>
        <w:tc>
          <w:tcPr>
            <w:tcW w:w="8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3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0"/>
              <w:jc w:val="left"/>
              <w:rPr>
                <w:rFonts w:ascii="宋体" w:hAnsi="宋体" w:cs="宋体" w:eastAsia="宋体" w:hint="default"/>
                <w:sz w:val="18"/>
                <w:szCs w:val="18"/>
              </w:rPr>
            </w:pPr>
            <w:r>
              <w:rPr>
                <w:rFonts w:ascii="宋体" w:hAnsi="宋体" w:cs="宋体" w:eastAsia="宋体" w:hint="default"/>
                <w:spacing w:val="-4"/>
                <w:sz w:val="18"/>
                <w:szCs w:val="18"/>
              </w:rPr>
              <w:t>华媒控股董事会决议，盛元印务董事会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决议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113"/>
              <w:jc w:val="left"/>
              <w:rPr>
                <w:rFonts w:ascii="宋体" w:hAnsi="宋体" w:cs="宋体" w:eastAsia="宋体" w:hint="default"/>
                <w:sz w:val="18"/>
                <w:szCs w:val="18"/>
              </w:rPr>
            </w:pPr>
            <w:r>
              <w:rPr>
                <w:rFonts w:ascii="宋体" w:hAnsi="宋体" w:cs="宋体" w:eastAsia="宋体" w:hint="default"/>
                <w:sz w:val="18"/>
                <w:szCs w:val="18"/>
              </w:rPr>
              <w:t>上海永丰余印务有限公 司</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印刷款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983,890.80</w:t>
            </w:r>
          </w:p>
        </w:tc>
        <w:tc>
          <w:tcPr>
            <w:tcW w:w="8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0"/>
              <w:jc w:val="left"/>
              <w:rPr>
                <w:rFonts w:ascii="宋体" w:hAnsi="宋体" w:cs="宋体" w:eastAsia="宋体" w:hint="default"/>
                <w:sz w:val="18"/>
                <w:szCs w:val="18"/>
              </w:rPr>
            </w:pPr>
            <w:r>
              <w:rPr>
                <w:rFonts w:ascii="宋体" w:hAnsi="宋体" w:cs="宋体" w:eastAsia="宋体" w:hint="default"/>
                <w:spacing w:val="-4"/>
                <w:sz w:val="18"/>
                <w:szCs w:val="18"/>
              </w:rPr>
              <w:t>华媒控股董事会决议，盛元印务董事会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决议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right="89"/>
              <w:jc w:val="center"/>
              <w:rPr>
                <w:rFonts w:ascii="宋体" w:hAnsi="宋体" w:cs="宋体" w:eastAsia="宋体" w:hint="default"/>
                <w:sz w:val="18"/>
                <w:szCs w:val="18"/>
              </w:rPr>
            </w:pPr>
            <w:r>
              <w:rPr>
                <w:rFonts w:ascii="宋体" w:hAnsi="宋体" w:cs="宋体" w:eastAsia="宋体" w:hint="default"/>
                <w:sz w:val="18"/>
                <w:szCs w:val="18"/>
              </w:rPr>
              <w:t>上海馨恬邮购有限公司</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印刷款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827,404.00</w:t>
            </w:r>
          </w:p>
        </w:tc>
        <w:tc>
          <w:tcPr>
            <w:tcW w:w="8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112"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3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0"/>
              <w:jc w:val="left"/>
              <w:rPr>
                <w:rFonts w:ascii="宋体" w:hAnsi="宋体" w:cs="宋体" w:eastAsia="宋体" w:hint="default"/>
                <w:sz w:val="18"/>
                <w:szCs w:val="18"/>
              </w:rPr>
            </w:pPr>
            <w:r>
              <w:rPr>
                <w:rFonts w:ascii="宋体" w:hAnsi="宋体" w:cs="宋体" w:eastAsia="宋体" w:hint="default"/>
                <w:spacing w:val="-4"/>
                <w:sz w:val="18"/>
                <w:szCs w:val="18"/>
              </w:rPr>
              <w:t>华媒控股董事会决议，盛元印务董事会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决议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46"/>
        <w:gridCol w:w="1013"/>
        <w:gridCol w:w="1001"/>
        <w:gridCol w:w="858"/>
        <w:gridCol w:w="3058"/>
        <w:gridCol w:w="1790"/>
      </w:tblGrid>
      <w:tr>
        <w:trPr>
          <w:trHeight w:val="570" w:hRule="exact"/>
        </w:trPr>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上海尚居广告传播有限 公司</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right="438"/>
              <w:jc w:val="right"/>
              <w:rPr>
                <w:rFonts w:ascii="宋体" w:hAnsi="宋体" w:cs="宋体" w:eastAsia="宋体" w:hint="default"/>
                <w:sz w:val="18"/>
                <w:szCs w:val="18"/>
              </w:rPr>
            </w:pPr>
            <w:r>
              <w:rPr>
                <w:rFonts w:ascii="宋体" w:hAnsi="宋体" w:cs="宋体" w:eastAsia="宋体" w:hint="default"/>
                <w:sz w:val="18"/>
                <w:szCs w:val="18"/>
              </w:rPr>
              <w:t>印刷款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495,680.00</w:t>
            </w:r>
          </w:p>
        </w:tc>
        <w:tc>
          <w:tcPr>
            <w:tcW w:w="8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pacing w:val="-4"/>
                <w:sz w:val="18"/>
                <w:szCs w:val="18"/>
              </w:rPr>
              <w:t>华媒控股董事会决议，盛元印务董事会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决议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上海优莎丽姬实业有限 公司</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1"/>
              <w:ind w:right="438"/>
              <w:jc w:val="right"/>
              <w:rPr>
                <w:rFonts w:ascii="宋体" w:hAnsi="宋体" w:cs="宋体" w:eastAsia="宋体" w:hint="default"/>
                <w:sz w:val="18"/>
                <w:szCs w:val="18"/>
              </w:rPr>
            </w:pPr>
            <w:r>
              <w:rPr>
                <w:rFonts w:ascii="宋体" w:hAnsi="宋体" w:cs="宋体" w:eastAsia="宋体" w:hint="default"/>
                <w:sz w:val="18"/>
                <w:szCs w:val="18"/>
              </w:rPr>
              <w:t>印刷款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402,000.00</w:t>
            </w:r>
          </w:p>
        </w:tc>
        <w:tc>
          <w:tcPr>
            <w:tcW w:w="8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103"/>
              <w:jc w:val="left"/>
              <w:rPr>
                <w:rFonts w:ascii="宋体" w:hAnsi="宋体" w:cs="宋体" w:eastAsia="宋体" w:hint="default"/>
                <w:sz w:val="18"/>
                <w:szCs w:val="18"/>
              </w:rPr>
            </w:pPr>
            <w:r>
              <w:rPr>
                <w:rFonts w:ascii="宋体" w:hAnsi="宋体" w:cs="宋体" w:eastAsia="宋体" w:hint="default"/>
                <w:sz w:val="18"/>
                <w:szCs w:val="18"/>
              </w:rPr>
              <w:t>吊销未注 销</w:t>
            </w:r>
          </w:p>
        </w:tc>
        <w:tc>
          <w:tcPr>
            <w:tcW w:w="3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pacing w:val="-4"/>
                <w:sz w:val="18"/>
                <w:szCs w:val="18"/>
              </w:rPr>
              <w:t>华媒控股董事会决议，盛元印务董事会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决议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439"/>
              <w:jc w:val="right"/>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3,992,938.53</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00" w:lineRule="auto" w:before="115"/>
        <w:ind w:left="153" w:right="0" w:firstLine="434"/>
        <w:jc w:val="left"/>
      </w:pPr>
      <w:r>
        <w:rPr>
          <w:spacing w:val="-1"/>
        </w:rPr>
        <w:t>本公司本年按欠款方归集的年末余额前五名应收账款汇总金额为</w:t>
      </w:r>
      <w:r>
        <w:rPr>
          <w:rFonts w:ascii="Times New Roman" w:hAnsi="Times New Roman" w:cs="Times New Roman" w:eastAsia="Times New Roman" w:hint="default"/>
          <w:spacing w:val="-1"/>
        </w:rPr>
        <w:t>129,369,212.10</w:t>
      </w:r>
      <w:r>
        <w:rPr>
          <w:spacing w:val="-1"/>
        </w:rPr>
        <w:t>元，占应收账款年末余额合计数的比例</w:t>
      </w:r>
      <w:r>
        <w:rPr/>
        <w:t> 为</w:t>
      </w:r>
      <w:r>
        <w:rPr>
          <w:rFonts w:ascii="Times New Roman" w:hAnsi="Times New Roman" w:cs="Times New Roman" w:eastAsia="Times New Roman" w:hint="default"/>
        </w:rPr>
        <w:t>26.52%</w:t>
      </w:r>
      <w:r>
        <w:rPr/>
        <w:t>，相应计提的坏账准备年末余额汇总金额为</w:t>
      </w:r>
      <w:r>
        <w:rPr>
          <w:rFonts w:ascii="Times New Roman" w:hAnsi="Times New Roman" w:cs="Times New Roman" w:eastAsia="Times New Roman" w:hint="default"/>
        </w:rPr>
        <w:t>23,537,579.63</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19,114,852.91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7,204,008.80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19,114,852.91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7,204,008.80</w:t>
            </w:r>
          </w:p>
        </w:tc>
      </w:tr>
    </w:tbl>
    <w:p>
      <w:pPr>
        <w:pStyle w:val="BodyText"/>
        <w:spacing w:line="240" w:lineRule="auto" w:before="51"/>
        <w:ind w:right="0"/>
        <w:jc w:val="left"/>
      </w:pPr>
      <w:r>
        <w:rPr/>
        <w:t>应收款项融资本期增减变动及公允价值变动情况</w:t>
      </w:r>
    </w:p>
    <w:p>
      <w:pPr>
        <w:pStyle w:val="BodyText"/>
        <w:spacing w:line="340" w:lineRule="auto" w:before="116"/>
        <w:ind w:right="1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如是按照预期信用损失一般模型计提应收款项融资减值准备，请参照其他应收款的披露方式披露减值准备的相关信息：</w:t>
      </w:r>
    </w:p>
    <w:p>
      <w:pPr>
        <w:pStyle w:val="BodyText"/>
        <w:spacing w:line="338" w:lineRule="auto" w:before="40"/>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24,996,685.92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15,456,267.45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189,391.05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4,985,493.57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302,727.98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2,084,629.50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25,570,871.95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22,573,360.52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848" w:firstLine="420"/>
        <w:jc w:val="left"/>
      </w:pPr>
      <w:r>
        <w:rPr/>
        <w:t>本公司期末预付款项余额前五名累计金额为</w:t>
      </w:r>
      <w:r>
        <w:rPr>
          <w:rFonts w:ascii="Times New Roman" w:hAnsi="Times New Roman" w:cs="Times New Roman" w:eastAsia="Times New Roman" w:hint="default"/>
        </w:rPr>
        <w:t>8,306,916.55</w:t>
      </w:r>
      <w:r>
        <w:rPr/>
        <w:t>元，占预付款项余额的比例为</w:t>
      </w:r>
      <w:r>
        <w:rPr>
          <w:rFonts w:ascii="Times New Roman" w:hAnsi="Times New Roman" w:cs="Times New Roman" w:eastAsia="Times New Roman" w:hint="default"/>
        </w:rPr>
        <w:t>32.49</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 其他说明：</w:t>
      </w:r>
    </w:p>
    <w:p>
      <w:pPr>
        <w:pStyle w:val="BodyText"/>
        <w:spacing w:line="240" w:lineRule="auto" w:before="40"/>
        <w:ind w:left="534" w:right="0"/>
        <w:jc w:val="left"/>
      </w:pPr>
      <w:r>
        <w:rPr/>
        <w:t>期末未发现预付款项存在明显减值迹象，故未计提减值准备。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69,131.80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90,115,689.42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82,872,282.28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90,184,821.22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83,372,282.29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69,131.80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69,131.80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54,259,457.65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45,397,035.21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21,453,800.00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21,076,400.00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15,113,490.00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16,108,890.00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323,096.17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1,956,220.15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1,609,612.90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应收政府补助款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4,879,291.52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3,342,799.46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100,176,259.32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87,857,833.74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8"/>
        <w:gridCol w:w="1678"/>
        <w:gridCol w:w="2099"/>
        <w:gridCol w:w="2087"/>
        <w:gridCol w:w="1804"/>
      </w:tblGrid>
      <w:tr>
        <w:trPr>
          <w:trHeight w:val="402" w:hRule="exact"/>
        </w:trPr>
        <w:tc>
          <w:tcPr>
            <w:tcW w:w="1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2"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3" w:hRule="exact"/>
        </w:trPr>
        <w:tc>
          <w:tcPr>
            <w:tcW w:w="18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566" w:right="65"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2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71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678"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2087" w:type="dxa"/>
            <w:vMerge/>
            <w:tcBorders>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4,499,083.46</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486,468.00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4,985,551.46</w:t>
            </w:r>
          </w:p>
        </w:tc>
      </w:tr>
      <w:tr>
        <w:trPr>
          <w:trHeight w:val="161" w:hRule="exact"/>
        </w:trPr>
        <w:tc>
          <w:tcPr>
            <w:tcW w:w="188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888" w:type="dxa"/>
            <w:vMerge/>
            <w:tcBorders>
              <w:left w:val="single" w:sz="4" w:space="0" w:color="000000"/>
              <w:right w:val="single" w:sz="4" w:space="0" w:color="000000"/>
            </w:tcBorders>
            <w:shd w:val="clear" w:color="auto" w:fill="D3D3D3"/>
          </w:tcPr>
          <w:p>
            <w:pPr/>
          </w:p>
        </w:tc>
        <w:tc>
          <w:tcPr>
            <w:tcW w:w="16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0" w:hRule="exact"/>
        </w:trPr>
        <w:tc>
          <w:tcPr>
            <w:tcW w:w="1888" w:type="dxa"/>
            <w:vMerge/>
            <w:tcBorders>
              <w:left w:val="single" w:sz="4" w:space="0" w:color="000000"/>
              <w:bottom w:val="single" w:sz="4" w:space="0" w:color="000000"/>
              <w:right w:val="single" w:sz="4" w:space="0" w:color="000000"/>
            </w:tcBorders>
            <w:shd w:val="clear" w:color="auto" w:fill="D3D3D3"/>
          </w:tcPr>
          <w:p>
            <w:pPr/>
          </w:p>
        </w:tc>
        <w:tc>
          <w:tcPr>
            <w:tcW w:w="1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4,325,018.44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756,984.00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5,082,002.44</w:t>
            </w: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78" w:type="dxa"/>
            <w:tcBorders>
              <w:top w:val="single" w:sz="4" w:space="0" w:color="000000"/>
              <w:left w:val="single" w:sz="10" w:space="0" w:color="D3D3D3"/>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6,984.00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6,984.00</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8,824,101.90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1,236,468.00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10,060,569.90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6"/>
        <w:ind w:right="15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935" w:space="4894"/>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24,845,636.56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29,373,275.75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24,496,088.95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21,461,258.06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1,696,714.06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19,257,990.00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506,554.00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100,176,259.32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80"/>
        <w:gridCol w:w="1422"/>
        <w:gridCol w:w="1422"/>
        <w:gridCol w:w="1357"/>
        <w:gridCol w:w="973"/>
        <w:gridCol w:w="590"/>
        <w:gridCol w:w="1549"/>
      </w:tblGrid>
      <w:tr>
        <w:trPr>
          <w:trHeight w:val="402" w:hRule="exact"/>
        </w:trPr>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4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4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0" w:type="dxa"/>
            <w:vMerge/>
            <w:tcBorders>
              <w:left w:val="single" w:sz="4" w:space="0" w:color="000000"/>
              <w:bottom w:val="single" w:sz="4" w:space="0" w:color="000000"/>
              <w:right w:val="single" w:sz="4" w:space="0" w:color="000000"/>
            </w:tcBorders>
            <w:shd w:val="clear" w:color="auto" w:fill="D3D3D3"/>
          </w:tcPr>
          <w:p>
            <w:pPr/>
          </w:p>
        </w:tc>
        <w:tc>
          <w:tcPr>
            <w:tcW w:w="1422" w:type="dxa"/>
            <w:vMerge/>
            <w:tcBorders>
              <w:left w:val="single" w:sz="4" w:space="0" w:color="000000"/>
              <w:bottom w:val="single" w:sz="4" w:space="0" w:color="000000"/>
              <w:right w:val="single" w:sz="4" w:space="0" w:color="000000"/>
            </w:tcBorders>
            <w:shd w:val="clear" w:color="auto" w:fill="D3D3D3"/>
          </w:tcPr>
          <w:p>
            <w:pPr/>
          </w:p>
        </w:tc>
        <w:tc>
          <w:tcPr>
            <w:tcW w:w="1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486,468.00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756,984.00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6,984.00</w:t>
            </w:r>
          </w:p>
        </w:tc>
        <w:tc>
          <w:tcPr>
            <w:tcW w:w="590"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1,236,468.00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4,499,083.46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4,325,018.44</w:t>
            </w:r>
          </w:p>
        </w:tc>
        <w:tc>
          <w:tcPr>
            <w:tcW w:w="135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8,824,101.90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4,985,551.46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5,082,002.44</w:t>
            </w:r>
          </w:p>
        </w:tc>
        <w:tc>
          <w:tcPr>
            <w:tcW w:w="135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6,984.00</w:t>
            </w:r>
          </w:p>
        </w:tc>
        <w:tc>
          <w:tcPr>
            <w:tcW w:w="590"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10,060,569.90</w:t>
            </w:r>
          </w:p>
        </w:tc>
      </w:tr>
    </w:tbl>
    <w:p>
      <w:pPr>
        <w:pStyle w:val="BodyText"/>
        <w:spacing w:line="316" w:lineRule="auto" w:before="10"/>
        <w:ind w:left="153" w:right="0"/>
        <w:jc w:val="left"/>
      </w:pPr>
      <w:r>
        <w:rPr>
          <w:spacing w:val="-2"/>
        </w:rPr>
        <w:t>用以确定本期坏账准备计提金额以及评估金融工具的信用风险自初始确认后是否已显著增加等事项所采用的输入值、假设等</w:t>
      </w:r>
      <w:r>
        <w:rPr>
          <w:spacing w:val="-64"/>
        </w:rPr>
        <w:t> </w:t>
      </w:r>
      <w:r>
        <w:rPr>
          <w:spacing w:val="-64"/>
        </w:rPr>
      </w:r>
      <w:r>
        <w:rPr/>
        <w:t>信息详见十二节</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预期信用损失计量的参数。</w:t>
      </w:r>
    </w:p>
    <w:p>
      <w:pPr>
        <w:pStyle w:val="BodyText"/>
        <w:spacing w:line="235" w:lineRule="exact"/>
        <w:ind w:left="153" w:right="0"/>
        <w:jc w:val="left"/>
      </w:pPr>
      <w:r>
        <w:rPr/>
        <w:t>其中本期坏账准备转回或收回金额重要的：无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6,984.00</w:t>
            </w:r>
          </w:p>
        </w:tc>
      </w:tr>
    </w:tbl>
    <w:p>
      <w:pPr>
        <w:pStyle w:val="BodyText"/>
        <w:spacing w:line="360" w:lineRule="auto" w:before="51"/>
        <w:ind w:left="153" w:right="7871"/>
        <w:jc w:val="left"/>
      </w:pPr>
      <w:r>
        <w:rPr/>
        <w:t>其中重要的其他应收款核销情况：无 其他应收款核销说明：无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733"/>
        <w:gridCol w:w="1091"/>
        <w:gridCol w:w="3304"/>
        <w:gridCol w:w="1635"/>
        <w:gridCol w:w="1219"/>
      </w:tblGrid>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182" w:right="89" w:hanging="90"/>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left="1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92" w:right="9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423" w:right="6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9"/>
              <w:jc w:val="left"/>
              <w:rPr>
                <w:rFonts w:ascii="宋体" w:hAnsi="宋体" w:cs="宋体" w:eastAsia="宋体" w:hint="default"/>
                <w:sz w:val="18"/>
                <w:szCs w:val="18"/>
              </w:rPr>
            </w:pPr>
            <w:r>
              <w:rPr>
                <w:rFonts w:ascii="宋体" w:hAnsi="宋体" w:cs="宋体" w:eastAsia="宋体" w:hint="default"/>
                <w:sz w:val="18"/>
                <w:szCs w:val="18"/>
              </w:rPr>
              <w:t>杭州华媒科创园区管 理有限公司</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3" w:right="20"/>
              <w:jc w:val="left"/>
              <w:rPr>
                <w:rFonts w:ascii="宋体" w:hAnsi="宋体" w:cs="宋体" w:eastAsia="宋体" w:hint="default"/>
                <w:sz w:val="18"/>
                <w:szCs w:val="18"/>
              </w:rPr>
            </w:pPr>
            <w:r>
              <w:rPr>
                <w:rFonts w:ascii="宋体" w:hAnsi="宋体" w:cs="宋体" w:eastAsia="宋体" w:hint="default"/>
                <w:spacing w:val="-11"/>
                <w:sz w:val="18"/>
                <w:szCs w:val="18"/>
              </w:rPr>
              <w:t>借款、代</w:t>
            </w:r>
            <w:r>
              <w:rPr>
                <w:rFonts w:ascii="宋体" w:hAnsi="宋体" w:cs="宋体" w:eastAsia="宋体" w:hint="default"/>
                <w:sz w:val="18"/>
                <w:szCs w:val="18"/>
              </w:rPr>
              <w:t> 垫款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20,000,674.00</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40"/>
              <w:ind w:left="24" w:right="20"/>
              <w:jc w:val="left"/>
              <w:rPr>
                <w:rFonts w:ascii="宋体" w:hAnsi="宋体" w:cs="宋体" w:eastAsia="宋体" w:hint="default"/>
                <w:sz w:val="18"/>
                <w:szCs w:val="18"/>
              </w:rPr>
            </w:pPr>
            <w:r>
              <w:rPr>
                <w:rFonts w:ascii="宋体" w:hAnsi="宋体" w:cs="宋体" w:eastAsia="宋体" w:hint="default"/>
                <w:spacing w:val="-8"/>
                <w:sz w:val="18"/>
                <w:szCs w:val="18"/>
              </w:rPr>
              <w:t>其中：</w:t>
            </w:r>
            <w:r>
              <w:rPr>
                <w:rFonts w:ascii="Times New Roman" w:hAnsi="Times New Roman" w:cs="Times New Roman" w:eastAsia="Times New Roman" w:hint="default"/>
                <w:spacing w:val="-8"/>
                <w:sz w:val="18"/>
                <w:szCs w:val="18"/>
              </w:rPr>
              <w:t>674.00 </w:t>
            </w:r>
            <w:r>
              <w:rPr>
                <w:rFonts w:ascii="宋体" w:hAnsi="宋体" w:cs="宋体" w:eastAsia="宋体" w:hint="default"/>
                <w:sz w:val="18"/>
                <w:szCs w:val="18"/>
              </w:rPr>
              <w:t>元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个月以内，</w:t>
            </w:r>
            <w:r>
              <w:rPr>
                <w:rFonts w:ascii="Times New Roman" w:hAnsi="Times New Roman" w:cs="Times New Roman" w:eastAsia="Times New Roman" w:hint="default"/>
                <w:spacing w:val="-4"/>
                <w:sz w:val="18"/>
                <w:szCs w:val="18"/>
              </w:rPr>
              <w:t>10,000,000.00</w:t>
            </w:r>
            <w:r>
              <w:rPr>
                <w:rFonts w:ascii="Times New Roman" w:hAnsi="Times New Roman" w:cs="Times New Roman" w:eastAsia="Times New Roman" w:hint="default"/>
                <w:sz w:val="18"/>
                <w:szCs w:val="18"/>
              </w:rPr>
              <w:t> </w:t>
            </w:r>
            <w:r>
              <w:rPr>
                <w:rFonts w:ascii="宋体" w:hAnsi="宋体" w:cs="宋体" w:eastAsia="宋体" w:hint="default"/>
                <w:sz w:val="18"/>
                <w:szCs w:val="18"/>
              </w:rPr>
              <w:t>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3,600,023.59</w:t>
            </w:r>
          </w:p>
        </w:tc>
      </w:tr>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9"/>
              <w:jc w:val="left"/>
              <w:rPr>
                <w:rFonts w:ascii="宋体" w:hAnsi="宋体" w:cs="宋体" w:eastAsia="宋体" w:hint="default"/>
                <w:sz w:val="18"/>
                <w:szCs w:val="18"/>
              </w:rPr>
            </w:pPr>
            <w:r>
              <w:rPr>
                <w:rFonts w:ascii="宋体" w:hAnsi="宋体" w:cs="宋体" w:eastAsia="宋体" w:hint="default"/>
                <w:sz w:val="18"/>
                <w:szCs w:val="18"/>
              </w:rPr>
              <w:t>杭州杭港地铁有限公 司</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15,372,000.00</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5" w:lineRule="exact" w:before="2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15,370,000.00</w:t>
            </w:r>
          </w:p>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r>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9"/>
              <w:jc w:val="left"/>
              <w:rPr>
                <w:rFonts w:ascii="宋体" w:hAnsi="宋体" w:cs="宋体" w:eastAsia="宋体" w:hint="default"/>
                <w:sz w:val="18"/>
                <w:szCs w:val="18"/>
              </w:rPr>
            </w:pPr>
            <w:r>
              <w:rPr>
                <w:rFonts w:ascii="宋体" w:hAnsi="宋体" w:cs="宋体" w:eastAsia="宋体" w:hint="default"/>
                <w:sz w:val="18"/>
                <w:szCs w:val="18"/>
              </w:rPr>
              <w:t>上海庚尧企业管理合 伙企业（有限合伙）</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3" w:right="157"/>
              <w:jc w:val="left"/>
              <w:rPr>
                <w:rFonts w:ascii="宋体" w:hAnsi="宋体" w:cs="宋体" w:eastAsia="宋体" w:hint="default"/>
                <w:sz w:val="18"/>
                <w:szCs w:val="18"/>
              </w:rPr>
            </w:pPr>
            <w:r>
              <w:rPr>
                <w:rFonts w:ascii="宋体" w:hAnsi="宋体" w:cs="宋体" w:eastAsia="宋体" w:hint="default"/>
                <w:sz w:val="18"/>
                <w:szCs w:val="18"/>
              </w:rPr>
              <w:t>股权转 让款</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15,113,490.00</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2,115,888.60</w:t>
            </w:r>
          </w:p>
        </w:tc>
      </w:tr>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9"/>
              <w:jc w:val="left"/>
              <w:rPr>
                <w:rFonts w:ascii="宋体" w:hAnsi="宋体" w:cs="宋体" w:eastAsia="宋体" w:hint="default"/>
                <w:sz w:val="18"/>
                <w:szCs w:val="18"/>
              </w:rPr>
            </w:pPr>
            <w:r>
              <w:rPr>
                <w:rFonts w:ascii="宋体" w:hAnsi="宋体" w:cs="宋体" w:eastAsia="宋体" w:hint="default"/>
                <w:sz w:val="18"/>
                <w:szCs w:val="18"/>
              </w:rPr>
              <w:t>杭州杭港地铁五号线 有限公司</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22"/>
              <w:ind w:left="22" w:right="29"/>
              <w:jc w:val="left"/>
              <w:rPr>
                <w:rFonts w:ascii="宋体" w:hAnsi="宋体" w:cs="宋体" w:eastAsia="宋体" w:hint="default"/>
                <w:sz w:val="18"/>
                <w:szCs w:val="18"/>
              </w:rPr>
            </w:pPr>
            <w:r>
              <w:rPr>
                <w:rFonts w:ascii="宋体" w:hAnsi="宋体" w:cs="宋体" w:eastAsia="宋体" w:hint="default"/>
                <w:sz w:val="18"/>
                <w:szCs w:val="18"/>
              </w:rPr>
              <w:t>杭州市大江东产业集 聚区管理委员会</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4,918,860.00</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31"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60,405,024.00</w:t>
            </w:r>
          </w:p>
        </w:tc>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60.30%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5,716,512.19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207"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15,991,037.75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15,950,769.99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38,499,685.31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38,499,685.31</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9,924,442.00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9,924,442.00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2,885,974.21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2,885,974.21</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1,164,954.53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1,164,954.53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529,871.47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529,871.47</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27,080,434.28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27,040,166.52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41,915,530.99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41,915,530.99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5"/>
        <w:gridCol w:w="1379"/>
        <w:gridCol w:w="1356"/>
        <w:gridCol w:w="1366"/>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22"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计提</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3D3D3"/>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40,267.76</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40,267.76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40,267.76</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40,267.76</w:t>
            </w:r>
          </w:p>
        </w:tc>
      </w:tr>
    </w:tbl>
    <w:p>
      <w:pPr>
        <w:pStyle w:val="BodyText"/>
        <w:spacing w:line="316" w:lineRule="auto" w:before="10"/>
        <w:ind w:right="1150" w:firstLine="420"/>
        <w:jc w:val="left"/>
      </w:pPr>
      <w:r>
        <w:rPr/>
        <w:t>本公司子公司上海盛元第高数码图文影像有限公司已停止数码印刷业务，期末结存的原材料类存货已无可使用价值， 可变现净值基本为零，因此全额计提存货跌价准备</w:t>
      </w:r>
      <w:r>
        <w:rPr>
          <w:rFonts w:ascii="Times New Roman" w:hAnsi="Times New Roman" w:cs="Times New Roman" w:eastAsia="Times New Roman" w:hint="default"/>
        </w:rPr>
        <w:t>40,267.76</w:t>
      </w:r>
      <w:r>
        <w:rPr/>
        <w:t>元。</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如是按照预期信用损失一般模型计提合同资产坏账准备，请参照其他应收款的披露方式披露坏账准备的相关信息：</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pStyle w:val="BodyText"/>
        <w:spacing w:line="240" w:lineRule="auto" w:before="44"/>
        <w:ind w:right="-20"/>
        <w:jc w:val="left"/>
      </w:pPr>
      <w:r>
        <w:rPr/>
        <w:t>是否已执行新收入准则</w:t>
      </w:r>
    </w:p>
    <w:p>
      <w:pPr>
        <w:pStyle w:val="BodyText"/>
        <w:spacing w:line="240" w:lineRule="auto" w:before="117"/>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待摊费用（房租、广告租赁费等）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53,680,342.58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42,838,760.65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5,889,201.23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7,769,732.02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1,624,121.93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2,061,265.13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330,307.03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536,033.67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61,523,972.77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53,205,791.47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损失准备本期变动金额重大的账面余额变动情况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损失准备本期变动金额重大的账面余额变动情况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损失准备本期变动金额重大的账面余额变动情况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after="0" w:line="240" w:lineRule="auto"/>
        <w:jc w:val="left"/>
        <w:sectPr>
          <w:type w:val="continuous"/>
          <w:pgSz w:w="11910" w:h="16840"/>
          <w:pgMar w:top="1060" w:bottom="1180" w:left="980" w:right="0"/>
        </w:sectPr>
      </w:pPr>
    </w:p>
    <w:p>
      <w:pPr>
        <w:spacing w:line="240" w:lineRule="auto" w:before="12"/>
        <w:rPr>
          <w:rFonts w:ascii="宋体" w:hAnsi="宋体" w:cs="宋体" w:eastAsia="宋体" w:hint="default"/>
          <w:b/>
          <w:bCs/>
          <w:sz w:val="2"/>
          <w:szCs w:val="2"/>
        </w:rPr>
      </w:pPr>
    </w:p>
    <w:p>
      <w:pPr>
        <w:spacing w:line="20" w:lineRule="exact"/>
        <w:ind w:left="8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879" w:right="668"/>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879"/>
        <w:jc w:val="right"/>
      </w:pPr>
      <w:r>
        <w:rPr/>
        <w:t>单位： 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31"/>
        <w:gridCol w:w="1192"/>
        <w:gridCol w:w="1168"/>
        <w:gridCol w:w="1168"/>
        <w:gridCol w:w="1169"/>
        <w:gridCol w:w="1168"/>
        <w:gridCol w:w="1168"/>
        <w:gridCol w:w="1169"/>
        <w:gridCol w:w="1168"/>
        <w:gridCol w:w="1171"/>
        <w:gridCol w:w="1184"/>
        <w:gridCol w:w="1136"/>
      </w:tblGrid>
      <w:tr>
        <w:trPr>
          <w:trHeight w:val="250" w:hRule="exact"/>
        </w:trPr>
        <w:tc>
          <w:tcPr>
            <w:tcW w:w="2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25"/>
              <w:ind w:left="294" w:right="10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934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25"/>
              <w:ind w:left="286" w:right="10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13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382" w:right="22"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90" w:hRule="exact"/>
        </w:trPr>
        <w:tc>
          <w:tcPr>
            <w:tcW w:w="2631" w:type="dxa"/>
            <w:vMerge/>
            <w:tcBorders>
              <w:left w:val="single" w:sz="4" w:space="0" w:color="000000"/>
              <w:bottom w:val="single" w:sz="4" w:space="0" w:color="000000"/>
              <w:right w:val="single" w:sz="4" w:space="0" w:color="000000"/>
            </w:tcBorders>
            <w:shd w:val="clear" w:color="auto" w:fill="D3D3D3"/>
          </w:tcPr>
          <w:p>
            <w:pPr/>
          </w:p>
        </w:tc>
        <w:tc>
          <w:tcPr>
            <w:tcW w:w="1192"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29" w:right="37"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98" w:right="37"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37"/>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29" w:right="37"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37"/>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3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3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1549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5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1,313,341.58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1,313,341.58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1,313,341.58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1,313,341.58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549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5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219,645,915.63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5,518,860.06</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59,414,775.69</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165,750,000.00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59,414,775.69</w:t>
            </w:r>
          </w:p>
        </w:tc>
      </w:tr>
      <w:tr>
        <w:trPr>
          <w:trHeight w:val="49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76"/>
              <w:jc w:val="left"/>
              <w:rPr>
                <w:rFonts w:ascii="宋体" w:hAnsi="宋体" w:cs="宋体" w:eastAsia="宋体" w:hint="default"/>
                <w:sz w:val="18"/>
                <w:szCs w:val="18"/>
              </w:rPr>
            </w:pPr>
            <w:r>
              <w:rPr>
                <w:rFonts w:ascii="宋体" w:hAnsi="宋体" w:cs="宋体" w:eastAsia="宋体" w:hint="default"/>
                <w:sz w:val="18"/>
                <w:szCs w:val="18"/>
              </w:rPr>
              <w:t>布朗睿智（北京）国际教育科技 有限公司</w:t>
            </w:r>
          </w:p>
        </w:tc>
        <w:tc>
          <w:tcPr>
            <w:tcW w:w="119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135,181,128.31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13,718,510.22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138,099,638.53</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杭州杭实华媒投资管理合伙企业</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49,507,924.09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5,517,381.55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618,831.71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79,406,473.93</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76"/>
              <w:jc w:val="left"/>
              <w:rPr>
                <w:rFonts w:ascii="宋体" w:hAnsi="宋体" w:cs="宋体" w:eastAsia="宋体" w:hint="default"/>
                <w:sz w:val="18"/>
                <w:szCs w:val="18"/>
              </w:rPr>
            </w:pPr>
            <w:r>
              <w:rPr>
                <w:rFonts w:ascii="宋体" w:hAnsi="宋体" w:cs="宋体" w:eastAsia="宋体" w:hint="default"/>
                <w:sz w:val="18"/>
                <w:szCs w:val="18"/>
              </w:rPr>
              <w:t>布朗时代（北京）教育投资有限 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60,015,394.35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4,860,183.62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64,875,577.97</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76"/>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 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44,374,072.63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4,672,014.13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40,856,086.76</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杭州华媒泽商创业投资合伙企业</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30,770,131.13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-27,622.90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0" w:right="0"/>
              <w:jc w:val="left"/>
              <w:rPr>
                <w:rFonts w:ascii="Times New Roman" w:hAnsi="Times New Roman" w:cs="Times New Roman" w:eastAsia="Times New Roman" w:hint="default"/>
                <w:sz w:val="18"/>
                <w:szCs w:val="18"/>
              </w:rPr>
            </w:pPr>
            <w:r>
              <w:rPr>
                <w:rFonts w:ascii="Times New Roman"/>
                <w:sz w:val="18"/>
              </w:rPr>
              <w:t>-4,631,596.93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2"/>
                <w:sz w:val="18"/>
              </w:rPr>
              <w:t>26,110,911.30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21,555,454.53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-128,194.46</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21,427,260.07</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16,411,508.13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2,843,989.72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2,381,266.68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16,874,231.17</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35,208,147.22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16,757,999.00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-2,496,288.58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219,127.12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16,172,986.76</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76"/>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 份有限公司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9,034,590.75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1,896,307.95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10,930,898.70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5,552,334.53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72,533.49</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5,624,868.02</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3,993,807.06</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410,181.23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4,403,988.29</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3,506,706.32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-100,831.03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3,405,875.29</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西安优铁传媒科技有限公司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-568,183.03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2,431,816.97</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浙江蜂果网络科技有限公司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3,288,854.74</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-1,456,881.05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1,831,973.69</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北京中环盛元数字图文有限公司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1,258,805.58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764,255.58</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494,550.00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764,255.58</w:t>
            </w: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1,698,109.60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-509,919.04</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1,188,190.56</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3,604,261.88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-2,580,983.96</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1,023,277.92</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800,405.03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-603,016.65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-479,878.49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517,307.38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7" w:right="0"/>
              <w:jc w:val="left"/>
              <w:rPr>
                <w:rFonts w:ascii="Times New Roman" w:hAnsi="Times New Roman" w:cs="Times New Roman" w:eastAsia="Times New Roman" w:hint="default"/>
                <w:sz w:val="18"/>
                <w:szCs w:val="18"/>
              </w:rPr>
            </w:pPr>
            <w:r>
              <w:rPr>
                <w:rFonts w:ascii="Times New Roman"/>
                <w:sz w:val="18"/>
              </w:rPr>
              <w:t>799,797.49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517,307.38</w:t>
            </w:r>
          </w:p>
        </w:tc>
      </w:tr>
      <w:tr>
        <w:trPr>
          <w:trHeight w:val="250"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杭州千岱酒店有限公司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748,216.82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-31,245.21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716,971.61</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6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76"/>
              <w:jc w:val="left"/>
              <w:rPr>
                <w:rFonts w:ascii="宋体" w:hAnsi="宋体" w:cs="宋体" w:eastAsia="宋体" w:hint="default"/>
                <w:sz w:val="18"/>
                <w:szCs w:val="18"/>
              </w:rPr>
            </w:pPr>
            <w:r>
              <w:rPr>
                <w:rFonts w:ascii="宋体" w:hAnsi="宋体" w:cs="宋体" w:eastAsia="宋体" w:hint="default"/>
                <w:sz w:val="18"/>
                <w:szCs w:val="18"/>
              </w:rPr>
              <w:t>江苏时代盛元数字图文影像有限 公司</w:t>
            </w:r>
          </w:p>
        </w:tc>
        <w:tc>
          <w:tcPr>
            <w:tcW w:w="11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630,193.61</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-415,099.06</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215,094.55</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699,467.94</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6840" w:h="11910" w:orient="landscape"/>
          <w:pgMar w:header="867" w:footer="978" w:top="1060" w:bottom="1160" w:left="560" w:right="560"/>
          <w:pgNumType w:start="130"/>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11"/>
        <w:gridCol w:w="1212"/>
        <w:gridCol w:w="1168"/>
        <w:gridCol w:w="1168"/>
        <w:gridCol w:w="1169"/>
        <w:gridCol w:w="1168"/>
        <w:gridCol w:w="1168"/>
        <w:gridCol w:w="1169"/>
        <w:gridCol w:w="1168"/>
        <w:gridCol w:w="1171"/>
        <w:gridCol w:w="1184"/>
        <w:gridCol w:w="1136"/>
      </w:tblGrid>
      <w:tr>
        <w:trPr>
          <w:trHeight w:val="504" w:hRule="exact"/>
        </w:trPr>
        <w:tc>
          <w:tcPr>
            <w:tcW w:w="2611" w:type="dxa"/>
            <w:tcBorders>
              <w:top w:val="single" w:sz="15"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杭州云尚涌投资管理合伙企业</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12" w:type="dxa"/>
            <w:tcBorders>
              <w:top w:val="single" w:sz="15" w:space="0" w:color="000000"/>
              <w:left w:val="single" w:sz="13" w:space="0" w:color="C7EDC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500,000.00</w:t>
            </w:r>
          </w:p>
        </w:tc>
        <w:tc>
          <w:tcPr>
            <w:tcW w:w="1168" w:type="dxa"/>
            <w:tcBorders>
              <w:top w:val="single" w:sz="15" w:space="0" w:color="000000"/>
              <w:left w:val="single" w:sz="4" w:space="0" w:color="000000"/>
              <w:bottom w:val="single" w:sz="4" w:space="0" w:color="000000"/>
              <w:right w:val="single" w:sz="4" w:space="0" w:color="000000"/>
            </w:tcBorders>
          </w:tcPr>
          <w:p>
            <w:pPr/>
          </w:p>
        </w:tc>
        <w:tc>
          <w:tcPr>
            <w:tcW w:w="1169" w:type="dxa"/>
            <w:tcBorders>
              <w:top w:val="single" w:sz="15" w:space="0" w:color="000000"/>
              <w:left w:val="single" w:sz="4" w:space="0" w:color="000000"/>
              <w:bottom w:val="single" w:sz="4" w:space="0" w:color="000000"/>
              <w:right w:val="single" w:sz="4" w:space="0" w:color="000000"/>
            </w:tcBorders>
          </w:tcPr>
          <w:p>
            <w:pPr/>
          </w:p>
        </w:tc>
        <w:tc>
          <w:tcPr>
            <w:tcW w:w="1168" w:type="dxa"/>
            <w:tcBorders>
              <w:top w:val="single" w:sz="15" w:space="0" w:color="000000"/>
              <w:left w:val="single" w:sz="4" w:space="0" w:color="000000"/>
              <w:bottom w:val="single" w:sz="4" w:space="0" w:color="000000"/>
              <w:right w:val="single" w:sz="4" w:space="0" w:color="000000"/>
            </w:tcBorders>
          </w:tcPr>
          <w:p>
            <w:pPr/>
          </w:p>
        </w:tc>
        <w:tc>
          <w:tcPr>
            <w:tcW w:w="1168" w:type="dxa"/>
            <w:tcBorders>
              <w:top w:val="single" w:sz="15" w:space="0" w:color="000000"/>
              <w:left w:val="single" w:sz="4" w:space="0" w:color="000000"/>
              <w:bottom w:val="single" w:sz="4" w:space="0" w:color="000000"/>
              <w:right w:val="single" w:sz="4" w:space="0" w:color="000000"/>
            </w:tcBorders>
          </w:tcPr>
          <w:p>
            <w:pPr/>
          </w:p>
        </w:tc>
        <w:tc>
          <w:tcPr>
            <w:tcW w:w="1169" w:type="dxa"/>
            <w:tcBorders>
              <w:top w:val="single" w:sz="15" w:space="0" w:color="000000"/>
              <w:left w:val="single" w:sz="4" w:space="0" w:color="000000"/>
              <w:bottom w:val="single" w:sz="4" w:space="0" w:color="000000"/>
              <w:right w:val="single" w:sz="4" w:space="0" w:color="000000"/>
            </w:tcBorders>
          </w:tcPr>
          <w:p>
            <w:pPr/>
          </w:p>
        </w:tc>
        <w:tc>
          <w:tcPr>
            <w:tcW w:w="1168" w:type="dxa"/>
            <w:tcBorders>
              <w:top w:val="single" w:sz="15" w:space="0" w:color="000000"/>
              <w:left w:val="single" w:sz="4" w:space="0" w:color="000000"/>
              <w:bottom w:val="single" w:sz="4" w:space="0" w:color="000000"/>
              <w:right w:val="single" w:sz="4" w:space="0" w:color="000000"/>
            </w:tcBorders>
          </w:tcPr>
          <w:p>
            <w:pPr/>
          </w:p>
        </w:tc>
        <w:tc>
          <w:tcPr>
            <w:tcW w:w="1171"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500,000.00</w:t>
            </w: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251"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杭州丹浙控股有限公司</w:t>
            </w:r>
          </w:p>
        </w:tc>
        <w:tc>
          <w:tcPr>
            <w:tcW w:w="121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481,592.57</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-166,792.59</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314,799.98</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杭州看看十度网络科技有限公司</w:t>
            </w:r>
          </w:p>
        </w:tc>
        <w:tc>
          <w:tcPr>
            <w:tcW w:w="121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199,747.17</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2,792.78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202,539.95</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杭州余杭晨报教育科技有限公司</w:t>
            </w:r>
          </w:p>
        </w:tc>
        <w:tc>
          <w:tcPr>
            <w:tcW w:w="121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200,000.00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56"/>
              <w:jc w:val="left"/>
              <w:rPr>
                <w:rFonts w:ascii="宋体" w:hAnsi="宋体" w:cs="宋体" w:eastAsia="宋体" w:hint="default"/>
                <w:sz w:val="18"/>
                <w:szCs w:val="18"/>
              </w:rPr>
            </w:pPr>
            <w:r>
              <w:rPr>
                <w:rFonts w:ascii="宋体" w:hAnsi="宋体" w:cs="宋体" w:eastAsia="宋体" w:hint="default"/>
                <w:sz w:val="18"/>
                <w:szCs w:val="18"/>
              </w:rPr>
              <w:t>拓普金榜（北京）休闲文化传媒 有限公司</w:t>
            </w:r>
          </w:p>
        </w:tc>
        <w:tc>
          <w:tcPr>
            <w:tcW w:w="1212" w:type="dxa"/>
            <w:tcBorders>
              <w:top w:val="single" w:sz="4" w:space="0" w:color="000000"/>
              <w:left w:val="single" w:sz="13" w:space="0" w:color="C7EDCC"/>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杭州依山郡教育科技有限公司</w:t>
            </w:r>
          </w:p>
        </w:tc>
        <w:tc>
          <w:tcPr>
            <w:tcW w:w="121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340,000.00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-229,908.70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110,091.30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56"/>
              <w:jc w:val="left"/>
              <w:rPr>
                <w:rFonts w:ascii="宋体" w:hAnsi="宋体" w:cs="宋体" w:eastAsia="宋体" w:hint="default"/>
                <w:sz w:val="18"/>
                <w:szCs w:val="18"/>
              </w:rPr>
            </w:pPr>
            <w:r>
              <w:rPr>
                <w:rFonts w:ascii="宋体" w:hAnsi="宋体" w:cs="宋体" w:eastAsia="宋体" w:hint="default"/>
                <w:sz w:val="18"/>
                <w:szCs w:val="18"/>
              </w:rPr>
              <w:t>中教星创教育科技（北京）有限 公司</w:t>
            </w:r>
          </w:p>
        </w:tc>
        <w:tc>
          <w:tcPr>
            <w:tcW w:w="121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256,096.33</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-153,674.48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102,421.85</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浙江饭美科技有限公司</w:t>
            </w:r>
          </w:p>
        </w:tc>
        <w:tc>
          <w:tcPr>
            <w:tcW w:w="12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743,715.98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-743,715.98</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浙江都快金服信息服务有限公司</w:t>
            </w:r>
          </w:p>
        </w:tc>
        <w:tc>
          <w:tcPr>
            <w:tcW w:w="1212" w:type="dxa"/>
            <w:tcBorders>
              <w:top w:val="single" w:sz="4" w:space="0" w:color="000000"/>
              <w:left w:val="single" w:sz="9" w:space="0" w:color="C7EDCC"/>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杭州华媒数创企业管理有限公司</w:t>
            </w:r>
          </w:p>
        </w:tc>
        <w:tc>
          <w:tcPr>
            <w:tcW w:w="12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1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648,467,113.99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32,540,000.00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18,507,999.00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27,550,398.03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-260,751.37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21,990,098.39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60,911,433.20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799,797.49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603,055,430.62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61,395,806.59</w:t>
            </w:r>
          </w:p>
        </w:tc>
      </w:tr>
      <w:tr>
        <w:trPr>
          <w:trHeight w:val="250"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649,780,455.57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32,540,000.00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19,821,340.58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27,550,398.03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-4,631,596.93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-260,751.37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21,990,098.39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60,911,433.20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799,797.49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603,055,430.62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61,395,806.59</w:t>
            </w:r>
          </w:p>
        </w:tc>
      </w:tr>
    </w:tbl>
    <w:p>
      <w:pPr>
        <w:pStyle w:val="BodyText"/>
        <w:spacing w:line="240" w:lineRule="auto" w:before="51"/>
        <w:ind w:left="879" w:right="668"/>
        <w:jc w:val="left"/>
      </w:pPr>
      <w:r>
        <w:rPr/>
        <w:t>其他说明</w:t>
      </w:r>
    </w:p>
    <w:p>
      <w:pPr>
        <w:pStyle w:val="BodyText"/>
        <w:spacing w:line="300" w:lineRule="auto" w:before="116"/>
        <w:ind w:left="879" w:right="882" w:firstLine="420"/>
        <w:jc w:val="both"/>
      </w:pPr>
      <w:r>
        <w:rPr>
          <w:rFonts w:ascii="Times New Roman" w:hAnsi="Times New Roman" w:cs="Times New Roman" w:eastAsia="Times New Roman" w:hint="default"/>
          <w:spacing w:val="-1"/>
        </w:rPr>
        <w:t>(1)</w:t>
      </w:r>
      <w:r>
        <w:rPr>
          <w:spacing w:val="-1"/>
        </w:rPr>
        <w:t>子公司杭州网络传媒有限公司持有快点文化传播（上海）有限公司</w:t>
      </w:r>
      <w:r>
        <w:rPr>
          <w:rFonts w:ascii="Times New Roman" w:hAnsi="Times New Roman" w:cs="Times New Roman" w:eastAsia="Times New Roman" w:hint="default"/>
          <w:spacing w:val="-1"/>
        </w:rPr>
        <w:t>39%</w:t>
      </w:r>
      <w:r>
        <w:rPr>
          <w:spacing w:val="-1"/>
        </w:rPr>
        <w:t>股权，根据北京中林资产评估有限公司</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号出具的中林评字</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1"/>
        </w:rPr>
        <w:t>69</w:t>
      </w:r>
      <w:r>
        <w:rPr>
          <w:spacing w:val="-1"/>
        </w:rPr>
        <w:t>号《浙江华媒控股股</w:t>
      </w:r>
      <w:r>
        <w:rPr/>
        <w:t> </w:t>
      </w:r>
      <w:r>
        <w:rPr>
          <w:spacing w:val="-1"/>
        </w:rPr>
        <w:t>份有限公司以财务报告为目的拟进行减值测试涉及的快点文化传播（上海）有限公司股东全部权益价值评估项目资产评估报告》，截止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日，快点文化传播（上海）有</w:t>
      </w:r>
      <w:r>
        <w:rPr/>
        <w:t> 限公司净资产公允价值为</w:t>
      </w:r>
      <w:r>
        <w:rPr>
          <w:rFonts w:ascii="Times New Roman" w:hAnsi="Times New Roman" w:cs="Times New Roman" w:eastAsia="Times New Roman" w:hint="default"/>
        </w:rPr>
        <w:t>425,000,000.00</w:t>
      </w:r>
      <w:r>
        <w:rPr/>
        <w:t>元，确认资产减值损失</w:t>
      </w:r>
      <w:r>
        <w:rPr>
          <w:rFonts w:ascii="Times New Roman" w:hAnsi="Times New Roman" w:cs="Times New Roman" w:eastAsia="Times New Roman" w:hint="default"/>
        </w:rPr>
        <w:t>59,414,775.69</w:t>
      </w:r>
      <w:r>
        <w:rPr/>
        <w:t>元。</w:t>
      </w:r>
    </w:p>
    <w:p>
      <w:pPr>
        <w:pStyle w:val="BodyText"/>
        <w:spacing w:line="300" w:lineRule="auto" w:before="13"/>
        <w:ind w:left="1299" w:right="668"/>
        <w:jc w:val="left"/>
      </w:pPr>
      <w:r>
        <w:rPr>
          <w:rFonts w:ascii="Times New Roman" w:hAnsi="Times New Roman" w:cs="Times New Roman" w:eastAsia="Times New Roman" w:hint="default"/>
          <w:spacing w:val="-2"/>
        </w:rPr>
        <w:t>(2)</w:t>
      </w:r>
      <w:r>
        <w:rPr>
          <w:spacing w:val="-2"/>
        </w:rPr>
        <w:t>根据北京中环盛元数字图文有限公司资产分配方案，长期股权投资可收回金额为</w:t>
      </w:r>
      <w:r>
        <w:rPr>
          <w:rFonts w:ascii="Times New Roman" w:hAnsi="Times New Roman" w:cs="Times New Roman" w:eastAsia="Times New Roman" w:hint="default"/>
          <w:spacing w:val="-2"/>
        </w:rPr>
        <w:t>494,550.00</w:t>
      </w:r>
      <w:r>
        <w:rPr>
          <w:spacing w:val="-2"/>
        </w:rPr>
        <w:t>元，与长期股权投资账面余额</w:t>
      </w:r>
      <w:r>
        <w:rPr>
          <w:rFonts w:ascii="Times New Roman" w:hAnsi="Times New Roman" w:cs="Times New Roman" w:eastAsia="Times New Roman" w:hint="default"/>
          <w:spacing w:val="-2"/>
        </w:rPr>
        <w:t>1,258,805.58</w:t>
      </w:r>
      <w:r>
        <w:rPr>
          <w:spacing w:val="-2"/>
        </w:rPr>
        <w:t>元差异</w:t>
      </w:r>
      <w:r>
        <w:rPr>
          <w:rFonts w:ascii="Times New Roman" w:hAnsi="Times New Roman" w:cs="Times New Roman" w:eastAsia="Times New Roman" w:hint="default"/>
          <w:spacing w:val="-2"/>
        </w:rPr>
        <w:t>764,255.58</w:t>
      </w:r>
      <w:r>
        <w:rPr>
          <w:spacing w:val="-2"/>
        </w:rPr>
        <w:t>元确认资产减值损失。</w:t>
      </w:r>
      <w:r>
        <w:rPr>
          <w:spacing w:val="-30"/>
        </w:rPr>
        <w:t> </w:t>
      </w:r>
      <w:r>
        <w:rPr>
          <w:spacing w:val="-30"/>
        </w:rPr>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日，子公司浙江华媒投资有限公司、中教未来国际教育科技（北京）有限公司合计持有浙江弘致投资管理有限公司</w:t>
      </w:r>
      <w:r>
        <w:rPr>
          <w:rFonts w:ascii="Times New Roman" w:hAnsi="Times New Roman" w:cs="Times New Roman" w:eastAsia="Times New Roman" w:hint="default"/>
        </w:rPr>
        <w:t>24%</w:t>
      </w:r>
      <w:r>
        <w:rPr/>
        <w:t>股权，浙江弘致投资管理有限公</w:t>
      </w:r>
    </w:p>
    <w:p>
      <w:pPr>
        <w:pStyle w:val="BodyText"/>
        <w:spacing w:line="240" w:lineRule="auto" w:before="13"/>
        <w:ind w:left="879" w:right="668"/>
        <w:jc w:val="left"/>
      </w:pPr>
      <w:r>
        <w:rPr/>
        <w:t>司连续</w:t>
      </w:r>
      <w:r>
        <w:rPr>
          <w:rFonts w:ascii="Times New Roman" w:hAnsi="Times New Roman" w:cs="Times New Roman" w:eastAsia="Times New Roman" w:hint="default"/>
        </w:rPr>
        <w:t>3</w:t>
      </w:r>
      <w:r>
        <w:rPr/>
        <w:t>年亏损，未来盈利情况不可预计，全额计提减值准备</w:t>
      </w:r>
      <w:r>
        <w:rPr>
          <w:rFonts w:ascii="Times New Roman" w:hAnsi="Times New Roman" w:cs="Times New Roman" w:eastAsia="Times New Roman" w:hint="default"/>
        </w:rPr>
        <w:t>517,307.38</w:t>
      </w:r>
      <w:r>
        <w:rPr/>
        <w:t>元。</w:t>
      </w:r>
    </w:p>
    <w:p>
      <w:pPr>
        <w:pStyle w:val="BodyText"/>
        <w:spacing w:line="300" w:lineRule="auto" w:before="63"/>
        <w:ind w:left="879" w:right="843" w:firstLine="420"/>
        <w:jc w:val="both"/>
      </w:pPr>
      <w:r>
        <w:rPr>
          <w:rFonts w:ascii="Times New Roman" w:hAnsi="Times New Roman" w:cs="Times New Roman" w:eastAsia="Times New Roman" w:hint="default"/>
        </w:rPr>
        <w:t>(4)</w:t>
      </w:r>
      <w:r>
        <w:rPr/>
        <w:t>江苏时代盛元数字图文影像有限公司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日货币资金余额为</w:t>
      </w:r>
      <w:r>
        <w:rPr>
          <w:rFonts w:ascii="Times New Roman" w:hAnsi="Times New Roman" w:cs="Times New Roman" w:eastAsia="Times New Roman" w:hint="default"/>
        </w:rPr>
        <w:t>3.7</w:t>
      </w:r>
      <w:r>
        <w:rPr/>
        <w:t>万元，应收账款</w:t>
      </w:r>
      <w:r>
        <w:rPr>
          <w:rFonts w:ascii="Times New Roman" w:hAnsi="Times New Roman" w:cs="Times New Roman" w:eastAsia="Times New Roman" w:hint="default"/>
        </w:rPr>
        <w:t>22</w:t>
      </w:r>
      <w:r>
        <w:rPr/>
        <w:t>万，固定资产</w:t>
      </w:r>
      <w:r>
        <w:rPr>
          <w:rFonts w:ascii="Times New Roman" w:hAnsi="Times New Roman" w:cs="Times New Roman" w:eastAsia="Times New Roman" w:hint="default"/>
        </w:rPr>
        <w:t>20</w:t>
      </w:r>
      <w:r>
        <w:rPr/>
        <w:t>万元，应收账款已预计无法收回，固定资产系较难变现的设备， 公司认为长期股权投资可收回金额基本为</w:t>
      </w:r>
      <w:r>
        <w:rPr>
          <w:rFonts w:ascii="Times New Roman" w:hAnsi="Times New Roman" w:cs="Times New Roman" w:eastAsia="Times New Roman" w:hint="default"/>
        </w:rPr>
        <w:t>0</w:t>
      </w:r>
      <w:r>
        <w:rPr/>
        <w:t>，全额计提减值准备</w:t>
      </w:r>
      <w:r>
        <w:rPr>
          <w:rFonts w:ascii="Times New Roman" w:hAnsi="Times New Roman" w:cs="Times New Roman" w:eastAsia="Times New Roman" w:hint="default"/>
        </w:rPr>
        <w:t>215,094.55</w:t>
      </w:r>
      <w:r>
        <w:rPr/>
        <w:t>元。</w:t>
      </w:r>
    </w:p>
    <w:p>
      <w:pPr>
        <w:spacing w:after="0" w:line="300" w:lineRule="auto"/>
        <w:jc w:val="both"/>
        <w:sectPr>
          <w:pgSz w:w="16840" w:h="11910" w:orient="landscape"/>
          <w:pgMar w:header="867" w:footer="978" w:top="1060" w:bottom="1160" w:left="560" w:right="56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2834"/>
        <w:gridCol w:w="3191"/>
      </w:tblGrid>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上海合印科技股份有限公司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66,801,336.84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66,801,336.84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嘉兴城镜股权投资合伙企业（有限合伙）</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杭州雍享网络科技有限公司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杭州万事利丝绸文化有限公司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杭州众加新能源科技有限公司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浙江贝宜基因科技有限公司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杭州中大源新企业管理咨询有限公司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杭州太仆汽车科技有限公司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795,600.00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795,600.00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杭州观盛文化传播有限公司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568,749.80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568,749.80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陆尚轮改汽配（杭州）有限公司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浙江浙蕨科技有限公司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杭州小嘀科技有限公司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杭州轻舟科技有限公司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浙江颐优科技有限公司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浙江颐优贸易有限公司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浙江唯觅特科技有限公司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杭州来嗨科技有限公司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杭州微呗通互联网金融服务有限公司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杭州诚一文化创意有限公司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杭州艺素影像文化有限公司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杭州智巡科技有限公司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杭州吉莱文化传媒有限公司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杭州舒码汇科技有限公司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福州风瑞海时传媒有限公司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杭州寰创网络技术有限公司</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浙江亮楼信息科技有限公司</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杭州蕴隐投资管理合伙企业（有限合伙）</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杭州滋洛科技有限公司</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杭州三亿米网络科技有限公司</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杭州比目鱼投资管理合伙企业（有限合伙）</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杭州曦隐投资管理合伙企业（有限合伙）</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headerReference w:type="default" r:id="rId39"/>
          <w:footerReference w:type="default" r:id="rId40"/>
          <w:pgSz w:w="11910" w:h="16840"/>
          <w:pgMar w:header="877" w:footer="982" w:top="1100" w:bottom="1180" w:left="980" w:right="0"/>
          <w:pgNumType w:start="132"/>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2834"/>
        <w:gridCol w:w="3191"/>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杭州天音在线娱乐科技有限公司</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杭州伊风科技有限公司</w:t>
            </w:r>
          </w:p>
        </w:tc>
        <w:tc>
          <w:tcPr>
            <w:tcW w:w="283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7" w:right="0"/>
              <w:jc w:val="left"/>
              <w:rPr>
                <w:rFonts w:ascii="Times New Roman" w:hAnsi="Times New Roman" w:cs="Times New Roman" w:eastAsia="Times New Roman" w:hint="default"/>
                <w:sz w:val="18"/>
                <w:szCs w:val="18"/>
              </w:rPr>
            </w:pPr>
            <w:r>
              <w:rPr>
                <w:rFonts w:ascii="Times New Roman"/>
                <w:sz w:val="18"/>
              </w:rPr>
              <w:t>134,950,686.64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85,585,686.64</w:t>
            </w:r>
          </w:p>
        </w:tc>
      </w:tr>
    </w:tbl>
    <w:p>
      <w:pPr>
        <w:pStyle w:val="BodyText"/>
        <w:spacing w:line="240" w:lineRule="auto" w:before="51"/>
        <w:ind w:right="0"/>
        <w:jc w:val="left"/>
      </w:pPr>
      <w:r>
        <w:rPr/>
        <w:t>分项披露本期非交易性权益工具投资</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71"/>
        <w:gridCol w:w="1080"/>
        <w:gridCol w:w="493"/>
        <w:gridCol w:w="1061"/>
        <w:gridCol w:w="1435"/>
        <w:gridCol w:w="2291"/>
        <w:gridCol w:w="1435"/>
      </w:tblGrid>
      <w:tr>
        <w:trPr>
          <w:trHeight w:val="1026" w:hRule="exact"/>
        </w:trPr>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6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3" w:right="84" w:hanging="270"/>
              <w:jc w:val="left"/>
              <w:rPr>
                <w:rFonts w:ascii="宋体" w:hAnsi="宋体" w:cs="宋体" w:eastAsia="宋体" w:hint="default"/>
                <w:sz w:val="18"/>
                <w:szCs w:val="18"/>
              </w:rPr>
            </w:pPr>
            <w:r>
              <w:rPr>
                <w:rFonts w:ascii="宋体" w:hAnsi="宋体" w:cs="宋体" w:eastAsia="宋体" w:hint="default"/>
                <w:sz w:val="18"/>
                <w:szCs w:val="18"/>
              </w:rPr>
              <w:t>确认的股利 收入</w:t>
            </w:r>
          </w:p>
        </w:tc>
        <w:tc>
          <w:tcPr>
            <w:tcW w:w="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left"/>
              <w:rPr>
                <w:rFonts w:ascii="宋体" w:hAnsi="宋体" w:cs="宋体" w:eastAsia="宋体" w:hint="default"/>
                <w:sz w:val="18"/>
                <w:szCs w:val="18"/>
              </w:rPr>
            </w:pPr>
            <w:r>
              <w:rPr>
                <w:rFonts w:ascii="宋体" w:hAnsi="宋体" w:cs="宋体" w:eastAsia="宋体" w:hint="default"/>
                <w:sz w:val="18"/>
                <w:szCs w:val="18"/>
              </w:rPr>
              <w:t>累计 利得</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2"/>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2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指定为以公允价值计量且其 变动计入其他综合收益的原 因</w:t>
            </w:r>
          </w:p>
        </w:tc>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3"/>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福州风瑞海时传媒有限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杭州观盛文化传播有限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197,674.40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杭州比目鱼投资管理合 伙企业（有限合伙）</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杭州曦隐投资管理合伙 企业（有限合伙）</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杭州蕴隐投资管理合伙 企业（有限合伙）</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杭州寰创网络技术有限 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杭州三亿米网络科技有 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杭州天音在线娱乐科技 有限公司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杭州伊风科技有限公司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浙江亮楼信息科技有限 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杭州滋洛科技有限公司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8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365,674.40</w:t>
            </w:r>
          </w:p>
        </w:tc>
        <w:tc>
          <w:tcPr>
            <w:tcW w:w="4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2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0"/>
        <w:jc w:val="left"/>
      </w:pPr>
      <w:r>
        <w:rPr/>
        <w:t>其他说明：</w:t>
      </w:r>
    </w:p>
    <w:p>
      <w:pPr>
        <w:pStyle w:val="BodyText"/>
        <w:spacing w:line="300" w:lineRule="auto" w:before="115"/>
        <w:ind w:left="534" w:right="0" w:firstLine="44"/>
        <w:jc w:val="left"/>
      </w:pPr>
      <w:r>
        <w:rPr/>
        <w:t>浙江亮楼信息科技有限公司已于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日办妥注销手续。 本公司对其他权益工具投资的目的为战略性投资，并非为了近期出售，因此将其指定为以公允价值计量且其变动计入</w:t>
      </w:r>
    </w:p>
    <w:p>
      <w:pPr>
        <w:pStyle w:val="BodyText"/>
        <w:spacing w:line="240" w:lineRule="auto" w:before="31"/>
        <w:ind w:left="153" w:right="0"/>
        <w:jc w:val="left"/>
      </w:pPr>
      <w:r>
        <w:rPr/>
        <w:t>其他综合收益的金融资产。</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18,029,817.97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18,029,817.97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8,804,951.84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8,804,951.84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8,804,951.84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8,804,951.84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26,834,769.81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26,834,769.81</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676,326.54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676,326.54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1,713,209.28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1,713,209.28</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848,418.30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848,418.30</w:t>
            </w: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9" w:firstLine="54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）存货</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864,790.98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864,790.98</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2,389,535.82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2,389,535.82</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24,445,233.99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24,445,233.99</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17,353,491.43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17,353,491.43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236" w:firstLine="290"/>
        <w:jc w:val="left"/>
      </w:pPr>
      <w:r>
        <w:rPr/>
        <w:t>本公司原自用房产改为出租，自固定资产转作投资性房地产并采用成本计量，转换日其账面原值为人民币</w:t>
      </w:r>
      <w:r>
        <w:rPr>
          <w:rFonts w:ascii="Times New Roman" w:hAnsi="Times New Roman" w:cs="Times New Roman" w:eastAsia="Times New Roman" w:hint="default"/>
        </w:rPr>
        <w:t>8,804,951.84 </w:t>
      </w:r>
      <w:r>
        <w:rPr/>
        <w:t>元，累计折旧</w:t>
      </w:r>
      <w:r>
        <w:rPr>
          <w:rFonts w:ascii="Times New Roman" w:hAnsi="Times New Roman" w:cs="Times New Roman" w:eastAsia="Times New Roman" w:hint="default"/>
        </w:rPr>
        <w:t>864,790.98</w:t>
      </w:r>
      <w:r>
        <w:rPr/>
        <w:t>元。</w:t>
      </w:r>
    </w:p>
    <w:p>
      <w:pPr>
        <w:pStyle w:val="BodyText"/>
        <w:spacing w:line="240" w:lineRule="auto" w:before="13"/>
        <w:ind w:left="573" w:right="0"/>
        <w:jc w:val="left"/>
      </w:pPr>
      <w:r>
        <w:rPr/>
        <w:t>期末未发现投资性房地产存在明显减值迹象，故未计提减值准备。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171,508,899.41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192,256,636.44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171,508,899.41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192,256,636.44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215"/>
        <w:gridCol w:w="1594"/>
        <w:gridCol w:w="1594"/>
        <w:gridCol w:w="1595"/>
        <w:gridCol w:w="1594"/>
      </w:tblGrid>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15"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114,322,560.44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308,129,327.62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11,646,628.06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61,480,102.17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495,578,618.29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15"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1,109,825.44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2,873,862.80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6,908,222.79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10,891,911.03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15"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1,109,825.44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2,873,862.80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6,908,222.79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10,891,911.03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15"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15"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5"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1204"/>
        <w:gridCol w:w="1594"/>
        <w:gridCol w:w="1594"/>
        <w:gridCol w:w="1595"/>
        <w:gridCol w:w="159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8,804,951.84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2,752,333.29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2,538,420.82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29,213,205.95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2,752,333.29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2,538,420.82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20,408,254.11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8,804,951.84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8,804,951.84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105,517,608.60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294,121,653.06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11,768,157.57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65,849,904.14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477,257,323.37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20,773,686.14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227,367,950.42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7,408,213.18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47,772,132.11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303,321,981.85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4,554,608.91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12,153,353.78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1,048,007.00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5,497,964.95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23,253,934.64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4,554,608.91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12,153,353.78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1,048,007.00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5,497,964.95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23,253,934.64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864,790.98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20,827,492.53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2,431,533.73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2,413,667.82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19,962,701.55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864,790.98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864,790.98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24,463,504.07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224,403,804.20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6,024,686.45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50,856,429.24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305,748,423.96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81,054,104.53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69,717,848.86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5,743,471.12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14,993,474.90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171,508,899.41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93,548,874.30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80,761,377.20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4,238,414.88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13,707,970.06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192,256,636.44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16,238,791.63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尼加拉置业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2,654,377.75</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4" w:right="0"/>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8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314,694,227.66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237,237,966.42</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314,694,227.66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237,237,966.42</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3104"/>
        <w:gridCol w:w="1193"/>
        <w:gridCol w:w="776"/>
        <w:gridCol w:w="1181"/>
        <w:gridCol w:w="1181"/>
        <w:gridCol w:w="776"/>
        <w:gridCol w:w="1181"/>
      </w:tblGrid>
      <w:tr>
        <w:trPr>
          <w:trHeight w:val="402" w:hRule="exact"/>
        </w:trPr>
        <w:tc>
          <w:tcPr>
            <w:tcW w:w="31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04"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3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萧山文创大厦</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312,649,386.46</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312,649,386.46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235,525,815.48</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235,525,815.48</w:t>
            </w:r>
          </w:p>
        </w:tc>
      </w:tr>
      <w:tr>
        <w:trPr>
          <w:trHeight w:val="402" w:hRule="exact"/>
        </w:trPr>
        <w:tc>
          <w:tcPr>
            <w:tcW w:w="3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杭州市大江东产业聚集区江东区块项目</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1,774,525.46</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1,774,525.46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1,712,150.94</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1,712,150.94</w:t>
            </w:r>
          </w:p>
        </w:tc>
      </w:tr>
      <w:tr>
        <w:trPr>
          <w:trHeight w:val="402" w:hRule="exact"/>
        </w:trPr>
        <w:tc>
          <w:tcPr>
            <w:tcW w:w="3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1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270,315.74</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270,315.74</w:t>
            </w: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314,694,227.66</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314,694,227.66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237,237,966.42</w:t>
            </w:r>
          </w:p>
        </w:tc>
        <w:tc>
          <w:tcPr>
            <w:tcW w:w="7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237,237,966.42</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929"/>
        <w:gridCol w:w="1057"/>
        <w:gridCol w:w="1057"/>
        <w:gridCol w:w="977"/>
        <w:gridCol w:w="661"/>
        <w:gridCol w:w="538"/>
        <w:gridCol w:w="1057"/>
        <w:gridCol w:w="1099"/>
        <w:gridCol w:w="552"/>
        <w:gridCol w:w="895"/>
        <w:gridCol w:w="896"/>
        <w:gridCol w:w="514"/>
        <w:gridCol w:w="529"/>
      </w:tblGrid>
      <w:tr>
        <w:trPr>
          <w:trHeight w:val="970" w:hRule="exact"/>
        </w:trPr>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93" w:right="31"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55" w:right="54"/>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83" w:right="83"/>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94" w:right="92"/>
              <w:jc w:val="center"/>
              <w:rPr>
                <w:rFonts w:ascii="宋体" w:hAnsi="宋体" w:cs="宋体" w:eastAsia="宋体" w:hint="default"/>
                <w:sz w:val="18"/>
                <w:szCs w:val="18"/>
              </w:rPr>
            </w:pPr>
            <w:r>
              <w:rPr>
                <w:rFonts w:ascii="宋体" w:hAnsi="宋体" w:cs="宋体" w:eastAsia="宋体" w:hint="default"/>
                <w:sz w:val="18"/>
                <w:szCs w:val="18"/>
              </w:rPr>
              <w:t>工程累计投 入占预算比 例</w:t>
            </w:r>
          </w:p>
        </w:tc>
        <w:tc>
          <w:tcPr>
            <w:tcW w:w="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91" w:right="8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82" w:right="80"/>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22" w:right="23"/>
              <w:jc w:val="center"/>
              <w:rPr>
                <w:rFonts w:ascii="宋体" w:hAnsi="宋体" w:cs="宋体" w:eastAsia="宋体" w:hint="default"/>
                <w:sz w:val="18"/>
                <w:szCs w:val="18"/>
              </w:rPr>
            </w:pPr>
            <w:r>
              <w:rPr>
                <w:rFonts w:ascii="宋体" w:hAnsi="宋体" w:cs="宋体" w:eastAsia="宋体" w:hint="default"/>
                <w:spacing w:val="-12"/>
                <w:sz w:val="18"/>
                <w:szCs w:val="18"/>
              </w:rPr>
              <w:t>其中：本期</w:t>
            </w:r>
            <w:r>
              <w:rPr>
                <w:rFonts w:ascii="宋体" w:hAnsi="宋体" w:cs="宋体" w:eastAsia="宋体" w:hint="default"/>
                <w:sz w:val="18"/>
                <w:szCs w:val="18"/>
              </w:rPr>
              <w:t> 利息资本 化金额</w:t>
            </w:r>
          </w:p>
        </w:tc>
        <w:tc>
          <w:tcPr>
            <w:tcW w:w="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72" w:right="71"/>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79" w:right="7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90" w:hRule="exact"/>
        </w:trPr>
        <w:tc>
          <w:tcPr>
            <w:tcW w:w="9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74"/>
              <w:jc w:val="left"/>
              <w:rPr>
                <w:rFonts w:ascii="宋体" w:hAnsi="宋体" w:cs="宋体" w:eastAsia="宋体" w:hint="default"/>
                <w:sz w:val="18"/>
                <w:szCs w:val="18"/>
              </w:rPr>
            </w:pPr>
            <w:r>
              <w:rPr>
                <w:rFonts w:ascii="宋体" w:hAnsi="宋体" w:cs="宋体" w:eastAsia="宋体" w:hint="default"/>
                <w:sz w:val="18"/>
                <w:szCs w:val="18"/>
              </w:rPr>
              <w:t>萧山文创 大厦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396,908,800.00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235,525,815.48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77,123,570.98</w:t>
            </w:r>
          </w:p>
        </w:tc>
        <w:tc>
          <w:tcPr>
            <w:tcW w:w="661"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312,649,386.46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73" w:right="0"/>
              <w:jc w:val="left"/>
              <w:rPr>
                <w:rFonts w:ascii="Times New Roman" w:hAnsi="Times New Roman" w:cs="Times New Roman" w:eastAsia="Times New Roman" w:hint="default"/>
                <w:sz w:val="16"/>
                <w:szCs w:val="16"/>
              </w:rPr>
            </w:pPr>
            <w:r>
              <w:rPr>
                <w:rFonts w:ascii="Times New Roman"/>
                <w:sz w:val="16"/>
              </w:rPr>
              <w:t>80.00%</w:t>
            </w:r>
          </w:p>
        </w:tc>
        <w:tc>
          <w:tcPr>
            <w:tcW w:w="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80.00%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3,375,761.46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1,639,443.66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4.79%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5"/>
              <w:jc w:val="right"/>
              <w:rPr>
                <w:rFonts w:ascii="宋体" w:hAnsi="宋体" w:cs="宋体" w:eastAsia="宋体" w:hint="default"/>
                <w:sz w:val="16"/>
                <w:szCs w:val="16"/>
              </w:rPr>
            </w:pPr>
            <w:r>
              <w:rPr>
                <w:rFonts w:ascii="宋体" w:hAnsi="宋体" w:cs="宋体" w:eastAsia="宋体" w:hint="default"/>
                <w:w w:val="95"/>
                <w:sz w:val="16"/>
                <w:szCs w:val="16"/>
              </w:rPr>
              <w:t>其他</w:t>
            </w:r>
            <w:r>
              <w:rPr>
                <w:rFonts w:ascii="宋体" w:hAnsi="宋体" w:cs="宋体" w:eastAsia="宋体" w:hint="default"/>
                <w:sz w:val="16"/>
                <w:szCs w:val="16"/>
              </w:rPr>
            </w:r>
          </w:p>
        </w:tc>
      </w:tr>
      <w:tr>
        <w:trPr>
          <w:trHeight w:val="251" w:hRule="exact"/>
        </w:trPr>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396,908,800.00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235,525,815.48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6"/>
                <w:szCs w:val="16"/>
              </w:rPr>
            </w:pPr>
            <w:r>
              <w:rPr>
                <w:rFonts w:ascii="Times New Roman"/>
                <w:spacing w:val="-1"/>
                <w:sz w:val="16"/>
              </w:rPr>
              <w:t>77,123,570.98</w:t>
            </w:r>
          </w:p>
        </w:tc>
        <w:tc>
          <w:tcPr>
            <w:tcW w:w="661"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312,649,386.46</w:t>
            </w: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w:t>
            </w:r>
          </w:p>
        </w:tc>
        <w:tc>
          <w:tcPr>
            <w:tcW w:w="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w:t>
            </w:r>
          </w:p>
        </w:tc>
        <w:tc>
          <w:tcPr>
            <w:tcW w:w="8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16"/>
                <w:szCs w:val="16"/>
              </w:rPr>
            </w:pPr>
            <w:r>
              <w:rPr>
                <w:rFonts w:ascii="Times New Roman"/>
                <w:spacing w:val="-1"/>
                <w:sz w:val="16"/>
              </w:rPr>
              <w:t>3,375,761.46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1,639,443.66</w:t>
            </w:r>
          </w:p>
        </w:tc>
        <w:tc>
          <w:tcPr>
            <w:tcW w:w="51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44"/>
              <w:ind w:right="12"/>
              <w:jc w:val="right"/>
              <w:rPr>
                <w:rFonts w:ascii="Times New Roman" w:hAnsi="Times New Roman" w:cs="Times New Roman" w:eastAsia="Times New Roman" w:hint="default"/>
                <w:sz w:val="16"/>
                <w:szCs w:val="16"/>
              </w:rPr>
            </w:pPr>
            <w:r>
              <w:rPr>
                <w:rFonts w:ascii="Times New Roman"/>
                <w:spacing w:val="-1"/>
                <w:sz w:val="16"/>
              </w:rPr>
              <w:t>4.79%</w:t>
            </w:r>
          </w:p>
        </w:tc>
        <w:tc>
          <w:tcPr>
            <w:tcW w:w="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right="206"/>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t>其他说明</w:t>
      </w:r>
    </w:p>
    <w:p>
      <w:pPr>
        <w:pStyle w:val="BodyText"/>
        <w:spacing w:line="240" w:lineRule="auto" w:before="115"/>
        <w:ind w:left="1093" w:right="0"/>
        <w:jc w:val="left"/>
      </w:pPr>
      <w:r>
        <w:rPr/>
        <w:t>期末未发现在建工程存在明显减值迹象，故未计提减值准备。</w:t>
      </w:r>
    </w:p>
    <w:p>
      <w:pPr>
        <w:spacing w:after="0" w:line="240" w:lineRule="auto"/>
        <w:jc w:val="left"/>
        <w:sectPr>
          <w:pgSz w:w="11910" w:h="16840"/>
          <w:pgMar w:header="877" w:footer="982" w:top="1100" w:bottom="1180" w:left="46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279"/>
        <w:gridCol w:w="1192"/>
        <w:gridCol w:w="647"/>
        <w:gridCol w:w="1034"/>
        <w:gridCol w:w="1084"/>
        <w:gridCol w:w="1085"/>
        <w:gridCol w:w="1181"/>
        <w:gridCol w:w="1181"/>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64,915,541.39</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6,412,701.30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3,383,679.26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18,952,814.75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93,664,736.70</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221,591.87</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742,857.15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964,449.02</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1,515,880.18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1,515,880.18</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255,555.64</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255,555.64</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64,915,541.39</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6,378,737.53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3,383,679.26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21,211,552.08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95,889,510.26</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2,489,412.72</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3,769,677.65</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2,293,322.34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8,552,412.71</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1,298,508.96</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662,272.39</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2,013,369.85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3,974,151.20</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2"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274"/>
        <w:gridCol w:w="1208"/>
        <w:gridCol w:w="647"/>
        <w:gridCol w:w="1034"/>
        <w:gridCol w:w="1084"/>
        <w:gridCol w:w="1085"/>
        <w:gridCol w:w="1181"/>
        <w:gridCol w:w="1181"/>
      </w:tblGrid>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153,333.36</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153,333.36</w:t>
            </w: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3,787,921.68</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4,278,616.68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4,306,692.19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12,373,230.55</w:t>
            </w: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8" w:type="dxa"/>
            <w:tcBorders>
              <w:top w:val="single" w:sz="4" w:space="0" w:color="000000"/>
              <w:left w:val="single" w:sz="9"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61,127,619.71</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2,100,120.85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3,383,679.26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16,904,859.89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83,516,279.71</w:t>
            </w:r>
          </w:p>
        </w:tc>
      </w:tr>
      <w:tr>
        <w:trPr>
          <w:trHeight w:val="402" w:hRule="exact"/>
        </w:trPr>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62,426,128.67</w:t>
            </w: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2,643,023.65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3,383,679.26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16,659,492.41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85,112,323.99</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1.82%</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863"/>
        <w:gridCol w:w="1403"/>
        <w:gridCol w:w="1552"/>
        <w:gridCol w:w="491"/>
        <w:gridCol w:w="491"/>
        <w:gridCol w:w="491"/>
        <w:gridCol w:w="1392"/>
      </w:tblGrid>
      <w:tr>
        <w:trPr>
          <w:trHeight w:val="206" w:hRule="exact"/>
        </w:trPr>
        <w:tc>
          <w:tcPr>
            <w:tcW w:w="38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20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38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42" w:type="dxa"/>
            <w:gridSpan w:val="2"/>
            <w:vMerge/>
            <w:tcBorders>
              <w:left w:val="single" w:sz="4" w:space="0" w:color="000000"/>
              <w:bottom w:val="single" w:sz="4" w:space="0" w:color="000000"/>
              <w:right w:val="single" w:sz="4" w:space="0" w:color="000000"/>
            </w:tcBorders>
            <w:shd w:val="clear" w:color="auto" w:fill="D3D3D3"/>
          </w:tcPr>
          <w:p>
            <w:pPr/>
          </w:p>
        </w:tc>
        <w:tc>
          <w:tcPr>
            <w:tcW w:w="982" w:type="dxa"/>
            <w:gridSpan w:val="2"/>
            <w:vMerge/>
            <w:tcBorders>
              <w:left w:val="single" w:sz="4" w:space="0" w:color="000000"/>
              <w:bottom w:val="single" w:sz="4" w:space="0" w:color="000000"/>
              <w:right w:val="single" w:sz="4" w:space="0" w:color="000000"/>
            </w:tcBorders>
            <w:shd w:val="clear" w:color="auto" w:fill="D3D3D3"/>
          </w:tcPr>
          <w:p>
            <w:pPr/>
          </w:p>
        </w:tc>
        <w:tc>
          <w:tcPr>
            <w:tcW w:w="1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3863" w:type="dxa"/>
            <w:vMerge/>
            <w:tcBorders>
              <w:left w:val="single" w:sz="4" w:space="0" w:color="000000"/>
              <w:bottom w:val="nil" w:sz="6" w:space="0" w:color="auto"/>
              <w:right w:val="single" w:sz="4" w:space="0" w:color="000000"/>
            </w:tcBorders>
            <w:shd w:val="clear" w:color="auto" w:fill="D3D3D3"/>
          </w:tcPr>
          <w:p>
            <w:pPr/>
          </w:p>
        </w:tc>
        <w:tc>
          <w:tcPr>
            <w:tcW w:w="1403" w:type="dxa"/>
            <w:vMerge/>
            <w:tcBorders>
              <w:left w:val="single" w:sz="4" w:space="0" w:color="000000"/>
              <w:bottom w:val="nil" w:sz="6" w:space="0" w:color="auto"/>
              <w:right w:val="single" w:sz="4" w:space="0" w:color="000000"/>
            </w:tcBorders>
            <w:shd w:val="clear" w:color="auto" w:fill="D3D3D3"/>
          </w:tcPr>
          <w:p>
            <w:pPr/>
          </w:p>
        </w:tc>
        <w:tc>
          <w:tcPr>
            <w:tcW w:w="15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2"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38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2" w:type="dxa"/>
            <w:vMerge/>
            <w:tcBorders>
              <w:left w:val="single" w:sz="4" w:space="0" w:color="000000"/>
              <w:bottom w:val="single" w:sz="4" w:space="0" w:color="000000"/>
              <w:right w:val="single" w:sz="4" w:space="0" w:color="000000"/>
            </w:tcBorders>
            <w:shd w:val="clear" w:color="auto" w:fill="D3D3D3"/>
          </w:tcPr>
          <w:p>
            <w:pPr/>
          </w:p>
        </w:tc>
        <w:tc>
          <w:tcPr>
            <w:tcW w:w="491" w:type="dxa"/>
            <w:vMerge/>
            <w:tcBorders>
              <w:left w:val="single" w:sz="4" w:space="0" w:color="000000"/>
              <w:bottom w:val="single" w:sz="4" w:space="0" w:color="000000"/>
              <w:right w:val="single" w:sz="4" w:space="0" w:color="000000"/>
            </w:tcBorders>
            <w:shd w:val="clear" w:color="auto" w:fill="D3D3D3"/>
          </w:tcPr>
          <w:p>
            <w:pPr/>
          </w:p>
        </w:tc>
        <w:tc>
          <w:tcPr>
            <w:tcW w:w="491" w:type="dxa"/>
            <w:vMerge/>
            <w:tcBorders>
              <w:left w:val="single" w:sz="4" w:space="0" w:color="000000"/>
              <w:bottom w:val="single" w:sz="4" w:space="0" w:color="000000"/>
              <w:right w:val="single" w:sz="4" w:space="0" w:color="000000"/>
            </w:tcBorders>
            <w:shd w:val="clear" w:color="auto" w:fill="D3D3D3"/>
          </w:tcPr>
          <w:p>
            <w:pPr/>
          </w:p>
        </w:tc>
        <w:tc>
          <w:tcPr>
            <w:tcW w:w="491" w:type="dxa"/>
            <w:vMerge/>
            <w:tcBorders>
              <w:left w:val="single" w:sz="4" w:space="0" w:color="000000"/>
              <w:bottom w:val="single" w:sz="4" w:space="0" w:color="000000"/>
              <w:right w:val="single" w:sz="4" w:space="0" w:color="000000"/>
            </w:tcBorders>
            <w:shd w:val="clear" w:color="auto" w:fill="D3D3D3"/>
          </w:tcPr>
          <w:p>
            <w:pPr/>
          </w:p>
        </w:tc>
        <w:tc>
          <w:tcPr>
            <w:tcW w:w="139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525,013,767.16</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525,013,767.16</w:t>
            </w:r>
          </w:p>
        </w:tc>
      </w:tr>
      <w:tr>
        <w:trPr>
          <w:trHeight w:val="402"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39,951,919.33</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39,951,919.33</w:t>
            </w:r>
          </w:p>
        </w:tc>
      </w:tr>
      <w:tr>
        <w:trPr>
          <w:trHeight w:val="402"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5,513,984.71</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5,513,984.71</w:t>
            </w:r>
          </w:p>
        </w:tc>
      </w:tr>
      <w:tr>
        <w:trPr>
          <w:trHeight w:val="402"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2,713,613.93</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2,713,613.93</w:t>
            </w:r>
          </w:p>
        </w:tc>
      </w:tr>
      <w:tr>
        <w:trPr>
          <w:trHeight w:val="402"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2,019,356.16</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2,019,356.16</w:t>
            </w:r>
          </w:p>
        </w:tc>
      </w:tr>
      <w:tr>
        <w:trPr>
          <w:trHeight w:val="402"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367,290.76</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367,290.76</w:t>
            </w:r>
          </w:p>
        </w:tc>
      </w:tr>
      <w:tr>
        <w:trPr>
          <w:trHeight w:val="403" w:hRule="exact"/>
        </w:trPr>
        <w:tc>
          <w:tcPr>
            <w:tcW w:w="3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575,579,932.05</w:t>
            </w:r>
          </w:p>
        </w:tc>
        <w:tc>
          <w:tcPr>
            <w:tcW w:w="1552"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575,579,932.05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703"/>
        <w:gridCol w:w="848"/>
        <w:gridCol w:w="1561"/>
        <w:gridCol w:w="568"/>
        <w:gridCol w:w="991"/>
        <w:gridCol w:w="511"/>
        <w:gridCol w:w="1501"/>
      </w:tblGrid>
      <w:tr>
        <w:trPr>
          <w:trHeight w:val="206" w:hRule="exact"/>
        </w:trPr>
        <w:tc>
          <w:tcPr>
            <w:tcW w:w="3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48" w:type="dxa"/>
            <w:tcBorders>
              <w:top w:val="single" w:sz="4" w:space="0" w:color="000000"/>
              <w:left w:val="single" w:sz="4" w:space="0" w:color="000000"/>
              <w:bottom w:val="nil" w:sz="6" w:space="0" w:color="auto"/>
              <w:right w:val="single" w:sz="4" w:space="0" w:color="000000"/>
            </w:tcBorders>
            <w:shd w:val="clear" w:color="auto" w:fill="D3D3D3"/>
          </w:tcPr>
          <w:p>
            <w:pPr/>
          </w:p>
        </w:tc>
        <w:tc>
          <w:tcPr>
            <w:tcW w:w="21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3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8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9" w:type="dxa"/>
            <w:gridSpan w:val="2"/>
            <w:vMerge/>
            <w:tcBorders>
              <w:left w:val="single" w:sz="4" w:space="0" w:color="000000"/>
              <w:bottom w:val="single" w:sz="4" w:space="0" w:color="000000"/>
              <w:right w:val="single" w:sz="4" w:space="0" w:color="000000"/>
            </w:tcBorders>
            <w:shd w:val="clear" w:color="auto" w:fill="D3D3D3"/>
          </w:tcPr>
          <w:p>
            <w:pPr/>
          </w:p>
        </w:tc>
        <w:tc>
          <w:tcPr>
            <w:tcW w:w="1501" w:type="dxa"/>
            <w:gridSpan w:val="2"/>
            <w:vMerge/>
            <w:tcBorders>
              <w:left w:val="single" w:sz="4" w:space="0" w:color="000000"/>
              <w:bottom w:val="single" w:sz="4" w:space="0" w:color="000000"/>
              <w:right w:val="single" w:sz="4" w:space="0" w:color="000000"/>
            </w:tcBorders>
            <w:shd w:val="clear" w:color="auto" w:fill="D3D3D3"/>
          </w:tcPr>
          <w:p>
            <w:pPr/>
          </w:p>
        </w:tc>
        <w:tc>
          <w:tcPr>
            <w:tcW w:w="15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3703" w:type="dxa"/>
            <w:vMerge/>
            <w:tcBorders>
              <w:left w:val="single" w:sz="4" w:space="0" w:color="000000"/>
              <w:bottom w:val="nil" w:sz="6" w:space="0" w:color="auto"/>
              <w:right w:val="single" w:sz="4" w:space="0" w:color="000000"/>
            </w:tcBorders>
            <w:shd w:val="clear" w:color="auto" w:fill="D3D3D3"/>
          </w:tcPr>
          <w:p>
            <w:pPr/>
          </w:p>
        </w:tc>
        <w:tc>
          <w:tcPr>
            <w:tcW w:w="848" w:type="dxa"/>
            <w:vMerge/>
            <w:tcBorders>
              <w:left w:val="single" w:sz="4" w:space="0" w:color="000000"/>
              <w:bottom w:val="nil" w:sz="6" w:space="0" w:color="auto"/>
              <w:right w:val="single" w:sz="4" w:space="0" w:color="000000"/>
            </w:tcBorders>
            <w:shd w:val="clear" w:color="auto" w:fill="D3D3D3"/>
          </w:tcPr>
          <w:p>
            <w:pPr/>
          </w:p>
        </w:tc>
        <w:tc>
          <w:tcPr>
            <w:tcW w:w="15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568" w:type="dxa"/>
            <w:vMerge w:val="restart"/>
            <w:tcBorders>
              <w:top w:val="single" w:sz="4" w:space="0" w:color="000000"/>
              <w:left w:val="single" w:sz="4" w:space="0" w:color="000000"/>
              <w:right w:val="single" w:sz="4" w:space="0" w:color="000000"/>
            </w:tcBorders>
            <w:shd w:val="clear" w:color="auto" w:fill="D3D3D3"/>
          </w:tcPr>
          <w:p>
            <w:pP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11" w:type="dxa"/>
            <w:vMerge w:val="restart"/>
            <w:tcBorders>
              <w:top w:val="single" w:sz="4" w:space="0" w:color="000000"/>
              <w:left w:val="single" w:sz="4" w:space="0" w:color="000000"/>
              <w:right w:val="single" w:sz="4" w:space="0" w:color="000000"/>
            </w:tcBorders>
            <w:shd w:val="clear" w:color="auto" w:fill="D3D3D3"/>
          </w:tcPr>
          <w:p>
            <w:pPr/>
          </w:p>
        </w:tc>
        <w:tc>
          <w:tcPr>
            <w:tcW w:w="1501"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3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1" w:type="dxa"/>
            <w:vMerge/>
            <w:tcBorders>
              <w:left w:val="single" w:sz="4" w:space="0" w:color="000000"/>
              <w:bottom w:val="single" w:sz="4" w:space="0" w:color="000000"/>
              <w:right w:val="single" w:sz="4" w:space="0" w:color="000000"/>
            </w:tcBorders>
            <w:shd w:val="clear" w:color="auto" w:fill="D3D3D3"/>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511" w:type="dxa"/>
            <w:vMerge/>
            <w:tcBorders>
              <w:left w:val="single" w:sz="4" w:space="0" w:color="000000"/>
              <w:bottom w:val="single" w:sz="4" w:space="0" w:color="000000"/>
              <w:right w:val="single" w:sz="4" w:space="0" w:color="000000"/>
            </w:tcBorders>
            <w:shd w:val="clear" w:color="auto" w:fill="D3D3D3"/>
          </w:tcPr>
          <w:p>
            <w:pPr/>
          </w:p>
        </w:tc>
        <w:tc>
          <w:tcPr>
            <w:tcW w:w="150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848" w:type="dxa"/>
            <w:tcBorders>
              <w:top w:val="single" w:sz="4" w:space="0" w:color="000000"/>
              <w:left w:val="single" w:sz="13" w:space="0" w:color="D3D3D3"/>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23,027,230.33</w:t>
            </w: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23,027,230.33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848" w:type="dxa"/>
            <w:tcBorders>
              <w:top w:val="single" w:sz="4" w:space="0" w:color="000000"/>
              <w:left w:val="single" w:sz="13" w:space="0" w:color="D3D3D3"/>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23,027,230.33</w:t>
            </w: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23,027,230.33</w:t>
            </w:r>
          </w:p>
        </w:tc>
      </w:tr>
    </w:tbl>
    <w:p>
      <w:pPr>
        <w:pStyle w:val="BodyText"/>
        <w:spacing w:line="357" w:lineRule="auto" w:before="51"/>
        <w:ind w:left="444" w:right="0" w:hanging="291"/>
        <w:jc w:val="left"/>
      </w:pPr>
      <w:r>
        <w:rPr/>
        <w:t>商誉所在资产组或资产组组合的相关信息 </w:t>
      </w:r>
      <w:r>
        <w:rPr>
          <w:spacing w:val="-1"/>
        </w:rPr>
        <w:t>商誉为中教未来国际教育科技（北京）有限公司及其子公司作为整体资产组（北京红舞星文化传播有限公司、艾特嘉信</w:t>
      </w:r>
    </w:p>
    <w:p>
      <w:pPr>
        <w:pStyle w:val="BodyText"/>
        <w:spacing w:line="224" w:lineRule="exact"/>
        <w:ind w:left="153" w:right="0"/>
        <w:jc w:val="left"/>
      </w:pPr>
      <w:r>
        <w:rPr/>
        <w:t>息技术（北京）有限公司、广州励耘教育科技有限公司、智明远扬教育科技（北京）有限公司、北京朋智博信教育科技有限</w:t>
      </w:r>
    </w:p>
    <w:p>
      <w:pPr>
        <w:pStyle w:val="BodyText"/>
        <w:spacing w:line="338" w:lineRule="auto" w:before="76"/>
        <w:ind w:left="153" w:right="0"/>
        <w:jc w:val="left"/>
      </w:pPr>
      <w:r>
        <w:rPr>
          <w:spacing w:val="-2"/>
        </w:rPr>
        <w:t>公司均为中教未来国际教育科技（北京）有限公司的子公司），该资产组与购买日、以前年度商誉减值测试时所确定的资产</w:t>
      </w:r>
      <w:r>
        <w:rPr>
          <w:spacing w:val="-65"/>
        </w:rPr>
        <w:t> </w:t>
      </w:r>
      <w:r>
        <w:rPr>
          <w:spacing w:val="-65"/>
        </w:rPr>
      </w:r>
      <w:r>
        <w:rPr/>
        <w:t>组或资产组组合一致。 </w:t>
      </w:r>
      <w:r>
        <w:rPr>
          <w:spacing w:val="-2"/>
        </w:rPr>
        <w:t>说明商誉减值测试过程、关键参数（如预计未来现金流量现值时的预测期增长率、稳定期增长率、利润率、折现率、预测期</w:t>
      </w:r>
    </w:p>
    <w:p>
      <w:pPr>
        <w:pStyle w:val="BodyText"/>
        <w:spacing w:line="240" w:lineRule="auto" w:before="4"/>
        <w:ind w:left="153" w:right="0"/>
        <w:jc w:val="left"/>
      </w:pPr>
      <w:r>
        <w:rPr/>
        <w:t>等）及商誉减值损失的确认方法：</w:t>
      </w:r>
    </w:p>
    <w:p>
      <w:pPr>
        <w:spacing w:line="240" w:lineRule="auto" w:before="4"/>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5401"/>
        <w:gridCol w:w="4256"/>
      </w:tblGrid>
      <w:tr>
        <w:trPr>
          <w:trHeight w:val="337" w:hRule="exact"/>
        </w:trPr>
        <w:tc>
          <w:tcPr>
            <w:tcW w:w="5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left="50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575,579,932.05</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425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商誉的账面价值③＝①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575,579,932.05</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350,009,178.11</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925,589,110.16</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92,789,607.05</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1,018,378,717.21</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资产组或资产组组合可收回金额⑧</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980,000,000.00</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⑨大于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38,378,717.21</w:t>
            </w:r>
          </w:p>
        </w:tc>
      </w:tr>
      <w:tr>
        <w:trPr>
          <w:trHeight w:val="342"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归属于本公司的商誉减值损失</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23,027,230.33</w:t>
            </w:r>
          </w:p>
        </w:tc>
      </w:tr>
    </w:tbl>
    <w:p>
      <w:pPr>
        <w:pStyle w:val="BodyText"/>
        <w:spacing w:line="314" w:lineRule="auto" w:before="10"/>
        <w:ind w:right="1030" w:firstLine="420"/>
        <w:jc w:val="left"/>
      </w:pPr>
      <w:r>
        <w:rPr/>
        <w:t>资产组以未来预计产生的税前现金流量现值作为资产组的可收回金额，资产组的预计未来现金流量基于管理层编制的</w:t>
      </w:r>
      <w:r>
        <w:rPr>
          <w:spacing w:val="1"/>
        </w:rPr>
        <w:t> </w:t>
      </w:r>
      <w:r>
        <w:rPr/>
        <w:t>现金流量预测来确定，税前折现率为</w:t>
      </w:r>
      <w:r>
        <w:rPr>
          <w:rFonts w:ascii="Times New Roman" w:hAnsi="Times New Roman" w:cs="Times New Roman" w:eastAsia="Times New Roman" w:hint="default"/>
        </w:rPr>
        <w:t>11.89%</w:t>
      </w:r>
      <w:r>
        <w:rPr/>
        <w:t>，预测期为</w:t>
      </w:r>
      <w:r>
        <w:rPr>
          <w:rFonts w:ascii="Times New Roman" w:hAnsi="Times New Roman" w:cs="Times New Roman" w:eastAsia="Times New Roman" w:hint="default"/>
        </w:rPr>
        <w:t>5</w:t>
      </w:r>
      <w:r>
        <w:rPr/>
        <w:t>年，对资产组进行现金流量预测时采用的其他关键假设包括预计营 </w:t>
      </w:r>
      <w:r>
        <w:rPr>
          <w:spacing w:val="-2"/>
        </w:rPr>
        <w:t>业收入、营业成本、增长率以及相关费用等，上述假设基于以前年度的经营业绩、增长率、行业水平以及管理层的发展规划</w:t>
      </w:r>
      <w:r>
        <w:rPr>
          <w:spacing w:val="-66"/>
        </w:rPr>
        <w:t> </w:t>
      </w:r>
      <w:r>
        <w:rPr>
          <w:spacing w:val="-66"/>
        </w:rPr>
      </w:r>
      <w:r>
        <w:rPr>
          <w:spacing w:val="-2"/>
        </w:rPr>
        <w:t>和对市场发展的预期。管理层聘请坤元资产评估有限公司对中教未来国际教育科技（北京）有限公司及其子公司作为整体资</w:t>
      </w:r>
      <w:r>
        <w:rPr>
          <w:spacing w:val="-66"/>
        </w:rPr>
        <w:t> </w:t>
      </w:r>
      <w:r>
        <w:rPr>
          <w:spacing w:val="-66"/>
        </w:rPr>
      </w:r>
      <w:r>
        <w:rPr>
          <w:spacing w:val="-2"/>
        </w:rPr>
        <w:t>产组进行了评估（北京红舞星文化传播有限公司、艾特嘉信息技术（北京）有限公司、广州励耘教育科技有限公司、智明远</w:t>
      </w:r>
      <w:r>
        <w:rPr>
          <w:spacing w:val="-68"/>
        </w:rPr>
        <w:t> </w:t>
      </w:r>
      <w:r>
        <w:rPr>
          <w:spacing w:val="-68"/>
        </w:rPr>
      </w:r>
      <w:r>
        <w:rPr/>
        <w:t>扬教育科技（北京）有限公司、北京朋智博信教育科技有限公司均为中教未来国际教育科技（北京）有限公司的子公司）， 并出具了坤元评报〔</w:t>
      </w:r>
      <w:r>
        <w:rPr>
          <w:rFonts w:ascii="Times New Roman" w:hAnsi="Times New Roman" w:cs="Times New Roman" w:eastAsia="Times New Roman" w:hint="default"/>
        </w:rPr>
        <w:t>2020</w:t>
      </w:r>
      <w:r>
        <w:rPr/>
        <w:t>〕</w:t>
      </w:r>
      <w:r>
        <w:rPr>
          <w:rFonts w:ascii="Times New Roman" w:hAnsi="Times New Roman" w:cs="Times New Roman" w:eastAsia="Times New Roman" w:hint="default"/>
        </w:rPr>
        <w:t>114</w:t>
      </w:r>
      <w:r>
        <w:rPr/>
        <w:t>号《浙江华媒控股股份有限公司商誉减值测试涉及的中教未来国际教育科技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w:t>
      </w:r>
      <w:r>
        <w:rPr>
          <w:spacing w:val="-33"/>
        </w:rPr>
        <w:t> </w:t>
      </w:r>
      <w:r>
        <w:rPr>
          <w:spacing w:val="-33"/>
        </w:rPr>
      </w:r>
      <w:r>
        <w:rPr>
          <w:spacing w:val="-2"/>
        </w:rPr>
        <w:t>资产组组合价值评估项目资产评估报告》，经测试，中教未来国际教育科技（北京）有限公司及其子公司作为整体的可收回</w:t>
      </w:r>
      <w:r>
        <w:rPr>
          <w:spacing w:val="-65"/>
        </w:rPr>
        <w:t> </w:t>
      </w:r>
      <w:r>
        <w:rPr>
          <w:spacing w:val="-65"/>
        </w:rPr>
      </w:r>
      <w:r>
        <w:rPr/>
        <w:t>金额低于资产组包括所分摊的商誉的账面价值，发生减值。</w:t>
      </w:r>
    </w:p>
    <w:p>
      <w:pPr>
        <w:pStyle w:val="BodyText"/>
        <w:spacing w:line="240" w:lineRule="auto" w:before="20"/>
        <w:ind w:left="574" w:right="0"/>
        <w:jc w:val="left"/>
      </w:pPr>
      <w:r>
        <w:rPr/>
        <w:t>重要假设及依据</w:t>
      </w:r>
    </w:p>
    <w:p>
      <w:pPr>
        <w:pStyle w:val="BodyText"/>
        <w:spacing w:line="316" w:lineRule="auto" w:before="76"/>
        <w:ind w:right="0" w:firstLine="420"/>
        <w:jc w:val="left"/>
      </w:pPr>
      <w:r>
        <w:rPr/>
        <w:t>①持续经营假设：以中教未来按预定的经营目标持续经营为前提，即中教未来的所有资产仍然按照目前的用途和方式</w:t>
      </w:r>
      <w:r>
        <w:rPr>
          <w:spacing w:val="1"/>
        </w:rPr>
        <w:t> </w:t>
      </w:r>
      <w:r>
        <w:rPr/>
        <w:t>使用，不考虑变更目前的用途或用途不变而变更规划和使用方式；</w:t>
      </w:r>
    </w:p>
    <w:p>
      <w:pPr>
        <w:pStyle w:val="BodyText"/>
        <w:spacing w:line="316" w:lineRule="auto" w:before="19"/>
        <w:ind w:right="1126" w:firstLine="420"/>
        <w:jc w:val="both"/>
      </w:pPr>
      <w:r>
        <w:rPr/>
        <w:t>②以宏观环境相对稳定为假设前提，即国内外现有的宏观经济、政治、政策及相关企业所处行业的产业政策无重大变</w:t>
      </w:r>
      <w:r>
        <w:rPr>
          <w:spacing w:val="1"/>
        </w:rPr>
        <w:t> </w:t>
      </w:r>
      <w:r>
        <w:rPr>
          <w:spacing w:val="-2"/>
        </w:rPr>
        <w:t>化，或其变化能明确预期；国家货币金融政策基本保持不变，现行的利率、汇率等无重大变化，或其变化能明确预期；国家</w:t>
      </w:r>
      <w:r>
        <w:rPr>
          <w:spacing w:val="-68"/>
        </w:rPr>
        <w:t> </w:t>
      </w:r>
      <w:r>
        <w:rPr>
          <w:spacing w:val="-68"/>
        </w:rPr>
      </w:r>
      <w:r>
        <w:rPr/>
        <w:t>税收政策、税种及税率等无重大变化，或其变化能明确预期；</w:t>
      </w:r>
    </w:p>
    <w:p>
      <w:pPr>
        <w:pStyle w:val="BodyText"/>
        <w:spacing w:line="240" w:lineRule="auto" w:before="19"/>
        <w:ind w:left="574" w:right="0"/>
        <w:jc w:val="left"/>
      </w:pPr>
      <w:r>
        <w:rPr/>
        <w:t>③假设中教未来管理层勤勉尽责，具有足够的管理才能和良好的职业道德，中教未来的管理层及主营业务等保持相对</w:t>
      </w:r>
    </w:p>
    <w:p>
      <w:pPr>
        <w:spacing w:after="0" w:line="240" w:lineRule="auto"/>
        <w:jc w:val="left"/>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稳定；</w:t>
      </w:r>
    </w:p>
    <w:p>
      <w:pPr>
        <w:pStyle w:val="BodyText"/>
        <w:spacing w:line="240" w:lineRule="auto" w:before="76"/>
        <w:ind w:left="573" w:right="0"/>
        <w:jc w:val="left"/>
      </w:pPr>
      <w:r>
        <w:rPr/>
        <w:t>④假设中教未来在收益预测期内采用的会计政策与评估基准日时采用的会计政策在所有重大方面一致；</w:t>
      </w:r>
    </w:p>
    <w:p>
      <w:pPr>
        <w:pStyle w:val="BodyText"/>
        <w:spacing w:line="316" w:lineRule="auto" w:before="76"/>
        <w:ind w:left="153" w:right="0" w:firstLine="420"/>
        <w:jc w:val="left"/>
      </w:pPr>
      <w:r>
        <w:rPr/>
        <w:t>⑤假设委估资产组组合每一年度的营业收入、成本费用、更新及改造等的支出，均在年度内均匀发生；无其他人力不</w:t>
      </w:r>
      <w:r>
        <w:rPr>
          <w:spacing w:val="1"/>
        </w:rPr>
        <w:t> </w:t>
      </w:r>
      <w:r>
        <w:rPr/>
        <w:t>可抗拒因素及不可预见因素对中教未来造成重大不利影响。</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19,702,127.93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26,866,040.36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5,455,285.00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41,112,883.29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11,938,512.76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3,074,974.24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4,730,281.24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10,283,205.76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1,562,087.76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531,968.97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1,051,802.99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1,042,253.74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33,202,728.45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30,472,983.57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11,237,369.23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52,438,342.79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206"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39,266,081.64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3,248,170.20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22,809,315.47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1,941,607.34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2,873,055.06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181,828.57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2,997,802.90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201,908.10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3,295,060.92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412,577.81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2,595,094.71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421,632.95</w:t>
            </w: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45,434,197.62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3,842,576.58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28,402,213.08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2,565,148.39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188"/>
        <w:gridCol w:w="1720"/>
        <w:gridCol w:w="1522"/>
        <w:gridCol w:w="1732"/>
        <w:gridCol w:w="1522"/>
      </w:tblGrid>
      <w:tr>
        <w:trPr>
          <w:trHeight w:val="170"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2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31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1"/>
              <w:ind w:left="-1"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1" w:type="dxa"/>
            <w:gridSpan w:val="2"/>
            <w:vMerge/>
            <w:tcBorders>
              <w:left w:val="single" w:sz="4" w:space="0" w:color="000000"/>
              <w:bottom w:val="single" w:sz="4" w:space="0" w:color="000000"/>
              <w:right w:val="single" w:sz="4" w:space="0" w:color="000000"/>
            </w:tcBorders>
            <w:shd w:val="clear" w:color="auto" w:fill="D3D3D3"/>
          </w:tcPr>
          <w:p>
            <w:pPr/>
          </w:p>
        </w:tc>
        <w:tc>
          <w:tcPr>
            <w:tcW w:w="3253" w:type="dxa"/>
            <w:gridSpan w:val="2"/>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17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2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2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2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70"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shd w:val="clear" w:color="auto" w:fill="D3D3D3"/>
          </w:tcPr>
          <w:p>
            <w:pPr/>
          </w:p>
        </w:tc>
        <w:tc>
          <w:tcPr>
            <w:tcW w:w="1732" w:type="dxa"/>
            <w:vMerge/>
            <w:tcBorders>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shd w:val="clear" w:color="auto" w:fill="D3D3D3"/>
          </w:tcPr>
          <w:p>
            <w:pP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2,054,796.40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102,739.82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2,325,758.56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116,287.93</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2,054,796.40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102,739.82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2,325,758.56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116,287.93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3"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3,842,576.58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2,565,148.39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102,739.82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116,287.93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4,982,044.61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902,230.82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110,327,448.99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64,359,532.21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115,309,493.60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65,261,763.03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2,044,911.50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2,044,911.50</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23,698,535.35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23,600,905.92</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3,772,102.74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3,347,592.84</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35,953,510.19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35,366,121.95</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2024</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44,858,389.21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110,327,448.99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64,359,532.21</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33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进项税留抵税额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31,796,127.91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47,076,158.80</w:t>
            </w:r>
          </w:p>
        </w:tc>
      </w:tr>
      <w:tr>
        <w:trPr>
          <w:trHeight w:val="330"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330"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预付固定资产采购款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336,615.03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33,532,742.94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48,476,158.80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3170"/>
        <w:gridCol w:w="3205"/>
        <w:gridCol w:w="3166"/>
      </w:tblGrid>
      <w:tr>
        <w:trPr>
          <w:trHeight w:val="402"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13" w:right="0"/>
              <w:jc w:val="left"/>
              <w:rPr>
                <w:rFonts w:ascii="Times New Roman" w:hAnsi="Times New Roman" w:cs="Times New Roman" w:eastAsia="Times New Roman" w:hint="default"/>
                <w:sz w:val="18"/>
                <w:szCs w:val="18"/>
              </w:rPr>
            </w:pPr>
            <w:r>
              <w:rPr>
                <w:rFonts w:ascii="Times New Roman"/>
                <w:sz w:val="18"/>
              </w:rPr>
              <w:t>44,009,613.13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61,534,836.40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155,238,166.81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44,009,613.13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216,773,003.21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159"/>
        <w:gridCol w:w="3205"/>
        <w:gridCol w:w="3188"/>
      </w:tblGrid>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37,557,061.15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52,234,777.00</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37,557,061.15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52,234,777.00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216.300003pt;margin-top:39.20203pt;width:158pt;height:20.8pt;mso-position-horizontal-relative:page;mso-position-vertical-relative:paragraph;z-index:-1246912" coordorigin="4326,784" coordsize="3160,416">
            <v:group style="position:absolute;left:4337;top:795;width:2;height:393" coordorigin="4337,795" coordsize="2,393">
              <v:shape style="position:absolute;left:4337;top:795;width:2;height:393" coordorigin="4337,795" coordsize="0,393" path="m4337,795l4337,1188e" filled="false" stroked="true" strokeweight="1.140pt" strokecolor="#ffffff">
                <v:path arrowok="t"/>
              </v:shape>
            </v:group>
            <v:group style="position:absolute;left:4349;top:795;width:3137;height:393" coordorigin="4349,795" coordsize="3137,393">
              <v:shape style="position:absolute;left:4349;top:795;width:3137;height:393" coordorigin="4349,795" coordsize="3137,393" path="m4349,1188l7486,1188,7486,795,4349,795,4349,1188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采编、广告及活动策划款（投递、印刷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tabs>
                <w:tab w:pos="2035" w:val="left" w:leader="none"/>
              </w:tabs>
              <w:spacing w:line="240" w:lineRule="auto" w:before="51"/>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138,908,033.22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81,259,942.97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36,740,774.35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30,168,173.43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59,893,538.20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24,301,657.00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16,089,925.29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19,786,274.81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251,632,271.06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155,516,048.21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5"/>
        <w:ind w:left="573" w:right="0"/>
        <w:jc w:val="left"/>
      </w:pPr>
      <w:r>
        <w:rPr/>
        <w:t>期末无账龄超过</w:t>
      </w:r>
      <w:r>
        <w:rPr>
          <w:rFonts w:ascii="Times New Roman" w:hAnsi="Times New Roman" w:cs="Times New Roman" w:eastAsia="Times New Roman" w:hint="default"/>
        </w:rPr>
        <w:t>1</w:t>
      </w:r>
      <w:r>
        <w:rPr/>
        <w:t>年的大额应付账款。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报刊发行款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168,811,749.23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155,418,854.06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183,116,091.34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149,829,014.92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教育培训及技术服务款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39,346,222.63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46,215,579.89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378,693.91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1,059,729.72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5,019,242.10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7,093,280.68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396,671,999.21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359,616,459.27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335"/>
        <w:gridCol w:w="1503"/>
        <w:gridCol w:w="1614"/>
        <w:gridCol w:w="1615"/>
        <w:gridCol w:w="1615"/>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0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89,152,766.14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414,727,114.13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404,570,808.83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99,309,071.44</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0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1,101,294.15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23,450,260.37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23,311,374.08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1,240,180.44</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0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22,322.50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805,453.66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827,776.16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90,276,382.79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438,982,828.16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428,709,959.07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100,549,251.88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1288"/>
        <w:gridCol w:w="1914"/>
        <w:gridCol w:w="1914"/>
        <w:gridCol w:w="1914"/>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86,648,515.55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363,877,959.01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353,968,499.17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96,557,975.39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16,147,822.62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15,785,868.62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431,314.00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886,490.76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16,459,834.61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16,365,517.77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980,807.60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783,105.54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14,589,970.32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14,506,791.70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866,284.16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20,338.36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364,336.39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361,751.93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22,922.82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83,046.86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1,505,527.90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1,496,974.14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91,600.62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40"/>
        <w:gridCol w:w="1288"/>
        <w:gridCol w:w="1914"/>
        <w:gridCol w:w="1914"/>
        <w:gridCol w:w="1914"/>
      </w:tblGrid>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13,350,872.08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13,320,961.08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77,418.00</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1,500,892.83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4,890,625.81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5,129,962.19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1,261,556.45</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89,152,766.14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414,727,114.13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404,570,808.83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99,309,071.44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1,055,509.23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21,449,909.34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21,317,448.18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1,187,970.39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801,569.04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794,160.21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46,649.70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1,198,781.99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1,199,765.69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5,560.35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1,101,294.15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23,450,260.37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23,311,374.08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1,240,180.44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10,669,786.47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19,950,007.24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1,099,172.45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5,529,892.06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1,967,464.51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2,011,436.58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610,710.34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630,860.81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1,793,120.17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2,367,649.38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645,586.62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373,475.26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363,539.03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283,522.52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262,707.02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271,641.17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173,670.22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181,454.34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122,367.34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76,092.78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3,695.35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1,707.45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35,445.16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67,360.26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17,747,264.68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31,745,099.85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3,224,408.33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11,061,765.67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239,619,393.90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237,533,203.76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242,843,802.23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248,594,969.43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3,224,408.33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11,061,765.67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3,224,408.33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11,061,765.67</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96,956,589.60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129,937,480.00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67,548,505.10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52,492,833.17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29,881,215.99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14,640,853.20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36,502,183.41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27,018,695.24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8,730,899.80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13,443,342.15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239,619,393.90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237,533,203.76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6"/>
        <w:ind w:left="573" w:right="0"/>
        <w:jc w:val="left"/>
      </w:pPr>
      <w:r>
        <w:rPr/>
        <w:t>期末无账龄超过</w:t>
      </w:r>
      <w:r>
        <w:rPr>
          <w:rFonts w:ascii="Times New Roman" w:hAnsi="Times New Roman" w:cs="Times New Roman" w:eastAsia="Times New Roman" w:hint="default"/>
        </w:rPr>
        <w:t>1</w:t>
      </w:r>
      <w:r>
        <w:rPr/>
        <w:t>年的大额其他应付款。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28,280,023.75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30,341,133.38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28,280,023.75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30,341,133.38</w:t>
            </w:r>
          </w:p>
        </w:tc>
      </w:tr>
    </w:tbl>
    <w:p>
      <w:pPr>
        <w:pStyle w:val="BodyText"/>
        <w:spacing w:line="240" w:lineRule="auto" w:before="51"/>
        <w:ind w:right="0"/>
        <w:jc w:val="left"/>
      </w:pPr>
      <w:r>
        <w:rPr/>
        <w:t>其他说明：</w:t>
      </w:r>
    </w:p>
    <w:p>
      <w:pPr>
        <w:pStyle w:val="BodyText"/>
        <w:spacing w:line="240" w:lineRule="auto" w:before="115"/>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明细情况</w:t>
      </w:r>
    </w:p>
    <w:p>
      <w:pPr>
        <w:spacing w:after="0" w:line="240" w:lineRule="auto"/>
        <w:jc w:val="left"/>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218"/>
        <w:gridCol w:w="3220"/>
        <w:gridCol w:w="3220"/>
      </w:tblGrid>
      <w:tr>
        <w:trPr>
          <w:trHeight w:val="342" w:hRule="exact"/>
        </w:trPr>
        <w:tc>
          <w:tcPr>
            <w:tcW w:w="32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3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保证兼抵押兼质押借款</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28,280,023.75</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30,341,133.38</w:t>
            </w:r>
          </w:p>
        </w:tc>
      </w:tr>
    </w:tbl>
    <w:p>
      <w:pPr>
        <w:pStyle w:val="BodyText"/>
        <w:spacing w:line="240" w:lineRule="auto" w:before="10"/>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金额前</w:t>
      </w:r>
      <w:r>
        <w:rPr>
          <w:rFonts w:ascii="Times New Roman" w:hAnsi="Times New Roman" w:cs="Times New Roman" w:eastAsia="Times New Roman" w:hint="default"/>
        </w:rPr>
        <w:t>5</w:t>
      </w:r>
      <w:r>
        <w:rPr/>
        <w:t>名的一年内到期的长期借款</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504"/>
        <w:gridCol w:w="860"/>
        <w:gridCol w:w="926"/>
        <w:gridCol w:w="632"/>
        <w:gridCol w:w="806"/>
        <w:gridCol w:w="1232"/>
        <w:gridCol w:w="1232"/>
        <w:gridCol w:w="1231"/>
        <w:gridCol w:w="1232"/>
      </w:tblGrid>
      <w:tr>
        <w:trPr>
          <w:trHeight w:val="342" w:hRule="exact"/>
        </w:trPr>
        <w:tc>
          <w:tcPr>
            <w:tcW w:w="150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860"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35"/>
              <w:ind w:left="334" w:right="65" w:hanging="270"/>
              <w:jc w:val="left"/>
              <w:rPr>
                <w:rFonts w:ascii="宋体" w:hAnsi="宋体" w:cs="宋体" w:eastAsia="宋体" w:hint="default"/>
                <w:sz w:val="18"/>
                <w:szCs w:val="18"/>
              </w:rPr>
            </w:pPr>
            <w:r>
              <w:rPr>
                <w:rFonts w:ascii="宋体" w:hAnsi="宋体" w:cs="宋体" w:eastAsia="宋体" w:hint="default"/>
                <w:sz w:val="18"/>
                <w:szCs w:val="18"/>
              </w:rPr>
              <w:t>借款起始 日</w:t>
            </w:r>
          </w:p>
        </w:tc>
        <w:tc>
          <w:tcPr>
            <w:tcW w:w="92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63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0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246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6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504" w:type="dxa"/>
            <w:vMerge/>
            <w:tcBorders>
              <w:left w:val="single" w:sz="4" w:space="0" w:color="000000"/>
              <w:bottom w:val="single" w:sz="4" w:space="0" w:color="000000"/>
              <w:right w:val="single" w:sz="4" w:space="0" w:color="000000"/>
            </w:tcBorders>
            <w:shd w:val="clear" w:color="auto" w:fill="DDDDDD"/>
          </w:tcPr>
          <w:p>
            <w:pPr/>
          </w:p>
        </w:tc>
        <w:tc>
          <w:tcPr>
            <w:tcW w:w="860" w:type="dxa"/>
            <w:vMerge/>
            <w:tcBorders>
              <w:left w:val="single" w:sz="4" w:space="0" w:color="000000"/>
              <w:bottom w:val="single" w:sz="4" w:space="0" w:color="000000"/>
              <w:right w:val="single" w:sz="4" w:space="0" w:color="000000"/>
            </w:tcBorders>
            <w:shd w:val="clear" w:color="auto" w:fill="DDDDDD"/>
          </w:tcPr>
          <w:p>
            <w:pPr/>
          </w:p>
        </w:tc>
        <w:tc>
          <w:tcPr>
            <w:tcW w:w="926" w:type="dxa"/>
            <w:vMerge/>
            <w:tcBorders>
              <w:left w:val="single" w:sz="4" w:space="0" w:color="000000"/>
              <w:bottom w:val="single" w:sz="4" w:space="0" w:color="000000"/>
              <w:right w:val="single" w:sz="4" w:space="0" w:color="000000"/>
            </w:tcBorders>
            <w:shd w:val="clear" w:color="auto" w:fill="DDDDDD"/>
          </w:tcPr>
          <w:p>
            <w:pPr/>
          </w:p>
        </w:tc>
        <w:tc>
          <w:tcPr>
            <w:tcW w:w="632" w:type="dxa"/>
            <w:vMerge/>
            <w:tcBorders>
              <w:left w:val="single" w:sz="4" w:space="0" w:color="000000"/>
              <w:bottom w:val="single" w:sz="4" w:space="0" w:color="000000"/>
              <w:right w:val="single" w:sz="4" w:space="0" w:color="000000"/>
            </w:tcBorders>
            <w:shd w:val="clear" w:color="auto" w:fill="DDDDDD"/>
          </w:tcPr>
          <w:p>
            <w:pPr/>
          </w:p>
        </w:tc>
        <w:tc>
          <w:tcPr>
            <w:tcW w:w="806" w:type="dxa"/>
            <w:vMerge/>
            <w:tcBorders>
              <w:left w:val="single" w:sz="4" w:space="0" w:color="000000"/>
              <w:bottom w:val="single" w:sz="4" w:space="0" w:color="000000"/>
              <w:right w:val="single" w:sz="4" w:space="0" w:color="000000"/>
            </w:tcBorders>
            <w:shd w:val="clear" w:color="auto" w:fill="DDDDDD"/>
          </w:tcPr>
          <w:p>
            <w:pPr/>
          </w:p>
        </w:tc>
        <w:tc>
          <w:tcPr>
            <w:tcW w:w="12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25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2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16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25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2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16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28" w:hRule="exact"/>
        </w:trPr>
        <w:tc>
          <w:tcPr>
            <w:tcW w:w="1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6"/>
                <w:sz w:val="18"/>
                <w:szCs w:val="18"/>
              </w:rPr>
              <w:t>杭州银行股份有限</w:t>
            </w:r>
            <w:r>
              <w:rPr>
                <w:rFonts w:ascii="宋体" w:hAnsi="宋体" w:cs="宋体" w:eastAsia="宋体" w:hint="default"/>
                <w:sz w:val="18"/>
                <w:szCs w:val="18"/>
              </w:rPr>
            </w:r>
          </w:p>
        </w:tc>
        <w:tc>
          <w:tcPr>
            <w:tcW w:w="860"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6"/>
                <w:sz w:val="18"/>
                <w:szCs w:val="18"/>
              </w:rPr>
              <w:t>公司北京中关村支</w:t>
            </w:r>
            <w:r>
              <w:rPr>
                <w:rFonts w:ascii="宋体" w:hAnsi="宋体" w:cs="宋体" w:eastAsia="宋体" w:hint="default"/>
                <w:sz w:val="18"/>
                <w:szCs w:val="18"/>
              </w:rPr>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2017/1/9</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 w:right="0"/>
              <w:jc w:val="left"/>
              <w:rPr>
                <w:rFonts w:ascii="Times New Roman" w:hAnsi="Times New Roman" w:cs="Times New Roman" w:eastAsia="Times New Roman" w:hint="default"/>
                <w:sz w:val="18"/>
                <w:szCs w:val="18"/>
              </w:rPr>
            </w:pPr>
            <w:r>
              <w:rPr>
                <w:rFonts w:ascii="Times New Roman"/>
                <w:sz w:val="18"/>
              </w:rPr>
              <w:t>2021/1/8</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 w:right="0"/>
              <w:jc w:val="left"/>
              <w:rPr>
                <w:rFonts w:ascii="Times New Roman" w:hAnsi="Times New Roman" w:cs="Times New Roman" w:eastAsia="Times New Roman" w:hint="default"/>
                <w:sz w:val="18"/>
                <w:szCs w:val="18"/>
              </w:rPr>
            </w:pPr>
            <w:r>
              <w:rPr>
                <w:rFonts w:ascii="Times New Roman"/>
                <w:sz w:val="18"/>
              </w:rPr>
              <w:t>CNY</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5.225</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74" w:right="0"/>
              <w:jc w:val="left"/>
              <w:rPr>
                <w:rFonts w:ascii="Times New Roman" w:hAnsi="Times New Roman" w:cs="Times New Roman" w:eastAsia="Times New Roman" w:hint="default"/>
                <w:sz w:val="18"/>
                <w:szCs w:val="18"/>
              </w:rPr>
            </w:pPr>
            <w:r>
              <w:rPr>
                <w:rFonts w:ascii="Times New Roman"/>
                <w:sz w:val="18"/>
              </w:rPr>
              <w:t>5,750,000.00</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5,750,000.00</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5,269,012.90</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5,269,012.90</w:t>
            </w:r>
          </w:p>
        </w:tc>
      </w:tr>
      <w:tr>
        <w:trPr>
          <w:trHeight w:val="323" w:hRule="exact"/>
        </w:trPr>
        <w:tc>
          <w:tcPr>
            <w:tcW w:w="1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60"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r>
      <w:tr>
        <w:trPr>
          <w:trHeight w:val="328" w:hRule="exact"/>
        </w:trPr>
        <w:tc>
          <w:tcPr>
            <w:tcW w:w="1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6"/>
                <w:sz w:val="18"/>
                <w:szCs w:val="18"/>
              </w:rPr>
              <w:t>杭州银行股份有限</w:t>
            </w:r>
            <w:r>
              <w:rPr>
                <w:rFonts w:ascii="宋体" w:hAnsi="宋体" w:cs="宋体" w:eastAsia="宋体" w:hint="default"/>
                <w:sz w:val="18"/>
                <w:szCs w:val="18"/>
              </w:rPr>
            </w:r>
          </w:p>
        </w:tc>
        <w:tc>
          <w:tcPr>
            <w:tcW w:w="860"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6"/>
                <w:sz w:val="18"/>
                <w:szCs w:val="18"/>
              </w:rPr>
              <w:t>公司北京中关村支</w:t>
            </w:r>
            <w:r>
              <w:rPr>
                <w:rFonts w:ascii="宋体" w:hAnsi="宋体" w:cs="宋体" w:eastAsia="宋体" w:hint="default"/>
                <w:sz w:val="18"/>
                <w:szCs w:val="18"/>
              </w:rPr>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2017/9/8</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 w:right="0"/>
              <w:jc w:val="left"/>
              <w:rPr>
                <w:rFonts w:ascii="Times New Roman" w:hAnsi="Times New Roman" w:cs="Times New Roman" w:eastAsia="Times New Roman" w:hint="default"/>
                <w:sz w:val="18"/>
                <w:szCs w:val="18"/>
              </w:rPr>
            </w:pPr>
            <w:r>
              <w:rPr>
                <w:rFonts w:ascii="Times New Roman"/>
                <w:sz w:val="18"/>
              </w:rPr>
              <w:t>2020/9/7</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 w:right="0"/>
              <w:jc w:val="left"/>
              <w:rPr>
                <w:rFonts w:ascii="Times New Roman" w:hAnsi="Times New Roman" w:cs="Times New Roman" w:eastAsia="Times New Roman" w:hint="default"/>
                <w:sz w:val="18"/>
                <w:szCs w:val="18"/>
              </w:rPr>
            </w:pPr>
            <w:r>
              <w:rPr>
                <w:rFonts w:ascii="Times New Roman"/>
                <w:sz w:val="18"/>
              </w:rPr>
              <w:t>CNY</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5.4625</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84" w:right="0"/>
              <w:jc w:val="left"/>
              <w:rPr>
                <w:rFonts w:ascii="Times New Roman" w:hAnsi="Times New Roman" w:cs="Times New Roman" w:eastAsia="Times New Roman" w:hint="default"/>
                <w:sz w:val="18"/>
                <w:szCs w:val="18"/>
              </w:rPr>
            </w:pPr>
            <w:r>
              <w:rPr>
                <w:rFonts w:ascii="Times New Roman"/>
                <w:sz w:val="18"/>
              </w:rPr>
              <w:t>22,530,023.75</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22,530,023.75</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25,072,120.48</w:t>
            </w:r>
          </w:p>
        </w:tc>
        <w:tc>
          <w:tcPr>
            <w:tcW w:w="123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25,072,120.48</w:t>
            </w:r>
          </w:p>
        </w:tc>
      </w:tr>
      <w:tr>
        <w:trPr>
          <w:trHeight w:val="323" w:hRule="exact"/>
        </w:trPr>
        <w:tc>
          <w:tcPr>
            <w:tcW w:w="1504" w:type="dxa"/>
            <w:tcBorders>
              <w:top w:val="nil" w:sz="6" w:space="0" w:color="auto"/>
              <w:left w:val="single" w:sz="4" w:space="0" w:color="000000"/>
              <w:bottom w:val="single" w:sz="8" w:space="0" w:color="DDDDDD"/>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60"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single" w:sz="4" w:space="0" w:color="000000"/>
            </w:tcBorders>
          </w:tcPr>
          <w:p>
            <w:pPr/>
          </w:p>
        </w:tc>
      </w:tr>
      <w:tr>
        <w:trPr>
          <w:trHeight w:val="343" w:hRule="exact"/>
        </w:trPr>
        <w:tc>
          <w:tcPr>
            <w:tcW w:w="15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28,280,023.75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28,280,023.75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30,341,133.38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30,341,133.38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253,652,876.71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253,652,876.71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保证兼抵押兼质押借款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30,380,023.75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30,380,023.75</w:t>
            </w:r>
          </w:p>
        </w:tc>
      </w:tr>
    </w:tbl>
    <w:p>
      <w:pPr>
        <w:pStyle w:val="BodyText"/>
        <w:spacing w:line="357" w:lineRule="auto" w:before="51"/>
        <w:ind w:left="573" w:right="0" w:hanging="420"/>
        <w:jc w:val="left"/>
      </w:pPr>
      <w:r>
        <w:rPr/>
        <w:t>长期借款分类的说明： 子公司中教未来国际教育科技（北京）有限公司于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日与杭州银行股份有限公司北京中关村支行签订了编号</w:t>
      </w:r>
    </w:p>
    <w:p>
      <w:pPr>
        <w:pStyle w:val="BodyText"/>
        <w:spacing w:line="214" w:lineRule="exact"/>
        <w:ind w:right="0"/>
        <w:jc w:val="both"/>
      </w:pPr>
      <w:r>
        <w:rPr/>
        <w:t>为</w:t>
      </w:r>
      <w:r>
        <w:rPr>
          <w:rFonts w:ascii="Times New Roman" w:hAnsi="Times New Roman" w:cs="Times New Roman" w:eastAsia="Times New Roman" w:hint="default"/>
        </w:rPr>
        <w:t>129C215201700001</w:t>
      </w:r>
      <w:r>
        <w:rPr/>
        <w:t>的借款合同，借款金额人民币</w:t>
      </w:r>
      <w:r>
        <w:rPr>
          <w:rFonts w:ascii="Times New Roman" w:hAnsi="Times New Roman" w:cs="Times New Roman" w:eastAsia="Times New Roman" w:hint="default"/>
        </w:rPr>
        <w:t>2,100.00</w:t>
      </w:r>
      <w:r>
        <w:rPr/>
        <w:t>万元，借款期限自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日止。中教未来国</w:t>
      </w:r>
    </w:p>
    <w:p>
      <w:pPr>
        <w:pStyle w:val="BodyText"/>
        <w:spacing w:line="300" w:lineRule="auto" w:before="63"/>
        <w:ind w:left="153" w:right="1079"/>
        <w:jc w:val="both"/>
      </w:pPr>
      <w:r>
        <w:rPr/>
        <w:t>际教育科技（北京）有限公司同时与杭州银行股份有限公司北京中关村支行签订了编号为</w:t>
      </w:r>
      <w:r>
        <w:rPr>
          <w:rFonts w:ascii="Times New Roman" w:hAnsi="Times New Roman" w:cs="Times New Roman" w:eastAsia="Times New Roman" w:hint="default"/>
        </w:rPr>
        <w:t>129C2152017000011</w:t>
      </w:r>
      <w:r>
        <w:rPr/>
        <w:t>的质押合同， 质押担保的主债权金额金额为人民币</w:t>
      </w:r>
      <w:r>
        <w:rPr>
          <w:rFonts w:ascii="Times New Roman" w:hAnsi="Times New Roman" w:cs="Times New Roman" w:eastAsia="Times New Roman" w:hint="default"/>
        </w:rPr>
        <w:t>2,100.00</w:t>
      </w:r>
      <w:r>
        <w:rPr/>
        <w:t>万元，质押权利清单：中教未来国际教育科技（北京）有限公司持有的智明远</w:t>
      </w:r>
      <w:r>
        <w:rPr>
          <w:spacing w:val="-84"/>
        </w:rPr>
        <w:t> </w:t>
      </w:r>
      <w:r>
        <w:rPr>
          <w:spacing w:val="-84"/>
        </w:rPr>
      </w:r>
      <w:r>
        <w:rPr/>
        <w:t>扬国际教育科技（北京）有限公司</w:t>
      </w:r>
      <w:r>
        <w:rPr>
          <w:rFonts w:ascii="Times New Roman" w:hAnsi="Times New Roman" w:cs="Times New Roman" w:eastAsia="Times New Roman" w:hint="default"/>
        </w:rPr>
        <w:t>100%</w:t>
      </w:r>
      <w:r>
        <w:rPr/>
        <w:t>的股权（质押股权协商认定评估价为人民币</w:t>
      </w:r>
      <w:r>
        <w:rPr>
          <w:rFonts w:ascii="Times New Roman" w:hAnsi="Times New Roman" w:cs="Times New Roman" w:eastAsia="Times New Roman" w:hint="default"/>
        </w:rPr>
        <w:t>5,531.00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该借款合同尚未归还的借款余额为人民币</w:t>
      </w:r>
      <w:r>
        <w:rPr>
          <w:rFonts w:ascii="Times New Roman" w:hAnsi="Times New Roman" w:cs="Times New Roman" w:eastAsia="Times New Roman" w:hint="default"/>
        </w:rPr>
        <w:t>7,850,000.00</w:t>
      </w:r>
      <w:r>
        <w:rPr/>
        <w:t>元。</w:t>
      </w:r>
    </w:p>
    <w:p>
      <w:pPr>
        <w:pStyle w:val="BodyText"/>
        <w:spacing w:line="300" w:lineRule="auto" w:before="13"/>
        <w:ind w:right="1128" w:firstLine="419"/>
        <w:jc w:val="both"/>
      </w:pPr>
      <w:r>
        <w:rPr>
          <w:spacing w:val="7"/>
        </w:rPr>
        <w:t>中教未来国际教育科技（北京）有限公司于</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8</w:t>
      </w:r>
      <w:r>
        <w:rPr>
          <w:spacing w:val="7"/>
        </w:rPr>
        <w:t>日与杭州银行股份有限公司北京中关村支行签订了编号为</w:t>
      </w:r>
      <w:r>
        <w:rPr/>
        <w:t> </w:t>
      </w:r>
      <w:r>
        <w:rPr>
          <w:rFonts w:ascii="Times New Roman" w:hAnsi="Times New Roman" w:cs="Times New Roman" w:eastAsia="Times New Roman" w:hint="default"/>
          <w:spacing w:val="-1"/>
        </w:rPr>
        <w:t>129C215201700006</w:t>
      </w:r>
      <w:r>
        <w:rPr>
          <w:spacing w:val="-1"/>
        </w:rPr>
        <w:t>的借款合同，借款金额人民币</w:t>
      </w:r>
      <w:r>
        <w:rPr>
          <w:rFonts w:ascii="Times New Roman" w:hAnsi="Times New Roman" w:cs="Times New Roman" w:eastAsia="Times New Roman" w:hint="default"/>
          <w:spacing w:val="-1"/>
        </w:rPr>
        <w:t>7,500.00</w:t>
      </w:r>
      <w:r>
        <w:rPr>
          <w:spacing w:val="-1"/>
        </w:rPr>
        <w:t>万元，借款期限自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日止。该借款合同的</w:t>
      </w:r>
      <w:r>
        <w:rPr>
          <w:spacing w:val="-45"/>
        </w:rPr>
        <w:t> </w:t>
      </w:r>
      <w:r>
        <w:rPr>
          <w:spacing w:val="-45"/>
        </w:rPr>
      </w:r>
      <w:r>
        <w:rPr/>
        <w:t>保证与抵押质押情况为：（</w:t>
      </w:r>
      <w:r>
        <w:rPr>
          <w:rFonts w:ascii="Times New Roman" w:hAnsi="Times New Roman" w:cs="Times New Roman" w:eastAsia="Times New Roman" w:hint="default"/>
        </w:rPr>
        <w:t>1</w:t>
      </w:r>
      <w:r>
        <w:rPr/>
        <w:t>）宁波高新区新愿景股权投资有限公司与杭州银行股份有限公司北京中关村支行签订了编号为</w:t>
      </w:r>
      <w:r>
        <w:rPr>
          <w:spacing w:val="-83"/>
        </w:rPr>
        <w:t> </w:t>
      </w:r>
      <w:r>
        <w:rPr>
          <w:spacing w:val="-83"/>
        </w:rPr>
      </w:r>
      <w:r>
        <w:rPr>
          <w:rFonts w:ascii="Times New Roman" w:hAnsi="Times New Roman" w:cs="Times New Roman" w:eastAsia="Times New Roman" w:hint="default"/>
        </w:rPr>
        <w:t>129C2152017000061</w:t>
      </w:r>
      <w:r>
        <w:rPr/>
        <w:t>的保证合同，保证担保的主债权金额为人民币</w:t>
      </w:r>
      <w:r>
        <w:rPr>
          <w:rFonts w:ascii="Times New Roman" w:hAnsi="Times New Roman" w:cs="Times New Roman" w:eastAsia="Times New Roman" w:hint="default"/>
        </w:rPr>
        <w:t>7,500.00</w:t>
      </w:r>
      <w:r>
        <w:rPr/>
        <w:t>万元，保证期间为自借款发放之日起至借款到期</w:t>
      </w:r>
    </w:p>
    <w:p>
      <w:pPr>
        <w:spacing w:after="0" w:line="300" w:lineRule="auto"/>
        <w:jc w:val="both"/>
        <w:sectPr>
          <w:type w:val="continuous"/>
          <w:pgSz w:w="11910" w:h="16840"/>
          <w:pgMar w:top="1060" w:bottom="118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473" w:right="1036"/>
        <w:jc w:val="left"/>
      </w:pPr>
      <w:r>
        <w:rPr/>
        <w:t>后两年止；（</w:t>
      </w:r>
      <w:r>
        <w:rPr>
          <w:rFonts w:ascii="Times New Roman" w:hAnsi="Times New Roman" w:cs="Times New Roman" w:eastAsia="Times New Roman" w:hint="default"/>
        </w:rPr>
        <w:t>2</w:t>
      </w:r>
      <w:r>
        <w:rPr/>
        <w:t>）曲水华航投资有限公司与杭州银行股份有限公司北京中关村支行签订了编号为</w:t>
      </w:r>
      <w:r>
        <w:rPr>
          <w:rFonts w:ascii="Times New Roman" w:hAnsi="Times New Roman" w:cs="Times New Roman" w:eastAsia="Times New Roman" w:hint="default"/>
        </w:rPr>
        <w:t>129C2152017000062</w:t>
      </w:r>
      <w:r>
        <w:rPr/>
        <w:t>的保证</w:t>
      </w:r>
      <w:r>
        <w:rPr>
          <w:spacing w:val="-34"/>
        </w:rPr>
        <w:t> </w:t>
      </w:r>
      <w:r>
        <w:rPr>
          <w:spacing w:val="-34"/>
        </w:rPr>
      </w:r>
      <w:r>
        <w:rPr>
          <w:spacing w:val="-2"/>
        </w:rPr>
        <w:t>合同，保证担保的主债权金额为人民币</w:t>
      </w:r>
      <w:r>
        <w:rPr>
          <w:rFonts w:ascii="Times New Roman" w:hAnsi="Times New Roman" w:cs="Times New Roman" w:eastAsia="Times New Roman" w:hint="default"/>
          <w:spacing w:val="-2"/>
        </w:rPr>
        <w:t>7,500.00</w:t>
      </w:r>
      <w:r>
        <w:rPr>
          <w:spacing w:val="-2"/>
        </w:rPr>
        <w:t>万元，保证期间为自借款发放之日起至借款到期后两年止；（</w:t>
      </w:r>
      <w:r>
        <w:rPr>
          <w:rFonts w:ascii="Times New Roman" w:hAnsi="Times New Roman" w:cs="Times New Roman" w:eastAsia="Times New Roman" w:hint="default"/>
          <w:spacing w:val="-2"/>
        </w:rPr>
        <w:t>3</w:t>
      </w:r>
      <w:r>
        <w:rPr>
          <w:spacing w:val="-2"/>
        </w:rPr>
        <w:t>）吴井军与杭</w:t>
      </w:r>
      <w:r>
        <w:rPr>
          <w:spacing w:val="-58"/>
        </w:rPr>
        <w:t> </w:t>
      </w:r>
      <w:r>
        <w:rPr>
          <w:spacing w:val="-58"/>
        </w:rPr>
      </w:r>
      <w:r>
        <w:rPr>
          <w:spacing w:val="8"/>
        </w:rPr>
        <w:t>州银行股份有限公司北京中关村支行签订了编号为</w:t>
      </w:r>
      <w:r>
        <w:rPr>
          <w:rFonts w:ascii="Times New Roman" w:hAnsi="Times New Roman" w:cs="Times New Roman" w:eastAsia="Times New Roman" w:hint="default"/>
          <w:spacing w:val="8"/>
        </w:rPr>
        <w:t>129C2152017000063</w:t>
      </w:r>
      <w:r>
        <w:rPr>
          <w:spacing w:val="8"/>
        </w:rPr>
        <w:t>的抵押合同，抵押担保的主债权金额为人民币</w:t>
      </w:r>
      <w:r>
        <w:rPr>
          <w:spacing w:val="-47"/>
        </w:rPr>
        <w:t> </w:t>
      </w:r>
      <w:r>
        <w:rPr>
          <w:spacing w:val="-47"/>
        </w:rPr>
      </w:r>
      <w:r>
        <w:rPr>
          <w:rFonts w:ascii="Times New Roman" w:hAnsi="Times New Roman" w:cs="Times New Roman" w:eastAsia="Times New Roman" w:hint="default"/>
          <w:spacing w:val="-2"/>
        </w:rPr>
        <w:t>7,500.00</w:t>
      </w:r>
      <w:r>
        <w:rPr>
          <w:spacing w:val="-2"/>
        </w:rPr>
        <w:t>万元，抵押财产清单：普通住宅（京房权证海私移字第</w:t>
      </w:r>
      <w:r>
        <w:rPr>
          <w:rFonts w:ascii="Times New Roman" w:hAnsi="Times New Roman" w:cs="Times New Roman" w:eastAsia="Times New Roman" w:hint="default"/>
          <w:spacing w:val="-2"/>
        </w:rPr>
        <w:t>0105318</w:t>
      </w:r>
      <w:r>
        <w:rPr>
          <w:spacing w:val="-2"/>
        </w:rPr>
        <w:t>号，协商认定评估价为人民币</w:t>
      </w:r>
      <w:r>
        <w:rPr>
          <w:rFonts w:ascii="Times New Roman" w:hAnsi="Times New Roman" w:cs="Times New Roman" w:eastAsia="Times New Roman" w:hint="default"/>
          <w:spacing w:val="-2"/>
        </w:rPr>
        <w:t>9,429,749.35</w:t>
      </w:r>
      <w:r>
        <w:rPr>
          <w:spacing w:val="-2"/>
        </w:rPr>
        <w:t>元）；（</w:t>
      </w:r>
      <w:r>
        <w:rPr>
          <w:rFonts w:ascii="Times New Roman" w:hAnsi="Times New Roman" w:cs="Times New Roman" w:eastAsia="Times New Roman" w:hint="default"/>
          <w:spacing w:val="-2"/>
        </w:rPr>
        <w:t>4</w:t>
      </w:r>
      <w:r>
        <w:rPr>
          <w:spacing w:val="-2"/>
        </w:rPr>
        <w:t>）</w:t>
      </w:r>
      <w:r>
        <w:rPr>
          <w:spacing w:val="-80"/>
        </w:rPr>
        <w:t> </w:t>
      </w:r>
      <w:r>
        <w:rPr/>
        <w:t>浙江华媒控股股份有限公司与杭州银行股份有限公司北京中关村支行签订了编号为</w:t>
      </w:r>
      <w:r>
        <w:rPr>
          <w:rFonts w:ascii="Times New Roman" w:hAnsi="Times New Roman" w:cs="Times New Roman" w:eastAsia="Times New Roman" w:hint="default"/>
        </w:rPr>
        <w:t>129C2152017000064</w:t>
      </w:r>
      <w:r>
        <w:rPr/>
        <w:t>的最高额保证合同， </w:t>
      </w:r>
      <w:r>
        <w:rPr>
          <w:spacing w:val="-4"/>
        </w:rPr>
        <w:t>本合同债权确认期间为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8</w:t>
      </w:r>
      <w:r>
        <w:rPr>
          <w:spacing w:val="-4"/>
        </w:rPr>
        <w:t>日至</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7</w:t>
      </w:r>
      <w:r>
        <w:rPr>
          <w:spacing w:val="-4"/>
        </w:rPr>
        <w:t>日，最高融资余额为人民币</w:t>
      </w:r>
      <w:r>
        <w:rPr>
          <w:rFonts w:ascii="Times New Roman" w:hAnsi="Times New Roman" w:cs="Times New Roman" w:eastAsia="Times New Roman" w:hint="default"/>
          <w:spacing w:val="-4"/>
        </w:rPr>
        <w:t>4,500.00</w:t>
      </w:r>
      <w:r>
        <w:rPr>
          <w:spacing w:val="-4"/>
        </w:rPr>
        <w:t>万元；（</w:t>
      </w:r>
      <w:r>
        <w:rPr>
          <w:rFonts w:ascii="Times New Roman" w:hAnsi="Times New Roman" w:cs="Times New Roman" w:eastAsia="Times New Roman" w:hint="default"/>
          <w:spacing w:val="-4"/>
        </w:rPr>
        <w:t>5</w:t>
      </w:r>
      <w:r>
        <w:rPr>
          <w:spacing w:val="-4"/>
        </w:rPr>
        <w:t>）中教未来国际教育科技（北</w:t>
      </w:r>
      <w:r>
        <w:rPr/>
        <w:t> 京）有限公司与杭州银行股份有限公司北京中关村支行签订了编号为</w:t>
      </w:r>
      <w:r>
        <w:rPr>
          <w:rFonts w:ascii="Times New Roman" w:hAnsi="Times New Roman" w:cs="Times New Roman" w:eastAsia="Times New Roman" w:hint="default"/>
        </w:rPr>
        <w:t>129C2152017000065</w:t>
      </w:r>
      <w:r>
        <w:rPr/>
        <w:t>的质押合同，质押担保的主债权金 额为人民币</w:t>
      </w:r>
      <w:r>
        <w:rPr>
          <w:rFonts w:ascii="Times New Roman" w:hAnsi="Times New Roman" w:cs="Times New Roman" w:eastAsia="Times New Roman" w:hint="default"/>
        </w:rPr>
        <w:t>7,500.00</w:t>
      </w:r>
      <w:r>
        <w:rPr/>
        <w:t>万元，质押权利清单：中教未来国际教育科技（北京）有限公司持有的布朗睿智（北京）国际教育科技</w:t>
      </w:r>
      <w:r>
        <w:rPr>
          <w:spacing w:val="-85"/>
        </w:rPr>
        <w:t> </w:t>
      </w:r>
      <w:r>
        <w:rPr>
          <w:spacing w:val="-85"/>
        </w:rPr>
      </w:r>
      <w:r>
        <w:rPr/>
        <w:t>有限公司</w:t>
      </w:r>
      <w:r>
        <w:rPr>
          <w:rFonts w:ascii="Times New Roman" w:hAnsi="Times New Roman" w:cs="Times New Roman" w:eastAsia="Times New Roman" w:hint="default"/>
        </w:rPr>
        <w:t>30%</w:t>
      </w:r>
      <w:r>
        <w:rPr/>
        <w:t>的股权（质押股权协商认定评估价为人民币</w:t>
      </w:r>
      <w:r>
        <w:rPr>
          <w:rFonts w:ascii="Times New Roman" w:hAnsi="Times New Roman" w:cs="Times New Roman" w:eastAsia="Times New Roman" w:hint="default"/>
        </w:rPr>
        <w:t>104,929,600.00</w:t>
      </w:r>
      <w:r>
        <w:rPr/>
        <w:t>元）、中教未来国际教育科技（北京）有限公司持</w:t>
      </w:r>
      <w:r>
        <w:rPr>
          <w:spacing w:val="-24"/>
        </w:rPr>
        <w:t> </w:t>
      </w:r>
      <w:r>
        <w:rPr>
          <w:spacing w:val="-24"/>
        </w:rPr>
      </w:r>
      <w:r>
        <w:rPr/>
        <w:t>有的布朗时代（北京）教育投资有限公司</w:t>
      </w:r>
      <w:r>
        <w:rPr>
          <w:rFonts w:ascii="Times New Roman" w:hAnsi="Times New Roman" w:cs="Times New Roman" w:eastAsia="Times New Roman" w:hint="default"/>
        </w:rPr>
        <w:t>30%</w:t>
      </w:r>
      <w:r>
        <w:rPr/>
        <w:t>的股权（质押股权协商认定评估价为人民币</w:t>
      </w:r>
      <w:r>
        <w:rPr>
          <w:rFonts w:ascii="Times New Roman" w:hAnsi="Times New Roman" w:cs="Times New Roman" w:eastAsia="Times New Roman" w:hint="default"/>
        </w:rPr>
        <w:t>45,070,400.00</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日，该借款合同尚未归还的借款余额为人民币</w:t>
      </w:r>
      <w:r>
        <w:rPr>
          <w:rFonts w:ascii="Times New Roman" w:hAnsi="Times New Roman" w:cs="Times New Roman" w:eastAsia="Times New Roman" w:hint="default"/>
        </w:rPr>
        <w:t>22,530,023.75</w:t>
      </w:r>
      <w:r>
        <w:rPr/>
        <w:t>元。</w:t>
      </w:r>
    </w:p>
    <w:p>
      <w:pPr>
        <w:spacing w:line="240" w:lineRule="auto" w:before="1"/>
        <w:rPr>
          <w:rFonts w:ascii="宋体" w:hAnsi="宋体" w:cs="宋体" w:eastAsia="宋体" w:hint="default"/>
          <w:sz w:val="22"/>
          <w:szCs w:val="22"/>
        </w:rPr>
      </w:pPr>
    </w:p>
    <w:p>
      <w:pPr>
        <w:pStyle w:val="Heading3"/>
        <w:spacing w:line="240" w:lineRule="auto"/>
        <w:ind w:left="474" w:right="1036"/>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1036"/>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债券面值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1,916,780.82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201,916,780.82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474" w:right="1036"/>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66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p>
      <w:pPr>
        <w:spacing w:line="697" w:lineRule="exact"/>
        <w:ind w:left="8995" w:right="-39"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187986" cy="442912"/>
            <wp:effectExtent l="0" t="0" r="0" b="0"/>
            <wp:docPr id="3" name="image14.png" descr=""/>
            <wp:cNvGraphicFramePr>
              <a:graphicFrameLocks noChangeAspect="1"/>
            </wp:cNvGraphicFramePr>
            <a:graphic>
              <a:graphicData uri="http://schemas.openxmlformats.org/drawingml/2006/picture">
                <pic:pic>
                  <pic:nvPicPr>
                    <pic:cNvPr id="4" name="image14.png"/>
                    <pic:cNvPicPr/>
                  </pic:nvPicPr>
                  <pic:blipFill>
                    <a:blip r:embed="rId41" cstate="print"/>
                    <a:stretch>
                      <a:fillRect/>
                    </a:stretch>
                  </pic:blipFill>
                  <pic:spPr>
                    <a:xfrm>
                      <a:off x="0" y="0"/>
                      <a:ext cx="187986" cy="442912"/>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0"/>
          <w:szCs w:val="20"/>
        </w:rPr>
      </w:pPr>
    </w:p>
    <w:p>
      <w:pPr>
        <w:pStyle w:val="Heading3"/>
        <w:spacing w:line="240" w:lineRule="auto"/>
        <w:ind w:left="474" w:right="0"/>
        <w:jc w:val="left"/>
        <w:rPr>
          <w:b w:val="0"/>
          <w:bCs w:val="0"/>
        </w:rPr>
      </w:pPr>
      <w:r>
        <w:rPr/>
        <w:pict>
          <v:shape style="position:absolute;margin-left:38.580009pt;margin-top:-106.356003pt;width:518.9pt;height:92.0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1"/>
                    <w:gridCol w:w="1193"/>
                    <w:gridCol w:w="1588"/>
                    <w:gridCol w:w="410"/>
                    <w:gridCol w:w="1192"/>
                    <w:gridCol w:w="411"/>
                    <w:gridCol w:w="1192"/>
                    <w:gridCol w:w="1099"/>
                    <w:gridCol w:w="936"/>
                    <w:gridCol w:w="410"/>
                    <w:gridCol w:w="320"/>
                    <w:gridCol w:w="1181"/>
                  </w:tblGrid>
                  <w:tr>
                    <w:trPr>
                      <w:trHeight w:val="162" w:hRule="exact"/>
                    </w:trPr>
                    <w:tc>
                      <w:tcPr>
                        <w:tcW w:w="43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1" w:right="29"/>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1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8"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4" w:right="24"/>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192"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3" w:right="2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1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8" w:right="98" w:hanging="270"/>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72" w:right="10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41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 w:right="13"/>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320"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2" w:hRule="exact"/>
                    </w:trPr>
                    <w:tc>
                      <w:tcPr>
                        <w:tcW w:w="431" w:type="dxa"/>
                        <w:vMerge/>
                        <w:tcBorders>
                          <w:left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5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10" w:type="dxa"/>
                        <w:vMerge/>
                        <w:tcBorders>
                          <w:left w:val="single" w:sz="4" w:space="0" w:color="000000"/>
                          <w:right w:val="single" w:sz="4" w:space="0" w:color="000000"/>
                        </w:tcBorders>
                        <w:shd w:val="clear" w:color="auto" w:fill="D3D3D3"/>
                      </w:tcPr>
                      <w:p>
                        <w:pPr/>
                      </w:p>
                    </w:tc>
                    <w:tc>
                      <w:tcPr>
                        <w:tcW w:w="11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411" w:type="dxa"/>
                        <w:vMerge/>
                        <w:tcBorders>
                          <w:left w:val="single" w:sz="4" w:space="0" w:color="000000"/>
                          <w:right w:val="single" w:sz="4" w:space="0" w:color="000000"/>
                        </w:tcBorders>
                        <w:shd w:val="clear" w:color="auto" w:fill="D3D3D3"/>
                      </w:tcPr>
                      <w:p>
                        <w:pPr/>
                      </w:p>
                    </w:tc>
                    <w:tc>
                      <w:tcPr>
                        <w:tcW w:w="11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本期发行</w:t>
                        </w:r>
                      </w:p>
                    </w:tc>
                    <w:tc>
                      <w:tcPr>
                        <w:tcW w:w="1099"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410" w:type="dxa"/>
                        <w:vMerge/>
                        <w:tcBorders>
                          <w:left w:val="single" w:sz="4" w:space="0" w:color="000000"/>
                          <w:right w:val="single" w:sz="4" w:space="0" w:color="000000"/>
                        </w:tcBorders>
                        <w:shd w:val="clear" w:color="auto" w:fill="D3D3D3"/>
                      </w:tcPr>
                      <w:p>
                        <w:pPr/>
                      </w:p>
                    </w:tc>
                    <w:tc>
                      <w:tcPr>
                        <w:tcW w:w="320" w:type="dxa"/>
                        <w:vMerge/>
                        <w:tcBorders>
                          <w:left w:val="single" w:sz="13" w:space="0" w:color="D3D3D3"/>
                          <w:right w:val="single" w:sz="4" w:space="0" w:color="000000"/>
                        </w:tcBorders>
                      </w:tcPr>
                      <w:p>
                        <w:pPr/>
                      </w:p>
                    </w:tc>
                    <w:tc>
                      <w:tcPr>
                        <w:tcW w:w="1181" w:type="dxa"/>
                        <w:vMerge/>
                        <w:tcBorders>
                          <w:left w:val="single" w:sz="4" w:space="0" w:color="000000"/>
                          <w:right w:val="single" w:sz="4" w:space="0" w:color="000000"/>
                        </w:tcBorders>
                        <w:shd w:val="clear" w:color="auto" w:fill="D3D3D3"/>
                      </w:tcPr>
                      <w:p>
                        <w:pPr/>
                      </w:p>
                    </w:tc>
                  </w:tr>
                  <w:tr>
                    <w:trPr>
                      <w:trHeight w:val="161" w:hRule="exact"/>
                    </w:trPr>
                    <w:tc>
                      <w:tcPr>
                        <w:tcW w:w="431"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8" w:type="dxa"/>
                        <w:tcBorders>
                          <w:top w:val="nil" w:sz="6" w:space="0" w:color="auto"/>
                          <w:left w:val="single" w:sz="4" w:space="0" w:color="000000"/>
                          <w:bottom w:val="single" w:sz="4" w:space="0" w:color="000000"/>
                          <w:right w:val="single" w:sz="4" w:space="0" w:color="000000"/>
                        </w:tcBorders>
                        <w:shd w:val="clear" w:color="auto" w:fill="D3D3D3"/>
                      </w:tcPr>
                      <w:p>
                        <w:pPr/>
                      </w:p>
                    </w:tc>
                    <w:tc>
                      <w:tcPr>
                        <w:tcW w:w="410" w:type="dxa"/>
                        <w:vMerge/>
                        <w:tcBorders>
                          <w:left w:val="single" w:sz="4" w:space="0" w:color="000000"/>
                          <w:bottom w:val="single" w:sz="4" w:space="0" w:color="000000"/>
                          <w:right w:val="single" w:sz="4" w:space="0" w:color="000000"/>
                        </w:tcBorders>
                        <w:shd w:val="clear" w:color="auto" w:fill="D3D3D3"/>
                      </w:tcPr>
                      <w:p>
                        <w:pPr/>
                      </w:p>
                    </w:tc>
                    <w:tc>
                      <w:tcPr>
                        <w:tcW w:w="1192" w:type="dxa"/>
                        <w:tcBorders>
                          <w:top w:val="nil" w:sz="6" w:space="0" w:color="auto"/>
                          <w:left w:val="single" w:sz="4" w:space="0" w:color="000000"/>
                          <w:bottom w:val="single" w:sz="4" w:space="0" w:color="000000"/>
                          <w:right w:val="single" w:sz="4" w:space="0" w:color="000000"/>
                        </w:tcBorders>
                        <w:shd w:val="clear" w:color="auto" w:fill="D3D3D3"/>
                      </w:tcPr>
                      <w:p>
                        <w:pPr/>
                      </w:p>
                    </w:tc>
                    <w:tc>
                      <w:tcPr>
                        <w:tcW w:w="411" w:type="dxa"/>
                        <w:vMerge/>
                        <w:tcBorders>
                          <w:left w:val="single" w:sz="4" w:space="0" w:color="000000"/>
                          <w:bottom w:val="single" w:sz="4" w:space="0" w:color="000000"/>
                          <w:right w:val="single" w:sz="4" w:space="0" w:color="000000"/>
                        </w:tcBorders>
                        <w:shd w:val="clear" w:color="auto" w:fill="D3D3D3"/>
                      </w:tcPr>
                      <w:p>
                        <w:pPr/>
                      </w:p>
                    </w:tc>
                    <w:tc>
                      <w:tcPr>
                        <w:tcW w:w="11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9"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410" w:type="dxa"/>
                        <w:vMerge/>
                        <w:tcBorders>
                          <w:left w:val="single" w:sz="4" w:space="0" w:color="000000"/>
                          <w:bottom w:val="single" w:sz="4" w:space="0" w:color="000000"/>
                          <w:right w:val="single" w:sz="4" w:space="0" w:color="000000"/>
                        </w:tcBorders>
                        <w:shd w:val="clear" w:color="auto" w:fill="D3D3D3"/>
                      </w:tcPr>
                      <w:p>
                        <w:pPr/>
                      </w:p>
                    </w:tc>
                    <w:tc>
                      <w:tcPr>
                        <w:tcW w:w="320" w:type="dxa"/>
                        <w:vMerge/>
                        <w:tcBorders>
                          <w:left w:val="single" w:sz="13" w:space="0" w:color="D3D3D3"/>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华</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媒</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200,000,000.00</w:t>
                        </w:r>
                      </w:p>
                    </w:tc>
                    <w:tc>
                      <w:tcPr>
                        <w:tcW w:w="15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2019/9/25-2019/9/26</w:t>
                        </w:r>
                      </w:p>
                    </w:tc>
                    <w:tc>
                      <w:tcPr>
                        <w:tcW w:w="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200,000,000.00</w:t>
                        </w:r>
                      </w:p>
                    </w:tc>
                    <w:tc>
                      <w:tcPr>
                        <w:tcW w:w="41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200,000,000.00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2,391,780.82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-475,000.00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201,916,780.82</w:t>
                        </w:r>
                      </w:p>
                    </w:tc>
                  </w:tr>
                  <w:tr>
                    <w:trPr>
                      <w:trHeight w:val="403" w:hRule="exact"/>
                    </w:trPr>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44"/>
                          <w:jc w:val="right"/>
                          <w:rPr>
                            <w:rFonts w:ascii="Times New Roman" w:hAnsi="Times New Roman" w:cs="Times New Roman" w:eastAsia="Times New Roman" w:hint="default"/>
                            <w:sz w:val="18"/>
                            <w:szCs w:val="18"/>
                          </w:rPr>
                        </w:pPr>
                        <w:r>
                          <w:rPr>
                            <w:rFonts w:ascii="Times New Roman"/>
                            <w:sz w:val="18"/>
                          </w:rPr>
                          <w:t>--</w:t>
                        </w:r>
                      </w:p>
                    </w:tc>
                    <w:tc>
                      <w:tcPr>
                        <w:tcW w:w="11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3"/>
                          <w:jc w:val="center"/>
                          <w:rPr>
                            <w:rFonts w:ascii="Times New Roman" w:hAnsi="Times New Roman" w:cs="Times New Roman" w:eastAsia="Times New Roman" w:hint="default"/>
                            <w:sz w:val="18"/>
                            <w:szCs w:val="18"/>
                          </w:rPr>
                        </w:pPr>
                        <w:r>
                          <w:rPr>
                            <w:rFonts w:ascii="Times New Roman"/>
                            <w:sz w:val="18"/>
                          </w:rPr>
                          <w:t>200,000,000.00</w:t>
                        </w:r>
                      </w:p>
                    </w:tc>
                    <w:tc>
                      <w:tcPr>
                        <w:tcW w:w="41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200,000,000.00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2,391,780.82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-475,000.00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201,916,780.82</w:t>
                        </w:r>
                      </w:p>
                    </w:tc>
                  </w:tr>
                </w:tbl>
                <w:p>
                  <w:pPr/>
                </w:p>
              </w:txbxContent>
            </v:textbox>
            <w10:wrap type="none"/>
          </v:shape>
        </w:pict>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4"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4" w:right="0"/>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0"/>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pStyle w:val="BodyText"/>
        <w:spacing w:line="240" w:lineRule="auto" w:before="44"/>
        <w:ind w:left="-32" w:right="0"/>
        <w:jc w:val="left"/>
      </w:pPr>
      <w:r>
        <w:rPr/>
        <w:br w:type="column"/>
      </w:r>
      <w:r>
        <w:rPr/>
        <w:t>单位： 元</w:t>
      </w:r>
    </w:p>
    <w:p>
      <w:pPr>
        <w:spacing w:after="0" w:line="240" w:lineRule="auto"/>
        <w:jc w:val="left"/>
        <w:sectPr>
          <w:type w:val="continuous"/>
          <w:pgSz w:w="11910" w:h="16840"/>
          <w:pgMar w:top="1060" w:bottom="1180" w:left="660" w:right="0"/>
          <w:cols w:num="2" w:equalWidth="0">
            <w:col w:w="9294" w:space="40"/>
            <w:col w:w="1916"/>
          </w:cols>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606"/>
        <w:gridCol w:w="1583"/>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336,493.80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2,905,562.44</w:t>
            </w:r>
          </w:p>
        </w:tc>
        <w:tc>
          <w:tcPr>
            <w:tcW w:w="15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336,493.80</w:t>
            </w:r>
          </w:p>
        </w:tc>
        <w:tc>
          <w:tcPr>
            <w:tcW w:w="160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2,905,562.44</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13"/>
        <w:gridCol w:w="1012"/>
        <w:gridCol w:w="844"/>
        <w:gridCol w:w="1294"/>
        <w:gridCol w:w="992"/>
        <w:gridCol w:w="1175"/>
        <w:gridCol w:w="496"/>
        <w:gridCol w:w="1001"/>
        <w:gridCol w:w="1040"/>
      </w:tblGrid>
      <w:tr>
        <w:trPr>
          <w:trHeight w:val="490" w:hRule="exact"/>
        </w:trPr>
        <w:tc>
          <w:tcPr>
            <w:tcW w:w="1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54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1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56" w:right="55"/>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91" w:right="10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2" w:right="41" w:hanging="180"/>
              <w:jc w:val="left"/>
              <w:rPr>
                <w:rFonts w:ascii="宋体" w:hAnsi="宋体" w:cs="宋体" w:eastAsia="宋体" w:hint="default"/>
                <w:sz w:val="18"/>
                <w:szCs w:val="18"/>
              </w:rPr>
            </w:pPr>
            <w:r>
              <w:rPr>
                <w:rFonts w:ascii="宋体" w:hAnsi="宋体" w:cs="宋体" w:eastAsia="宋体" w:hint="default"/>
                <w:sz w:val="18"/>
                <w:szCs w:val="18"/>
              </w:rPr>
              <w:t>本期冲减成本 费用金额</w:t>
            </w:r>
          </w:p>
        </w:tc>
        <w:tc>
          <w:tcPr>
            <w:tcW w:w="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62" w:right="6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66" w:right="3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90" w:hRule="exact"/>
        </w:trPr>
        <w:tc>
          <w:tcPr>
            <w:tcW w:w="18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年度中央补助文 化产业发展专项资金</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2,800,000.12</w:t>
            </w:r>
          </w:p>
        </w:tc>
        <w:tc>
          <w:tcPr>
            <w:tcW w:w="84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266,666.64</w:t>
            </w: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2,533,333.48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90" w:hRule="exact"/>
        </w:trPr>
        <w:tc>
          <w:tcPr>
            <w:tcW w:w="18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58"/>
              <w:jc w:val="left"/>
              <w:rPr>
                <w:rFonts w:ascii="宋体" w:hAnsi="宋体" w:cs="宋体" w:eastAsia="宋体" w:hint="default"/>
                <w:sz w:val="18"/>
                <w:szCs w:val="18"/>
              </w:rPr>
            </w:pPr>
            <w:r>
              <w:rPr>
                <w:rFonts w:ascii="宋体" w:hAnsi="宋体" w:cs="宋体" w:eastAsia="宋体" w:hint="default"/>
                <w:sz w:val="18"/>
                <w:szCs w:val="18"/>
              </w:rPr>
              <w:t>工业和信息化发展财 政专项资金</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442,056.12</w:t>
            </w:r>
          </w:p>
        </w:tc>
        <w:tc>
          <w:tcPr>
            <w:tcW w:w="84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69,827.16</w:t>
            </w: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372,228.96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1" w:hRule="exact"/>
        </w:trPr>
        <w:tc>
          <w:tcPr>
            <w:tcW w:w="18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2"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3,242,056.24</w:t>
            </w:r>
          </w:p>
        </w:tc>
        <w:tc>
          <w:tcPr>
            <w:tcW w:w="84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336,493.80</w:t>
            </w:r>
          </w:p>
        </w:tc>
        <w:tc>
          <w:tcPr>
            <w:tcW w:w="4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2,905,562.44</w:t>
            </w:r>
          </w:p>
        </w:tc>
        <w:tc>
          <w:tcPr>
            <w:tcW w:w="10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574" w:right="0"/>
        <w:jc w:val="left"/>
      </w:pPr>
      <w:r>
        <w:rPr/>
        <w:t>涉及政府补助的项目的具体情况及分摊方法详见本节七、</w:t>
      </w:r>
      <w:r>
        <w:rPr>
          <w:rFonts w:ascii="Times New Roman" w:hAnsi="Times New Roman" w:cs="Times New Roman" w:eastAsia="Times New Roman" w:hint="default"/>
        </w:rPr>
        <w:t>84“</w:t>
      </w:r>
      <w:r>
        <w:rPr/>
        <w:t>政府补助</w:t>
      </w:r>
      <w:r>
        <w:rPr>
          <w:rFonts w:ascii="Times New Roman" w:hAnsi="Times New Roman" w:cs="Times New Roman" w:eastAsia="Times New Roman" w:hint="default"/>
        </w:rPr>
        <w:t>”</w:t>
      </w:r>
      <w:r>
        <w:rPr/>
        <w:t>之说明。</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63"/>
        <w:gridCol w:w="1316"/>
        <w:gridCol w:w="1177"/>
        <w:gridCol w:w="1177"/>
        <w:gridCol w:w="1177"/>
        <w:gridCol w:w="1178"/>
        <w:gridCol w:w="1166"/>
        <w:gridCol w:w="1328"/>
      </w:tblGrid>
      <w:tr>
        <w:trPr>
          <w:trHeight w:val="169" w:hRule="exact"/>
        </w:trPr>
        <w:tc>
          <w:tcPr>
            <w:tcW w:w="11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5875"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1" w:hRule="exact"/>
        </w:trPr>
        <w:tc>
          <w:tcPr>
            <w:tcW w:w="1163"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75" w:type="dxa"/>
            <w:gridSpan w:val="5"/>
            <w:vMerge/>
            <w:tcBorders>
              <w:left w:val="single" w:sz="4" w:space="0" w:color="000000"/>
              <w:bottom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2"/>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0" w:hRule="exact"/>
        </w:trPr>
        <w:tc>
          <w:tcPr>
            <w:tcW w:w="116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28" w:type="dxa"/>
            <w:vMerge/>
            <w:tcBorders>
              <w:left w:val="single" w:sz="4" w:space="0" w:color="000000"/>
              <w:bottom w:val="nil" w:sz="6" w:space="0" w:color="auto"/>
              <w:right w:val="single" w:sz="4" w:space="0" w:color="000000"/>
            </w:tcBorders>
            <w:shd w:val="clear" w:color="auto" w:fill="D3D3D3"/>
          </w:tcPr>
          <w:p>
            <w:pPr/>
          </w:p>
        </w:tc>
      </w:tr>
      <w:tr>
        <w:trPr>
          <w:trHeight w:val="170" w:hRule="exact"/>
        </w:trPr>
        <w:tc>
          <w:tcPr>
            <w:tcW w:w="11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1178" w:type="dxa"/>
            <w:vMerge/>
            <w:tcBorders>
              <w:left w:val="single" w:sz="4" w:space="0" w:color="000000"/>
              <w:bottom w:val="single" w:sz="4" w:space="0" w:color="000000"/>
              <w:right w:val="single" w:sz="4" w:space="0" w:color="000000"/>
            </w:tcBorders>
            <w:shd w:val="clear" w:color="auto" w:fill="D3D3D3"/>
          </w:tcPr>
          <w:p>
            <w:pPr/>
          </w:p>
        </w:tc>
        <w:tc>
          <w:tcPr>
            <w:tcW w:w="1166"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30" w:hRule="exact"/>
        </w:trPr>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3"/>
              <w:ind w:left="10" w:right="0"/>
              <w:jc w:val="left"/>
              <w:rPr>
                <w:rFonts w:ascii="Times New Roman" w:hAnsi="Times New Roman" w:cs="Times New Roman" w:eastAsia="Times New Roman" w:hint="default"/>
                <w:sz w:val="18"/>
                <w:szCs w:val="18"/>
              </w:rPr>
            </w:pPr>
            <w:r>
              <w:rPr>
                <w:rFonts w:ascii="Times New Roman"/>
                <w:sz w:val="18"/>
              </w:rPr>
              <w:t>1,017,698,410.00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 w:right="0"/>
              <w:jc w:val="left"/>
              <w:rPr>
                <w:rFonts w:ascii="Times New Roman" w:hAnsi="Times New Roman" w:cs="Times New Roman" w:eastAsia="Times New Roman" w:hint="default"/>
                <w:sz w:val="18"/>
                <w:szCs w:val="18"/>
              </w:rPr>
            </w:pPr>
            <w:r>
              <w:rPr>
                <w:rFonts w:ascii="Times New Roman"/>
                <w:sz w:val="18"/>
              </w:rPr>
              <w:t>1,017,698,410.00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86,461,730.81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2,262,542.95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2,374,273.76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-234,434,845.12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219,127.12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479,878.49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-234,695,596.49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-147,973,114.31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2,481,670.07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86,829,878.49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-232,321,322.73</w:t>
            </w:r>
          </w:p>
        </w:tc>
      </w:tr>
    </w:tbl>
    <w:p>
      <w:pPr>
        <w:pStyle w:val="BodyText"/>
        <w:spacing w:line="240" w:lineRule="auto" w:before="51"/>
        <w:ind w:right="0"/>
        <w:jc w:val="left"/>
      </w:pPr>
      <w:r>
        <w:rPr/>
        <w:t>其他说明，包括本期增减变动情况、变动原因说明：</w:t>
      </w:r>
    </w:p>
    <w:p>
      <w:pPr>
        <w:pStyle w:val="BodyText"/>
        <w:spacing w:line="309" w:lineRule="auto" w:before="116"/>
        <w:ind w:left="153" w:right="1130" w:firstLine="420"/>
        <w:jc w:val="both"/>
      </w:pPr>
      <w:r>
        <w:rPr>
          <w:rFonts w:ascii="Times New Roman" w:hAnsi="Times New Roman" w:cs="Times New Roman" w:eastAsia="Times New Roman" w:hint="default"/>
          <w:spacing w:val="-1"/>
        </w:rPr>
        <w:t>(1)</w:t>
      </w:r>
      <w:r>
        <w:rPr>
          <w:spacing w:val="-1"/>
        </w:rPr>
        <w:t>本公司之子公司杭州萧山日报传媒有限公司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月收购少数股东持有的杭州萧山网络传媒有限公司</w:t>
      </w:r>
      <w:r>
        <w:rPr>
          <w:rFonts w:ascii="Times New Roman" w:hAnsi="Times New Roman" w:cs="Times New Roman" w:eastAsia="Times New Roman" w:hint="default"/>
          <w:spacing w:val="-1"/>
        </w:rPr>
        <w:t>34%</w:t>
      </w:r>
      <w:r>
        <w:rPr>
          <w:spacing w:val="-1"/>
        </w:rPr>
        <w:t>股权，因</w:t>
      </w:r>
      <w:r>
        <w:rPr/>
        <w:t> 购买少数股权新取得的长期股权投资与按照新增持股比例计算应享有子公司自合并日开始持续计算的净资产份额之间的差</w:t>
      </w:r>
      <w:r>
        <w:rPr>
          <w:spacing w:val="-9"/>
        </w:rPr>
        <w:t> </w:t>
      </w:r>
      <w:r>
        <w:rPr>
          <w:spacing w:val="-9"/>
        </w:rPr>
      </w:r>
      <w:r>
        <w:rPr/>
        <w:t>额，调增资本公积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2,091,802.34</w:t>
      </w:r>
      <w:r>
        <w:rPr/>
        <w:t>元。</w:t>
      </w:r>
    </w:p>
    <w:p>
      <w:pPr>
        <w:pStyle w:val="BodyText"/>
        <w:spacing w:line="300" w:lineRule="auto" w:before="5"/>
        <w:ind w:left="153" w:right="1130" w:firstLine="420"/>
        <w:jc w:val="both"/>
      </w:pPr>
      <w:r>
        <w:rPr>
          <w:rFonts w:ascii="Times New Roman" w:hAnsi="Times New Roman" w:cs="Times New Roman" w:eastAsia="Times New Roman" w:hint="default"/>
          <w:spacing w:val="-2"/>
        </w:rPr>
        <w:t>(2)</w:t>
      </w:r>
      <w:r>
        <w:rPr>
          <w:spacing w:val="-2"/>
        </w:rPr>
        <w:t>本公司之子公司浙江风盛传媒股份有限公司（以下简称</w:t>
      </w:r>
      <w:r>
        <w:rPr>
          <w:rFonts w:ascii="Times New Roman" w:hAnsi="Times New Roman" w:cs="Times New Roman" w:eastAsia="Times New Roman" w:hint="default"/>
          <w:spacing w:val="-2"/>
        </w:rPr>
        <w:t>“</w:t>
      </w:r>
      <w:r>
        <w:rPr>
          <w:spacing w:val="-2"/>
        </w:rPr>
        <w:t>风盛传媒股份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月收购少数股东持有的福州风盛传</w:t>
      </w:r>
      <w:r>
        <w:rPr/>
        <w:t> </w:t>
      </w:r>
      <w:r>
        <w:rPr>
          <w:spacing w:val="-1"/>
        </w:rPr>
        <w:t>媒有限公司</w:t>
      </w:r>
      <w:r>
        <w:rPr>
          <w:rFonts w:ascii="Times New Roman" w:hAnsi="Times New Roman" w:cs="Times New Roman" w:eastAsia="Times New Roman" w:hint="default"/>
          <w:spacing w:val="-1"/>
        </w:rPr>
        <w:t>13%</w:t>
      </w:r>
      <w:r>
        <w:rPr>
          <w:spacing w:val="-1"/>
        </w:rPr>
        <w:t>股权，因购买少数股权新取得的长期股权投资与按照新增持股比例计算应享有子公司自合并日开始持续计算</w:t>
      </w:r>
      <w:r>
        <w:rPr>
          <w:spacing w:val="-87"/>
        </w:rPr>
        <w:t> </w:t>
      </w:r>
      <w:r>
        <w:rPr>
          <w:spacing w:val="-87"/>
        </w:rPr>
      </w:r>
      <w:r>
        <w:rPr/>
        <w:t>的净资产份额之间的差额，调增资本公积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170,740.61</w:t>
      </w:r>
      <w:r>
        <w:rPr/>
        <w:t>元。</w:t>
      </w:r>
    </w:p>
    <w:p>
      <w:pPr>
        <w:pStyle w:val="BodyText"/>
        <w:spacing w:line="309" w:lineRule="auto" w:before="13"/>
        <w:ind w:left="153" w:right="1128" w:firstLine="420"/>
        <w:jc w:val="both"/>
      </w:pPr>
      <w:r>
        <w:rPr>
          <w:rFonts w:ascii="Times New Roman" w:hAnsi="Times New Roman" w:cs="Times New Roman" w:eastAsia="Times New Roman" w:hint="default"/>
        </w:rPr>
        <w:t>(3)</w:t>
      </w:r>
      <w:r>
        <w:rPr/>
        <w:t>本公司的联营企业十九楼网络股份有限公司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月由于新股东增资导致所有者权益发生变动，本公司按照持股 </w:t>
      </w:r>
      <w:r>
        <w:rPr>
          <w:spacing w:val="-2"/>
        </w:rPr>
        <w:t>比例与十九楼网络股份有限公司所有者权益的其他变动计算的归属于本企业的部分，相应调整长期股权投资账面价值，同时</w:t>
      </w:r>
      <w:r>
        <w:rPr>
          <w:spacing w:val="-64"/>
        </w:rPr>
        <w:t> </w:t>
      </w:r>
      <w:r>
        <w:rPr>
          <w:spacing w:val="-64"/>
        </w:rPr>
      </w:r>
      <w:r>
        <w:rPr/>
        <w:t>增加资本公积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219,127.12</w:t>
      </w:r>
      <w:r>
        <w:rPr/>
        <w:t>元。</w:t>
      </w:r>
    </w:p>
    <w:p>
      <w:pPr>
        <w:pStyle w:val="BodyText"/>
        <w:spacing w:line="300" w:lineRule="auto" w:before="5"/>
        <w:ind w:left="153" w:right="1127" w:firstLine="420"/>
        <w:jc w:val="both"/>
      </w:pPr>
      <w:r>
        <w:rPr>
          <w:rFonts w:ascii="Times New Roman" w:hAnsi="Times New Roman" w:cs="Times New Roman" w:eastAsia="Times New Roman" w:hint="default"/>
        </w:rPr>
        <w:t>(4)</w:t>
      </w:r>
      <w:r>
        <w:rPr/>
        <w:t>本公司的联营企业浙江弘致投资管理有限公司因其他股东单方面增资导致所有者权益的变动，本公司按照持股比例 与被投资单位所有者权益的其他变动计算的归属于本企业的部分，相应调整长期股权投资的账面价值，同时减少资本公积</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其他资本公积</w:t>
      </w:r>
      <w:r>
        <w:rPr>
          <w:rFonts w:ascii="Times New Roman" w:hAnsi="Times New Roman" w:cs="Times New Roman" w:eastAsia="Times New Roman" w:hint="default"/>
        </w:rPr>
        <w:t>479,878.49</w:t>
      </w:r>
      <w:r>
        <w:rPr/>
        <w:t>元。</w:t>
      </w:r>
    </w:p>
    <w:p>
      <w:pPr>
        <w:pStyle w:val="BodyText"/>
        <w:spacing w:line="240" w:lineRule="auto" w:before="13"/>
        <w:ind w:left="573" w:right="0"/>
        <w:jc w:val="left"/>
      </w:pPr>
      <w:r>
        <w:rPr>
          <w:rFonts w:ascii="Times New Roman" w:hAnsi="Times New Roman" w:cs="Times New Roman" w:eastAsia="Times New Roman" w:hint="default"/>
        </w:rPr>
        <w:t>(5)</w:t>
      </w:r>
      <w:r>
        <w:rPr/>
        <w:t>本公司本年完成同一控制下合并杭州萧文置业有限公司，相应减少资本公积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86,350,000.00</w:t>
      </w:r>
      <w:r>
        <w:rPr/>
        <w:t>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378"/>
        <w:gridCol w:w="1001"/>
        <w:gridCol w:w="1073"/>
        <w:gridCol w:w="852"/>
        <w:gridCol w:w="937"/>
        <w:gridCol w:w="676"/>
        <w:gridCol w:w="1073"/>
        <w:gridCol w:w="903"/>
        <w:gridCol w:w="1073"/>
      </w:tblGrid>
      <w:tr>
        <w:trPr>
          <w:trHeight w:val="250" w:hRule="exact"/>
        </w:trPr>
        <w:tc>
          <w:tcPr>
            <w:tcW w:w="2378" w:type="dxa"/>
            <w:vMerge w:val="restart"/>
            <w:tcBorders>
              <w:top w:val="single" w:sz="4" w:space="0" w:color="000000"/>
              <w:left w:val="single" w:sz="4" w:space="0" w:color="000000"/>
              <w:right w:val="single" w:sz="4" w:space="0" w:color="000000"/>
            </w:tcBorders>
            <w:shd w:val="clear" w:color="auto" w:fill="D3D3D3"/>
          </w:tcPr>
          <w:p>
            <w:pPr/>
          </w:p>
        </w:tc>
        <w:tc>
          <w:tcPr>
            <w:tcW w:w="1001" w:type="dxa"/>
            <w:vMerge w:val="restart"/>
            <w:tcBorders>
              <w:top w:val="single" w:sz="4" w:space="0" w:color="000000"/>
              <w:left w:val="single" w:sz="4" w:space="0" w:color="000000"/>
              <w:right w:val="single" w:sz="4" w:space="0" w:color="000000"/>
            </w:tcBorders>
            <w:shd w:val="clear" w:color="auto" w:fill="D3D3D3"/>
          </w:tcPr>
          <w:p>
            <w:pPr/>
          </w:p>
        </w:tc>
        <w:tc>
          <w:tcPr>
            <w:tcW w:w="55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73" w:type="dxa"/>
            <w:vMerge w:val="restart"/>
            <w:tcBorders>
              <w:top w:val="single" w:sz="4" w:space="0" w:color="000000"/>
              <w:left w:val="single" w:sz="4" w:space="0" w:color="000000"/>
              <w:right w:val="single" w:sz="4" w:space="0" w:color="000000"/>
            </w:tcBorders>
            <w:shd w:val="clear" w:color="auto" w:fill="D3D3D3"/>
          </w:tcPr>
          <w:p>
            <w:pPr/>
          </w:p>
        </w:tc>
      </w:tr>
      <w:tr>
        <w:trPr>
          <w:trHeight w:val="245" w:hRule="exact"/>
        </w:trPr>
        <w:tc>
          <w:tcPr>
            <w:tcW w:w="2378"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73" w:type="dxa"/>
            <w:vMerge w:val="restart"/>
            <w:tcBorders>
              <w:top w:val="single" w:sz="4" w:space="0" w:color="000000"/>
              <w:left w:val="single" w:sz="4" w:space="0" w:color="000000"/>
              <w:right w:val="single" w:sz="4" w:space="0" w:color="000000"/>
            </w:tcBorders>
            <w:shd w:val="clear" w:color="auto" w:fill="D3D3D3"/>
          </w:tcPr>
          <w:p>
            <w:pP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54" w:right="65"/>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9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3" w:right="10"/>
              <w:jc w:val="center"/>
              <w:rPr>
                <w:rFonts w:ascii="宋体" w:hAnsi="宋体" w:cs="宋体" w:eastAsia="宋体" w:hint="default"/>
                <w:sz w:val="18"/>
                <w:szCs w:val="18"/>
              </w:rPr>
            </w:pPr>
            <w:r>
              <w:rPr>
                <w:rFonts w:ascii="宋体" w:hAnsi="宋体" w:cs="宋体" w:eastAsia="宋体" w:hint="default"/>
                <w:spacing w:val="-2"/>
                <w:sz w:val="18"/>
                <w:szCs w:val="18"/>
              </w:rPr>
              <w:t>减：前期计</w:t>
            </w:r>
            <w:r>
              <w:rPr>
                <w:rFonts w:ascii="宋体" w:hAnsi="宋体" w:cs="宋体" w:eastAsia="宋体" w:hint="default"/>
                <w:sz w:val="18"/>
                <w:szCs w:val="18"/>
              </w:rPr>
              <w:t> 入其他综 合收益当 期转入留 存收益</w:t>
            </w:r>
          </w:p>
        </w:tc>
        <w:tc>
          <w:tcPr>
            <w:tcW w:w="6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3" w:type="dxa"/>
            <w:vMerge w:val="restart"/>
            <w:tcBorders>
              <w:top w:val="single" w:sz="4" w:space="0" w:color="000000"/>
              <w:left w:val="single" w:sz="4" w:space="0" w:color="000000"/>
              <w:right w:val="single" w:sz="4" w:space="0" w:color="000000"/>
            </w:tcBorders>
            <w:shd w:val="clear" w:color="auto" w:fill="D3D3D3"/>
          </w:tcPr>
          <w:p>
            <w:pPr/>
          </w:p>
        </w:tc>
        <w:tc>
          <w:tcPr>
            <w:tcW w:w="9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3" w:type="dxa"/>
            <w:vMerge/>
            <w:tcBorders>
              <w:left w:val="single" w:sz="4" w:space="0" w:color="000000"/>
              <w:right w:val="single" w:sz="4" w:space="0" w:color="000000"/>
            </w:tcBorders>
            <w:shd w:val="clear" w:color="auto" w:fill="D3D3D3"/>
          </w:tcPr>
          <w:p>
            <w:pPr/>
          </w:p>
        </w:tc>
      </w:tr>
      <w:tr>
        <w:trPr>
          <w:trHeight w:val="118" w:hRule="exact"/>
        </w:trPr>
        <w:tc>
          <w:tcPr>
            <w:tcW w:w="2378" w:type="dxa"/>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73" w:type="dxa"/>
            <w:vMerge/>
            <w:tcBorders>
              <w:left w:val="single" w:sz="4" w:space="0" w:color="000000"/>
              <w:bottom w:val="nil" w:sz="6" w:space="0" w:color="auto"/>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937" w:type="dxa"/>
            <w:vMerge/>
            <w:tcBorders>
              <w:left w:val="single" w:sz="4" w:space="0" w:color="000000"/>
              <w:right w:val="single" w:sz="4" w:space="0" w:color="000000"/>
            </w:tcBorders>
            <w:shd w:val="clear" w:color="auto" w:fill="D3D3D3"/>
          </w:tcPr>
          <w:p>
            <w:pPr/>
          </w:p>
        </w:tc>
        <w:tc>
          <w:tcPr>
            <w:tcW w:w="6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68" w:right="55"/>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1073" w:type="dxa"/>
            <w:vMerge/>
            <w:tcBorders>
              <w:left w:val="single" w:sz="4" w:space="0" w:color="000000"/>
              <w:bottom w:val="nil" w:sz="6" w:space="0" w:color="auto"/>
              <w:right w:val="single" w:sz="4" w:space="0" w:color="000000"/>
            </w:tcBorders>
            <w:shd w:val="clear" w:color="auto" w:fill="D3D3D3"/>
          </w:tcPr>
          <w:p>
            <w:pPr/>
          </w:p>
        </w:tc>
        <w:tc>
          <w:tcPr>
            <w:tcW w:w="9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85" w:right="85"/>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73" w:type="dxa"/>
            <w:vMerge/>
            <w:tcBorders>
              <w:left w:val="single" w:sz="4" w:space="0" w:color="000000"/>
              <w:bottom w:val="nil" w:sz="6" w:space="0" w:color="auto"/>
              <w:right w:val="single" w:sz="4" w:space="0" w:color="000000"/>
            </w:tcBorders>
            <w:shd w:val="clear" w:color="auto" w:fill="D3D3D3"/>
          </w:tcPr>
          <w:p>
            <w:pPr/>
          </w:p>
        </w:tc>
      </w:tr>
      <w:tr>
        <w:trPr>
          <w:trHeight w:val="239" w:hRule="exact"/>
        </w:trPr>
        <w:tc>
          <w:tcPr>
            <w:tcW w:w="23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5"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165" w:right="86"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852" w:type="dxa"/>
            <w:vMerge/>
            <w:tcBorders>
              <w:left w:val="single" w:sz="4" w:space="0" w:color="000000"/>
              <w:right w:val="single" w:sz="4" w:space="0" w:color="000000"/>
            </w:tcBorders>
            <w:shd w:val="clear" w:color="auto" w:fill="D3D3D3"/>
          </w:tcPr>
          <w:p>
            <w:pPr/>
          </w:p>
        </w:tc>
        <w:tc>
          <w:tcPr>
            <w:tcW w:w="937" w:type="dxa"/>
            <w:vMerge/>
            <w:tcBorders>
              <w:left w:val="single" w:sz="4" w:space="0" w:color="000000"/>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10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3"/>
              <w:ind w:left="255" w:right="86"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03" w:type="dxa"/>
            <w:vMerge/>
            <w:tcBorders>
              <w:left w:val="single" w:sz="4" w:space="0" w:color="000000"/>
              <w:right w:val="single" w:sz="4" w:space="0" w:color="000000"/>
            </w:tcBorders>
            <w:shd w:val="clear" w:color="auto" w:fill="D3D3D3"/>
          </w:tcPr>
          <w:p>
            <w:pP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6" w:lineRule="exact"/>
              <w:ind w:left="17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378" w:type="dxa"/>
            <w:vMerge w:val="restart"/>
            <w:tcBorders>
              <w:top w:val="nil" w:sz="6" w:space="0" w:color="auto"/>
              <w:left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
        </w:tc>
        <w:tc>
          <w:tcPr>
            <w:tcW w:w="1073" w:type="dxa"/>
            <w:vMerge/>
            <w:tcBorders>
              <w:left w:val="single" w:sz="4" w:space="0" w:color="000000"/>
              <w:bottom w:val="nil" w:sz="6" w:space="0" w:color="auto"/>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937" w:type="dxa"/>
            <w:vMerge/>
            <w:tcBorders>
              <w:left w:val="single" w:sz="4" w:space="0" w:color="000000"/>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1073" w:type="dxa"/>
            <w:vMerge/>
            <w:tcBorders>
              <w:left w:val="single" w:sz="4" w:space="0" w:color="000000"/>
              <w:bottom w:val="nil" w:sz="6" w:space="0" w:color="auto"/>
              <w:right w:val="single" w:sz="4" w:space="0" w:color="000000"/>
            </w:tcBorders>
            <w:shd w:val="clear" w:color="auto" w:fill="D3D3D3"/>
          </w:tcPr>
          <w:p>
            <w:pPr/>
          </w:p>
        </w:tc>
        <w:tc>
          <w:tcPr>
            <w:tcW w:w="903" w:type="dxa"/>
            <w:vMerge/>
            <w:tcBorders>
              <w:left w:val="single" w:sz="4" w:space="0" w:color="000000"/>
              <w:right w:val="single" w:sz="4" w:space="0" w:color="000000"/>
            </w:tcBorders>
            <w:shd w:val="clear" w:color="auto" w:fill="D3D3D3"/>
          </w:tcPr>
          <w:p>
            <w:pPr/>
          </w:p>
        </w:tc>
        <w:tc>
          <w:tcPr>
            <w:tcW w:w="1073" w:type="dxa"/>
            <w:vMerge w:val="restart"/>
            <w:tcBorders>
              <w:top w:val="nil" w:sz="6" w:space="0" w:color="auto"/>
              <w:left w:val="single" w:sz="4" w:space="0" w:color="000000"/>
              <w:right w:val="single" w:sz="4" w:space="0" w:color="000000"/>
            </w:tcBorders>
            <w:shd w:val="clear" w:color="auto" w:fill="D3D3D3"/>
          </w:tcPr>
          <w:p>
            <w:pPr/>
          </w:p>
        </w:tc>
      </w:tr>
      <w:tr>
        <w:trPr>
          <w:trHeight w:val="120" w:hRule="exact"/>
        </w:trPr>
        <w:tc>
          <w:tcPr>
            <w:tcW w:w="2378"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73" w:type="dxa"/>
            <w:vMerge w:val="restart"/>
            <w:tcBorders>
              <w:top w:val="nil" w:sz="6" w:space="0" w:color="auto"/>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937" w:type="dxa"/>
            <w:vMerge/>
            <w:tcBorders>
              <w:left w:val="single" w:sz="4" w:space="0" w:color="000000"/>
              <w:right w:val="single" w:sz="4" w:space="0" w:color="000000"/>
            </w:tcBorders>
            <w:shd w:val="clear" w:color="auto" w:fill="D3D3D3"/>
          </w:tcPr>
          <w:p>
            <w:pPr/>
          </w:p>
        </w:tc>
        <w:tc>
          <w:tcPr>
            <w:tcW w:w="676" w:type="dxa"/>
            <w:vMerge/>
            <w:tcBorders>
              <w:left w:val="single" w:sz="4" w:space="0" w:color="000000"/>
              <w:bottom w:val="nil" w:sz="6" w:space="0" w:color="auto"/>
              <w:right w:val="single" w:sz="4" w:space="0" w:color="000000"/>
            </w:tcBorders>
            <w:shd w:val="clear" w:color="auto" w:fill="D3D3D3"/>
          </w:tcPr>
          <w:p>
            <w:pPr/>
          </w:p>
        </w:tc>
        <w:tc>
          <w:tcPr>
            <w:tcW w:w="1073" w:type="dxa"/>
            <w:vMerge w:val="restart"/>
            <w:tcBorders>
              <w:top w:val="nil" w:sz="6" w:space="0" w:color="auto"/>
              <w:left w:val="single" w:sz="4" w:space="0" w:color="000000"/>
              <w:right w:val="single" w:sz="4" w:space="0" w:color="000000"/>
            </w:tcBorders>
            <w:shd w:val="clear" w:color="auto" w:fill="D3D3D3"/>
          </w:tcPr>
          <w:p>
            <w:pPr/>
          </w:p>
        </w:tc>
        <w:tc>
          <w:tcPr>
            <w:tcW w:w="903" w:type="dxa"/>
            <w:vMerge/>
            <w:tcBorders>
              <w:left w:val="single" w:sz="4" w:space="0" w:color="000000"/>
              <w:bottom w:val="nil" w:sz="6" w:space="0" w:color="auto"/>
              <w:right w:val="single" w:sz="4" w:space="0" w:color="000000"/>
            </w:tcBorders>
            <w:shd w:val="clear" w:color="auto" w:fill="D3D3D3"/>
          </w:tcPr>
          <w:p>
            <w:pPr/>
          </w:p>
        </w:tc>
        <w:tc>
          <w:tcPr>
            <w:tcW w:w="1073" w:type="dxa"/>
            <w:vMerge/>
            <w:tcBorders>
              <w:left w:val="single" w:sz="4" w:space="0" w:color="000000"/>
              <w:right w:val="single" w:sz="4" w:space="0" w:color="000000"/>
            </w:tcBorders>
            <w:shd w:val="clear" w:color="auto" w:fill="D3D3D3"/>
          </w:tcPr>
          <w:p>
            <w:pPr/>
          </w:p>
        </w:tc>
      </w:tr>
      <w:tr>
        <w:trPr>
          <w:trHeight w:val="245" w:hRule="exact"/>
        </w:trPr>
        <w:tc>
          <w:tcPr>
            <w:tcW w:w="2378"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73"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937" w:type="dxa"/>
            <w:vMerge/>
            <w:tcBorders>
              <w:left w:val="single" w:sz="4" w:space="0" w:color="000000"/>
              <w:bottom w:val="single" w:sz="4" w:space="0" w:color="000000"/>
              <w:right w:val="single" w:sz="4" w:space="0" w:color="000000"/>
            </w:tcBorders>
            <w:shd w:val="clear" w:color="auto" w:fill="D3D3D3"/>
          </w:tcPr>
          <w:p>
            <w:pPr/>
          </w:p>
        </w:tc>
        <w:tc>
          <w:tcPr>
            <w:tcW w:w="6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3" w:type="dxa"/>
            <w:vMerge/>
            <w:tcBorders>
              <w:left w:val="single" w:sz="4" w:space="0" w:color="000000"/>
              <w:bottom w:val="single" w:sz="4" w:space="0" w:color="000000"/>
              <w:right w:val="single" w:sz="4" w:space="0" w:color="000000"/>
            </w:tcBorders>
            <w:shd w:val="clear" w:color="auto" w:fill="D3D3D3"/>
          </w:tcPr>
          <w:p>
            <w:pPr/>
          </w:p>
        </w:tc>
        <w:tc>
          <w:tcPr>
            <w:tcW w:w="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3" w:type="dxa"/>
            <w:vMerge/>
            <w:tcBorders>
              <w:left w:val="single" w:sz="4" w:space="0" w:color="000000"/>
              <w:bottom w:val="single" w:sz="4" w:space="0" w:color="000000"/>
              <w:right w:val="single" w:sz="4" w:space="0" w:color="000000"/>
            </w:tcBorders>
            <w:shd w:val="clear" w:color="auto" w:fill="D3D3D3"/>
          </w:tcPr>
          <w:p>
            <w:pPr/>
          </w:p>
        </w:tc>
      </w:tr>
      <w:tr>
        <w:trPr>
          <w:trHeight w:val="490"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23"/>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综合收益</w:t>
            </w:r>
          </w:p>
        </w:tc>
        <w:tc>
          <w:tcPr>
            <w:tcW w:w="1001" w:type="dxa"/>
            <w:tcBorders>
              <w:top w:val="single" w:sz="4" w:space="0" w:color="000000"/>
              <w:left w:val="single" w:sz="13" w:space="0" w:color="D3D3D3"/>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
              <w:jc w:val="center"/>
              <w:rPr>
                <w:rFonts w:ascii="Times New Roman" w:hAnsi="Times New Roman" w:cs="Times New Roman" w:eastAsia="Times New Roman" w:hint="default"/>
                <w:sz w:val="18"/>
                <w:szCs w:val="18"/>
              </w:rPr>
            </w:pPr>
            <w:r>
              <w:rPr>
                <w:rFonts w:ascii="Times New Roman"/>
                <w:sz w:val="18"/>
              </w:rPr>
              <w:t>-1,355,000.00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4" w:right="0"/>
              <w:jc w:val="center"/>
              <w:rPr>
                <w:rFonts w:ascii="Times New Roman" w:hAnsi="Times New Roman" w:cs="Times New Roman" w:eastAsia="Times New Roman" w:hint="default"/>
                <w:sz w:val="18"/>
                <w:szCs w:val="18"/>
              </w:rPr>
            </w:pPr>
            <w:r>
              <w:rPr>
                <w:rFonts w:ascii="Times New Roman"/>
                <w:sz w:val="18"/>
              </w:rPr>
              <w:t>-789,050.00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-565,950.00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-789,050.00</w:t>
            </w:r>
          </w:p>
        </w:tc>
      </w:tr>
      <w:tr>
        <w:trPr>
          <w:trHeight w:val="490"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94" w:firstLine="540"/>
              <w:jc w:val="left"/>
              <w:rPr>
                <w:rFonts w:ascii="宋体" w:hAnsi="宋体" w:cs="宋体" w:eastAsia="宋体" w:hint="default"/>
                <w:sz w:val="18"/>
                <w:szCs w:val="18"/>
              </w:rPr>
            </w:pPr>
            <w:r>
              <w:rPr>
                <w:rFonts w:ascii="宋体" w:hAnsi="宋体" w:cs="宋体" w:eastAsia="宋体" w:hint="default"/>
                <w:sz w:val="18"/>
                <w:szCs w:val="18"/>
              </w:rPr>
              <w:t>其他权益工具投资公 允价值变动</w:t>
            </w:r>
          </w:p>
        </w:tc>
        <w:tc>
          <w:tcPr>
            <w:tcW w:w="1001" w:type="dxa"/>
            <w:tcBorders>
              <w:top w:val="single" w:sz="4" w:space="0" w:color="000000"/>
              <w:left w:val="single" w:sz="13" w:space="0" w:color="D3D3D3"/>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
              <w:jc w:val="center"/>
              <w:rPr>
                <w:rFonts w:ascii="Times New Roman" w:hAnsi="Times New Roman" w:cs="Times New Roman" w:eastAsia="Times New Roman" w:hint="default"/>
                <w:sz w:val="18"/>
                <w:szCs w:val="18"/>
              </w:rPr>
            </w:pPr>
            <w:r>
              <w:rPr>
                <w:rFonts w:ascii="Times New Roman"/>
                <w:sz w:val="18"/>
              </w:rPr>
              <w:t>-1,355,000.00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4" w:right="0"/>
              <w:jc w:val="center"/>
              <w:rPr>
                <w:rFonts w:ascii="Times New Roman" w:hAnsi="Times New Roman" w:cs="Times New Roman" w:eastAsia="Times New Roman" w:hint="default"/>
                <w:sz w:val="18"/>
                <w:szCs w:val="18"/>
              </w:rPr>
            </w:pPr>
            <w:r>
              <w:rPr>
                <w:rFonts w:ascii="Times New Roman"/>
                <w:sz w:val="18"/>
              </w:rPr>
              <w:t>-789,050.00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-565,950.00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-789,050.00</w:t>
            </w:r>
          </w:p>
        </w:tc>
      </w:tr>
      <w:tr>
        <w:trPr>
          <w:trHeight w:val="491"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23"/>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合收益</w:t>
            </w:r>
          </w:p>
        </w:tc>
        <w:tc>
          <w:tcPr>
            <w:tcW w:w="10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7"/>
              <w:jc w:val="center"/>
              <w:rPr>
                <w:rFonts w:ascii="Times New Roman" w:hAnsi="Times New Roman" w:cs="Times New Roman" w:eastAsia="Times New Roman" w:hint="default"/>
                <w:sz w:val="18"/>
                <w:szCs w:val="18"/>
              </w:rPr>
            </w:pPr>
            <w:r>
              <w:rPr>
                <w:rFonts w:ascii="Times New Roman"/>
                <w:sz w:val="18"/>
              </w:rPr>
              <w:t>2,322,335.12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
              <w:jc w:val="center"/>
              <w:rPr>
                <w:rFonts w:ascii="Times New Roman" w:hAnsi="Times New Roman" w:cs="Times New Roman" w:eastAsia="Times New Roman" w:hint="default"/>
                <w:sz w:val="18"/>
                <w:szCs w:val="18"/>
              </w:rPr>
            </w:pPr>
            <w:r>
              <w:rPr>
                <w:rFonts w:ascii="Times New Roman"/>
                <w:sz w:val="18"/>
              </w:rPr>
              <w:t>-4,631,596.93</w:t>
            </w:r>
          </w:p>
        </w:tc>
        <w:tc>
          <w:tcPr>
            <w:tcW w:w="8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
              <w:jc w:val="center"/>
              <w:rPr>
                <w:rFonts w:ascii="Times New Roman" w:hAnsi="Times New Roman" w:cs="Times New Roman" w:eastAsia="Times New Roman" w:hint="default"/>
                <w:sz w:val="18"/>
                <w:szCs w:val="18"/>
              </w:rPr>
            </w:pPr>
            <w:r>
              <w:rPr>
                <w:rFonts w:ascii="Times New Roman"/>
                <w:sz w:val="18"/>
              </w:rPr>
              <w:t>-4,631,596.93</w:t>
            </w:r>
          </w:p>
        </w:tc>
        <w:tc>
          <w:tcPr>
            <w:tcW w:w="90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-2,309,261.81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89"/>
        <w:gridCol w:w="1001"/>
        <w:gridCol w:w="1062"/>
        <w:gridCol w:w="864"/>
        <w:gridCol w:w="948"/>
        <w:gridCol w:w="664"/>
        <w:gridCol w:w="1062"/>
        <w:gridCol w:w="926"/>
        <w:gridCol w:w="1061"/>
      </w:tblGrid>
      <w:tr>
        <w:trPr>
          <w:trHeight w:val="490"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z w:val="18"/>
                <w:szCs w:val="18"/>
              </w:rPr>
              <w:t>其中：权益法下可转损益的其 他综合收益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2,322,335.12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-4,631,596.93</w:t>
            </w:r>
          </w:p>
        </w:tc>
        <w:tc>
          <w:tcPr>
            <w:tcW w:w="86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-4,631,596.93</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-2,309,261.81</w:t>
            </w:r>
          </w:p>
        </w:tc>
      </w:tr>
      <w:tr>
        <w:trPr>
          <w:trHeight w:val="25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Times New Roman"/>
                <w:sz w:val="18"/>
              </w:rPr>
              <w:t>2,322,335.12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-5,986,596.93</w:t>
            </w:r>
          </w:p>
        </w:tc>
        <w:tc>
          <w:tcPr>
            <w:tcW w:w="86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-5,420,646.93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Times New Roman"/>
                <w:sz w:val="18"/>
              </w:rPr>
              <w:t>-565,950.00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 w:right="0"/>
              <w:jc w:val="center"/>
              <w:rPr>
                <w:rFonts w:ascii="Times New Roman" w:hAnsi="Times New Roman" w:cs="Times New Roman" w:eastAsia="Times New Roman" w:hint="default"/>
                <w:sz w:val="18"/>
                <w:szCs w:val="18"/>
              </w:rPr>
            </w:pPr>
            <w:r>
              <w:rPr>
                <w:rFonts w:ascii="Times New Roman"/>
                <w:sz w:val="18"/>
              </w:rPr>
              <w:t>-3,098,311.81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71,286,408.39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71,286,408.39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71,286,408.39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71,286,408.39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73" w:right="3896" w:hanging="420"/>
        <w:jc w:val="left"/>
      </w:pPr>
      <w:r>
        <w:rPr/>
        <w:t>盈余公积说明，包括本期增减变动情况、变动原因说明： 本年同一控制下企业合并杭州萧文置业有限公司，冲减盈余公积</w:t>
      </w:r>
      <w:r>
        <w:rPr>
          <w:rFonts w:ascii="Times New Roman" w:hAnsi="Times New Roman" w:cs="Times New Roman" w:eastAsia="Times New Roman" w:hint="default"/>
        </w:rPr>
        <w:t>71,286,408.39</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1,033,564,450.39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943,649,656.35</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-12,199,360.02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-1,415,027.80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1,021,365,090.37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942,234,628.55</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18,904,455.37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103,889,816.40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11,194,682.51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15,265,476.15</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-150,536,891.61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878,537,971.62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1,030,858,968.80</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-9,493,878.43</w:t>
      </w:r>
      <w:r>
        <w:rPr>
          <w:rFonts w:ascii="Times New Roman" w:hAnsi="Times New Roman" w:cs="Times New Roman" w:eastAsia="Times New Roman" w:hint="default"/>
          <w:spacing w:val="-3"/>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-2,705,481.59</w:t>
      </w:r>
      <w:r>
        <w:rPr>
          <w:rFonts w:ascii="Times New Roman" w:hAnsi="Times New Roman" w:cs="Times New Roman" w:eastAsia="Times New Roman" w:hint="default"/>
          <w:spacing w:val="-3"/>
        </w:rPr>
        <w:t> </w:t>
      </w:r>
      <w:r>
        <w:rPr/>
        <w:t>元。</w:t>
      </w:r>
    </w:p>
    <w:p>
      <w:pPr>
        <w:pStyle w:val="BodyText"/>
        <w:spacing w:line="240" w:lineRule="auto" w:before="102"/>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17"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1,757,793,119.96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1,296,203,386.40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1,661,431,722.55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1,185,762,377.24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64,269,212.59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55,535,189.57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88,061,679.23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81,163,396.38</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1,822,062,332.55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1,351,738,575.97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1,749,493,401.78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1,266,925,773.62</w:t>
            </w:r>
          </w:p>
        </w:tc>
      </w:tr>
    </w:tbl>
    <w:p>
      <w:pPr>
        <w:pStyle w:val="BodyText"/>
        <w:spacing w:line="240" w:lineRule="auto" w:before="51"/>
        <w:ind w:right="0"/>
        <w:jc w:val="left"/>
      </w:pPr>
      <w:r>
        <w:rPr/>
        <w:t>是否已执行新收入准则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2,151,437.12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2,221,773.89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938,620.84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967,680.95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1,039,938.22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1,045,890.16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445,413.26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406,984.89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1,578,001.75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610,109.18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10,957,393.55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12,877,281.00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1,090,020.66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1,288,664.59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621,695.29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648,084.50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15,529.89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10,694.60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5,488.81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10,066.41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18,843,539.39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20,087,230.17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46,818,322.95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46,476,444.37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发行服务费（奖励、订报劳务费等）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42,474,135.08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37,575,754.73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10,261,050.50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9,562,963.41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活动与宣传费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9,761,848.53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7,630,359.95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运输及汽车保险费、交通费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10,730,678.81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13,701,405.49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5,559,233.25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6,692,578.58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2,140,766.52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2,100,747.45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1,994,894.30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1,422,492.49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招生服务费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398,640.80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203,399.40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4,828,953.21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6,436,749.60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134,968,523.95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131,802,895.47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130,559,711.18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119,092,822.22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23,440,915.83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14,301,230.15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7,814,345.43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8,411,254.69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6,727,304.33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5,236,297.25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5,223,521.60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3,487,652.14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5,875,170.71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5,809,981.24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3,649,668.04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3,031,967.01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2,428,192.87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3,200,541.69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邮电费（快递、电话费、通信费）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1,791,012.45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1,457,506.64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11,748,072.43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9,166,442.98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199,257,914.87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173,195,696.01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7,789,155.10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5,304,550.38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5,682,170.28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3,712,556.74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297,200.61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143,161.41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1,079,312.94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1,452,606.20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14,847,838.93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10,612,874.73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22,122,486.10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18,008,260.55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1,639,443.66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1,358,385.20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6,794,006.26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6,266,693.63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945,942.60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1,027,974.36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14,634,732.67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11,409,752.57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无偿使用政府承租的房屋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10,280,247.48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杭州网全媒体采编发布系统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公益免费广告财政补贴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增值税进项税加计抵扣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3,152,124.48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华媒智谷运营补贴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文博会一带一路补助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年度萧山区会展奖励扶持资金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1,134,724.00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钱江世纪城管委会会展补助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网络问政平台补助费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杭州网媒体智库项目补助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文创资金补助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年市级以上众创空间奖励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网络访谈补助经费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年第一批市级众创空间补助经费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年度中央补助文化产业发展专项资 金：环保型绿色印刷设备扩能改造及其 应用示范项目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年第三批文化创意资金区级配套资 金（下城区区政府）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未成年人践行核心价值观项目补助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杭州网社区爱心车位专题补助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142,122.03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112,673.55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第三批市级文化创意资金区级配套资金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第二课堂微信公众号维护补助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美德少年推选活动补助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媒体融合项目扶持资金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工业信息化财政补助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69,827.16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69,827.16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小微企业增值税减免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73,867.88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26,823.42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安保补助款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小微企业房租补助资金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党支部示范点补助经费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教师补助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下城科技局补助款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中关村科技园区昌平园管理委员会孵化 器补偿款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257,920.95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小微企业高校毕业生社保补贴收入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党员活动经费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9,574.20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上城区市委宣传部补助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DSF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失业金补贴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2,981.99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重构世界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区块链新经济杭州峰会市 级补助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省优秀众创空间奖励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第二课堂微信报送信息系统开发补助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情暖恩施公益夏令营活动补助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杭州城西科创产业集聚区创新发展专项 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动漫游戏产业资助资金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79,460.40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梦想小镇创新创业活动补助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梦想小镇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年第三批孵化器考核奖励 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34,096,012.23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10,968,146.32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4650"/>
        <w:gridCol w:w="2422"/>
        <w:gridCol w:w="2479"/>
      </w:tblGrid>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27,550,398.03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38,118,512.76</w:t>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1,254,946.50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1,752,749.99</w:t>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15,223,144.68</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365,674.40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422" w:type="dxa"/>
            <w:tcBorders>
              <w:top w:val="single" w:sz="4" w:space="0" w:color="000000"/>
              <w:left w:val="single" w:sz="13" w:space="0" w:color="D3D3D3"/>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-1,033,906.06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8"/>
        <w:gridCol w:w="2411"/>
        <w:gridCol w:w="2479"/>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4,553,629.50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9,249,014.47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4" w:right="0"/>
              <w:jc w:val="left"/>
              <w:rPr>
                <w:rFonts w:ascii="Times New Roman" w:hAnsi="Times New Roman" w:cs="Times New Roman" w:eastAsia="Times New Roman" w:hint="default"/>
                <w:sz w:val="18"/>
                <w:szCs w:val="18"/>
              </w:rPr>
            </w:pPr>
            <w:r>
              <w:rPr>
                <w:rFonts w:ascii="Times New Roman"/>
                <w:sz w:val="18"/>
              </w:rPr>
              <w:t>44,394,163.61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52,640,000.66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5"/>
        <w:gridCol w:w="3194"/>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681,275.86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11,267.77</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681,275.86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-5,082,002.44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-55,440.95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-23,401,017.98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-28,538,461.37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-19,807,534.07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-40,267.76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-8,929,256.28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-60,911,433.20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-434,359.11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-23,027,230.33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-83,978,931.29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-29,171,149.46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5"/>
        <w:gridCol w:w="1984"/>
        <w:gridCol w:w="3190"/>
      </w:tblGrid>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82"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处置未划分为持有待售的非流动资产时确认的收益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398,411.56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-233,295.06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398,411.56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-233,295.06</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398,411.56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-233,295.06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7"/>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50"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90"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52" w:space="0" w:color="D3D3D3"/>
              <w:left w:val="single" w:sz="13" w:space="0" w:color="D3D3D3"/>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613,300.00</w:t>
            </w:r>
          </w:p>
        </w:tc>
        <w:tc>
          <w:tcPr>
            <w:tcW w:w="2392" w:type="dxa"/>
            <w:tcBorders>
              <w:top w:val="single" w:sz="52" w:space="0" w:color="D3D3D3"/>
              <w:left w:val="single" w:sz="4" w:space="0" w:color="000000"/>
              <w:bottom w:val="single" w:sz="4" w:space="0" w:color="000000"/>
              <w:right w:val="single" w:sz="9" w:space="0" w:color="D3D3D3"/>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z w:val="18"/>
              </w:rPr>
              <w:t>358,350.00</w:t>
            </w:r>
          </w:p>
        </w:tc>
        <w:tc>
          <w:tcPr>
            <w:tcW w:w="2392"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123"/>
              <w:ind w:right="8"/>
              <w:jc w:val="right"/>
              <w:rPr>
                <w:rFonts w:ascii="Times New Roman" w:hAnsi="Times New Roman" w:cs="Times New Roman" w:eastAsia="Times New Roman" w:hint="default"/>
                <w:sz w:val="18"/>
                <w:szCs w:val="18"/>
              </w:rPr>
            </w:pPr>
            <w:r>
              <w:rPr>
                <w:rFonts w:ascii="Times New Roman"/>
                <w:sz w:val="18"/>
              </w:rPr>
              <w:t>613,300.00</w:t>
            </w:r>
          </w:p>
        </w:tc>
      </w:tr>
      <w:tr>
        <w:trPr>
          <w:trHeight w:val="330"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1.22</w:t>
            </w:r>
          </w:p>
        </w:tc>
      </w:tr>
      <w:tr>
        <w:trPr>
          <w:trHeight w:val="330"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罚没及违约金收入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422,993.49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422,993.49</w:t>
            </w:r>
          </w:p>
        </w:tc>
      </w:tr>
      <w:tr>
        <w:trPr>
          <w:trHeight w:val="330"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956.53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82,996.76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956.53</w:t>
            </w:r>
          </w:p>
        </w:tc>
      </w:tr>
      <w:tr>
        <w:trPr>
          <w:trHeight w:val="330"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无需支付的或有对价</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330"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1,648,349.16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1,045,542.23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1,648,349.16</w:t>
            </w:r>
          </w:p>
        </w:tc>
      </w:tr>
      <w:tr>
        <w:trPr>
          <w:trHeight w:val="330"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10,485,600.40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1,486,889.53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10,485,600.40</w:t>
            </w:r>
          </w:p>
        </w:tc>
      </w:tr>
    </w:tbl>
    <w:p>
      <w:pPr>
        <w:pStyle w:val="BodyText"/>
        <w:spacing w:line="240" w:lineRule="auto" w:before="51"/>
        <w:ind w:right="0"/>
        <w:jc w:val="left"/>
      </w:pPr>
      <w:r>
        <w:rPr/>
        <w:t>计入当期损益的政府补助：</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861"/>
        <w:gridCol w:w="1480"/>
        <w:gridCol w:w="388"/>
        <w:gridCol w:w="2191"/>
        <w:gridCol w:w="692"/>
        <w:gridCol w:w="490"/>
        <w:gridCol w:w="942"/>
        <w:gridCol w:w="942"/>
        <w:gridCol w:w="707"/>
      </w:tblGrid>
      <w:tr>
        <w:trPr>
          <w:trHeight w:val="971" w:hRule="exact"/>
        </w:trPr>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98" w:right="97"/>
              <w:jc w:val="both"/>
              <w:rPr>
                <w:rFonts w:ascii="宋体" w:hAnsi="宋体" w:cs="宋体" w:eastAsia="宋体" w:hint="default"/>
                <w:sz w:val="18"/>
                <w:szCs w:val="18"/>
              </w:rPr>
            </w:pPr>
            <w:r>
              <w:rPr>
                <w:rFonts w:ascii="宋体" w:hAnsi="宋体" w:cs="宋体" w:eastAsia="宋体" w:hint="default"/>
                <w:sz w:val="18"/>
                <w:szCs w:val="18"/>
              </w:rPr>
              <w:t>发 放 原 因</w:t>
            </w:r>
          </w:p>
        </w:tc>
        <w:tc>
          <w:tcPr>
            <w:tcW w:w="2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70" w:right="71"/>
              <w:jc w:val="center"/>
              <w:rPr>
                <w:rFonts w:ascii="宋体" w:hAnsi="宋体" w:cs="宋体" w:eastAsia="宋体" w:hint="default"/>
                <w:sz w:val="18"/>
                <w:szCs w:val="18"/>
              </w:rPr>
            </w:pPr>
            <w:r>
              <w:rPr>
                <w:rFonts w:ascii="宋体" w:hAnsi="宋体" w:cs="宋体" w:eastAsia="宋体" w:hint="default"/>
                <w:sz w:val="18"/>
                <w:szCs w:val="18"/>
              </w:rPr>
              <w:t>补贴是 否影响 当年盈 亏</w:t>
            </w:r>
          </w:p>
        </w:tc>
        <w:tc>
          <w:tcPr>
            <w:tcW w:w="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2"/>
              <w:ind w:left="60" w:right="59"/>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85" w:right="104"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85" w:right="10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52" w:right="53"/>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 关</w:t>
            </w:r>
          </w:p>
        </w:tc>
      </w:tr>
      <w:tr>
        <w:trPr>
          <w:trHeight w:val="970"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20"/>
              <w:ind w:left="22" w:right="26"/>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年度经 开区市科技型初创企业 区级配套资金的通知</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z w:val="18"/>
                <w:szCs w:val="18"/>
              </w:rPr>
              <w:t>杭州钱塘新区经 </w:t>
            </w:r>
            <w:r>
              <w:rPr>
                <w:rFonts w:ascii="宋体" w:hAnsi="宋体" w:cs="宋体" w:eastAsia="宋体" w:hint="default"/>
                <w:spacing w:val="-3"/>
                <w:sz w:val="18"/>
                <w:szCs w:val="18"/>
              </w:rPr>
              <w:t>发科技局、杭州钱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塘新区财政金融 局</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补 助</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285,800.00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970"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杭州市老旧车淘汰补助</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85"/>
              <w:jc w:val="left"/>
              <w:rPr>
                <w:rFonts w:ascii="宋体" w:hAnsi="宋体" w:cs="宋体" w:eastAsia="宋体" w:hint="default"/>
                <w:sz w:val="18"/>
                <w:szCs w:val="18"/>
              </w:rPr>
            </w:pPr>
            <w:r>
              <w:rPr>
                <w:rFonts w:ascii="宋体" w:hAnsi="宋体" w:cs="宋体" w:eastAsia="宋体" w:hint="default"/>
                <w:sz w:val="18"/>
                <w:szCs w:val="18"/>
              </w:rPr>
              <w:t>浙江省汽车更新 领导小组办公室</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补 助</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77,500.00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971"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21"/>
              <w:ind w:left="22" w:right="26"/>
              <w:jc w:val="left"/>
              <w:rPr>
                <w:rFonts w:ascii="宋体" w:hAnsi="宋体" w:cs="宋体" w:eastAsia="宋体" w:hint="default"/>
                <w:sz w:val="18"/>
                <w:szCs w:val="18"/>
              </w:rPr>
            </w:pPr>
            <w:r>
              <w:rPr>
                <w:rFonts w:ascii="宋体" w:hAnsi="宋体" w:cs="宋体" w:eastAsia="宋体" w:hint="default"/>
                <w:sz w:val="18"/>
                <w:szCs w:val="18"/>
              </w:rPr>
              <w:t>关于申报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年度开 发区科技创新创业政策 资金的通知</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185"/>
              <w:jc w:val="left"/>
              <w:rPr>
                <w:rFonts w:ascii="宋体" w:hAnsi="宋体" w:cs="宋体" w:eastAsia="宋体" w:hint="default"/>
                <w:sz w:val="18"/>
                <w:szCs w:val="18"/>
              </w:rPr>
            </w:pPr>
            <w:r>
              <w:rPr>
                <w:rFonts w:ascii="宋体" w:hAnsi="宋体" w:cs="宋体" w:eastAsia="宋体" w:hint="default"/>
                <w:sz w:val="18"/>
                <w:szCs w:val="18"/>
              </w:rPr>
              <w:t>杭州经济技术开 发区人才科技局</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奖 励</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50,000.00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970"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26"/>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年申报 国家重点扶持领域高新 技术企业补助资金的通 知</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4" w:lineRule="auto" w:before="101"/>
              <w:ind w:left="22" w:right="21"/>
              <w:jc w:val="left"/>
              <w:rPr>
                <w:rFonts w:ascii="宋体" w:hAnsi="宋体" w:cs="宋体" w:eastAsia="宋体" w:hint="default"/>
                <w:sz w:val="18"/>
                <w:szCs w:val="18"/>
              </w:rPr>
            </w:pPr>
            <w:r>
              <w:rPr>
                <w:rFonts w:ascii="宋体" w:hAnsi="宋体" w:cs="宋体" w:eastAsia="宋体" w:hint="default"/>
                <w:sz w:val="18"/>
                <w:szCs w:val="18"/>
              </w:rPr>
              <w:t>杭州市科学技术 </w:t>
            </w:r>
            <w:r>
              <w:rPr>
                <w:rFonts w:ascii="宋体" w:hAnsi="宋体" w:cs="宋体" w:eastAsia="宋体" w:hint="default"/>
                <w:spacing w:val="-3"/>
                <w:sz w:val="18"/>
                <w:szCs w:val="18"/>
              </w:rPr>
              <w:t>委员会、杭州市财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政局</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补 助</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200,000.00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971"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20"/>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年杭州市科技型 初创企业培育工程经费</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（第一批）</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人才科技局</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补 助</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314,200.00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244"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1"/>
        <w:gridCol w:w="1480"/>
        <w:gridCol w:w="388"/>
        <w:gridCol w:w="2191"/>
        <w:gridCol w:w="692"/>
        <w:gridCol w:w="490"/>
        <w:gridCol w:w="942"/>
        <w:gridCol w:w="942"/>
        <w:gridCol w:w="707"/>
      </w:tblGrid>
      <w:tr>
        <w:trPr>
          <w:trHeight w:val="970"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财政局营收超额奖励</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补 助</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33,400.00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971"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26"/>
              <w:jc w:val="left"/>
              <w:rPr>
                <w:rFonts w:ascii="宋体" w:hAnsi="宋体" w:cs="宋体" w:eastAsia="宋体" w:hint="default"/>
                <w:sz w:val="18"/>
                <w:szCs w:val="18"/>
              </w:rPr>
            </w:pPr>
            <w:r>
              <w:rPr>
                <w:rFonts w:ascii="宋体" w:hAnsi="宋体" w:cs="宋体" w:eastAsia="宋体" w:hint="default"/>
                <w:sz w:val="18"/>
                <w:szCs w:val="18"/>
              </w:rPr>
              <w:t>下城区科技局小微企业 补贴</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下城区科技局</w:t>
            </w:r>
          </w:p>
        </w:tc>
        <w:tc>
          <w:tcPr>
            <w:tcW w:w="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奖 励</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3"/>
              <w:jc w:val="left"/>
              <w:rPr>
                <w:rFonts w:ascii="宋体" w:hAnsi="宋体" w:cs="宋体" w:eastAsia="宋体" w:hint="default"/>
                <w:sz w:val="18"/>
                <w:szCs w:val="18"/>
              </w:rPr>
            </w:pPr>
            <w:r>
              <w:rPr>
                <w:rFonts w:ascii="宋体" w:hAnsi="宋体" w:cs="宋体" w:eastAsia="宋体" w:hint="default"/>
                <w:sz w:val="18"/>
                <w:szCs w:val="18"/>
              </w:rPr>
              <w:t>因从事国家鼓励和扶持特 </w:t>
            </w:r>
            <w:r>
              <w:rPr>
                <w:rFonts w:ascii="宋体" w:hAnsi="宋体" w:cs="宋体" w:eastAsia="宋体" w:hint="default"/>
                <w:spacing w:val="-3"/>
                <w:sz w:val="18"/>
                <w:szCs w:val="18"/>
              </w:rPr>
              <w:t>定行业、产业而获得的补助</w:t>
            </w:r>
          </w:p>
          <w:p>
            <w:pPr>
              <w:pStyle w:val="TableParagraph"/>
              <w:spacing w:line="240" w:lineRule="exact"/>
              <w:ind w:left="22" w:right="176"/>
              <w:jc w:val="left"/>
              <w:rPr>
                <w:rFonts w:ascii="宋体" w:hAnsi="宋体" w:cs="宋体" w:eastAsia="宋体" w:hint="default"/>
                <w:sz w:val="18"/>
                <w:szCs w:val="18"/>
              </w:rPr>
            </w:pPr>
            <w:r>
              <w:rPr>
                <w:rFonts w:ascii="宋体" w:hAnsi="宋体" w:cs="宋体" w:eastAsia="宋体" w:hint="default"/>
                <w:sz w:val="18"/>
                <w:szCs w:val="18"/>
              </w:rPr>
              <w:t>（按国家级政策规定依法 取得）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10,750.00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22" w:right="132"/>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250" w:hRule="exact"/>
        </w:trPr>
        <w:tc>
          <w:tcPr>
            <w:tcW w:w="18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2191"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8" w:right="0"/>
              <w:jc w:val="left"/>
              <w:rPr>
                <w:rFonts w:ascii="Times New Roman" w:hAnsi="Times New Roman" w:cs="Times New Roman" w:eastAsia="Times New Roman" w:hint="default"/>
                <w:sz w:val="18"/>
                <w:szCs w:val="18"/>
              </w:rPr>
            </w:pPr>
            <w:r>
              <w:rPr>
                <w:rFonts w:ascii="Times New Roman"/>
                <w:sz w:val="18"/>
              </w:rPr>
              <w:t>613,300.00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358,350.00</w:t>
            </w:r>
          </w:p>
        </w:tc>
        <w:tc>
          <w:tcPr>
            <w:tcW w:w="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444" w:right="0"/>
        <w:jc w:val="left"/>
      </w:pPr>
      <w:r>
        <w:rPr/>
        <w:t>本期计入营业外收入的政府补助情况详见本节、七</w:t>
      </w:r>
      <w:r>
        <w:rPr>
          <w:rFonts w:ascii="Times New Roman" w:hAnsi="Times New Roman" w:cs="Times New Roman" w:eastAsia="Times New Roman" w:hint="default"/>
        </w:rPr>
        <w:t>(84)“</w:t>
      </w:r>
      <w:r>
        <w:rPr/>
        <w:t>政府补助</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199,600.00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罚款、罚金、滞纳金支出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148,695.56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387,187.33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148,695.56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33,840.24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661,937.64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33,840.24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107,523.61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493,306.02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107,523.61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554,459.41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1,561,430.99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554,459.41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8,155,033.07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12,384,046.56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-1,290,976.30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2,808,729.54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6,864,056.77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15,192,776.10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64,754,818.36</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16,188,704.59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-23,051,391.22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-9,480.74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-2,505,164.75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7,825,528.30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-65,257.64</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8,980,342.55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-2,906.17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税法规定的额外扣除项目</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-496,318.15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6,864,056.77</w:t>
            </w:r>
          </w:p>
        </w:tc>
      </w:tr>
    </w:tbl>
    <w:p>
      <w:pPr>
        <w:spacing w:line="240" w:lineRule="auto" w:before="2"/>
        <w:rPr>
          <w:rFonts w:ascii="宋体" w:hAnsi="宋体" w:cs="宋体" w:eastAsia="宋体" w:hint="default"/>
          <w:sz w:val="19"/>
          <w:szCs w:val="19"/>
        </w:rPr>
      </w:pPr>
    </w:p>
    <w:p>
      <w:pPr>
        <w:spacing w:line="547" w:lineRule="auto" w:before="35"/>
        <w:ind w:left="154" w:right="85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详见附注十二节、七、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6,794,006.26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5,114,568.63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18,350,145.62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10,698,596.57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68,871,058.26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82,870,273.28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收回票据保证金及保函保证金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20,893,910.80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23,197,201.80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114,909,120.94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121,880,640.28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149,292,676.23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134,699,355.59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48,457,260.26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41,603,851.03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支付票据保证金、保函保证金及其他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17,756,798.69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20,893,910.80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215,506,735.18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197,197,117.42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收回对非金融机构借款的本金及利息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6,170,865.47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6,170,865.47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2977"/>
        <w:gridCol w:w="2480"/>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对非金融机构借款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15,576,400.00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丧失子公司控制权日子公司现金及现金等价物金额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11,692,569.30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27,268,969.30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204"/>
        <w:gridCol w:w="1745"/>
        <w:gridCol w:w="1745"/>
      </w:tblGrid>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支付同一控制下企业合并支付的现金对价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215,721,300.00</w:t>
            </w: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支付以前年度非同一控制下企业合并支付的现金对价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76,526,000.00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109,152,963.26</w:t>
            </w:r>
          </w:p>
        </w:tc>
      </w:tr>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归还非金融机构的借款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73,790,208.53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34,610,165.83</w:t>
            </w:r>
          </w:p>
        </w:tc>
      </w:tr>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收购少数股东股权支付对价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5,928,500.00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支付以前年度同一控制下企业合并支付的现金对价</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71,271,950.00</w:t>
            </w:r>
          </w:p>
        </w:tc>
      </w:tr>
      <w:tr>
        <w:trPr>
          <w:trHeight w:val="402" w:hRule="exact"/>
        </w:trPr>
        <w:tc>
          <w:tcPr>
            <w:tcW w:w="6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371,966,008.53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219,935,079.09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6239"/>
        <w:gridCol w:w="1717"/>
        <w:gridCol w:w="1727"/>
      </w:tblGrid>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57,890,761.59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154,406,831.88</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112,517,392.66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29,171,149.46</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24,102,352.94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26,468,560.86</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3,974,151.20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3,479,449.65</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11,237,369.23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7,178,735.08</w:t>
            </w:r>
          </w:p>
        </w:tc>
      </w:tr>
      <w:tr>
        <w:trPr>
          <w:trHeight w:val="402" w:hRule="exact"/>
        </w:trPr>
        <w:tc>
          <w:tcPr>
            <w:tcW w:w="6239"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22" w:space="0" w:color="FFFFFF"/>
              <w:bottom w:val="single" w:sz="4" w:space="0" w:color="000000"/>
              <w:right w:val="single" w:sz="4" w:space="0" w:color="000000"/>
            </w:tcBorders>
          </w:tcPr>
          <w:p>
            <w:pPr>
              <w:pStyle w:val="TableParagraph"/>
              <w:tabs>
                <w:tab w:pos="797" w:val="left" w:leader="none"/>
              </w:tabs>
              <w:spacing w:line="240" w:lineRule="auto" w:before="52"/>
              <w:ind w:left="-150"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-398,411.56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233,295.06</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32,883.71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578,940.88</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-681,275.86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-11,267.77</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20,482,796.33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15,496,346.84</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-44,394,163.61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-52,640,000.66</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-1,277,428.19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2,817,761.61</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-13,548.11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-9,032.07</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14,835,096.71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-11,848,136.15</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-46,743,125.72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-496,645.61</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67,688,376.30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89,467,766.60</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4" w:space="0" w:color="000000"/>
              <w:left w:val="single" w:sz="13" w:space="0" w:color="D3D3D3"/>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-14,350.80</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219,253,227.62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264,279,404.86</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779,468,205.48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750,211,007.95</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750,211,007.95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734,136,374.79</w:t>
            </w:r>
          </w:p>
        </w:tc>
      </w:tr>
      <w:tr>
        <w:trPr>
          <w:trHeight w:val="402" w:hRule="exact"/>
        </w:trPr>
        <w:tc>
          <w:tcPr>
            <w:tcW w:w="6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29,257,197.53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16,074,633.16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76,526,000.00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69,426,000.00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76,526,000.00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779,468,205.48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750,211,007.95</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618,821.50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716,398.51</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777,783,941.89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747,826,345.45</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1,065,442.09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1,668,263.99</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779,468,205.48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750,211,007.95</w:t>
            </w:r>
          </w:p>
        </w:tc>
      </w:tr>
    </w:tbl>
    <w:p>
      <w:pPr>
        <w:pStyle w:val="BodyText"/>
        <w:spacing w:line="240" w:lineRule="auto" w:before="51"/>
        <w:ind w:right="0"/>
        <w:jc w:val="left"/>
      </w:pPr>
      <w:r>
        <w:rPr/>
        <w:t>其他说明：</w:t>
      </w:r>
    </w:p>
    <w:p>
      <w:pPr>
        <w:pStyle w:val="BodyText"/>
        <w:spacing w:line="300" w:lineRule="auto" w:before="116"/>
        <w:ind w:left="153" w:right="1130" w:firstLine="420"/>
        <w:jc w:val="both"/>
      </w:pPr>
      <w:r>
        <w:rPr>
          <w:rFonts w:ascii="Times New Roman" w:hAnsi="Times New Roman" w:cs="Times New Roman" w:eastAsia="Times New Roman" w:hint="default"/>
          <w:spacing w:val="-1"/>
        </w:rPr>
        <w:t>2019</w:t>
      </w:r>
      <w:r>
        <w:rPr>
          <w:spacing w:val="-1"/>
        </w:rPr>
        <w:t>年度现金流量表中现金期末数为</w:t>
      </w:r>
      <w:r>
        <w:rPr>
          <w:rFonts w:ascii="Times New Roman" w:hAnsi="Times New Roman" w:cs="Times New Roman" w:eastAsia="Times New Roman" w:hint="default"/>
          <w:spacing w:val="-1"/>
        </w:rPr>
        <w:t>779,468,205.48</w:t>
      </w:r>
      <w:r>
        <w:rPr>
          <w:spacing w:val="-1"/>
        </w:rPr>
        <w:t>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日资产负债表中货币资金期末数为</w:t>
      </w:r>
      <w:r>
        <w:rPr>
          <w:rFonts w:ascii="Times New Roman" w:hAnsi="Times New Roman" w:cs="Times New Roman" w:eastAsia="Times New Roman" w:hint="default"/>
          <w:spacing w:val="-1"/>
        </w:rPr>
        <w:t>800,225,004.17</w:t>
      </w:r>
      <w:r>
        <w:rPr>
          <w:rFonts w:ascii="Times New Roman" w:hAnsi="Times New Roman" w:cs="Times New Roman" w:eastAsia="Times New Roman" w:hint="default"/>
        </w:rPr>
        <w:t> </w:t>
      </w:r>
      <w:r>
        <w:rPr>
          <w:spacing w:val="-3"/>
        </w:rPr>
        <w:t>元，差额</w:t>
      </w:r>
      <w:r>
        <w:rPr>
          <w:rFonts w:ascii="Times New Roman" w:hAnsi="Times New Roman" w:cs="Times New Roman" w:eastAsia="Times New Roman" w:hint="default"/>
          <w:spacing w:val="-3"/>
        </w:rPr>
        <w:t>20,756,798.69</w:t>
      </w:r>
      <w:r>
        <w:rPr>
          <w:spacing w:val="-3"/>
        </w:rPr>
        <w:t>元，系现金流量表现金期末数扣除了不符合现金及现金等价物标准的银行承兑汇票保证金</w:t>
      </w:r>
      <w:r>
        <w:rPr>
          <w:rFonts w:ascii="Times New Roman" w:hAnsi="Times New Roman" w:cs="Times New Roman" w:eastAsia="Times New Roman" w:hint="default"/>
          <w:spacing w:val="-3"/>
        </w:rPr>
        <w:t>15,022,824.46</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w:t>
      </w:r>
      <w:r>
        <w:rPr>
          <w:rFonts w:ascii="Times New Roman" w:hAnsi="Times New Roman" w:cs="Times New Roman" w:eastAsia="Times New Roman" w:hint="default"/>
        </w:rPr>
        <w:t>,</w:t>
      </w:r>
      <w:r>
        <w:rPr/>
        <w:t>保函保证金</w:t>
      </w:r>
      <w:r>
        <w:rPr>
          <w:rFonts w:ascii="Times New Roman" w:hAnsi="Times New Roman" w:cs="Times New Roman" w:eastAsia="Times New Roman" w:hint="default"/>
        </w:rPr>
        <w:t>3,237,603.00</w:t>
      </w:r>
      <w:r>
        <w:rPr/>
        <w:t>元，受冻结存款</w:t>
      </w:r>
      <w:r>
        <w:rPr>
          <w:rFonts w:ascii="Times New Roman" w:hAnsi="Times New Roman" w:cs="Times New Roman" w:eastAsia="Times New Roman" w:hint="default"/>
        </w:rPr>
        <w:t>2,496,371.23</w:t>
      </w:r>
      <w:r>
        <w:rPr/>
        <w:t>元。</w:t>
      </w:r>
    </w:p>
    <w:p>
      <w:pPr>
        <w:pStyle w:val="BodyText"/>
        <w:spacing w:line="300" w:lineRule="auto" w:before="13"/>
        <w:ind w:left="153" w:right="1130" w:firstLine="420"/>
        <w:jc w:val="both"/>
      </w:pPr>
      <w:r>
        <w:rPr>
          <w:rFonts w:ascii="Times New Roman" w:hAnsi="Times New Roman" w:cs="Times New Roman" w:eastAsia="Times New Roman" w:hint="default"/>
          <w:spacing w:val="-1"/>
        </w:rPr>
        <w:t>2018</w:t>
      </w:r>
      <w:r>
        <w:rPr>
          <w:spacing w:val="-1"/>
        </w:rPr>
        <w:t>年度现金流量表中现金期末数为</w:t>
      </w:r>
      <w:r>
        <w:rPr>
          <w:rFonts w:ascii="Times New Roman" w:hAnsi="Times New Roman" w:cs="Times New Roman" w:eastAsia="Times New Roman" w:hint="default"/>
          <w:spacing w:val="-1"/>
        </w:rPr>
        <w:t>750,211,007.95</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日资产负债表中货币资金期末数为</w:t>
      </w:r>
      <w:r>
        <w:rPr>
          <w:rFonts w:ascii="Times New Roman" w:hAnsi="Times New Roman" w:cs="Times New Roman" w:eastAsia="Times New Roman" w:hint="default"/>
          <w:spacing w:val="-1"/>
        </w:rPr>
        <w:t>824,104,918.75</w:t>
      </w:r>
      <w:r>
        <w:rPr>
          <w:rFonts w:ascii="Times New Roman" w:hAnsi="Times New Roman" w:cs="Times New Roman" w:eastAsia="Times New Roman" w:hint="default"/>
        </w:rPr>
        <w:t> </w:t>
      </w:r>
      <w:r>
        <w:rPr>
          <w:spacing w:val="-3"/>
        </w:rPr>
        <w:t>元，差额</w:t>
      </w:r>
      <w:r>
        <w:rPr>
          <w:rFonts w:ascii="Times New Roman" w:hAnsi="Times New Roman" w:cs="Times New Roman" w:eastAsia="Times New Roman" w:hint="default"/>
          <w:spacing w:val="-3"/>
        </w:rPr>
        <w:t>73,893,910.80</w:t>
      </w:r>
      <w:r>
        <w:rPr>
          <w:spacing w:val="-3"/>
        </w:rPr>
        <w:t>元，系现金流量表现金期末数扣除了不符合现金及现金等价物标准的银行承兑汇票保证金</w:t>
      </w:r>
      <w:r>
        <w:rPr>
          <w:rFonts w:ascii="Times New Roman" w:hAnsi="Times New Roman" w:cs="Times New Roman" w:eastAsia="Times New Roman" w:hint="default"/>
          <w:spacing w:val="-3"/>
        </w:rPr>
        <w:t>20,893,910.80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w:t>
      </w:r>
      <w:r>
        <w:rPr>
          <w:rFonts w:ascii="Times New Roman" w:hAnsi="Times New Roman" w:cs="Times New Roman" w:eastAsia="Times New Roman" w:hint="default"/>
        </w:rPr>
        <w:t>,</w:t>
      </w:r>
      <w:r>
        <w:rPr/>
        <w:t>保函保证金</w:t>
      </w:r>
      <w:r>
        <w:rPr>
          <w:rFonts w:ascii="Times New Roman" w:hAnsi="Times New Roman" w:cs="Times New Roman" w:eastAsia="Times New Roman" w:hint="default"/>
        </w:rPr>
        <w:t>3,000,000.00</w:t>
      </w:r>
      <w:r>
        <w:rPr/>
        <w:t>元，不能随时支取的定期存款</w:t>
      </w:r>
      <w:r>
        <w:rPr>
          <w:rFonts w:ascii="Times New Roman" w:hAnsi="Times New Roman" w:cs="Times New Roman" w:eastAsia="Times New Roman" w:hint="default"/>
        </w:rPr>
        <w:t>50,000,000.00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74" w:right="0" w:hanging="42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w:t>
      </w:r>
      <w:r>
        <w:rPr>
          <w:spacing w:val="-3"/>
        </w:rPr>
        <w:t>本年本公司同一控制下企业合并杭州萧文置业有限公司，合并时点为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14</w:t>
      </w:r>
      <w:r>
        <w:rPr>
          <w:spacing w:val="-3"/>
        </w:rPr>
        <w:t>日，对期初所有者权益进行追溯调整，</w:t>
      </w:r>
    </w:p>
    <w:p>
      <w:pPr>
        <w:pStyle w:val="BodyText"/>
        <w:spacing w:line="230" w:lineRule="exact"/>
        <w:ind w:right="0"/>
        <w:jc w:val="left"/>
      </w:pPr>
      <w:r>
        <w:rPr/>
        <w:t>杭州萧文置业有限公司注册资本</w:t>
      </w:r>
      <w:r>
        <w:rPr>
          <w:rFonts w:ascii="Times New Roman" w:hAnsi="Times New Roman" w:cs="Times New Roman" w:eastAsia="Times New Roman" w:hint="default"/>
        </w:rPr>
        <w:t>157,000,000.00</w:t>
      </w:r>
      <w:r>
        <w:rPr/>
        <w:t>元人民币，本公司收购</w:t>
      </w:r>
      <w:r>
        <w:rPr>
          <w:rFonts w:ascii="Times New Roman" w:hAnsi="Times New Roman" w:cs="Times New Roman" w:eastAsia="Times New Roman" w:hint="default"/>
        </w:rPr>
        <w:t>55%</w:t>
      </w:r>
      <w:r>
        <w:rPr/>
        <w:t>股权，调整资本公积</w:t>
      </w:r>
      <w:r>
        <w:rPr>
          <w:rFonts w:ascii="Times New Roman" w:hAnsi="Times New Roman" w:cs="Times New Roman" w:eastAsia="Times New Roman" w:hint="default"/>
        </w:rPr>
        <w:t>86,350,000.00</w:t>
      </w:r>
      <w:r>
        <w:rPr/>
        <w:t>元，杭州萧文置</w:t>
      </w:r>
    </w:p>
    <w:p>
      <w:pPr>
        <w:pStyle w:val="BodyText"/>
        <w:spacing w:line="240" w:lineRule="auto" w:before="63"/>
        <w:ind w:right="0"/>
        <w:jc w:val="left"/>
      </w:pPr>
      <w:r>
        <w:rPr/>
        <w:t>业有限公司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日净资产</w:t>
      </w:r>
      <w:r>
        <w:rPr>
          <w:rFonts w:ascii="Times New Roman" w:hAnsi="Times New Roman" w:cs="Times New Roman" w:eastAsia="Times New Roman" w:hint="default"/>
        </w:rPr>
        <w:t>152,080,942.56</w:t>
      </w:r>
      <w:r>
        <w:rPr/>
        <w:t>元，调整未分配利润</w:t>
      </w:r>
      <w:r>
        <w:rPr>
          <w:rFonts w:ascii="Times New Roman" w:hAnsi="Times New Roman" w:cs="Times New Roman" w:eastAsia="Times New Roman" w:hint="default"/>
        </w:rPr>
        <w:t>-2,705,481.59</w:t>
      </w:r>
      <w:r>
        <w:rPr/>
        <w:t>元，调整少数股东权益</w:t>
      </w:r>
      <w:r>
        <w:rPr>
          <w:rFonts w:ascii="Times New Roman" w:hAnsi="Times New Roman" w:cs="Times New Roman" w:eastAsia="Times New Roman" w:hint="default"/>
        </w:rPr>
        <w:t>68,436,424.15</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72"/>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3,237,603.00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15,022,824.46</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16"/>
        <w:gridCol w:w="3068"/>
        <w:gridCol w:w="3172"/>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2,496,371.23</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因诉讼被冻结</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202,975,216.50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长期借款股权质押</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223,732,015.19</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422"/>
        <w:gridCol w:w="1561"/>
        <w:gridCol w:w="1286"/>
        <w:gridCol w:w="2424"/>
      </w:tblGrid>
      <w:tr>
        <w:trPr>
          <w:trHeight w:val="401" w:hRule="exact"/>
        </w:trPr>
        <w:tc>
          <w:tcPr>
            <w:tcW w:w="4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无偿使用政府承租的房屋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10,280,247.48</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10,280,247.48</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杭州网全媒体采编发布系统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公益免费广告财政补贴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增值税进项税加计抵扣</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3,152,124.48</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3,152,124.48</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印刷补助款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华媒智谷运营补贴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文博会一带一路补助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年度萧山区会展奖励扶持资金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1,134,724.00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1,134,724.00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钱江世纪城管委会会展补助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网络问政平台补助费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杭州网媒体智库项目补助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文创资金补助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年市级以上众创空间奖励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网络访谈补助经费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年第一批市级众创空间补助经费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5"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钱塘新区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年度科技型初创企业培育工程第二年度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（区级配套）资助经费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422"/>
        <w:gridCol w:w="1561"/>
        <w:gridCol w:w="1286"/>
        <w:gridCol w:w="2424"/>
      </w:tblGrid>
      <w:tr>
        <w:trPr>
          <w:trHeight w:val="714"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年度中央补助文化产业发展专项资金：环保型绿色 印刷设备扩能改造及其应用示范项目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266,666.64</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关于申报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年度开发区科技创新创业政策资金的通知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年第三批文化创意资金区级配套资金（下城区区政 府）</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未成年人践行核心价值观</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国家重点扶持领域高新技术企业补助资金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杭州网社区爱心车位专题补助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142,122.03</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142,122.03</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第三批市级文化创意资金区级配套资金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第二课堂微信公众号维护费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美德少年推选活动补助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文化创意产业专项资金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媒体融合项目扶持资金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杭州市老旧车淘汰补助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工业信息化财政补助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535,159.00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69,827.16</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小微企业增值税减免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73,867.88</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73,867.88</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安保补助款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小微企业房租补助资金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党支部示范点补助经费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教师补助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下城科技局补助款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中关村科技园区昌平园管理委员会孵化器补偿款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小微企业高校毕业生社保补贴收入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9,317.60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9,317.60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党员活动经费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上城区市委宣传部补助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DSF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失业金补贴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2,981.99</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2,981.99</w:t>
            </w:r>
          </w:p>
        </w:tc>
      </w:tr>
      <w:tr>
        <w:trPr>
          <w:trHeight w:val="402" w:hRule="exact"/>
        </w:trPr>
        <w:tc>
          <w:tcPr>
            <w:tcW w:w="44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38,891,544.46</w:t>
            </w:r>
          </w:p>
        </w:tc>
        <w:tc>
          <w:tcPr>
            <w:tcW w:w="128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34,692,879.26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0"/>
        </w:sectPr>
      </w:pPr>
    </w:p>
    <w:p>
      <w:pPr>
        <w:spacing w:line="240" w:lineRule="auto" w:before="9"/>
        <w:rPr>
          <w:rFonts w:ascii="宋体" w:hAnsi="宋体" w:cs="宋体" w:eastAsia="宋体" w:hint="default"/>
          <w:sz w:val="20"/>
          <w:szCs w:val="20"/>
        </w:rPr>
      </w:pPr>
    </w:p>
    <w:p>
      <w:pPr>
        <w:spacing w:line="487" w:lineRule="auto" w:before="35"/>
        <w:ind w:left="154" w:right="83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81"/>
        <w:gridCol w:w="1151"/>
        <w:gridCol w:w="1195"/>
        <w:gridCol w:w="807"/>
        <w:gridCol w:w="700"/>
        <w:gridCol w:w="1295"/>
        <w:gridCol w:w="1356"/>
        <w:gridCol w:w="932"/>
        <w:gridCol w:w="1450"/>
      </w:tblGrid>
      <w:tr>
        <w:trPr>
          <w:trHeight w:val="1026" w:hRule="exact"/>
        </w:trPr>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5" w:right="24"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9"/>
              <w:jc w:val="left"/>
              <w:rPr>
                <w:rFonts w:ascii="宋体" w:hAnsi="宋体" w:cs="宋体" w:eastAsia="宋体" w:hint="default"/>
                <w:sz w:val="18"/>
                <w:szCs w:val="18"/>
              </w:rPr>
            </w:pPr>
            <w:r>
              <w:rPr>
                <w:rFonts w:ascii="宋体" w:hAnsi="宋体" w:cs="宋体" w:eastAsia="宋体" w:hint="default"/>
                <w:sz w:val="18"/>
                <w:szCs w:val="18"/>
              </w:rPr>
              <w:t>企业合并中取 得的权益比例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 w:right="45"/>
              <w:jc w:val="center"/>
              <w:rPr>
                <w:rFonts w:ascii="宋体" w:hAnsi="宋体" w:cs="宋体" w:eastAsia="宋体" w:hint="default"/>
                <w:sz w:val="18"/>
                <w:szCs w:val="18"/>
              </w:rPr>
            </w:pPr>
            <w:r>
              <w:rPr>
                <w:rFonts w:ascii="宋体" w:hAnsi="宋体" w:cs="宋体" w:eastAsia="宋体" w:hint="default"/>
                <w:sz w:val="18"/>
                <w:szCs w:val="18"/>
              </w:rPr>
              <w:t>构成同一控制 下企业合并的 依据</w:t>
            </w:r>
          </w:p>
        </w:tc>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4" w:right="73"/>
              <w:jc w:val="both"/>
              <w:rPr>
                <w:rFonts w:ascii="宋体" w:hAnsi="宋体" w:cs="宋体" w:eastAsia="宋体" w:hint="default"/>
                <w:sz w:val="18"/>
                <w:szCs w:val="18"/>
              </w:rPr>
            </w:pPr>
            <w:r>
              <w:rPr>
                <w:rFonts w:ascii="宋体" w:hAnsi="宋体" w:cs="宋体" w:eastAsia="宋体" w:hint="default"/>
                <w:sz w:val="18"/>
                <w:szCs w:val="18"/>
              </w:rPr>
              <w:t>合并日 的确定 依据</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 w:right="101"/>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并方的收入</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 w:right="42"/>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的净利润</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 w:right="101"/>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比较期间被合并 方的净利润</w:t>
            </w:r>
          </w:p>
        </w:tc>
      </w:tr>
      <w:tr>
        <w:trPr>
          <w:trHeight w:val="362" w:hRule="exact"/>
        </w:trPr>
        <w:tc>
          <w:tcPr>
            <w:tcW w:w="78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w:t>
            </w:r>
          </w:p>
        </w:tc>
        <w:tc>
          <w:tcPr>
            <w:tcW w:w="115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受杭州日报报</w:t>
            </w:r>
          </w:p>
        </w:tc>
        <w:tc>
          <w:tcPr>
            <w:tcW w:w="807" w:type="dxa"/>
            <w:tcBorders>
              <w:top w:val="single" w:sz="4" w:space="0" w:color="000000"/>
              <w:left w:val="single" w:sz="13" w:space="0" w:color="C7EDCC"/>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1356"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145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8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置业有限</w:t>
            </w: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64" w:right="0"/>
              <w:jc w:val="left"/>
              <w:rPr>
                <w:rFonts w:ascii="Times New Roman" w:hAnsi="Times New Roman" w:cs="Times New Roman" w:eastAsia="Times New Roman" w:hint="default"/>
                <w:sz w:val="18"/>
                <w:szCs w:val="18"/>
              </w:rPr>
            </w:pPr>
            <w:r>
              <w:rPr>
                <w:rFonts w:ascii="Times New Roman"/>
                <w:sz w:val="18"/>
              </w:rPr>
              <w:t>55.00%</w:t>
            </w:r>
          </w:p>
        </w:tc>
        <w:tc>
          <w:tcPr>
            <w:tcW w:w="11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业集团有限公</w:t>
            </w:r>
          </w:p>
        </w:tc>
        <w:tc>
          <w:tcPr>
            <w:tcW w:w="807" w:type="dxa"/>
            <w:tcBorders>
              <w:top w:val="nil" w:sz="6" w:space="0" w:color="auto"/>
              <w:left w:val="single" w:sz="13" w:space="0" w:color="C7EDCC"/>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0.00</w:t>
            </w: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84" w:right="0"/>
              <w:jc w:val="left"/>
              <w:rPr>
                <w:rFonts w:ascii="Times New Roman" w:hAnsi="Times New Roman" w:cs="Times New Roman" w:eastAsia="Times New Roman" w:hint="default"/>
                <w:sz w:val="18"/>
                <w:szCs w:val="18"/>
              </w:rPr>
            </w:pPr>
            <w:r>
              <w:rPr>
                <w:rFonts w:ascii="Times New Roman"/>
                <w:sz w:val="18"/>
              </w:rPr>
              <w:t>0.00</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12" w:right="0"/>
              <w:jc w:val="left"/>
              <w:rPr>
                <w:rFonts w:ascii="Times New Roman" w:hAnsi="Times New Roman" w:cs="Times New Roman" w:eastAsia="Times New Roman" w:hint="default"/>
                <w:sz w:val="18"/>
                <w:szCs w:val="18"/>
              </w:rPr>
            </w:pPr>
            <w:r>
              <w:rPr>
                <w:rFonts w:ascii="Times New Roman"/>
                <w:sz w:val="18"/>
              </w:rPr>
              <w:t>-2,346,279.62</w:t>
            </w:r>
          </w:p>
        </w:tc>
      </w:tr>
      <w:tr>
        <w:trPr>
          <w:trHeight w:val="351" w:hRule="exact"/>
        </w:trPr>
        <w:tc>
          <w:tcPr>
            <w:tcW w:w="78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5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司最终控制</w:t>
            </w:r>
          </w:p>
        </w:tc>
        <w:tc>
          <w:tcPr>
            <w:tcW w:w="807" w:type="dxa"/>
            <w:tcBorders>
              <w:top w:val="nil" w:sz="6" w:space="0" w:color="auto"/>
              <w:left w:val="single" w:sz="13" w:space="0" w:color="C7EDCC"/>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left="153" w:right="1040"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根据本公司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日召开的第九届董事会第五次会议审议通过的《关于收购杭州萧文置业有限公司</w:t>
      </w:r>
      <w:r>
        <w:rPr>
          <w:rFonts w:ascii="Times New Roman" w:hAnsi="Times New Roman" w:cs="Times New Roman" w:eastAsia="Times New Roman" w:hint="default"/>
        </w:rPr>
        <w:t>55%</w:t>
      </w:r>
      <w:r>
        <w:rPr/>
        <w:t>股权 </w:t>
      </w:r>
      <w:r>
        <w:rPr>
          <w:spacing w:val="-2"/>
        </w:rPr>
        <w:t>暨关联交易的议案》，本公司以</w:t>
      </w:r>
      <w:r>
        <w:rPr>
          <w:rFonts w:ascii="Times New Roman" w:hAnsi="Times New Roman" w:cs="Times New Roman" w:eastAsia="Times New Roman" w:hint="default"/>
          <w:spacing w:val="-2"/>
        </w:rPr>
        <w:t>30,817.33</w:t>
      </w:r>
      <w:r>
        <w:rPr>
          <w:spacing w:val="-2"/>
        </w:rPr>
        <w:t>万元受让杭州日报报业集团有限公司（以下简称：杭报集团公司）持有的杭州萧文</w:t>
      </w:r>
      <w:r>
        <w:rPr>
          <w:spacing w:val="-58"/>
        </w:rPr>
        <w:t> </w:t>
      </w:r>
      <w:r>
        <w:rPr>
          <w:spacing w:val="-58"/>
        </w:rPr>
      </w:r>
      <w:r>
        <w:rPr>
          <w:spacing w:val="-3"/>
        </w:rPr>
        <w:t>置业有限公司（以下简称：萧文置业）</w:t>
      </w:r>
      <w:r>
        <w:rPr>
          <w:rFonts w:ascii="Times New Roman" w:hAnsi="Times New Roman" w:cs="Times New Roman" w:eastAsia="Times New Roman" w:hint="default"/>
          <w:spacing w:val="-3"/>
        </w:rPr>
        <w:t>55%</w:t>
      </w:r>
      <w:r>
        <w:rPr>
          <w:spacing w:val="-3"/>
        </w:rPr>
        <w:t>股权。由于本公司和萧文置业同受杭报集团公司最终控制且该项控制是非暂时的，</w:t>
      </w:r>
      <w:r>
        <w:rPr>
          <w:spacing w:val="-65"/>
        </w:rPr>
        <w:t> </w:t>
      </w:r>
      <w:r>
        <w:rPr>
          <w:spacing w:val="-65"/>
        </w:rPr>
      </w:r>
      <w:r>
        <w:rPr/>
        <w:t>故该项合并为同一控制下的企业合并。上述股权转让事宜萧文置业已于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日办妥工商变更登记手续，截至</w:t>
      </w:r>
      <w:r>
        <w:rPr>
          <w:rFonts w:ascii="Times New Roman" w:hAnsi="Times New Roman" w:cs="Times New Roman" w:eastAsia="Times New Roman" w:hint="default"/>
        </w:rPr>
        <w:t>2019</w:t>
      </w:r>
      <w:r>
        <w:rPr/>
        <w:t>年</w:t>
      </w:r>
      <w:r>
        <w:rPr>
          <w:spacing w:val="-84"/>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日，本公司已支付</w:t>
      </w:r>
      <w:r>
        <w:rPr>
          <w:rFonts w:ascii="Times New Roman" w:hAnsi="Times New Roman" w:cs="Times New Roman" w:eastAsia="Times New Roman" w:hint="default"/>
        </w:rPr>
        <w:t>21,572.13</w:t>
      </w:r>
      <w:r>
        <w:rPr/>
        <w:t>万元的股权转让价款，已拥有该公司的实质控制权，故将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日确定为合并日，</w:t>
      </w:r>
      <w:r>
        <w:rPr>
          <w:spacing w:val="-85"/>
        </w:rPr>
        <w:t> </w:t>
      </w:r>
      <w:r>
        <w:rPr>
          <w:spacing w:val="-85"/>
        </w:rPr>
      </w:r>
      <w:r>
        <w:rPr>
          <w:spacing w:val="-1"/>
        </w:rPr>
        <w:t>将其纳入合并财务报表范围。本期，本公司将其纳入合并财务报表范围，并依据《企业会计准则第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w:t>
      </w:r>
      <w:r>
        <w:rPr>
          <w:spacing w:val="-87"/>
        </w:rPr>
        <w:t> </w:t>
      </w:r>
      <w:r>
        <w:rPr>
          <w:spacing w:val="-87"/>
        </w:rPr>
      </w:r>
      <w:r>
        <w:rPr/>
        <w:t>相应调整了合并财务报表的比较数据。</w:t>
      </w:r>
    </w:p>
    <w:p>
      <w:pPr>
        <w:spacing w:after="0" w:line="300" w:lineRule="auto"/>
        <w:jc w:val="left"/>
        <w:sectPr>
          <w:pgSz w:w="11910" w:h="16840"/>
          <w:pgMar w:header="877"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72"/>
        <w:gridCol w:w="4784"/>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308,173,300.00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9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5,023,363.20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5,023,363.20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15,206.85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123,016.40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3,622,777.01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3,622,777.01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235,525,815.48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235,525,815.48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24,301,657.00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24,301,657.00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69,706.50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69,706.50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67,857,872.88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67,857,872.88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152,080,942.56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152,080,942.56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152,080,942.56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152,080,942.56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pStyle w:val="BodyText"/>
        <w:spacing w:line="338" w:lineRule="auto" w:before="116"/>
        <w:ind w:right="4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3911"/>
        <w:jc w:val="left"/>
      </w:pPr>
      <w:r>
        <w:rPr/>
        <w:t>说明其他原因导致的合并范围变动（如，新设子公司、清算子公司等）及其相关情况： 1.以直接设立或投资等方式增加的子公司</w:t>
      </w:r>
    </w:p>
    <w:p>
      <w:pPr>
        <w:pStyle w:val="BodyText"/>
        <w:spacing w:line="224" w:lineRule="exact"/>
        <w:ind w:left="153" w:right="0" w:firstLine="420"/>
        <w:jc w:val="left"/>
      </w:pPr>
      <w:r>
        <w:rPr/>
        <w:t>2019年5月，子公司中教未来国际教育科技（北京）有限公司与跞文教育科技（北京）有限公司共同出资设立中教京安</w:t>
      </w:r>
    </w:p>
    <w:p>
      <w:pPr>
        <w:pStyle w:val="BodyText"/>
        <w:spacing w:line="316" w:lineRule="auto" w:before="76"/>
        <w:ind w:left="153" w:right="1128"/>
        <w:jc w:val="both"/>
      </w:pPr>
      <w:r>
        <w:rPr>
          <w:spacing w:val="-2"/>
        </w:rPr>
        <w:t>教育科技（北京）有限公司。该公司于2019年5月10日完成工商设立登记，注册资本为人民币100万元，其中中教未来国际教</w:t>
      </w:r>
      <w:r>
        <w:rPr>
          <w:spacing w:val="-56"/>
        </w:rPr>
        <w:t> </w:t>
      </w:r>
      <w:r>
        <w:rPr>
          <w:spacing w:val="-56"/>
        </w:rPr>
      </w:r>
      <w:r>
        <w:rPr/>
        <w:t>育科技（北京）有限公司出资人民币60万元，占其注册资本的60%，拥有对其的实质控制权，故自该公司成立之日起，将其</w:t>
      </w:r>
      <w:r>
        <w:rPr>
          <w:spacing w:val="-83"/>
        </w:rPr>
        <w:t> </w:t>
      </w:r>
      <w:r>
        <w:rPr>
          <w:spacing w:val="-83"/>
        </w:rPr>
      </w:r>
      <w:r>
        <w:rPr>
          <w:spacing w:val="-2"/>
        </w:rPr>
        <w:t>纳入合并财务报表范围。截止2019年12月31日，中教京安教育科技（北京）有限公司的净资产为134,002.52元，成立日至期</w:t>
      </w:r>
      <w:r>
        <w:rPr>
          <w:spacing w:val="-48"/>
        </w:rPr>
        <w:t> </w:t>
      </w:r>
      <w:r>
        <w:rPr>
          <w:spacing w:val="-48"/>
        </w:rPr>
      </w:r>
      <w:r>
        <w:rPr/>
        <w:t>末的净利润为-345,997.48元。</w:t>
      </w:r>
    </w:p>
    <w:p>
      <w:pPr>
        <w:spacing w:after="0" w:line="316" w:lineRule="auto"/>
        <w:jc w:val="both"/>
        <w:sectPr>
          <w:pgSz w:w="11910" w:h="16840"/>
          <w:pgMar w:header="877" w:footer="982" w:top="1100" w:bottom="118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3" w:right="1127" w:firstLine="420"/>
        <w:jc w:val="both"/>
      </w:pPr>
      <w:r>
        <w:rPr/>
        <w:t>2019年5月，本公司出资设立浙江华媒智谷商业运营管理有限公司，该公司于2019年5月14日完成工商设立登记，注册 </w:t>
      </w:r>
      <w:r>
        <w:rPr>
          <w:spacing w:val="-2"/>
        </w:rPr>
        <w:t>资本为人民币3,000万元，其中本公司出资人民币3,000万元，占其注册资本的100%，拥有对其的实质控制权，故自该公司成</w:t>
      </w:r>
      <w:r>
        <w:rPr>
          <w:spacing w:val="-52"/>
        </w:rPr>
        <w:t> </w:t>
      </w:r>
      <w:r>
        <w:rPr>
          <w:spacing w:val="-52"/>
        </w:rPr>
      </w:r>
      <w:r>
        <w:rPr>
          <w:spacing w:val="-5"/>
        </w:rPr>
        <w:t>立之日起，将其纳入合并财务报表范围。截止2019年12月31日，浙江华媒智谷商业运营管理有限公司的净资产为5,023,520.22</w:t>
      </w:r>
      <w:r>
        <w:rPr>
          <w:spacing w:val="-29"/>
        </w:rPr>
        <w:t> </w:t>
      </w:r>
      <w:r>
        <w:rPr>
          <w:spacing w:val="-29"/>
        </w:rPr>
      </w:r>
      <w:r>
        <w:rPr/>
        <w:t>元，成立日至期末的净利润为23,520.22元。</w:t>
      </w:r>
    </w:p>
    <w:p>
      <w:pPr>
        <w:pStyle w:val="BodyText"/>
        <w:spacing w:line="316" w:lineRule="auto" w:before="19"/>
        <w:ind w:left="153" w:right="1041" w:firstLine="420"/>
        <w:jc w:val="left"/>
      </w:pPr>
      <w:r>
        <w:rPr/>
        <w:t>2019年5月，本公司出资设立杭州华媒文化发展有限公司，该公司于2019年5月6日完成工商设立登记，注册资本为人民 </w:t>
      </w:r>
      <w:r>
        <w:rPr>
          <w:spacing w:val="-3"/>
        </w:rPr>
        <w:t>币10,000万元，其中本公司出资人民币10,000万元，占其注册资本的100%，拥有对其的实质控制权，故自该公司成立之日起，</w:t>
      </w:r>
      <w:r>
        <w:rPr>
          <w:spacing w:val="-77"/>
        </w:rPr>
        <w:t> </w:t>
      </w:r>
      <w:r>
        <w:rPr>
          <w:spacing w:val="-77"/>
        </w:rPr>
      </w:r>
      <w:r>
        <w:rPr/>
        <w:t>将其纳入合并财务报表范围。截止2019年12月31日，浙江华媒智谷商业运营管理有限公司的净资产为99,990,165.06元，成</w:t>
      </w:r>
      <w:r>
        <w:rPr>
          <w:spacing w:val="-85"/>
        </w:rPr>
        <w:t> </w:t>
      </w:r>
      <w:r>
        <w:rPr>
          <w:spacing w:val="-85"/>
        </w:rPr>
      </w:r>
      <w:r>
        <w:rPr/>
        <w:t>立日至期末的净利润为-9,834.94元。</w:t>
      </w:r>
    </w:p>
    <w:p>
      <w:pPr>
        <w:pStyle w:val="BodyText"/>
        <w:spacing w:line="316" w:lineRule="auto" w:before="19"/>
        <w:ind w:left="153" w:right="1040" w:firstLine="420"/>
        <w:jc w:val="left"/>
        <w:rPr>
          <w:rFonts w:ascii="Times New Roman" w:hAnsi="Times New Roman" w:cs="Times New Roman" w:eastAsia="Times New Roman" w:hint="default"/>
        </w:rPr>
      </w:pPr>
      <w:r>
        <w:rPr/>
        <w:t>2019年5月，子公司北京未来大业教育科技有限公司与北京天合互联信息技术有限公司共同出资设立北京大业未来教育 </w:t>
      </w:r>
      <w:r>
        <w:rPr>
          <w:spacing w:val="-2"/>
        </w:rPr>
        <w:t>科技有限公司。该公司于2019年5月14日完成工商设立登记，注册资本为人民币100万元，其中北京未来大业教育科技有限公</w:t>
      </w:r>
      <w:r>
        <w:rPr>
          <w:spacing w:val="-56"/>
        </w:rPr>
        <w:t> </w:t>
      </w:r>
      <w:r>
        <w:rPr>
          <w:spacing w:val="-56"/>
        </w:rPr>
      </w:r>
      <w:r>
        <w:rPr>
          <w:spacing w:val="-2"/>
        </w:rPr>
        <w:t>司出资人民币60万元，占其注册资本的60%，拥有对其的实质控制权，故自该公司成立之日起，将其纳入合并财务报表范围。</w:t>
      </w:r>
      <w:r>
        <w:rPr>
          <w:spacing w:val="-60"/>
        </w:rPr>
        <w:t> </w:t>
      </w:r>
      <w:r>
        <w:rPr>
          <w:spacing w:val="-60"/>
        </w:rPr>
      </w:r>
      <w:r>
        <w:rPr/>
        <w:t>截止2019年12月31日，北京大业未来教育科技有限公司的净资产为50,705.88元，成立日至期末的净利润为-49,294.12元。 2.因其他原因减少子公司的情况</w:t>
      </w:r>
      <w:r>
        <w:rPr>
          <w:rFonts w:ascii="Times New Roman" w:hAnsi="Times New Roman" w:cs="Times New Roman" w:eastAsia="Times New Roman" w:hint="default"/>
        </w:rPr>
        <w:t>(</w:t>
      </w:r>
      <w:r>
        <w:rPr/>
        <w:t>指因破产、歇业、到期解散等原因而注销减少的子公司</w:t>
      </w:r>
      <w:r>
        <w:rPr>
          <w:rFonts w:ascii="Times New Roman" w:hAnsi="Times New Roman" w:cs="Times New Roman" w:eastAsia="Times New Roman" w:hint="default"/>
        </w:rPr>
        <w:t>)</w:t>
      </w:r>
    </w:p>
    <w:p>
      <w:pPr>
        <w:pStyle w:val="BodyText"/>
        <w:spacing w:line="300" w:lineRule="auto"/>
        <w:ind w:left="153" w:right="0" w:firstLine="420"/>
        <w:jc w:val="left"/>
      </w:pPr>
      <w:r>
        <w:rPr>
          <w:spacing w:val="-3"/>
        </w:rPr>
        <w:t>霍尔果斯东昂信息科技有限公司由于项目开发停滞，该公司董事会决议公司解散。该公司已于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日清算完毕，</w:t>
      </w:r>
      <w:r>
        <w:rPr/>
        <w:t> 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日办妥注销手续。故自该公司注销时起，不再将其纳入合并财务报表范围。</w:t>
      </w:r>
    </w:p>
    <w:p>
      <w:pPr>
        <w:pStyle w:val="BodyText"/>
        <w:spacing w:line="300" w:lineRule="auto" w:before="13"/>
        <w:ind w:left="153" w:right="0" w:firstLine="420"/>
        <w:jc w:val="left"/>
      </w:pPr>
      <w:r>
        <w:rPr/>
        <w:t>浙江融艺典当有限公司由于行业市场萎缩，公司为及时终止业务推进，该公司董事会决议公司解散。该公司已于</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日清算完毕，并于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日办妥注销手续。故自该公司注销时起，不再将其纳入合并财务报表范围。</w:t>
      </w:r>
    </w:p>
    <w:p>
      <w:pPr>
        <w:spacing w:line="240" w:lineRule="auto" w:before="1"/>
        <w:rPr>
          <w:rFonts w:ascii="宋体" w:hAnsi="宋体" w:cs="宋体" w:eastAsia="宋体" w:hint="default"/>
          <w:sz w:val="22"/>
          <w:szCs w:val="22"/>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719"/>
        <w:gridCol w:w="1022"/>
        <w:gridCol w:w="637"/>
        <w:gridCol w:w="830"/>
        <w:gridCol w:w="750"/>
        <w:gridCol w:w="750"/>
        <w:gridCol w:w="1973"/>
      </w:tblGrid>
      <w:tr>
        <w:trPr>
          <w:trHeight w:val="401" w:hRule="exact"/>
        </w:trPr>
        <w:tc>
          <w:tcPr>
            <w:tcW w:w="37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6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3719" w:type="dxa"/>
            <w:vMerge/>
            <w:tcBorders>
              <w:left w:val="single" w:sz="4" w:space="0" w:color="000000"/>
              <w:bottom w:val="single" w:sz="4" w:space="0" w:color="000000"/>
              <w:right w:val="single" w:sz="4" w:space="0" w:color="000000"/>
            </w:tcBorders>
            <w:shd w:val="clear" w:color="auto" w:fill="D3D3D3"/>
          </w:tcPr>
          <w:p>
            <w:pPr/>
          </w:p>
        </w:tc>
        <w:tc>
          <w:tcPr>
            <w:tcW w:w="1022" w:type="dxa"/>
            <w:vMerge/>
            <w:tcBorders>
              <w:left w:val="single" w:sz="4" w:space="0" w:color="000000"/>
              <w:bottom w:val="single" w:sz="4" w:space="0" w:color="000000"/>
              <w:right w:val="single" w:sz="4" w:space="0" w:color="000000"/>
            </w:tcBorders>
            <w:shd w:val="clear" w:color="auto" w:fill="D3D3D3"/>
          </w:tcPr>
          <w:p>
            <w:pPr/>
          </w:p>
        </w:tc>
        <w:tc>
          <w:tcPr>
            <w:tcW w:w="637" w:type="dxa"/>
            <w:vMerge/>
            <w:tcBorders>
              <w:left w:val="single" w:sz="4" w:space="0" w:color="000000"/>
              <w:bottom w:val="single" w:sz="4" w:space="0" w:color="000000"/>
              <w:right w:val="single" w:sz="4" w:space="0" w:color="000000"/>
            </w:tcBorders>
            <w:shd w:val="clear" w:color="auto" w:fill="D3D3D3"/>
          </w:tcPr>
          <w:p>
            <w:pPr/>
          </w:p>
        </w:tc>
        <w:tc>
          <w:tcPr>
            <w:tcW w:w="830" w:type="dxa"/>
            <w:vMerge/>
            <w:tcBorders>
              <w:left w:val="single" w:sz="4" w:space="0" w:color="000000"/>
              <w:bottom w:val="single" w:sz="4" w:space="0" w:color="000000"/>
              <w:right w:val="single" w:sz="4" w:space="0" w:color="000000"/>
            </w:tcBorders>
            <w:shd w:val="clear" w:color="auto" w:fill="D3D3D3"/>
          </w:tcPr>
          <w:p>
            <w:pP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7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center"/>
              <w:rPr>
                <w:rFonts w:ascii="Times New Roman" w:hAnsi="Times New Roman" w:cs="Times New Roman" w:eastAsia="Times New Roman" w:hint="default"/>
                <w:sz w:val="18"/>
                <w:szCs w:val="18"/>
              </w:rPr>
            </w:pPr>
            <w:r>
              <w:rPr>
                <w:rFonts w:ascii="Times New Roman"/>
                <w:sz w:val="18"/>
              </w:rPr>
              <w:t>51.00%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center"/>
              <w:rPr>
                <w:rFonts w:ascii="Times New Roman" w:hAnsi="Times New Roman" w:cs="Times New Roman" w:eastAsia="Times New Roman" w:hint="default"/>
                <w:sz w:val="18"/>
                <w:szCs w:val="18"/>
              </w:rPr>
            </w:pPr>
            <w:r>
              <w:rPr>
                <w:rFonts w:ascii="Times New Roman"/>
                <w:sz w:val="18"/>
              </w:rPr>
              <w:t>80.00%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719"/>
        <w:gridCol w:w="1022"/>
        <w:gridCol w:w="637"/>
        <w:gridCol w:w="830"/>
        <w:gridCol w:w="750"/>
        <w:gridCol w:w="750"/>
        <w:gridCol w:w="1973"/>
      </w:tblGrid>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86.00%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60.00%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杭州钱塘传媒有限公司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浙江华媒智谷商业运营管理有限公司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杭州华媒文化发展有限公司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55.00%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69.46%</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杭州都市快报研学文化传播有限公司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杭州都快投资管理有限公司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北京翻译研修学院</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北京星干线文化传播有限公司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北京未来之星人力资源服务有限公司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云南求知教育信息咨询有限公司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励耘行知教育科技（北京）有限公司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中教未来（北京）文化传播有限公司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北京文教英才科贸有限公司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云科未来科技（北京）有限公司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中网世纪教育科技（北京）有限公司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京师教培教育科技（北京）有限公司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719"/>
        <w:gridCol w:w="1022"/>
        <w:gridCol w:w="637"/>
        <w:gridCol w:w="830"/>
        <w:gridCol w:w="750"/>
        <w:gridCol w:w="750"/>
        <w:gridCol w:w="1973"/>
      </w:tblGrid>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霍尔果斯中教未来教育咨询有限公司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苏州中育教育科技有限公司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智明远扬教育科技（北京）有限公司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北京未名环球教育科技有限公司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广州励耘教育科技有限公司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杭州华媒企业管理有限公司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宁波华杭投资有限公司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合肥中教正远教育科技有限公司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中教知本教育科技（北京）有限公司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贵州中教未来教育科技有限公司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哈尔滨哈报未来教育科技有限公司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杭州知政网络科技有限公司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浙江融艺典当有限公司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北京未来大业教育科技有限公司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浙江华媒优培资产管理有限公司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中教远大教育科技（北京）有限公司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北京朋智博信教育科技有限公司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中教京安教育科技（北京）有限公司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杭州咏芝元中医诊所有限公司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杭州中韩德蔓特科技有限公司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北京星干线艺术教育科技有限公司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北京红舞星文化传播有限公司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艾特嘉信息技术（北京）有限公司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北京加美环球教育咨询有限公司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广州正索教育咨询有限公司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北京产学研教育科技有限公司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智云未来教育科技（北京）有限公司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北京领域兄弟教育科技有限公司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贵州雅致思语教育科技有限公司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杭州好声音风尚传媒有限公司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浙江智骊文化传媒有限公司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719"/>
        <w:gridCol w:w="1022"/>
        <w:gridCol w:w="637"/>
        <w:gridCol w:w="830"/>
        <w:gridCol w:w="750"/>
        <w:gridCol w:w="750"/>
        <w:gridCol w:w="1973"/>
      </w:tblGrid>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浙江华媒实业有限公司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霍尔果斯东昂信息科技有限公司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昆明市五华区云师未来培训中心</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南京博彦教育科技有限公司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珠海市励耘自学考试辅导中心</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浙江崇理启文教育科技有限公司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杭州市拱墅区华媒维翰幼儿园</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福州风盛传媒有限公司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砺行科技（北京）有限公司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北京大业未来教育科技有限公司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贵州星干线新思维文化传播有限公司</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6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w:t>
            </w:r>
          </w:p>
        </w:tc>
        <w:tc>
          <w:tcPr>
            <w:tcW w:w="19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357" w:lineRule="auto" w:before="51"/>
        <w:ind w:left="573" w:right="0" w:hanging="420"/>
        <w:jc w:val="left"/>
      </w:pPr>
      <w:r>
        <w:rPr/>
        <w:t>持有半数或以下表决权但仍控制被投资单位、以及持有半数以上表决权但不控制被投资单位的依据： </w:t>
      </w:r>
      <w:r>
        <w:rPr>
          <w:spacing w:val="-2"/>
        </w:rPr>
        <w:t>注</w:t>
      </w:r>
      <w:r>
        <w:rPr>
          <w:rFonts w:ascii="Times New Roman" w:hAnsi="Times New Roman" w:cs="Times New Roman" w:eastAsia="Times New Roman" w:hint="default"/>
          <w:spacing w:val="-2"/>
        </w:rPr>
        <w:t>1</w:t>
      </w:r>
      <w:r>
        <w:rPr>
          <w:spacing w:val="-2"/>
        </w:rPr>
        <w:t>：本公司对杭州都快投资管理有限公司持股比例为</w:t>
      </w:r>
      <w:r>
        <w:rPr>
          <w:rFonts w:ascii="Times New Roman" w:hAnsi="Times New Roman" w:cs="Times New Roman" w:eastAsia="Times New Roman" w:hint="default"/>
          <w:spacing w:val="-2"/>
        </w:rPr>
        <w:t>49.00%</w:t>
      </w:r>
      <w:r>
        <w:rPr>
          <w:spacing w:val="-2"/>
        </w:rPr>
        <w:t>，且执行董事及总经理由本公司派遣，所以对其相关活动</w:t>
      </w:r>
    </w:p>
    <w:p>
      <w:pPr>
        <w:pStyle w:val="BodyText"/>
        <w:spacing w:line="201" w:lineRule="exact"/>
        <w:ind w:left="153" w:right="0"/>
        <w:jc w:val="both"/>
      </w:pPr>
      <w:r>
        <w:rPr/>
        <w:t>实际持有半数以上的表决权，因此对杭州都快投资管理有限公司构成控制。</w:t>
      </w:r>
    </w:p>
    <w:p>
      <w:pPr>
        <w:pStyle w:val="BodyText"/>
        <w:spacing w:line="300" w:lineRule="auto" w:before="76"/>
        <w:ind w:left="573" w:right="0"/>
        <w:jc w:val="left"/>
      </w:pPr>
      <w:r>
        <w:rPr/>
        <w:t>注</w:t>
      </w:r>
      <w:r>
        <w:rPr>
          <w:rFonts w:ascii="Times New Roman" w:hAnsi="Times New Roman" w:cs="Times New Roman" w:eastAsia="Times New Roman" w:hint="default"/>
        </w:rPr>
        <w:t>2</w:t>
      </w:r>
      <w:r>
        <w:rPr/>
        <w:t>：浙江融艺典当有限公司，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日注销，并已完成工商注销手续。 注</w:t>
      </w:r>
      <w:r>
        <w:rPr>
          <w:rFonts w:ascii="Times New Roman" w:hAnsi="Times New Roman" w:cs="Times New Roman" w:eastAsia="Times New Roman" w:hint="default"/>
        </w:rPr>
        <w:t>3</w:t>
      </w:r>
      <w:r>
        <w:rPr/>
        <w:t>：霍尔果斯东昂信息科技有限公司，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日注销，并已完成工商注销手续。 </w:t>
      </w:r>
      <w:r>
        <w:rPr>
          <w:spacing w:val="-1"/>
        </w:rPr>
        <w:t>注</w:t>
      </w:r>
      <w:r>
        <w:rPr>
          <w:rFonts w:ascii="Times New Roman" w:hAnsi="Times New Roman" w:cs="Times New Roman" w:eastAsia="Times New Roman" w:hint="default"/>
          <w:spacing w:val="-1"/>
        </w:rPr>
        <w:t>4</w:t>
      </w:r>
      <w:r>
        <w:rPr>
          <w:spacing w:val="-1"/>
        </w:rPr>
        <w:t>：根据</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8</w:t>
      </w:r>
      <w:r>
        <w:rPr>
          <w:spacing w:val="-1"/>
        </w:rPr>
        <w:t>日浙江风盛传媒股份有限公司（以下简称</w:t>
      </w:r>
      <w:r>
        <w:rPr>
          <w:rFonts w:ascii="Times New Roman" w:hAnsi="Times New Roman" w:cs="Times New Roman" w:eastAsia="Times New Roman" w:hint="default"/>
          <w:spacing w:val="-1"/>
        </w:rPr>
        <w:t>“</w:t>
      </w:r>
      <w:r>
        <w:rPr>
          <w:spacing w:val="-1"/>
        </w:rPr>
        <w:t>风盛股份公司</w:t>
      </w:r>
      <w:r>
        <w:rPr>
          <w:rFonts w:ascii="Times New Roman" w:hAnsi="Times New Roman" w:cs="Times New Roman" w:eastAsia="Times New Roman" w:hint="default"/>
          <w:spacing w:val="-1"/>
        </w:rPr>
        <w:t>”</w:t>
      </w:r>
      <w:r>
        <w:rPr>
          <w:spacing w:val="-1"/>
        </w:rPr>
        <w:t>）董事会决议，风盛股份公司以现金方</w:t>
      </w:r>
    </w:p>
    <w:p>
      <w:pPr>
        <w:pStyle w:val="BodyText"/>
        <w:spacing w:line="307" w:lineRule="auto" w:before="13"/>
        <w:ind w:left="153" w:right="1127"/>
        <w:jc w:val="both"/>
      </w:pPr>
      <w:r>
        <w:rPr>
          <w:spacing w:val="-1"/>
        </w:rPr>
        <w:t>式收购西安时代尚优文化传媒集团有限公司（持有的福州风盛传媒有限公司（以下简称</w:t>
      </w:r>
      <w:r>
        <w:rPr>
          <w:rFonts w:ascii="Times New Roman" w:hAnsi="Times New Roman" w:cs="Times New Roman" w:eastAsia="Times New Roman" w:hint="default"/>
          <w:spacing w:val="-1"/>
        </w:rPr>
        <w:t>“</w:t>
      </w:r>
      <w:r>
        <w:rPr>
          <w:spacing w:val="-1"/>
        </w:rPr>
        <w:t>福州风盛</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13%</w:t>
      </w:r>
      <w:r>
        <w:rPr>
          <w:spacing w:val="-1"/>
        </w:rPr>
        <w:t>股权。交易金额为</w:t>
      </w:r>
      <w:r>
        <w:rPr>
          <w:spacing w:val="-70"/>
        </w:rPr>
        <w:t> </w:t>
      </w:r>
      <w:r>
        <w:rPr>
          <w:spacing w:val="-70"/>
        </w:rPr>
      </w:r>
      <w:r>
        <w:rPr/>
        <w:t>人民币</w:t>
      </w:r>
      <w:r>
        <w:rPr>
          <w:rFonts w:ascii="Times New Roman" w:hAnsi="Times New Roman" w:cs="Times New Roman" w:eastAsia="Times New Roman" w:hint="default"/>
        </w:rPr>
        <w:t>390,000.00</w:t>
      </w:r>
      <w:r>
        <w:rPr/>
        <w:t>元。本次交易完成后，风盛股份公司合计持有福州风盛</w:t>
      </w:r>
      <w:r>
        <w:rPr>
          <w:rFonts w:ascii="Times New Roman" w:hAnsi="Times New Roman" w:cs="Times New Roman" w:eastAsia="Times New Roman" w:hint="default"/>
        </w:rPr>
        <w:t>48%</w:t>
      </w:r>
      <w:r>
        <w:rPr/>
        <w:t>股权。其中风盛股份公司与陈美、游晶晶、阮</w:t>
      </w:r>
      <w:r>
        <w:rPr>
          <w:spacing w:val="-58"/>
        </w:rPr>
        <w:t> </w:t>
      </w:r>
      <w:r>
        <w:rPr>
          <w:spacing w:val="-58"/>
        </w:rPr>
      </w:r>
      <w:r>
        <w:rPr>
          <w:spacing w:val="-2"/>
        </w:rPr>
        <w:t>丽明、张兴忠、赖琼玉为一致行动人，福州风盛日常生产经营及其他重大事宜决策等方面保持一致行动。不能形成一致意见</w:t>
      </w:r>
      <w:r>
        <w:rPr>
          <w:spacing w:val="-66"/>
        </w:rPr>
        <w:t> </w:t>
      </w:r>
      <w:r>
        <w:rPr>
          <w:spacing w:val="-66"/>
        </w:rPr>
      </w:r>
      <w:r>
        <w:rPr/>
        <w:t>时，以风盛股份公司的意见作为一致行动的意见。福州风盛传媒有限公司自设立之日起将其纳入合并财务报表范围。</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69"/>
        <w:gridCol w:w="1288"/>
        <w:gridCol w:w="1937"/>
        <w:gridCol w:w="2184"/>
        <w:gridCol w:w="1688"/>
      </w:tblGrid>
      <w:tr>
        <w:trPr>
          <w:trHeight w:val="764" w:hRule="exact"/>
        </w:trPr>
        <w:tc>
          <w:tcPr>
            <w:tcW w:w="2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464" w:right="91"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782" w:right="62"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817" w:right="95" w:hanging="720"/>
              <w:jc w:val="left"/>
              <w:rPr>
                <w:rFonts w:ascii="宋体" w:hAnsi="宋体" w:cs="宋体" w:eastAsia="宋体" w:hint="default"/>
                <w:sz w:val="18"/>
                <w:szCs w:val="18"/>
              </w:rPr>
            </w:pPr>
            <w:r>
              <w:rPr>
                <w:rFonts w:ascii="宋体" w:hAnsi="宋体" w:cs="宋体" w:eastAsia="宋体" w:hint="default"/>
                <w:sz w:val="18"/>
                <w:szCs w:val="18"/>
              </w:rPr>
              <w:t>本期向少数股东宣告分派 的股利</w:t>
            </w:r>
          </w:p>
        </w:tc>
        <w:tc>
          <w:tcPr>
            <w:tcW w:w="1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749" w:right="26"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2" w:hRule="exact"/>
        </w:trPr>
        <w:tc>
          <w:tcPr>
            <w:tcW w:w="25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28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9,741,489.86</w:t>
            </w:r>
          </w:p>
        </w:tc>
        <w:tc>
          <w:tcPr>
            <w:tcW w:w="218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78,811,206.92</w:t>
            </w:r>
          </w:p>
        </w:tc>
      </w:tr>
      <w:tr>
        <w:trPr>
          <w:trHeight w:val="714" w:hRule="exact"/>
        </w:trPr>
        <w:tc>
          <w:tcPr>
            <w:tcW w:w="25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中教未来国际教育科技（北京） 有限公司</w:t>
            </w:r>
          </w:p>
        </w:tc>
        <w:tc>
          <w:tcPr>
            <w:tcW w:w="128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21,941,237.80</w:t>
            </w:r>
          </w:p>
        </w:tc>
        <w:tc>
          <w:tcPr>
            <w:tcW w:w="218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100,720,333.31</w:t>
            </w:r>
          </w:p>
        </w:tc>
      </w:tr>
      <w:tr>
        <w:trPr>
          <w:trHeight w:val="402" w:hRule="exact"/>
        </w:trPr>
        <w:tc>
          <w:tcPr>
            <w:tcW w:w="25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28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8,979,626.16</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7" w:right="0"/>
              <w:jc w:val="left"/>
              <w:rPr>
                <w:rFonts w:ascii="Times New Roman" w:hAnsi="Times New Roman" w:cs="Times New Roman" w:eastAsia="Times New Roman" w:hint="default"/>
                <w:sz w:val="18"/>
                <w:szCs w:val="18"/>
              </w:rPr>
            </w:pPr>
            <w:r>
              <w:rPr>
                <w:rFonts w:ascii="Times New Roman"/>
                <w:sz w:val="18"/>
              </w:rPr>
              <w:t>4,646,928.90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42,043,154.72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0"/>
        </w:sectPr>
      </w:pPr>
    </w:p>
    <w:p>
      <w:pPr>
        <w:spacing w:line="240" w:lineRule="auto" w:before="2"/>
        <w:rPr>
          <w:rFonts w:ascii="宋体" w:hAnsi="宋体" w:cs="宋体" w:eastAsia="宋体" w:hint="default"/>
          <w:sz w:val="24"/>
          <w:szCs w:val="24"/>
        </w:rPr>
      </w:pPr>
    </w:p>
    <w:p>
      <w:pPr>
        <w:pStyle w:val="Heading3"/>
        <w:spacing w:line="240" w:lineRule="auto"/>
        <w:ind w:left="699" w:right="0"/>
        <w:jc w:val="left"/>
        <w:rPr>
          <w:b w:val="0"/>
          <w:bCs w:val="0"/>
        </w:rPr>
      </w:pPr>
      <w:r>
        <w:rPr/>
        <w:pict>
          <v:group style="position:absolute;margin-left:70.490997pt;margin-top:-.396357pt;width:700.95pt;height:.1pt;mso-position-horizontal-relative:page;mso-position-vertical-relative:paragraph;z-index:2224"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7"/>
        <w:ind w:left="699" w:right="0"/>
        <w:jc w:val="left"/>
      </w:pPr>
      <w:r>
        <w:rPr/>
        <w:br w:type="column"/>
      </w: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42"/>
          <w:footerReference w:type="default" r:id="rId43"/>
          <w:pgSz w:w="16840" w:h="11910" w:orient="landscape"/>
          <w:pgMar w:header="0" w:footer="0" w:top="800" w:bottom="0" w:left="740" w:right="740"/>
          <w:cols w:num="2" w:equalWidth="0">
            <w:col w:w="4388" w:space="5702"/>
            <w:col w:w="5270"/>
          </w:cols>
        </w:sectPr>
      </w:pPr>
    </w:p>
    <w:p>
      <w:pPr>
        <w:spacing w:line="240" w:lineRule="auto" w:before="3"/>
        <w:rPr>
          <w:rFonts w:ascii="宋体" w:hAnsi="宋体" w:cs="宋体" w:eastAsia="宋体" w:hint="default"/>
          <w:sz w:val="23"/>
          <w:szCs w:val="23"/>
        </w:rPr>
      </w:pPr>
    </w:p>
    <w:p>
      <w:pPr>
        <w:pStyle w:val="BodyText"/>
        <w:spacing w:line="240" w:lineRule="auto" w:before="44"/>
        <w:ind w:left="0" w:right="699"/>
        <w:jc w:val="right"/>
      </w:pPr>
      <w:r>
        <w:rPr/>
        <w:t>单位： 元</w:t>
      </w: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36"/>
        <w:gridCol w:w="1181"/>
        <w:gridCol w:w="1181"/>
        <w:gridCol w:w="1182"/>
        <w:gridCol w:w="1175"/>
        <w:gridCol w:w="1001"/>
        <w:gridCol w:w="1175"/>
        <w:gridCol w:w="1181"/>
        <w:gridCol w:w="1175"/>
        <w:gridCol w:w="1182"/>
        <w:gridCol w:w="1181"/>
        <w:gridCol w:w="1092"/>
        <w:gridCol w:w="1181"/>
      </w:tblGrid>
      <w:tr>
        <w:trPr>
          <w:trHeight w:val="401" w:hRule="exact"/>
        </w:trPr>
        <w:tc>
          <w:tcPr>
            <w:tcW w:w="12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89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991"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36"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12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杭州余杭晨报 传媒有限公司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223,057,613.46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2,091,401.34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225,149,014.80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64,309,817.00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64,309,817.00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189,166,548.46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655,904.87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189,822,453.33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48,863,847.09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48,863,847.09</w:t>
            </w:r>
          </w:p>
        </w:tc>
      </w:tr>
      <w:tr>
        <w:trPr>
          <w:trHeight w:val="1026" w:hRule="exact"/>
        </w:trPr>
        <w:tc>
          <w:tcPr>
            <w:tcW w:w="12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1"/>
              <w:jc w:val="both"/>
              <w:rPr>
                <w:rFonts w:ascii="宋体" w:hAnsi="宋体" w:cs="宋体" w:eastAsia="宋体" w:hint="default"/>
                <w:sz w:val="18"/>
                <w:szCs w:val="18"/>
              </w:rPr>
            </w:pPr>
            <w:r>
              <w:rPr>
                <w:rFonts w:ascii="宋体" w:hAnsi="宋体" w:cs="宋体" w:eastAsia="宋体" w:hint="default"/>
                <w:sz w:val="18"/>
                <w:szCs w:val="18"/>
              </w:rPr>
              <w:t>中教未来国际 教育科技（北 京）有限公司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116,074,584.38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320,407,120.73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436,481,705.11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157,476,041.11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2,100,000.00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159,576,041.11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97,239,787.43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307,786,011.39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405,025,798.82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158,750,253.42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30,380,023.75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189,130,277.17</w:t>
            </w:r>
          </w:p>
        </w:tc>
      </w:tr>
      <w:tr>
        <w:trPr>
          <w:trHeight w:val="715" w:hRule="exact"/>
        </w:trPr>
        <w:tc>
          <w:tcPr>
            <w:tcW w:w="12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浙江风盛传媒 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236,862,341.13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23,580,866.30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260,443,207.43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156,302,914.11</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156,302,914.11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228,669,511.63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16,335,381.90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245,004,893.53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150,636,262.83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150,636,262.83</w:t>
            </w:r>
          </w:p>
        </w:tc>
      </w:tr>
    </w:tbl>
    <w:p>
      <w:pPr>
        <w:pStyle w:val="BodyText"/>
        <w:spacing w:line="240" w:lineRule="auto" w:before="51"/>
        <w:ind w:left="0" w:right="699"/>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629"/>
        <w:gridCol w:w="1556"/>
        <w:gridCol w:w="1555"/>
        <w:gridCol w:w="1555"/>
        <w:gridCol w:w="1564"/>
        <w:gridCol w:w="1555"/>
        <w:gridCol w:w="1555"/>
        <w:gridCol w:w="1554"/>
        <w:gridCol w:w="1565"/>
      </w:tblGrid>
      <w:tr>
        <w:trPr>
          <w:trHeight w:val="401" w:hRule="exact"/>
        </w:trPr>
        <w:tc>
          <w:tcPr>
            <w:tcW w:w="26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2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29" w:type="dxa"/>
            <w:vMerge/>
            <w:tcBorders>
              <w:left w:val="single" w:sz="4" w:space="0" w:color="000000"/>
              <w:bottom w:val="single" w:sz="4" w:space="0" w:color="000000"/>
              <w:right w:val="single" w:sz="4" w:space="0" w:color="000000"/>
            </w:tcBorders>
            <w:shd w:val="clear" w:color="auto" w:fill="D3D3D3"/>
          </w:tcPr>
          <w:p>
            <w:pP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2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68,604,272.38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7" w:right="0"/>
              <w:jc w:val="left"/>
              <w:rPr>
                <w:rFonts w:ascii="Times New Roman" w:hAnsi="Times New Roman" w:cs="Times New Roman" w:eastAsia="Times New Roman" w:hint="default"/>
                <w:sz w:val="18"/>
                <w:szCs w:val="18"/>
              </w:rPr>
            </w:pPr>
            <w:r>
              <w:rPr>
                <w:rFonts w:ascii="Times New Roman"/>
                <w:sz w:val="18"/>
              </w:rPr>
              <w:t>19,880,591.56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19,880,591.56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35,035,132.87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62,435,019.04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7" w:right="0"/>
              <w:jc w:val="left"/>
              <w:rPr>
                <w:rFonts w:ascii="Times New Roman" w:hAnsi="Times New Roman" w:cs="Times New Roman" w:eastAsia="Times New Roman" w:hint="default"/>
                <w:sz w:val="18"/>
                <w:szCs w:val="18"/>
              </w:rPr>
            </w:pPr>
            <w:r>
              <w:rPr>
                <w:rFonts w:ascii="Times New Roman"/>
                <w:sz w:val="18"/>
              </w:rPr>
              <w:t>18,678,860.81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18,678,860.81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35,046,794.75</w:t>
            </w:r>
          </w:p>
        </w:tc>
      </w:tr>
      <w:tr>
        <w:trPr>
          <w:trHeight w:val="714" w:hRule="exact"/>
        </w:trPr>
        <w:tc>
          <w:tcPr>
            <w:tcW w:w="2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11" w:right="85"/>
              <w:jc w:val="left"/>
              <w:rPr>
                <w:rFonts w:ascii="宋体" w:hAnsi="宋体" w:cs="宋体" w:eastAsia="宋体" w:hint="default"/>
                <w:sz w:val="18"/>
                <w:szCs w:val="18"/>
              </w:rPr>
            </w:pPr>
            <w:r>
              <w:rPr>
                <w:rFonts w:ascii="宋体" w:hAnsi="宋体" w:cs="宋体" w:eastAsia="宋体" w:hint="default"/>
                <w:sz w:val="18"/>
                <w:szCs w:val="18"/>
              </w:rPr>
              <w:t>中教未来国际教育科技（北京） 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254,758,359.27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61,200,143.95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61,200,143.95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7,058,309.78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245,086,248.37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75,019,698.17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75,019,698.17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78,707,846.61</w:t>
            </w:r>
          </w:p>
        </w:tc>
      </w:tr>
      <w:tr>
        <w:trPr>
          <w:trHeight w:val="403" w:hRule="exact"/>
        </w:trPr>
        <w:tc>
          <w:tcPr>
            <w:tcW w:w="2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314,551,236.96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7" w:right="0"/>
              <w:jc w:val="left"/>
              <w:rPr>
                <w:rFonts w:ascii="Times New Roman" w:hAnsi="Times New Roman" w:cs="Times New Roman" w:eastAsia="Times New Roman" w:hint="default"/>
                <w:sz w:val="18"/>
                <w:szCs w:val="18"/>
              </w:rPr>
            </w:pPr>
            <w:r>
              <w:rPr>
                <w:rFonts w:ascii="Times New Roman"/>
                <w:sz w:val="18"/>
              </w:rPr>
              <w:t>21,280,791.52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21,280,791.52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-3,796,837.88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265,463,759.42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7" w:right="0"/>
              <w:jc w:val="left"/>
              <w:rPr>
                <w:rFonts w:ascii="Times New Roman" w:hAnsi="Times New Roman" w:cs="Times New Roman" w:eastAsia="Times New Roman" w:hint="default"/>
                <w:sz w:val="18"/>
                <w:szCs w:val="18"/>
              </w:rPr>
            </w:pPr>
            <w:r>
              <w:rPr>
                <w:rFonts w:ascii="Times New Roman"/>
                <w:sz w:val="18"/>
              </w:rPr>
              <w:t>29,667,845.47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29,667,845.47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64,617,569.60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left="0" w:right="699"/>
        <w:jc w:val="right"/>
        <w:rPr>
          <w:rFonts w:ascii="Times New Roman" w:hAnsi="Times New Roman" w:cs="Times New Roman" w:eastAsia="Times New Roman" w:hint="default"/>
        </w:rPr>
      </w:pPr>
      <w:r>
        <w:rPr>
          <w:rFonts w:ascii="Times New Roman"/>
        </w:rPr>
        <w:t>171</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10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80" w:left="740" w:right="74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27" w:firstLine="290"/>
        <w:jc w:val="both"/>
      </w:pPr>
      <w:r>
        <w:rPr>
          <w:spacing w:val="-2"/>
        </w:rPr>
        <w:t>根据子公司浙江风盛传媒股份有限公司（以下简称</w:t>
      </w:r>
      <w:r>
        <w:rPr>
          <w:rFonts w:ascii="Times New Roman" w:hAnsi="Times New Roman" w:cs="Times New Roman" w:eastAsia="Times New Roman" w:hint="default"/>
          <w:spacing w:val="-2"/>
        </w:rPr>
        <w:t>“</w:t>
      </w:r>
      <w:r>
        <w:rPr>
          <w:spacing w:val="-2"/>
        </w:rPr>
        <w:t>风盛股份公司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日董事会决议，风盛股份公司以现金方</w:t>
      </w:r>
      <w:r>
        <w:rPr/>
        <w:t> </w:t>
      </w:r>
      <w:r>
        <w:rPr>
          <w:spacing w:val="-1"/>
        </w:rPr>
        <w:t>式收购西安时代尚优文化传媒集团有限公司持有的福州风盛传媒有限公司（以下简称</w:t>
      </w:r>
      <w:r>
        <w:rPr>
          <w:rFonts w:ascii="Times New Roman" w:hAnsi="Times New Roman" w:cs="Times New Roman" w:eastAsia="Times New Roman" w:hint="default"/>
          <w:spacing w:val="-1"/>
        </w:rPr>
        <w:t>“</w:t>
      </w:r>
      <w:r>
        <w:rPr>
          <w:spacing w:val="-1"/>
        </w:rPr>
        <w:t>福州风盛</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13%</w:t>
      </w:r>
      <w:r>
        <w:rPr>
          <w:spacing w:val="-1"/>
        </w:rPr>
        <w:t>股权。交易金额为人</w:t>
      </w:r>
      <w:r>
        <w:rPr>
          <w:spacing w:val="-68"/>
        </w:rPr>
        <w:t> </w:t>
      </w:r>
      <w:r>
        <w:rPr>
          <w:spacing w:val="-68"/>
        </w:rPr>
      </w:r>
      <w:r>
        <w:rPr/>
        <w:t>民币</w:t>
      </w:r>
      <w:r>
        <w:rPr>
          <w:rFonts w:ascii="Times New Roman" w:hAnsi="Times New Roman" w:cs="Times New Roman" w:eastAsia="Times New Roman" w:hint="default"/>
        </w:rPr>
        <w:t>390,000.00</w:t>
      </w:r>
      <w:r>
        <w:rPr/>
        <w:t>元。本次交易完成后，风盛股份公司合计持有福州风盛</w:t>
      </w:r>
      <w:r>
        <w:rPr>
          <w:rFonts w:ascii="Times New Roman" w:hAnsi="Times New Roman" w:cs="Times New Roman" w:eastAsia="Times New Roman" w:hint="default"/>
        </w:rPr>
        <w:t>48%</w:t>
      </w:r>
      <w:r>
        <w:rPr/>
        <w:t>股权，发生购买少数股东权益的权益性交易，扣</w:t>
      </w:r>
      <w:r>
        <w:rPr>
          <w:spacing w:val="-60"/>
        </w:rPr>
        <w:t> </w:t>
      </w:r>
      <w:r>
        <w:rPr>
          <w:spacing w:val="-60"/>
        </w:rPr>
      </w:r>
      <w:r>
        <w:rPr/>
        <w:t>除少数股权影响，相应增加股本溢价</w:t>
      </w:r>
      <w:r>
        <w:rPr>
          <w:rFonts w:ascii="Times New Roman" w:hAnsi="Times New Roman" w:cs="Times New Roman" w:eastAsia="Times New Roman" w:hint="default"/>
        </w:rPr>
        <w:t>170,740.61</w:t>
      </w:r>
      <w:r>
        <w:rPr/>
        <w:t>元。</w:t>
      </w:r>
    </w:p>
    <w:p>
      <w:pPr>
        <w:pStyle w:val="BodyText"/>
        <w:spacing w:line="300" w:lineRule="auto" w:before="13"/>
        <w:ind w:left="153" w:right="1131" w:firstLine="360"/>
        <w:jc w:val="both"/>
      </w:pPr>
      <w:r>
        <w:rPr/>
        <w:t>根据子公司杭州萧山日报传媒有限公司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日董事会决议，公司以现金方式收购杭州沈氏化纤有限公司持有的 </w:t>
      </w:r>
      <w:r>
        <w:rPr>
          <w:spacing w:val="-2"/>
        </w:rPr>
        <w:t>杭州萧山网络传媒有限公司（以下简称</w:t>
      </w:r>
      <w:r>
        <w:rPr>
          <w:rFonts w:ascii="Times New Roman" w:hAnsi="Times New Roman" w:cs="Times New Roman" w:eastAsia="Times New Roman" w:hint="default"/>
          <w:spacing w:val="-2"/>
        </w:rPr>
        <w:t>“</w:t>
      </w:r>
      <w:r>
        <w:rPr>
          <w:spacing w:val="-2"/>
        </w:rPr>
        <w:t>萧山网络</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34%</w:t>
      </w:r>
      <w:r>
        <w:rPr>
          <w:spacing w:val="-2"/>
        </w:rPr>
        <w:t>股权，交易金额为人民币</w:t>
      </w:r>
      <w:r>
        <w:rPr>
          <w:rFonts w:ascii="Times New Roman" w:hAnsi="Times New Roman" w:cs="Times New Roman" w:eastAsia="Times New Roman" w:hint="default"/>
          <w:spacing w:val="-2"/>
        </w:rPr>
        <w:t>5,024,000.00</w:t>
      </w:r>
      <w:r>
        <w:rPr>
          <w:spacing w:val="-2"/>
        </w:rPr>
        <w:t>。本次交易完成后，公司合计</w:t>
      </w:r>
      <w:r>
        <w:rPr>
          <w:spacing w:val="-48"/>
        </w:rPr>
        <w:t> </w:t>
      </w:r>
      <w:r>
        <w:rPr>
          <w:spacing w:val="-48"/>
        </w:rPr>
      </w:r>
      <w:r>
        <w:rPr/>
        <w:t>持有萧山网络</w:t>
      </w:r>
      <w:r>
        <w:rPr>
          <w:rFonts w:ascii="Times New Roman" w:hAnsi="Times New Roman" w:cs="Times New Roman" w:eastAsia="Times New Roman" w:hint="default"/>
        </w:rPr>
        <w:t>85%</w:t>
      </w:r>
      <w:r>
        <w:rPr/>
        <w:t>股权。发生购买少数股东权益的权益性交易，相应增加股本溢价</w:t>
      </w:r>
      <w:r>
        <w:rPr>
          <w:rFonts w:ascii="Times New Roman" w:hAnsi="Times New Roman" w:cs="Times New Roman" w:eastAsia="Times New Roman" w:hint="default"/>
        </w:rPr>
        <w:t>2,091,802.34</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2"/>
        <w:gridCol w:w="1997"/>
        <w:gridCol w:w="3190"/>
      </w:tblGrid>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福州风盛传媒有限公司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5,024,000.00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5,024,000.00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5,024,000.00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655,125.17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7,115,802.36</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-2,091,802.34</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-2,091,802.34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640"/>
        <w:gridCol w:w="576"/>
        <w:gridCol w:w="733"/>
        <w:gridCol w:w="1029"/>
        <w:gridCol w:w="992"/>
        <w:gridCol w:w="2283"/>
      </w:tblGrid>
      <w:tr>
        <w:trPr>
          <w:trHeight w:val="401" w:hRule="exact"/>
        </w:trPr>
        <w:tc>
          <w:tcPr>
            <w:tcW w:w="34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6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34" w:right="43"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93" w:right="101"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77" w:right="8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2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512" w:right="50" w:hanging="450"/>
              <w:jc w:val="left"/>
              <w:rPr>
                <w:rFonts w:ascii="宋体" w:hAnsi="宋体" w:cs="宋体" w:eastAsia="宋体" w:hint="default"/>
                <w:sz w:val="18"/>
                <w:szCs w:val="18"/>
              </w:rPr>
            </w:pPr>
            <w:r>
              <w:rPr>
                <w:rFonts w:ascii="宋体" w:hAnsi="宋体" w:cs="宋体" w:eastAsia="宋体" w:hint="default"/>
                <w:sz w:val="18"/>
                <w:szCs w:val="18"/>
              </w:rPr>
              <w:t>对合营企业或联营企业投资 的会计处理方法</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3D3D3"/>
          </w:tcPr>
          <w:p>
            <w:pPr/>
          </w:p>
        </w:tc>
        <w:tc>
          <w:tcPr>
            <w:tcW w:w="640"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733" w:type="dxa"/>
            <w:vMerge/>
            <w:tcBorders>
              <w:left w:val="single" w:sz="4" w:space="0" w:color="000000"/>
              <w:bottom w:val="single" w:sz="4" w:space="0" w:color="000000"/>
              <w:right w:val="single" w:sz="4" w:space="0" w:color="000000"/>
            </w:tcBorders>
            <w:shd w:val="clear" w:color="auto" w:fill="D3D3D3"/>
          </w:tcPr>
          <w:p>
            <w:pPr/>
          </w:p>
        </w:tc>
        <w:tc>
          <w:tcPr>
            <w:tcW w:w="1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28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6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2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16.07%</w:t>
            </w:r>
          </w:p>
        </w:tc>
        <w:tc>
          <w:tcPr>
            <w:tcW w:w="992"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6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2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6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2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布朗时代（北京）教育投资有限公司</w:t>
            </w:r>
          </w:p>
        </w:tc>
        <w:tc>
          <w:tcPr>
            <w:tcW w:w="6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2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6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02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39.00%</w:t>
            </w:r>
          </w:p>
        </w:tc>
        <w:tc>
          <w:tcPr>
            <w:tcW w:w="992"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6"/>
        <w:ind w:left="153"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9"/>
          <w:szCs w:val="29"/>
        </w:rPr>
      </w:pPr>
    </w:p>
    <w:p>
      <w:pPr>
        <w:pStyle w:val="BodyText"/>
        <w:spacing w:line="240" w:lineRule="auto" w:before="76"/>
        <w:ind w:left="0" w:right="1130"/>
        <w:jc w:val="right"/>
        <w:rPr>
          <w:rFonts w:ascii="Times New Roman" w:hAnsi="Times New Roman" w:cs="Times New Roman" w:eastAsia="Times New Roman" w:hint="default"/>
        </w:rPr>
      </w:pPr>
      <w:r>
        <w:rPr/>
        <w:pict>
          <v:shape style="position:absolute;margin-left:535.609985pt;margin-top:28.859749pt;width:59.499296pt;height:26.797393pt;mso-position-horizontal-relative:page;mso-position-vertical-relative:paragraph;z-index:2248" type="#_x0000_t75" stroked="false">
            <v:imagedata r:id="rId24" o:title=""/>
          </v:shape>
        </w:pict>
      </w:r>
      <w:r>
        <w:rPr>
          <w:rFonts w:ascii="Times New Roman"/>
        </w:rPr>
        <w:t>172</w:t>
      </w:r>
    </w:p>
    <w:p>
      <w:pPr>
        <w:spacing w:after="0" w:line="240" w:lineRule="auto"/>
        <w:jc w:val="right"/>
        <w:rPr>
          <w:rFonts w:ascii="Times New Roman" w:hAnsi="Times New Roman" w:cs="Times New Roman" w:eastAsia="Times New Roman" w:hint="default"/>
        </w:rPr>
        <w:sectPr>
          <w:headerReference w:type="default" r:id="rId44"/>
          <w:footerReference w:type="default" r:id="rId45"/>
          <w:pgSz w:w="11910" w:h="16840"/>
          <w:pgMar w:header="877" w:footer="0" w:top="1100" w:bottom="0" w:left="980" w:right="0"/>
        </w:sectPr>
      </w:pPr>
    </w:p>
    <w:p>
      <w:pPr>
        <w:pStyle w:val="BodyText"/>
        <w:spacing w:line="312" w:lineRule="auto" w:before="17"/>
        <w:ind w:left="810" w:right="139" w:firstLine="9799"/>
        <w:jc w:val="right"/>
      </w:pPr>
      <w:r>
        <w:rPr/>
        <w:pict>
          <v:group style="position:absolute;margin-left:70.490997pt;margin-top:15.381743pt;width:700.95pt;height:.1pt;mso-position-horizontal-relative:page;mso-position-vertical-relative:paragraph;z-index:-1246816" coordorigin="1410,308" coordsize="14019,2">
            <v:shape style="position:absolute;left:1410;top:308;width:14019;height:2" coordorigin="1410,308" coordsize="14019,0" path="m1410,308l15428,308e" filled="false" stroked="true" strokeweight=".72pt" strokecolor="#000000">
              <v:path arrowok="t"/>
            </v:shape>
            <w10:wrap type="none"/>
          </v:group>
        </w:pict>
      </w: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 </w:t>
      </w:r>
      <w:r>
        <w:rPr>
          <w:spacing w:val="-1"/>
        </w:rPr>
        <w:t>本公司对十九楼网络股份有限公司的持股比例为</w:t>
      </w:r>
      <w:r>
        <w:rPr>
          <w:rFonts w:ascii="Times New Roman" w:hAnsi="Times New Roman" w:cs="Times New Roman" w:eastAsia="Times New Roman" w:hint="default"/>
          <w:spacing w:val="-1"/>
        </w:rPr>
        <w:t>16.0671%</w:t>
      </w:r>
      <w:r>
        <w:rPr>
          <w:spacing w:val="-1"/>
        </w:rPr>
        <w:t>，且董事会成员中</w:t>
      </w:r>
      <w:r>
        <w:rPr>
          <w:rFonts w:ascii="Times New Roman" w:hAnsi="Times New Roman" w:cs="Times New Roman" w:eastAsia="Times New Roman" w:hint="default"/>
          <w:spacing w:val="-1"/>
        </w:rPr>
        <w:t>5</w:t>
      </w:r>
      <w:r>
        <w:rPr>
          <w:spacing w:val="-1"/>
        </w:rPr>
        <w:t>人，其中本公司派遣</w:t>
      </w:r>
      <w:r>
        <w:rPr>
          <w:rFonts w:ascii="Times New Roman" w:hAnsi="Times New Roman" w:cs="Times New Roman" w:eastAsia="Times New Roman" w:hint="default"/>
          <w:spacing w:val="-1"/>
        </w:rPr>
        <w:t>1</w:t>
      </w:r>
      <w:r>
        <w:rPr>
          <w:spacing w:val="-1"/>
        </w:rPr>
        <w:t>人，另外</w:t>
      </w:r>
      <w:r>
        <w:rPr>
          <w:rFonts w:ascii="Times New Roman" w:hAnsi="Times New Roman" w:cs="Times New Roman" w:eastAsia="Times New Roman" w:hint="default"/>
          <w:spacing w:val="-1"/>
        </w:rPr>
        <w:t>1</w:t>
      </w:r>
      <w:r>
        <w:rPr>
          <w:spacing w:val="-1"/>
        </w:rPr>
        <w:t>名监事、</w:t>
      </w:r>
      <w:r>
        <w:rPr>
          <w:rFonts w:ascii="Times New Roman" w:hAnsi="Times New Roman" w:cs="Times New Roman" w:eastAsia="Times New Roman" w:hint="default"/>
          <w:spacing w:val="-1"/>
        </w:rPr>
        <w:t>1</w:t>
      </w:r>
      <w:r>
        <w:rPr>
          <w:spacing w:val="-1"/>
        </w:rPr>
        <w:t>名监事会主席由本公司派遣，所以对其相关活动能够施</w:t>
      </w:r>
    </w:p>
    <w:p>
      <w:pPr>
        <w:pStyle w:val="BodyText"/>
        <w:spacing w:line="240" w:lineRule="auto" w:before="3"/>
        <w:ind w:left="519" w:right="0"/>
        <w:jc w:val="left"/>
      </w:pPr>
      <w:r>
        <w:rPr/>
        <w:t>加重大影响。</w:t>
      </w:r>
    </w:p>
    <w:p>
      <w:pPr>
        <w:spacing w:line="240" w:lineRule="auto" w:before="12"/>
        <w:rPr>
          <w:rFonts w:ascii="宋体" w:hAnsi="宋体" w:cs="宋体" w:eastAsia="宋体" w:hint="default"/>
          <w:sz w:val="26"/>
          <w:szCs w:val="26"/>
        </w:rPr>
      </w:pPr>
    </w:p>
    <w:p>
      <w:pPr>
        <w:pStyle w:val="Heading3"/>
        <w:spacing w:line="240" w:lineRule="auto"/>
        <w:ind w:left="519"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19"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39"/>
        <w:jc w:val="right"/>
      </w:pPr>
      <w:r>
        <w:rPr/>
        <w:t>单位： 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053"/>
        <w:gridCol w:w="1276"/>
        <w:gridCol w:w="1351"/>
        <w:gridCol w:w="1386"/>
        <w:gridCol w:w="1351"/>
        <w:gridCol w:w="1315"/>
        <w:gridCol w:w="1265"/>
        <w:gridCol w:w="1351"/>
        <w:gridCol w:w="1386"/>
        <w:gridCol w:w="1350"/>
        <w:gridCol w:w="1316"/>
      </w:tblGrid>
      <w:tr>
        <w:trPr>
          <w:trHeight w:val="251"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7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66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25" w:hRule="exact"/>
        </w:trPr>
        <w:tc>
          <w:tcPr>
            <w:tcW w:w="1053" w:type="dxa"/>
            <w:vMerge w:val="restart"/>
            <w:tcBorders>
              <w:top w:val="single" w:sz="4" w:space="0" w:color="000000"/>
              <w:left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39" w:right="40"/>
              <w:jc w:val="center"/>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2" w:right="-33"/>
              <w:jc w:val="center"/>
              <w:rPr>
                <w:rFonts w:ascii="宋体" w:hAnsi="宋体" w:cs="宋体" w:eastAsia="宋体" w:hint="default"/>
                <w:sz w:val="18"/>
                <w:szCs w:val="18"/>
              </w:rPr>
            </w:pPr>
            <w:r>
              <w:rPr>
                <w:rFonts w:ascii="宋体" w:hAnsi="宋体" w:cs="宋体" w:eastAsia="宋体" w:hint="default"/>
                <w:spacing w:val="-7"/>
                <w:sz w:val="18"/>
                <w:szCs w:val="18"/>
              </w:rPr>
              <w:t>布朗睿智（北京）</w:t>
            </w:r>
            <w:r>
              <w:rPr>
                <w:rFonts w:ascii="宋体" w:hAnsi="宋体" w:cs="宋体" w:eastAsia="宋体" w:hint="default"/>
                <w:spacing w:val="-34"/>
                <w:sz w:val="18"/>
                <w:szCs w:val="18"/>
              </w:rPr>
              <w:t> </w:t>
            </w:r>
            <w:r>
              <w:rPr>
                <w:rFonts w:ascii="宋体" w:hAnsi="宋体" w:cs="宋体" w:eastAsia="宋体" w:hint="default"/>
                <w:sz w:val="18"/>
                <w:szCs w:val="18"/>
              </w:rPr>
              <w:t>国际教育科技有</w:t>
            </w:r>
            <w:r>
              <w:rPr>
                <w:rFonts w:ascii="宋体" w:hAnsi="宋体" w:cs="宋体" w:eastAsia="宋体" w:hint="default"/>
                <w:sz w:val="18"/>
                <w:szCs w:val="18"/>
              </w:rPr>
              <w:t> 限公司</w:t>
            </w: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2" w:right="40" w:hanging="72"/>
              <w:jc w:val="center"/>
              <w:rPr>
                <w:rFonts w:ascii="宋体" w:hAnsi="宋体" w:cs="宋体" w:eastAsia="宋体" w:hint="default"/>
                <w:sz w:val="18"/>
                <w:szCs w:val="18"/>
              </w:rPr>
            </w:pPr>
            <w:r>
              <w:rPr>
                <w:rFonts w:ascii="宋体" w:hAnsi="宋体" w:cs="宋体" w:eastAsia="宋体" w:hint="default"/>
                <w:spacing w:val="-8"/>
                <w:sz w:val="18"/>
                <w:szCs w:val="18"/>
              </w:rPr>
              <w:t>布朗时代（北京</w:t>
            </w:r>
            <w:r>
              <w:rPr>
                <w:rFonts w:ascii="宋体" w:hAnsi="宋体" w:cs="宋体" w:eastAsia="宋体" w:hint="default"/>
                <w:sz w:val="18"/>
                <w:szCs w:val="18"/>
              </w:rPr>
              <w:t> 教育投资有限公 司</w:t>
            </w:r>
          </w:p>
        </w:tc>
        <w:tc>
          <w:tcPr>
            <w:tcW w:w="1315" w:type="dxa"/>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快点文化传播</w:t>
            </w:r>
          </w:p>
          <w:p>
            <w:pPr>
              <w:pStyle w:val="TableParagraph"/>
              <w:spacing w:line="244" w:lineRule="auto" w:before="4"/>
              <w:ind w:left="562" w:right="20" w:hanging="540"/>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265"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39" w:right="40"/>
              <w:jc w:val="center"/>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2" w:right="-33"/>
              <w:jc w:val="center"/>
              <w:rPr>
                <w:rFonts w:ascii="宋体" w:hAnsi="宋体" w:cs="宋体" w:eastAsia="宋体" w:hint="default"/>
                <w:sz w:val="18"/>
                <w:szCs w:val="18"/>
              </w:rPr>
            </w:pPr>
            <w:r>
              <w:rPr>
                <w:rFonts w:ascii="宋体" w:hAnsi="宋体" w:cs="宋体" w:eastAsia="宋体" w:hint="default"/>
                <w:spacing w:val="-7"/>
                <w:sz w:val="18"/>
                <w:szCs w:val="18"/>
              </w:rPr>
              <w:t>布朗睿智（北京）</w:t>
            </w:r>
            <w:r>
              <w:rPr>
                <w:rFonts w:ascii="宋体" w:hAnsi="宋体" w:cs="宋体" w:eastAsia="宋体" w:hint="default"/>
                <w:spacing w:val="-34"/>
                <w:sz w:val="18"/>
                <w:szCs w:val="18"/>
              </w:rPr>
              <w:t> </w:t>
            </w:r>
            <w:r>
              <w:rPr>
                <w:rFonts w:ascii="宋体" w:hAnsi="宋体" w:cs="宋体" w:eastAsia="宋体" w:hint="default"/>
                <w:sz w:val="18"/>
                <w:szCs w:val="18"/>
              </w:rPr>
              <w:t>国际教育科技有</w:t>
            </w:r>
            <w:r>
              <w:rPr>
                <w:rFonts w:ascii="宋体" w:hAnsi="宋体" w:cs="宋体" w:eastAsia="宋体" w:hint="default"/>
                <w:sz w:val="18"/>
                <w:szCs w:val="18"/>
              </w:rPr>
              <w:t> 限公司</w:t>
            </w:r>
          </w:p>
        </w:tc>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2" w:right="38" w:hanging="72"/>
              <w:jc w:val="center"/>
              <w:rPr>
                <w:rFonts w:ascii="宋体" w:hAnsi="宋体" w:cs="宋体" w:eastAsia="宋体" w:hint="default"/>
                <w:sz w:val="18"/>
                <w:szCs w:val="18"/>
              </w:rPr>
            </w:pPr>
            <w:r>
              <w:rPr>
                <w:rFonts w:ascii="宋体" w:hAnsi="宋体" w:cs="宋体" w:eastAsia="宋体" w:hint="default"/>
                <w:spacing w:val="-8"/>
                <w:sz w:val="18"/>
                <w:szCs w:val="18"/>
              </w:rPr>
              <w:t>布朗时代（北京</w:t>
            </w:r>
            <w:r>
              <w:rPr>
                <w:rFonts w:ascii="宋体" w:hAnsi="宋体" w:cs="宋体" w:eastAsia="宋体" w:hint="default"/>
                <w:sz w:val="18"/>
                <w:szCs w:val="18"/>
              </w:rPr>
              <w:t> 教育投资有限公 司</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快点文化传播</w:t>
            </w:r>
          </w:p>
          <w:p>
            <w:pPr>
              <w:pStyle w:val="TableParagraph"/>
              <w:spacing w:line="244" w:lineRule="auto" w:before="4"/>
              <w:ind w:left="564" w:right="20" w:hanging="540"/>
              <w:jc w:val="left"/>
              <w:rPr>
                <w:rFonts w:ascii="宋体" w:hAnsi="宋体" w:cs="宋体" w:eastAsia="宋体" w:hint="default"/>
                <w:sz w:val="18"/>
                <w:szCs w:val="18"/>
              </w:rPr>
            </w:pPr>
            <w:r>
              <w:rPr>
                <w:rFonts w:ascii="宋体" w:hAnsi="宋体" w:cs="宋体" w:eastAsia="宋体" w:hint="default"/>
                <w:sz w:val="18"/>
                <w:szCs w:val="18"/>
              </w:rPr>
              <w:t>（上海）有限公 司</w:t>
            </w:r>
          </w:p>
        </w:tc>
      </w:tr>
      <w:tr>
        <w:trPr>
          <w:trHeight w:val="120" w:hRule="exact"/>
        </w:trPr>
        <w:tc>
          <w:tcPr>
            <w:tcW w:w="1053" w:type="dxa"/>
            <w:vMerge/>
            <w:tcBorders>
              <w:left w:val="single" w:sz="4" w:space="0" w:color="000000"/>
              <w:bottom w:val="nil" w:sz="6" w:space="0" w:color="auto"/>
              <w:right w:val="single" w:sz="4" w:space="0" w:color="000000"/>
            </w:tcBorders>
            <w:shd w:val="clear" w:color="auto" w:fill="D3D3D3"/>
          </w:tcPr>
          <w:p>
            <w:pPr/>
          </w:p>
        </w:tc>
        <w:tc>
          <w:tcPr>
            <w:tcW w:w="12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188" w:right="85" w:hanging="90"/>
              <w:jc w:val="left"/>
              <w:rPr>
                <w:rFonts w:ascii="宋体" w:hAnsi="宋体" w:cs="宋体" w:eastAsia="宋体" w:hint="default"/>
                <w:sz w:val="18"/>
                <w:szCs w:val="18"/>
              </w:rPr>
            </w:pPr>
            <w:r>
              <w:rPr>
                <w:rFonts w:ascii="宋体" w:hAnsi="宋体" w:cs="宋体" w:eastAsia="宋体" w:hint="default"/>
                <w:sz w:val="18"/>
                <w:szCs w:val="18"/>
              </w:rPr>
              <w:t>十九楼网络股 份有限公司</w:t>
            </w:r>
          </w:p>
        </w:tc>
        <w:tc>
          <w:tcPr>
            <w:tcW w:w="1351" w:type="dxa"/>
            <w:vMerge/>
            <w:tcBorders>
              <w:left w:val="single" w:sz="4" w:space="0" w:color="000000"/>
              <w:right w:val="single" w:sz="4" w:space="0" w:color="000000"/>
            </w:tcBorders>
            <w:shd w:val="clear" w:color="auto" w:fill="D3D3D3"/>
          </w:tcPr>
          <w:p>
            <w:pPr/>
          </w:p>
        </w:tc>
        <w:tc>
          <w:tcPr>
            <w:tcW w:w="1386" w:type="dxa"/>
            <w:vMerge/>
            <w:tcBorders>
              <w:left w:val="single" w:sz="4" w:space="0" w:color="000000"/>
              <w:right w:val="single" w:sz="4" w:space="0" w:color="000000"/>
            </w:tcBorders>
            <w:shd w:val="clear" w:color="auto" w:fill="D3D3D3"/>
          </w:tcPr>
          <w:p>
            <w:pPr/>
          </w:p>
        </w:tc>
        <w:tc>
          <w:tcPr>
            <w:tcW w:w="135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12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ind w:left="177" w:right="85" w:hanging="90"/>
              <w:jc w:val="left"/>
              <w:rPr>
                <w:rFonts w:ascii="宋体" w:hAnsi="宋体" w:cs="宋体" w:eastAsia="宋体" w:hint="default"/>
                <w:sz w:val="18"/>
                <w:szCs w:val="18"/>
              </w:rPr>
            </w:pPr>
            <w:r>
              <w:rPr>
                <w:rFonts w:ascii="宋体" w:hAnsi="宋体" w:cs="宋体" w:eastAsia="宋体" w:hint="default"/>
                <w:sz w:val="18"/>
                <w:szCs w:val="18"/>
              </w:rPr>
              <w:t>十九楼网络股 份有限公司</w:t>
            </w:r>
          </w:p>
        </w:tc>
        <w:tc>
          <w:tcPr>
            <w:tcW w:w="1351" w:type="dxa"/>
            <w:vMerge/>
            <w:tcBorders>
              <w:left w:val="single" w:sz="4" w:space="0" w:color="000000"/>
              <w:right w:val="single" w:sz="4" w:space="0" w:color="000000"/>
            </w:tcBorders>
            <w:shd w:val="clear" w:color="auto" w:fill="D3D3D3"/>
          </w:tcPr>
          <w:p>
            <w:pPr/>
          </w:p>
        </w:tc>
        <w:tc>
          <w:tcPr>
            <w:tcW w:w="1386" w:type="dxa"/>
            <w:vMerge/>
            <w:tcBorders>
              <w:left w:val="single" w:sz="4" w:space="0" w:color="000000"/>
              <w:right w:val="single" w:sz="4" w:space="0" w:color="000000"/>
            </w:tcBorders>
            <w:shd w:val="clear" w:color="auto" w:fill="D3D3D3"/>
          </w:tcPr>
          <w:p>
            <w:pPr/>
          </w:p>
        </w:tc>
        <w:tc>
          <w:tcPr>
            <w:tcW w:w="1350"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240" w:hRule="exact"/>
        </w:trPr>
        <w:tc>
          <w:tcPr>
            <w:tcW w:w="1053"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c>
          <w:tcPr>
            <w:tcW w:w="1351" w:type="dxa"/>
            <w:vMerge/>
            <w:tcBorders>
              <w:left w:val="single" w:sz="4" w:space="0" w:color="000000"/>
              <w:right w:val="single" w:sz="4" w:space="0" w:color="000000"/>
            </w:tcBorders>
            <w:shd w:val="clear" w:color="auto" w:fill="D3D3D3"/>
          </w:tcPr>
          <w:p>
            <w:pPr/>
          </w:p>
        </w:tc>
        <w:tc>
          <w:tcPr>
            <w:tcW w:w="1386" w:type="dxa"/>
            <w:vMerge/>
            <w:tcBorders>
              <w:left w:val="single" w:sz="4" w:space="0" w:color="000000"/>
              <w:right w:val="single" w:sz="4" w:space="0" w:color="000000"/>
            </w:tcBorders>
            <w:shd w:val="clear" w:color="auto" w:fill="D3D3D3"/>
          </w:tcPr>
          <w:p>
            <w:pPr/>
          </w:p>
        </w:tc>
        <w:tc>
          <w:tcPr>
            <w:tcW w:w="1351"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1265" w:type="dxa"/>
            <w:vMerge/>
            <w:tcBorders>
              <w:left w:val="single" w:sz="4" w:space="0" w:color="000000"/>
              <w:right w:val="single" w:sz="4" w:space="0" w:color="000000"/>
            </w:tcBorders>
            <w:shd w:val="clear" w:color="auto" w:fill="D3D3D3"/>
          </w:tcPr>
          <w:p>
            <w:pPr/>
          </w:p>
        </w:tc>
        <w:tc>
          <w:tcPr>
            <w:tcW w:w="1351" w:type="dxa"/>
            <w:vMerge/>
            <w:tcBorders>
              <w:left w:val="single" w:sz="4" w:space="0" w:color="000000"/>
              <w:right w:val="single" w:sz="4" w:space="0" w:color="000000"/>
            </w:tcBorders>
            <w:shd w:val="clear" w:color="auto" w:fill="D3D3D3"/>
          </w:tcPr>
          <w:p>
            <w:pPr/>
          </w:p>
        </w:tc>
        <w:tc>
          <w:tcPr>
            <w:tcW w:w="1386" w:type="dxa"/>
            <w:vMerge/>
            <w:tcBorders>
              <w:left w:val="single" w:sz="4" w:space="0" w:color="000000"/>
              <w:right w:val="single" w:sz="4" w:space="0" w:color="000000"/>
            </w:tcBorders>
            <w:shd w:val="clear" w:color="auto" w:fill="D3D3D3"/>
          </w:tcPr>
          <w:p>
            <w:pPr/>
          </w:p>
        </w:tc>
        <w:tc>
          <w:tcPr>
            <w:tcW w:w="1350"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245" w:hRule="exact"/>
        </w:trPr>
        <w:tc>
          <w:tcPr>
            <w:tcW w:w="10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1265"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6" w:type="dxa"/>
            <w:tcBorders>
              <w:top w:val="single" w:sz="48" w:space="0" w:color="D3D3D3"/>
              <w:left w:val="single" w:sz="13" w:space="0" w:color="D3D3D3"/>
              <w:bottom w:val="single" w:sz="4" w:space="0" w:color="000000"/>
              <w:right w:val="single" w:sz="4" w:space="0" w:color="000000"/>
            </w:tcBorders>
          </w:tcPr>
          <w:p>
            <w:pPr>
              <w:pStyle w:val="TableParagraph"/>
              <w:spacing w:line="176" w:lineRule="exact"/>
              <w:ind w:right="20"/>
              <w:jc w:val="right"/>
              <w:rPr>
                <w:rFonts w:ascii="Times New Roman" w:hAnsi="Times New Roman" w:cs="Times New Roman" w:eastAsia="Times New Roman" w:hint="default"/>
                <w:sz w:val="18"/>
                <w:szCs w:val="18"/>
              </w:rPr>
            </w:pPr>
            <w:r>
              <w:rPr>
                <w:rFonts w:ascii="Times New Roman"/>
                <w:spacing w:val="-1"/>
                <w:sz w:val="18"/>
              </w:rPr>
              <w:t>130,226,594.11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103,590,200.40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75,791,752.68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64,286,084.37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229,970,222.10</w:t>
            </w:r>
          </w:p>
        </w:tc>
        <w:tc>
          <w:tcPr>
            <w:tcW w:w="1265" w:type="dxa"/>
            <w:tcBorders>
              <w:top w:val="single" w:sz="52" w:space="0" w:color="D3D3D3"/>
              <w:left w:val="single" w:sz="4" w:space="0" w:color="000000"/>
              <w:bottom w:val="single" w:sz="4" w:space="0" w:color="000000"/>
              <w:right w:val="single" w:sz="4" w:space="0" w:color="000000"/>
            </w:tcBorders>
          </w:tcPr>
          <w:p>
            <w:pPr>
              <w:pStyle w:val="TableParagraph"/>
              <w:spacing w:line="171" w:lineRule="exact"/>
              <w:ind w:right="19"/>
              <w:jc w:val="right"/>
              <w:rPr>
                <w:rFonts w:ascii="Times New Roman" w:hAnsi="Times New Roman" w:cs="Times New Roman" w:eastAsia="Times New Roman" w:hint="default"/>
                <w:sz w:val="18"/>
                <w:szCs w:val="18"/>
              </w:rPr>
            </w:pPr>
            <w:r>
              <w:rPr>
                <w:rFonts w:ascii="Times New Roman"/>
                <w:spacing w:val="-1"/>
                <w:sz w:val="18"/>
              </w:rPr>
              <w:t>205,869,972.68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115,016,387.46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69,563,163.89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45,469,083.38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208,060,172.56</w:t>
            </w:r>
          </w:p>
        </w:tc>
      </w:tr>
      <w:tr>
        <w:trPr>
          <w:trHeight w:val="251"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21,176,689.73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63,234.09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11,291,605.98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48,739,087.82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2,346,391.84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22,637,853.39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18,202.81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12,556,836.80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53,853,837.28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1,827,895.78</w:t>
            </w:r>
          </w:p>
        </w:tc>
      </w:tr>
      <w:tr>
        <w:trPr>
          <w:trHeight w:val="25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151,403,283.84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103,653,434.49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87,083,358.66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113,025,172.19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232,316,613.94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228,507,826.07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115,034,590.27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82,120,000.69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99,322,920.66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209,888,068.34</w:t>
            </w:r>
          </w:p>
        </w:tc>
      </w:tr>
      <w:tr>
        <w:trPr>
          <w:trHeight w:val="25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41,184,162.37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5,984,843.02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8,020,277.10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76,867,091.62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29,537,336.65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45,557,440.90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9,548,252.42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11,163,891.96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75,333,049.12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21,230,702.15</w:t>
            </w:r>
          </w:p>
        </w:tc>
      </w:tr>
      <w:tr>
        <w:trPr>
          <w:trHeight w:val="251"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6" w:type="dxa"/>
            <w:tcBorders>
              <w:top w:val="single" w:sz="4" w:space="0" w:color="000000"/>
              <w:left w:val="single" w:sz="13" w:space="0" w:color="D3D3D3"/>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1,552,932.06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850,763.39</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41,184,162.37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5,988,805.28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8,020,277.10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78,420,023.68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29,537,336.65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45,557,440.90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9,548,252.42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11,163,891.96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76,183,812.51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21,230,702.15</w:t>
            </w:r>
          </w:p>
        </w:tc>
      </w:tr>
      <w:tr>
        <w:trPr>
          <w:trHeight w:val="49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3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10,047,122.86</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2,490,964.84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7,090,104.13</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-1,173,727.50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2,519,976.97</w:t>
            </w:r>
          </w:p>
        </w:tc>
      </w:tr>
      <w:tr>
        <w:trPr>
          <w:trHeight w:val="491"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30"/>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1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100,171,998.61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97,668,591.47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79,063,081.56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34,605,148.51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200,288,312.45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175,860,281.04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105,486,337.85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70,956,108.73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24,312,835.65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186,137,389.22</w:t>
            </w:r>
          </w:p>
        </w:tc>
      </w:tr>
      <w:tr>
        <w:trPr>
          <w:trHeight w:val="73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30"/>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16,094,735.19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43,950,866.16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28,462,709.36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12,457,853.46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78,112,441.86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35,084,126.07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47,468,852.03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25,544,199.14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8,752,620.83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72,593,581.80</w:t>
            </w:r>
          </w:p>
        </w:tc>
      </w:tr>
      <w:tr>
        <w:trPr>
          <w:trHeight w:val="73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30"/>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16,172,986.76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40,856,086.76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138,099,638.53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64,875,577.97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165,750,000.00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35,208,147.22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44,374,072.63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135,181,128.31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60,015,394.35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219,645,915.63</w:t>
            </w:r>
          </w:p>
        </w:tc>
      </w:tr>
      <w:tr>
        <w:trPr>
          <w:trHeight w:val="251"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107,668,247.41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68,481,001.55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70,151,540.32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149,286,776.49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262,730,131.80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132,133,668.98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91,754,207.15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61,124,463.35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138,630,759.71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236,574,283.92</w:t>
            </w:r>
          </w:p>
        </w:tc>
      </w:tr>
      <w:tr>
        <w:trPr>
          <w:trHeight w:val="25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2"/>
                <w:sz w:val="18"/>
              </w:rPr>
              <w:t>-11,520,115.39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10,382,253.62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38,106,972.83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13,466,040.36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14,121,911.10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-3,694,646.89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22,974,669.50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30,488,637.32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14,952,407.80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32,116,390.92</w:t>
            </w:r>
          </w:p>
        </w:tc>
      </w:tr>
      <w:tr>
        <w:trPr>
          <w:trHeight w:val="490"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3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2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2"/>
                <w:sz w:val="18"/>
              </w:rPr>
              <w:t>-11,520,115.39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10,382,253.62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38,106,972.83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13,466,040.36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14,121,911.10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-3,694,646.89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22,974,669.50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30,488,637.32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14,952,407.80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32,116,390.92</w:t>
            </w:r>
          </w:p>
        </w:tc>
      </w:tr>
      <w:tr>
        <w:trPr>
          <w:trHeight w:val="731" w:hRule="exact"/>
        </w:trPr>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30"/>
              <w:jc w:val="both"/>
              <w:rPr>
                <w:rFonts w:ascii="宋体" w:hAnsi="宋体" w:cs="宋体" w:eastAsia="宋体" w:hint="default"/>
                <w:sz w:val="18"/>
                <w:szCs w:val="18"/>
              </w:rPr>
            </w:pPr>
            <w:r>
              <w:rPr>
                <w:rFonts w:ascii="宋体" w:hAnsi="宋体" w:cs="宋体" w:eastAsia="宋体" w:hint="default"/>
                <w:sz w:val="18"/>
                <w:szCs w:val="18"/>
              </w:rPr>
              <w:t>本年度收到 的来自联营 企业的股利</w:t>
            </w:r>
          </w:p>
        </w:tc>
        <w:tc>
          <w:tcPr>
            <w:tcW w:w="1276" w:type="dxa"/>
            <w:tcBorders>
              <w:top w:val="single" w:sz="4" w:space="0" w:color="000000"/>
              <w:left w:val="single" w:sz="13" w:space="0" w:color="D3D3D3"/>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1,289,287.42</w:t>
            </w: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5"/>
          <w:szCs w:val="25"/>
        </w:rPr>
      </w:pPr>
    </w:p>
    <w:p>
      <w:pPr>
        <w:pStyle w:val="BodyText"/>
        <w:spacing w:line="240" w:lineRule="auto" w:before="76"/>
        <w:ind w:left="0" w:right="139"/>
        <w:jc w:val="right"/>
        <w:rPr>
          <w:rFonts w:ascii="Times New Roman" w:hAnsi="Times New Roman" w:cs="Times New Roman" w:eastAsia="Times New Roman" w:hint="default"/>
        </w:rPr>
      </w:pPr>
      <w:r>
        <w:rPr>
          <w:rFonts w:ascii="Times New Roman"/>
        </w:rPr>
        <w:t>173</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08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46"/>
          <w:footerReference w:type="default" r:id="rId47"/>
          <w:pgSz w:w="16840" w:h="11910" w:orient="landscape"/>
          <w:pgMar w:header="0" w:footer="0" w:top="800" w:bottom="0" w:left="9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86"/>
        <w:gridCol w:w="3175"/>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177,301,140.60</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154,042,455.85</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1,277,118.58</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2,553,171.55</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-4,631,596.93</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132,213.68</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-3,354,478.35</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2,685,385.23</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4" w:right="1117" w:hanging="189"/>
        <w:jc w:val="left"/>
      </w:pPr>
      <w:r>
        <w:rPr>
          <w:rFonts w:ascii="宋体" w:hAnsi="宋体" w:cs="宋体" w:eastAsia="宋体" w:hint="default"/>
          <w:b/>
          <w:bCs/>
        </w:rPr>
        <w:t>（一）市场风险</w:t>
      </w:r>
      <w:r>
        <w:rPr>
          <w:rFonts w:ascii="宋体" w:hAnsi="宋体" w:cs="宋体" w:eastAsia="宋体" w:hint="default"/>
          <w:b/>
          <w:bCs/>
          <w:w w:val="99"/>
        </w:rPr>
        <w:t> </w:t>
      </w:r>
      <w:r>
        <w:rPr/>
        <w:t>金融工具的市场风险，是指金融工具的公允价值或未来现金流量因市场价格变动而发生波动的风险，包括外汇风险、</w:t>
      </w:r>
    </w:p>
    <w:p>
      <w:pPr>
        <w:pStyle w:val="BodyText"/>
        <w:spacing w:line="240" w:lineRule="auto" w:before="19"/>
        <w:ind w:right="0"/>
        <w:jc w:val="left"/>
      </w:pPr>
      <w:r>
        <w:rPr/>
        <w:t>利率风险和其他价格风险。</w:t>
      </w:r>
    </w:p>
    <w:p>
      <w:pPr>
        <w:pStyle w:val="BodyText"/>
        <w:spacing w:line="300" w:lineRule="auto" w:before="76"/>
        <w:ind w:left="573" w:right="1117" w:firstLine="64"/>
        <w:jc w:val="left"/>
      </w:pPr>
      <w:r>
        <w:rPr>
          <w:rFonts w:ascii="Times New Roman" w:hAnsi="Times New Roman" w:cs="Times New Roman" w:eastAsia="Times New Roman" w:hint="default"/>
        </w:rPr>
        <w:t>1.</w:t>
      </w:r>
      <w:r>
        <w:rPr/>
        <w:t>汇率风险 汇率风险是指金融工具的公允价值或未来现金流量因外汇汇率变动而发生波动的风险。本公司的主要经营位于中国境</w:t>
      </w:r>
    </w:p>
    <w:p>
      <w:pPr>
        <w:pStyle w:val="BodyText"/>
        <w:spacing w:line="316" w:lineRule="auto" w:before="31"/>
        <w:ind w:left="573" w:right="0" w:hanging="420"/>
        <w:jc w:val="left"/>
      </w:pPr>
      <w:r>
        <w:rPr/>
        <w:t>内，主要业务以人民币结算。因此，本公司所承担的外汇变动市场风险不重大。 本公司密切关注汇率变动对本公司汇率风险的影响。本公司目前并未采取任何措施规避汇率风险，但管理层负责监控</w:t>
      </w:r>
    </w:p>
    <w:p>
      <w:pPr>
        <w:pStyle w:val="BodyText"/>
        <w:spacing w:line="240" w:lineRule="auto" w:before="19"/>
        <w:ind w:right="0"/>
        <w:jc w:val="left"/>
      </w:pPr>
      <w:r>
        <w:rPr/>
        <w:t>汇率风险，并将于需要时考虑对冲重大汇率风险。</w:t>
      </w:r>
    </w:p>
    <w:p>
      <w:pPr>
        <w:pStyle w:val="BodyText"/>
        <w:spacing w:line="300" w:lineRule="auto" w:before="76"/>
        <w:ind w:left="573" w:right="1117" w:firstLine="64"/>
        <w:jc w:val="left"/>
      </w:pPr>
      <w:r>
        <w:rPr>
          <w:rFonts w:ascii="Times New Roman" w:hAnsi="Times New Roman" w:cs="Times New Roman" w:eastAsia="Times New Roman" w:hint="default"/>
        </w:rPr>
        <w:t>2.</w:t>
      </w:r>
      <w:r>
        <w:rPr/>
        <w:t>利率风险 利率风险，是指金融工具的公允价值或未来现金流量因市场利率变动而发生波动的风险。本公司面临的市场利率变动</w:t>
      </w:r>
    </w:p>
    <w:p>
      <w:pPr>
        <w:pStyle w:val="BodyText"/>
        <w:spacing w:line="316" w:lineRule="auto" w:before="31"/>
        <w:ind w:left="153" w:right="1031"/>
        <w:jc w:val="left"/>
      </w:pPr>
      <w:r>
        <w:rPr/>
        <w:t>的风险主要与本公司以浮动利率计息的借款有关。本公司的利率风险主要产生于长期银行借款及应付债券等长期带息债务。 </w:t>
      </w:r>
      <w:r>
        <w:rPr>
          <w:spacing w:val="-2"/>
        </w:rPr>
        <w:t>浮动利率的金融负债使本公司面临现金流量利率风险，固定利率的金融负债使本公司面临公允价值利率风险。本公司根据当</w:t>
      </w:r>
    </w:p>
    <w:p>
      <w:pPr>
        <w:spacing w:after="0" w:line="316" w:lineRule="auto"/>
        <w:jc w:val="left"/>
        <w:sectPr>
          <w:footerReference w:type="default" r:id="rId48"/>
          <w:pgSz w:w="11910" w:h="16840"/>
          <w:pgMar w:footer="982" w:header="0" w:top="1100" w:bottom="1180" w:left="980" w:right="0"/>
          <w:pgNumType w:start="174"/>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时的市场环境来决定固定利率及浮动利率合同的相对比例，并通过定期审阅与监察维持适当的固定和浮动利率工具组合。</w:t>
      </w:r>
    </w:p>
    <w:p>
      <w:pPr>
        <w:pStyle w:val="BodyText"/>
        <w:spacing w:line="300" w:lineRule="auto" w:before="76"/>
        <w:ind w:left="573" w:right="4031" w:hanging="130"/>
        <w:jc w:val="left"/>
      </w:pPr>
      <w:r>
        <w:rPr>
          <w:rFonts w:ascii="Times New Roman" w:hAnsi="Times New Roman" w:cs="Times New Roman" w:eastAsia="Times New Roman" w:hint="default"/>
        </w:rPr>
        <w:t>3.</w:t>
      </w:r>
      <w:r>
        <w:rPr/>
        <w:t>其他价格风险 本公司管理层认为与金融资产、金融负债相关的价格风险对本公司无重大影响。</w:t>
      </w:r>
    </w:p>
    <w:p>
      <w:pPr>
        <w:pStyle w:val="BodyText"/>
        <w:spacing w:line="316" w:lineRule="auto" w:before="31"/>
        <w:ind w:left="574" w:right="1117" w:hanging="189"/>
        <w:jc w:val="left"/>
      </w:pPr>
      <w:r>
        <w:rPr>
          <w:rFonts w:ascii="宋体" w:hAnsi="宋体" w:cs="宋体" w:eastAsia="宋体" w:hint="default"/>
          <w:b/>
          <w:bCs/>
        </w:rPr>
        <w:t>（二）信用风险</w:t>
      </w:r>
      <w:r>
        <w:rPr>
          <w:rFonts w:ascii="宋体" w:hAnsi="宋体" w:cs="宋体" w:eastAsia="宋体" w:hint="default"/>
          <w:b/>
          <w:bCs/>
          <w:w w:val="99"/>
        </w:rPr>
        <w:t> </w:t>
      </w:r>
      <w:r>
        <w:rPr/>
        <w:t>信用风险，是指交易对手方未能履行合同义务而导致本公司产生财务损失的风险。本公司信用风险主要产生于银行存</w:t>
      </w:r>
    </w:p>
    <w:p>
      <w:pPr>
        <w:pStyle w:val="BodyText"/>
        <w:spacing w:line="316" w:lineRule="auto" w:before="19"/>
        <w:ind w:left="574" w:right="1117" w:hanging="420"/>
        <w:jc w:val="left"/>
      </w:pPr>
      <w:r>
        <w:rPr/>
        <w:t>款和应收款项等。 本公司银行存款主要存放于国有银行和其它大中型上市银行，本公司预期银行存款不存在重大的信用风险。 对于应收款项，本公司按照客户管理信用风险集中度，设定相关政策以控制信用风险敞口。本公司基于对债务人的财</w:t>
      </w:r>
    </w:p>
    <w:p>
      <w:pPr>
        <w:pStyle w:val="BodyText"/>
        <w:spacing w:line="316" w:lineRule="auto" w:before="19"/>
        <w:ind w:right="1030"/>
        <w:jc w:val="left"/>
      </w:pPr>
      <w:r>
        <w:rPr>
          <w:spacing w:val="-2"/>
        </w:rPr>
        <w:t>务状况、外部评级、从第三方获取担保的可能性、信用记录及其它因素诸如目前市场状况等评估债务人的信用资质并设置相</w:t>
      </w:r>
      <w:r>
        <w:rPr>
          <w:spacing w:val="-66"/>
        </w:rPr>
        <w:t> </w:t>
      </w:r>
      <w:r>
        <w:rPr>
          <w:spacing w:val="-66"/>
        </w:rPr>
      </w:r>
      <w:r>
        <w:rPr/>
        <w:t>应欠款额度与信用期限。本公司会定期对债务人信用记录进行监控，对于信用记录不良的债务人，本公司会采用书面催款、 </w:t>
      </w:r>
      <w:r>
        <w:rPr>
          <w:spacing w:val="-2"/>
        </w:rPr>
        <w:t>缩短信用期或取消信用期等方式，以确保本公司的整体信用风险在可控的范围内。由于本公司的应收款项客户广泛分散于不</w:t>
      </w:r>
      <w:r>
        <w:rPr>
          <w:spacing w:val="-64"/>
        </w:rPr>
        <w:t> </w:t>
      </w:r>
      <w:r>
        <w:rPr>
          <w:spacing w:val="-64"/>
        </w:rPr>
      </w:r>
      <w:r>
        <w:rPr/>
        <w:t>同的地区和行业中，因此在本公司不存在重大信用风险集中。</w:t>
      </w:r>
    </w:p>
    <w:p>
      <w:pPr>
        <w:pStyle w:val="BodyText"/>
        <w:spacing w:line="316" w:lineRule="auto" w:before="19"/>
        <w:ind w:right="0" w:firstLine="420"/>
        <w:jc w:val="left"/>
      </w:pPr>
      <w:r>
        <w:rPr/>
        <w:t>本公司没有提供任何其他可能令本公司承受信用风险的担保。本公司所承但的最大信用风险敞口为资产负债表中各项</w:t>
      </w:r>
      <w:r>
        <w:rPr>
          <w:spacing w:val="1"/>
        </w:rPr>
        <w:t> </w:t>
      </w:r>
      <w:r>
        <w:rPr/>
        <w:t>金融资产的账面价值。</w:t>
      </w:r>
    </w:p>
    <w:p>
      <w:pPr>
        <w:pStyle w:val="BodyText"/>
        <w:spacing w:line="316" w:lineRule="auto" w:before="19"/>
        <w:ind w:left="574" w:right="0" w:firstLine="4"/>
        <w:jc w:val="left"/>
      </w:pPr>
      <w:r>
        <w:rPr/>
        <w:t>1. 信用风险显著增加的判断依据 本公司在每个资产负债表日评估相关金融工具的信用风险自初始确认后是否已显著增加。在确定信用风险自初始确认</w:t>
      </w:r>
    </w:p>
    <w:p>
      <w:pPr>
        <w:pStyle w:val="BodyText"/>
        <w:spacing w:line="316" w:lineRule="auto" w:before="19"/>
        <w:ind w:right="1129"/>
        <w:jc w:val="both"/>
      </w:pPr>
      <w:r>
        <w:rPr>
          <w:spacing w:val="-2"/>
        </w:rPr>
        <w:t>后是否显著增加时，本公司考虑在无须付出不必要的额外成本或努力即可获得合理且有依据的信息，包括基于本公司历史数</w:t>
      </w:r>
      <w:r>
        <w:rPr>
          <w:spacing w:val="-64"/>
        </w:rPr>
        <w:t> </w:t>
      </w:r>
      <w:r>
        <w:rPr>
          <w:spacing w:val="-64"/>
        </w:rPr>
      </w:r>
      <w:r>
        <w:rPr>
          <w:spacing w:val="-2"/>
        </w:rPr>
        <w:t>据的定性和定量分析、外部信用风险评级以及前瞻性信息。当满足以下一个或多个定量、定性标准时，本公司认为信用风险</w:t>
      </w:r>
      <w:r>
        <w:rPr>
          <w:spacing w:val="-66"/>
        </w:rPr>
        <w:t> </w:t>
      </w:r>
      <w:r>
        <w:rPr>
          <w:spacing w:val="-66"/>
        </w:rPr>
      </w:r>
      <w:r>
        <w:rPr/>
        <w:t>已显著增加：</w:t>
      </w:r>
    </w:p>
    <w:p>
      <w:pPr>
        <w:pStyle w:val="BodyText"/>
        <w:spacing w:line="240" w:lineRule="auto" w:before="19"/>
        <w:ind w:left="444" w:right="0"/>
        <w:jc w:val="left"/>
      </w:pPr>
      <w:r>
        <w:rPr/>
        <w:t>（</w:t>
      </w:r>
      <w:r>
        <w:rPr>
          <w:rFonts w:ascii="Times New Roman" w:hAnsi="Times New Roman" w:cs="Times New Roman" w:eastAsia="Times New Roman" w:hint="default"/>
        </w:rPr>
        <w:t>1</w:t>
      </w:r>
      <w:r>
        <w:rPr/>
        <w:t>）合同付款已逾期超过</w:t>
      </w:r>
      <w:r>
        <w:rPr>
          <w:rFonts w:ascii="Times New Roman" w:hAnsi="Times New Roman" w:cs="Times New Roman" w:eastAsia="Times New Roman" w:hint="default"/>
        </w:rPr>
        <w:t>30</w:t>
      </w:r>
      <w:r>
        <w:rPr/>
        <w:t>天。</w:t>
      </w:r>
    </w:p>
    <w:p>
      <w:pPr>
        <w:pStyle w:val="BodyText"/>
        <w:spacing w:line="240" w:lineRule="auto" w:before="63"/>
        <w:ind w:left="444" w:right="0"/>
        <w:jc w:val="left"/>
      </w:pPr>
      <w:r>
        <w:rPr/>
        <w:t>（</w:t>
      </w:r>
      <w:r>
        <w:rPr>
          <w:rFonts w:ascii="Times New Roman" w:hAnsi="Times New Roman" w:cs="Times New Roman" w:eastAsia="Times New Roman" w:hint="default"/>
        </w:rPr>
        <w:t>2</w:t>
      </w:r>
      <w:r>
        <w:rPr/>
        <w:t>）根据外部公开信用评级结果，债务人信用评级等级大幅下降。</w:t>
      </w:r>
    </w:p>
    <w:p>
      <w:pPr>
        <w:pStyle w:val="BodyText"/>
        <w:spacing w:line="240" w:lineRule="auto" w:before="63"/>
        <w:ind w:left="444" w:right="0"/>
        <w:jc w:val="left"/>
      </w:pPr>
      <w:r>
        <w:rPr/>
        <w:t>（</w:t>
      </w:r>
      <w:r>
        <w:rPr>
          <w:rFonts w:ascii="Times New Roman" w:hAnsi="Times New Roman" w:cs="Times New Roman" w:eastAsia="Times New Roman" w:hint="default"/>
        </w:rPr>
        <w:t>3</w:t>
      </w:r>
      <w:r>
        <w:rPr/>
        <w:t>）债务人生产或经营环节出现严重问题，经营成果实际或预期发生显著下降。</w:t>
      </w:r>
    </w:p>
    <w:p>
      <w:pPr>
        <w:pStyle w:val="BodyText"/>
        <w:spacing w:line="240" w:lineRule="auto" w:before="63"/>
        <w:ind w:left="444" w:right="0"/>
        <w:jc w:val="left"/>
      </w:pPr>
      <w:r>
        <w:rPr/>
        <w:t>（</w:t>
      </w:r>
      <w:r>
        <w:rPr>
          <w:rFonts w:ascii="Times New Roman" w:hAnsi="Times New Roman" w:cs="Times New Roman" w:eastAsia="Times New Roman" w:hint="default"/>
        </w:rPr>
        <w:t>4</w:t>
      </w:r>
      <w:r>
        <w:rPr/>
        <w:t>）债务人所处的监管、经济或技术环境发生显著不利变化。</w:t>
      </w:r>
    </w:p>
    <w:p>
      <w:pPr>
        <w:pStyle w:val="BodyText"/>
        <w:spacing w:line="240" w:lineRule="auto" w:before="63"/>
        <w:ind w:left="444" w:right="0"/>
        <w:jc w:val="left"/>
      </w:pPr>
      <w:r>
        <w:rPr/>
        <w:t>（</w:t>
      </w:r>
      <w:r>
        <w:rPr>
          <w:rFonts w:ascii="Times New Roman" w:hAnsi="Times New Roman" w:cs="Times New Roman" w:eastAsia="Times New Roman" w:hint="default"/>
        </w:rPr>
        <w:t>5</w:t>
      </w:r>
      <w:r>
        <w:rPr/>
        <w:t>）预期将导致债务人履行其偿债义务能力的业务、财务或经济状况发生显著不利变化。</w:t>
      </w:r>
    </w:p>
    <w:p>
      <w:pPr>
        <w:pStyle w:val="BodyText"/>
        <w:spacing w:line="300" w:lineRule="auto" w:before="63"/>
        <w:ind w:left="516" w:right="4270" w:hanging="72"/>
        <w:jc w:val="left"/>
      </w:pPr>
      <w:r>
        <w:rPr/>
        <w:t>（</w:t>
      </w:r>
      <w:r>
        <w:rPr>
          <w:rFonts w:ascii="Times New Roman" w:hAnsi="Times New Roman" w:cs="Times New Roman" w:eastAsia="Times New Roman" w:hint="default"/>
        </w:rPr>
        <w:t>6</w:t>
      </w:r>
      <w:r>
        <w:rPr/>
        <w:t>）其他表明金融资产发生信用风险显著增加的客观证据。 </w:t>
      </w:r>
      <w:r>
        <w:rPr>
          <w:rFonts w:ascii="Times New Roman" w:hAnsi="Times New Roman" w:cs="Times New Roman" w:eastAsia="Times New Roman" w:hint="default"/>
        </w:rPr>
        <w:t>2.</w:t>
      </w:r>
      <w:r>
        <w:rPr/>
        <w:t>已发生信用减值的依据 本公司评估债务人是否发生信用减值时，主要考虑以下因素：</w:t>
      </w:r>
    </w:p>
    <w:p>
      <w:pPr>
        <w:pStyle w:val="BodyText"/>
        <w:spacing w:line="240" w:lineRule="auto" w:before="31"/>
        <w:ind w:left="444" w:right="0"/>
        <w:jc w:val="left"/>
      </w:pPr>
      <w:r>
        <w:rPr/>
        <w:t>（</w:t>
      </w:r>
      <w:r>
        <w:rPr>
          <w:rFonts w:ascii="Times New Roman" w:hAnsi="Times New Roman" w:cs="Times New Roman" w:eastAsia="Times New Roman" w:hint="default"/>
        </w:rPr>
        <w:t>1</w:t>
      </w:r>
      <w:r>
        <w:rPr/>
        <w:t>）发行方或债务人发生重大财务困难。</w:t>
      </w:r>
    </w:p>
    <w:p>
      <w:pPr>
        <w:pStyle w:val="BodyText"/>
        <w:spacing w:line="240" w:lineRule="auto" w:before="63"/>
        <w:ind w:left="444" w:right="0"/>
        <w:jc w:val="left"/>
      </w:pPr>
      <w:r>
        <w:rPr/>
        <w:t>（</w:t>
      </w: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63"/>
        <w:ind w:left="444" w:right="0"/>
        <w:jc w:val="left"/>
      </w:pPr>
      <w:r>
        <w:rPr/>
        <w:t>（</w:t>
      </w: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pStyle w:val="BodyText"/>
        <w:spacing w:line="240" w:lineRule="auto" w:before="63"/>
        <w:ind w:left="444" w:right="0"/>
        <w:jc w:val="left"/>
      </w:pPr>
      <w:r>
        <w:rPr/>
        <w:t>（</w:t>
      </w:r>
      <w:r>
        <w:rPr>
          <w:rFonts w:ascii="Times New Roman" w:hAnsi="Times New Roman" w:cs="Times New Roman" w:eastAsia="Times New Roman" w:hint="default"/>
        </w:rPr>
        <w:t>4</w:t>
      </w:r>
      <w:r>
        <w:rPr/>
        <w:t>）债务人很可能破产或进行其他财务重组。</w:t>
      </w:r>
    </w:p>
    <w:p>
      <w:pPr>
        <w:pStyle w:val="BodyText"/>
        <w:spacing w:line="240" w:lineRule="auto" w:before="63"/>
        <w:ind w:left="444" w:right="0"/>
        <w:jc w:val="left"/>
      </w:pPr>
      <w:r>
        <w:rPr/>
        <w:t>（</w:t>
      </w:r>
      <w:r>
        <w:rPr>
          <w:rFonts w:ascii="Times New Roman" w:hAnsi="Times New Roman" w:cs="Times New Roman" w:eastAsia="Times New Roman" w:hint="default"/>
        </w:rPr>
        <w:t>5</w:t>
      </w:r>
      <w:r>
        <w:rPr/>
        <w:t>）发行方或债务人财务困难导致该金融资产的活跃市场消失。</w:t>
      </w:r>
    </w:p>
    <w:p>
      <w:pPr>
        <w:pStyle w:val="BodyText"/>
        <w:spacing w:line="240" w:lineRule="auto" w:before="63"/>
        <w:ind w:left="444" w:right="0"/>
        <w:jc w:val="left"/>
      </w:pPr>
      <w:r>
        <w:rPr/>
        <w:t>（</w:t>
      </w:r>
      <w:r>
        <w:rPr>
          <w:rFonts w:ascii="Times New Roman" w:hAnsi="Times New Roman" w:cs="Times New Roman" w:eastAsia="Times New Roman" w:hint="default"/>
        </w:rPr>
        <w:t>6</w:t>
      </w:r>
      <w:r>
        <w:rPr/>
        <w:t>）以大幅折扣购买或源生一项金融资产，该折扣反映了发生信用损失的事实。</w:t>
      </w:r>
    </w:p>
    <w:p>
      <w:pPr>
        <w:pStyle w:val="BodyText"/>
        <w:spacing w:line="300" w:lineRule="auto" w:before="63"/>
        <w:ind w:left="574" w:right="0" w:hanging="58"/>
        <w:jc w:val="left"/>
      </w:pPr>
      <w:r>
        <w:rPr>
          <w:rFonts w:ascii="Times New Roman" w:hAnsi="Times New Roman" w:cs="Times New Roman" w:eastAsia="Times New Roman" w:hint="default"/>
        </w:rPr>
        <w:t>3.</w:t>
      </w:r>
      <w:r>
        <w:rPr/>
        <w:t>预期信用损失计量的参数 根据信用风险是否发生显著增加以及是否已发生信用减值，本公司对不同的资产分别以</w:t>
      </w:r>
      <w:r>
        <w:rPr>
          <w:rFonts w:ascii="Times New Roman" w:hAnsi="Times New Roman" w:cs="Times New Roman" w:eastAsia="Times New Roman" w:hint="default"/>
        </w:rPr>
        <w:t>12</w:t>
      </w:r>
      <w:r>
        <w:rPr/>
        <w:t>个月或整个存续期的预期信</w:t>
      </w:r>
    </w:p>
    <w:p>
      <w:pPr>
        <w:pStyle w:val="BodyText"/>
        <w:spacing w:line="316" w:lineRule="auto" w:before="13"/>
        <w:ind w:left="153" w:right="0"/>
        <w:jc w:val="left"/>
      </w:pPr>
      <w:r>
        <w:rPr>
          <w:spacing w:val="-2"/>
        </w:rPr>
        <w:t>用损失计量损失准备。预期信用损失计量的关键参数包括违约概率、违约损失率和违约风险敞口。本公司考虑历史统计数据</w:t>
      </w:r>
      <w:r>
        <w:rPr>
          <w:spacing w:val="-66"/>
        </w:rPr>
        <w:t> </w:t>
      </w:r>
      <w:r>
        <w:rPr>
          <w:spacing w:val="-66"/>
        </w:rPr>
      </w:r>
      <w:r>
        <w:rPr/>
        <w:t>的定量分析及前瞻性信息，建立违约概率、违约损失率及违约风险敞口模型。相关定义如下：</w:t>
      </w:r>
    </w:p>
    <w:p>
      <w:pPr>
        <w:pStyle w:val="BodyText"/>
        <w:spacing w:line="240" w:lineRule="auto" w:before="19"/>
        <w:ind w:left="371" w:right="0"/>
        <w:jc w:val="left"/>
      </w:pPr>
      <w:r>
        <w:rPr/>
        <w:t>（</w:t>
      </w:r>
      <w:r>
        <w:rPr>
          <w:rFonts w:ascii="Times New Roman" w:hAnsi="Times New Roman" w:cs="Times New Roman" w:eastAsia="Times New Roman" w:hint="default"/>
        </w:rPr>
        <w:t>1</w:t>
      </w:r>
      <w:r>
        <w:rPr/>
        <w:t>）违约概率是指债务人在未来</w:t>
      </w:r>
      <w:r>
        <w:rPr>
          <w:rFonts w:ascii="Times New Roman" w:hAnsi="Times New Roman" w:cs="Times New Roman" w:eastAsia="Times New Roman" w:hint="default"/>
        </w:rPr>
        <w:t>12</w:t>
      </w:r>
      <w:r>
        <w:rPr/>
        <w:t>个月或在整个剩余存续期，无法履行其偿付义务的可能性。</w:t>
      </w:r>
    </w:p>
    <w:p>
      <w:pPr>
        <w:pStyle w:val="BodyText"/>
        <w:spacing w:line="240" w:lineRule="auto" w:before="63"/>
        <w:ind w:left="371" w:right="0"/>
        <w:jc w:val="left"/>
      </w:pPr>
      <w:r>
        <w:rPr/>
        <w:t>（</w:t>
      </w:r>
      <w:r>
        <w:rPr>
          <w:rFonts w:ascii="Times New Roman" w:hAnsi="Times New Roman" w:cs="Times New Roman" w:eastAsia="Times New Roman" w:hint="default"/>
        </w:rPr>
        <w:t>2</w:t>
      </w:r>
      <w:r>
        <w:rPr/>
        <w:t>）违约风险敞口是指，在未来</w:t>
      </w:r>
      <w:r>
        <w:rPr>
          <w:rFonts w:ascii="Times New Roman" w:hAnsi="Times New Roman" w:cs="Times New Roman" w:eastAsia="Times New Roman" w:hint="default"/>
        </w:rPr>
        <w:t>12</w:t>
      </w:r>
      <w:r>
        <w:rPr/>
        <w:t>个月或在整个剩余存续期中，在违约发生时，本公司应被偿付的金额。</w:t>
      </w:r>
    </w:p>
    <w:p>
      <w:pPr>
        <w:pStyle w:val="BodyText"/>
        <w:spacing w:line="300" w:lineRule="auto" w:before="63"/>
        <w:ind w:left="153" w:right="0" w:firstLine="217"/>
        <w:jc w:val="left"/>
      </w:pPr>
      <w:r>
        <w:rPr>
          <w:spacing w:val="-1"/>
        </w:rPr>
        <w:t>（</w:t>
      </w:r>
      <w:r>
        <w:rPr>
          <w:rFonts w:ascii="Times New Roman" w:hAnsi="Times New Roman" w:cs="Times New Roman" w:eastAsia="Times New Roman" w:hint="default"/>
          <w:spacing w:val="-1"/>
        </w:rPr>
        <w:t>3</w:t>
      </w:r>
      <w:r>
        <w:rPr>
          <w:spacing w:val="-1"/>
        </w:rPr>
        <w:t>）违约损失率是指本公司对违约敞口发生损失程度作出的预期。根据交易对手的类型、追索的方式和优先级，以及担</w:t>
      </w:r>
      <w:r>
        <w:rPr/>
        <w:t> 保物或其他信用支持的可获得性不同，违约损失率也有所不同。</w:t>
      </w:r>
    </w:p>
    <w:p>
      <w:pPr>
        <w:pStyle w:val="BodyText"/>
        <w:spacing w:line="316" w:lineRule="auto" w:before="31"/>
        <w:ind w:left="153" w:right="0" w:firstLine="420"/>
        <w:jc w:val="left"/>
      </w:pPr>
      <w:r>
        <w:rPr/>
        <w:t>本公司通过预计未来各月份中单个敞口或资产组合的违约概率、违约损失率和违约风险敞口，来确定预期信用损失。</w:t>
      </w:r>
      <w:r>
        <w:rPr>
          <w:spacing w:val="1"/>
        </w:rPr>
        <w:t> </w:t>
      </w:r>
      <w:r>
        <w:rPr/>
        <w:t>本报告期内，预期信用损失估计技术或关键假设未发生重大变化。</w:t>
      </w:r>
    </w:p>
    <w:p>
      <w:pPr>
        <w:pStyle w:val="BodyText"/>
        <w:spacing w:line="240" w:lineRule="auto" w:before="19"/>
        <w:ind w:left="444" w:right="0"/>
        <w:jc w:val="left"/>
      </w:pPr>
      <w:r>
        <w:rPr>
          <w:rFonts w:ascii="Times New Roman" w:hAnsi="Times New Roman" w:cs="Times New Roman" w:eastAsia="Times New Roman" w:hint="default"/>
        </w:rPr>
        <w:t>4.</w:t>
      </w:r>
      <w:r>
        <w:rPr/>
        <w:t>预期信用损失模型中包括的前瞻性信息</w:t>
      </w:r>
    </w:p>
    <w:p>
      <w:pPr>
        <w:spacing w:after="0" w:line="240" w:lineRule="auto"/>
        <w:jc w:val="left"/>
        <w:sectPr>
          <w:pgSz w:w="11910" w:h="16840"/>
          <w:pgMar w:header="0" w:footer="982" w:top="1100" w:bottom="118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26" w:firstLine="420"/>
        <w:jc w:val="both"/>
      </w:pPr>
      <w:r>
        <w:rPr/>
        <w:t>信用风险显著增加的评估及预期信用损失的计算均涉及前瞻性信息。本公司通过历史数据分析，识别出影响各资产组</w:t>
      </w:r>
      <w:r>
        <w:rPr>
          <w:spacing w:val="1"/>
        </w:rPr>
        <w:t> </w:t>
      </w:r>
      <w:r>
        <w:rPr>
          <w:spacing w:val="-2"/>
        </w:rPr>
        <w:t>合的信用风险及预期信用损失的相关信息，如</w:t>
      </w:r>
      <w:r>
        <w:rPr>
          <w:rFonts w:ascii="Times New Roman" w:hAnsi="Times New Roman" w:cs="Times New Roman" w:eastAsia="Times New Roman" w:hint="default"/>
          <w:spacing w:val="-2"/>
        </w:rPr>
        <w:t>GDP</w:t>
      </w:r>
      <w:r>
        <w:rPr>
          <w:spacing w:val="-2"/>
        </w:rPr>
        <w:t>增速等宏观经济状况，所处行业周期阶段等行业发展状况等。本公司在考</w:t>
      </w:r>
      <w:r>
        <w:rPr>
          <w:spacing w:val="-66"/>
        </w:rPr>
        <w:t> </w:t>
      </w:r>
      <w:r>
        <w:rPr>
          <w:spacing w:val="-66"/>
        </w:rPr>
      </w:r>
      <w:r>
        <w:rPr/>
        <w:t>虑公司未来销售策略或信用政策的变化的基础上来预测这些信息对违约概率和违约损失率的影响。</w:t>
      </w:r>
    </w:p>
    <w:p>
      <w:pPr>
        <w:pStyle w:val="BodyText"/>
        <w:spacing w:line="316" w:lineRule="auto" w:before="24"/>
        <w:ind w:left="574" w:right="1117" w:hanging="189"/>
        <w:jc w:val="left"/>
      </w:pPr>
      <w:r>
        <w:rPr>
          <w:rFonts w:ascii="宋体" w:hAnsi="宋体" w:cs="宋体" w:eastAsia="宋体" w:hint="default"/>
          <w:b/>
          <w:bCs/>
        </w:rPr>
        <w:t>（三）流动风险</w:t>
      </w:r>
      <w:r>
        <w:rPr>
          <w:rFonts w:ascii="宋体" w:hAnsi="宋体" w:cs="宋体" w:eastAsia="宋体" w:hint="default"/>
          <w:b/>
          <w:bCs/>
          <w:w w:val="99"/>
        </w:rPr>
        <w:t> </w:t>
      </w:r>
      <w:r>
        <w:rPr/>
        <w:t>流动风险，是指企业在履行以交付现金或其他金融资产的方式结算的义务时发生资金短缺的风险。流动性风险由本公</w:t>
      </w:r>
    </w:p>
    <w:p>
      <w:pPr>
        <w:pStyle w:val="BodyText"/>
        <w:spacing w:line="300" w:lineRule="auto" w:before="19"/>
        <w:ind w:right="0"/>
        <w:jc w:val="left"/>
      </w:pPr>
      <w:r>
        <w:rPr>
          <w:spacing w:val="-2"/>
        </w:rPr>
        <w:t>司的财务部门集中控制。财务部门通过监控现金余额、可随时变现的有价证券以及对未来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w:t>
      </w:r>
      <w:r>
        <w:rPr>
          <w:spacing w:val="-64"/>
        </w:rPr>
        <w:t> </w:t>
      </w:r>
      <w:r>
        <w:rPr>
          <w:spacing w:val="-64"/>
        </w:rPr>
      </w:r>
      <w:r>
        <w:rPr/>
        <w:t>公司在所有合理预测的情况下拥有充足的资金偿还债务，满足本公司经营需要，并降低现金流量波动的影响。</w:t>
      </w:r>
    </w:p>
    <w:p>
      <w:pPr>
        <w:pStyle w:val="BodyText"/>
        <w:spacing w:line="240" w:lineRule="auto" w:before="31"/>
        <w:ind w:left="574" w:right="0"/>
        <w:jc w:val="left"/>
      </w:pPr>
      <w:r>
        <w:rPr/>
        <w:t>本公司持有的金融负债和表外担保项目按未折现剩余合同现金流量的到期期限分析如下</w:t>
      </w:r>
      <w:r>
        <w:rPr>
          <w:rFonts w:ascii="Times New Roman" w:hAnsi="Times New Roman" w:cs="Times New Roman" w:eastAsia="Times New Roman" w:hint="default"/>
        </w:rPr>
        <w:t>(</w:t>
      </w:r>
      <w:r>
        <w:rPr/>
        <w:t>单位：人民币元</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136"/>
        <w:gridCol w:w="1702"/>
        <w:gridCol w:w="1418"/>
        <w:gridCol w:w="1177"/>
        <w:gridCol w:w="1546"/>
        <w:gridCol w:w="1679"/>
      </w:tblGrid>
      <w:tr>
        <w:trPr>
          <w:trHeight w:val="342" w:hRule="exact"/>
        </w:trPr>
        <w:tc>
          <w:tcPr>
            <w:tcW w:w="213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22"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2136" w:type="dxa"/>
            <w:vMerge/>
            <w:tcBorders>
              <w:left w:val="single" w:sz="4" w:space="0" w:color="000000"/>
              <w:bottom w:val="single" w:sz="4" w:space="0" w:color="000000"/>
              <w:right w:val="single" w:sz="4" w:space="0" w:color="000000"/>
            </w:tcBorders>
            <w:shd w:val="clear" w:color="auto" w:fill="DDDDDD"/>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8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1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sz w:val="18"/>
                <w:szCs w:val="18"/>
              </w:rPr>
              <w:t>两至三年</w:t>
            </w:r>
          </w:p>
        </w:tc>
        <w:tc>
          <w:tcPr>
            <w:tcW w:w="154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7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44,009,613.13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44,009,613.13</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37,557,061.15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37,557,061.15</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251,632,271.06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251,632,271.06</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239,619,393.90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239,619,393.90</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28,280,023.75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28,280,023.75</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253,652,876.71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253,652,876.71</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2,100,000.00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2,391,780.82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202,391,780.82</w:t>
            </w:r>
          </w:p>
        </w:tc>
      </w:tr>
      <w:tr>
        <w:trPr>
          <w:trHeight w:val="34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857,143,020.52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202,100,000.00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1,059,243,020.52</w:t>
            </w:r>
          </w:p>
        </w:tc>
      </w:tr>
    </w:tbl>
    <w:p>
      <w:pPr>
        <w:pStyle w:val="BodyText"/>
        <w:spacing w:line="240" w:lineRule="auto" w:before="10"/>
        <w:ind w:left="574" w:right="0"/>
        <w:jc w:val="left"/>
      </w:pPr>
      <w:r>
        <w:rPr/>
        <w:t>续上表：</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419"/>
        <w:gridCol w:w="1418"/>
        <w:gridCol w:w="1418"/>
        <w:gridCol w:w="1267"/>
        <w:gridCol w:w="1567"/>
        <w:gridCol w:w="1567"/>
      </w:tblGrid>
      <w:tr>
        <w:trPr>
          <w:trHeight w:val="342" w:hRule="exact"/>
        </w:trPr>
        <w:tc>
          <w:tcPr>
            <w:tcW w:w="241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38"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2419" w:type="dxa"/>
            <w:vMerge/>
            <w:tcBorders>
              <w:left w:val="single" w:sz="4" w:space="0" w:color="000000"/>
              <w:bottom w:val="single" w:sz="4" w:space="0" w:color="000000"/>
              <w:right w:val="single" w:sz="4" w:space="0" w:color="000000"/>
            </w:tcBorders>
            <w:shd w:val="clear" w:color="auto" w:fill="DDDDDD"/>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2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267" w:right="0"/>
              <w:jc w:val="left"/>
              <w:rPr>
                <w:rFonts w:ascii="宋体" w:hAnsi="宋体" w:cs="宋体" w:eastAsia="宋体" w:hint="default"/>
                <w:sz w:val="18"/>
                <w:szCs w:val="18"/>
              </w:rPr>
            </w:pPr>
            <w:r>
              <w:rPr>
                <w:rFonts w:ascii="宋体" w:hAnsi="宋体" w:cs="宋体" w:eastAsia="宋体" w:hint="default"/>
                <w:sz w:val="18"/>
                <w:szCs w:val="18"/>
              </w:rPr>
              <w:t>两至三年</w:t>
            </w:r>
          </w:p>
        </w:tc>
        <w:tc>
          <w:tcPr>
            <w:tcW w:w="15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1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216,773,003.21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216,773,003.21</w:t>
            </w:r>
          </w:p>
        </w:tc>
      </w:tr>
      <w:tr>
        <w:trPr>
          <w:trHeight w:val="34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52,234,777.00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52,234,777.00</w:t>
            </w:r>
          </w:p>
        </w:tc>
      </w:tr>
      <w:tr>
        <w:trPr>
          <w:trHeight w:val="34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155,516,048.21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155,516,048.21</w:t>
            </w:r>
          </w:p>
        </w:tc>
      </w:tr>
      <w:tr>
        <w:trPr>
          <w:trHeight w:val="34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237,533,203.76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237,533,203.76</w:t>
            </w:r>
          </w:p>
        </w:tc>
      </w:tr>
      <w:tr>
        <w:trPr>
          <w:trHeight w:val="34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30,341,133.38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30,341,133.38</w:t>
            </w:r>
          </w:p>
        </w:tc>
      </w:tr>
      <w:tr>
        <w:trPr>
          <w:trHeight w:val="34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28,280,023.75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2,100,000.00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30,380,023.75</w:t>
            </w:r>
          </w:p>
        </w:tc>
      </w:tr>
      <w:tr>
        <w:trPr>
          <w:trHeight w:val="343"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692,398,165.56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28,280,023.75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2,100,000.00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722,778,189.31</w:t>
            </w:r>
          </w:p>
        </w:tc>
      </w:tr>
    </w:tbl>
    <w:p>
      <w:pPr>
        <w:pStyle w:val="BodyText"/>
        <w:spacing w:line="316" w:lineRule="auto" w:before="10"/>
        <w:ind w:left="573" w:right="2051"/>
        <w:jc w:val="left"/>
      </w:pPr>
      <w:r>
        <w:rPr/>
        <w:t>上表中披露的金融负债金额为未经折现的合同现金流量，因而可能与资产负债表中的账面金额有所不同。 应付债券的期限为</w:t>
      </w:r>
      <w:r>
        <w:rPr>
          <w:rFonts w:ascii="Times New Roman" w:hAnsi="Times New Roman" w:cs="Times New Roman" w:eastAsia="Times New Roman" w:hint="default"/>
        </w:rPr>
        <w:t>5</w:t>
      </w:r>
      <w:r>
        <w:rPr/>
        <w:t>年，在债券的存续期的第</w:t>
      </w:r>
      <w:r>
        <w:rPr>
          <w:rFonts w:ascii="Times New Roman" w:hAnsi="Times New Roman" w:cs="Times New Roman" w:eastAsia="Times New Roman" w:hint="default"/>
        </w:rPr>
        <w:t>2</w:t>
      </w:r>
      <w:r>
        <w:rPr/>
        <w:t>年末、第</w:t>
      </w:r>
      <w:r>
        <w:rPr>
          <w:rFonts w:ascii="Times New Roman" w:hAnsi="Times New Roman" w:cs="Times New Roman" w:eastAsia="Times New Roman" w:hint="default"/>
        </w:rPr>
        <w:t>4</w:t>
      </w:r>
      <w:r>
        <w:rPr/>
        <w:t>年末附利率调整选择权和投资者回售选择权。</w:t>
      </w:r>
    </w:p>
    <w:p>
      <w:pPr>
        <w:pStyle w:val="BodyText"/>
        <w:spacing w:line="316" w:lineRule="auto"/>
        <w:ind w:left="574" w:right="1117" w:hanging="189"/>
        <w:jc w:val="left"/>
      </w:pPr>
      <w:r>
        <w:rPr>
          <w:rFonts w:ascii="宋体" w:hAnsi="宋体" w:cs="宋体" w:eastAsia="宋体" w:hint="default"/>
          <w:b/>
          <w:bCs/>
        </w:rPr>
        <w:t>（四）资本管理</w:t>
      </w:r>
      <w:r>
        <w:rPr>
          <w:rFonts w:ascii="宋体" w:hAnsi="宋体" w:cs="宋体" w:eastAsia="宋体" w:hint="default"/>
          <w:b/>
          <w:bCs/>
          <w:w w:val="99"/>
        </w:rPr>
        <w:t> </w:t>
      </w:r>
      <w:r>
        <w:rPr/>
        <w:t>本公司资本管理政策的目标是为了保障本公司能够持续经营，从而为股东提供回报，并使其他利益相关者获益，同时</w:t>
      </w:r>
    </w:p>
    <w:p>
      <w:pPr>
        <w:pStyle w:val="BodyText"/>
        <w:spacing w:line="309" w:lineRule="auto" w:before="19"/>
        <w:ind w:right="1131"/>
        <w:jc w:val="both"/>
      </w:pPr>
      <w:r>
        <w:rPr>
          <w:spacing w:val="-2"/>
        </w:rPr>
        <w:t>维持最佳的资本结构以降低资本成本。为了维持或调整资本结构，本公司可能会调整支付给股东的股利金额、向股东返还资</w:t>
      </w:r>
      <w:r>
        <w:rPr>
          <w:spacing w:val="-66"/>
        </w:rPr>
        <w:t> </w:t>
      </w:r>
      <w:r>
        <w:rPr>
          <w:spacing w:val="-66"/>
        </w:rPr>
      </w:r>
      <w:r>
        <w:rPr>
          <w:spacing w:val="-1"/>
        </w:rPr>
        <w:t>本、发行新股或出售资产以减低债务。本公司以资产负债率</w:t>
      </w:r>
      <w:r>
        <w:rPr>
          <w:rFonts w:ascii="Times New Roman" w:hAnsi="Times New Roman" w:cs="Times New Roman" w:eastAsia="Times New Roman" w:hint="default"/>
          <w:spacing w:val="-1"/>
        </w:rPr>
        <w:t>(</w:t>
      </w:r>
      <w:r>
        <w:rPr>
          <w:spacing w:val="-1"/>
        </w:rPr>
        <w:t>即总负债除以总资产</w:t>
      </w:r>
      <w:r>
        <w:rPr>
          <w:rFonts w:ascii="Times New Roman" w:hAnsi="Times New Roman" w:cs="Times New Roman" w:eastAsia="Times New Roman" w:hint="default"/>
          <w:spacing w:val="-1"/>
        </w:rPr>
        <w:t>)</w:t>
      </w:r>
      <w:r>
        <w:rPr>
          <w:spacing w:val="-1"/>
        </w:rPr>
        <w:t>为基础对资本结构进行监控。于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31</w:t>
      </w:r>
      <w:r>
        <w:rPr/>
        <w:t>日，本公司的资产负债率为</w:t>
      </w:r>
      <w:r>
        <w:rPr>
          <w:rFonts w:ascii="Times New Roman" w:hAnsi="Times New Roman" w:cs="Times New Roman" w:eastAsia="Times New Roman" w:hint="default"/>
        </w:rPr>
        <w:t>44.35%(2018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34.89%)</w:t>
      </w:r>
      <w:r>
        <w:rPr/>
        <w:t>。</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after="0" w:line="240" w:lineRule="auto"/>
        <w:jc w:val="both"/>
        <w:sectPr>
          <w:pgSz w:w="11910" w:h="16840"/>
          <w:pgMar w:header="0" w:footer="982" w:top="1100" w:bottom="1180" w:left="980" w:right="0"/>
        </w:sectPr>
      </w:pPr>
    </w:p>
    <w:p>
      <w:pPr>
        <w:spacing w:line="240" w:lineRule="auto" w:before="13"/>
        <w:rPr>
          <w:rFonts w:ascii="宋体" w:hAnsi="宋体" w:cs="宋体" w:eastAsia="宋体" w:hint="default"/>
          <w:b/>
          <w:bCs/>
          <w:sz w:val="21"/>
          <w:szCs w:val="2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67"/>
        <w:gridCol w:w="1684"/>
        <w:gridCol w:w="1711"/>
        <w:gridCol w:w="1711"/>
        <w:gridCol w:w="1181"/>
      </w:tblGrid>
      <w:tr>
        <w:trPr>
          <w:trHeight w:val="401" w:hRule="exact"/>
        </w:trPr>
        <w:tc>
          <w:tcPr>
            <w:tcW w:w="3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28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3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62" w:right="109"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7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59" w:right="41"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7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59" w:right="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1" w:hRule="exact"/>
        </w:trPr>
        <w:tc>
          <w:tcPr>
            <w:tcW w:w="3367" w:type="dxa"/>
            <w:vMerge/>
            <w:tcBorders>
              <w:left w:val="single" w:sz="4" w:space="0" w:color="000000"/>
              <w:bottom w:val="nil" w:sz="6" w:space="0" w:color="auto"/>
              <w:right w:val="single" w:sz="4" w:space="0" w:color="000000"/>
            </w:tcBorders>
            <w:shd w:val="clear" w:color="auto" w:fill="D3D3D3"/>
          </w:tcPr>
          <w:p>
            <w:pPr/>
          </w:p>
        </w:tc>
        <w:tc>
          <w:tcPr>
            <w:tcW w:w="1684" w:type="dxa"/>
            <w:vMerge/>
            <w:tcBorders>
              <w:left w:val="single" w:sz="4" w:space="0" w:color="000000"/>
              <w:right w:val="single" w:sz="4" w:space="0" w:color="000000"/>
            </w:tcBorders>
            <w:shd w:val="clear" w:color="auto" w:fill="D3D3D3"/>
          </w:tcPr>
          <w:p>
            <w:pPr/>
          </w:p>
        </w:tc>
        <w:tc>
          <w:tcPr>
            <w:tcW w:w="1711" w:type="dxa"/>
            <w:vMerge/>
            <w:tcBorders>
              <w:left w:val="single" w:sz="4" w:space="0" w:color="000000"/>
              <w:right w:val="single" w:sz="4" w:space="0" w:color="000000"/>
            </w:tcBorders>
            <w:shd w:val="clear" w:color="auto" w:fill="D3D3D3"/>
          </w:tcPr>
          <w:p>
            <w:pPr/>
          </w:p>
        </w:tc>
        <w:tc>
          <w:tcPr>
            <w:tcW w:w="1711"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3367" w:type="dxa"/>
            <w:vMerge w:val="restart"/>
            <w:tcBorders>
              <w:top w:val="nil" w:sz="6" w:space="0" w:color="auto"/>
              <w:left w:val="single" w:sz="4" w:space="0" w:color="000000"/>
              <w:right w:val="single" w:sz="4" w:space="0" w:color="000000"/>
            </w:tcBorders>
            <w:shd w:val="clear" w:color="auto" w:fill="D3D3D3"/>
          </w:tcPr>
          <w:p>
            <w:pPr/>
          </w:p>
        </w:tc>
        <w:tc>
          <w:tcPr>
            <w:tcW w:w="1684" w:type="dxa"/>
            <w:vMerge/>
            <w:tcBorders>
              <w:left w:val="single" w:sz="4" w:space="0" w:color="000000"/>
              <w:right w:val="single" w:sz="4" w:space="0" w:color="000000"/>
            </w:tcBorders>
            <w:shd w:val="clear" w:color="auto" w:fill="D3D3D3"/>
          </w:tcPr>
          <w:p>
            <w:pPr/>
          </w:p>
        </w:tc>
        <w:tc>
          <w:tcPr>
            <w:tcW w:w="1711" w:type="dxa"/>
            <w:vMerge/>
            <w:tcBorders>
              <w:left w:val="single" w:sz="4" w:space="0" w:color="000000"/>
              <w:right w:val="single" w:sz="4" w:space="0" w:color="000000"/>
            </w:tcBorders>
            <w:shd w:val="clear" w:color="auto" w:fill="D3D3D3"/>
          </w:tcPr>
          <w:p>
            <w:pPr/>
          </w:p>
        </w:tc>
        <w:tc>
          <w:tcPr>
            <w:tcW w:w="171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3367" w:type="dxa"/>
            <w:vMerge/>
            <w:tcBorders>
              <w:left w:val="single" w:sz="4" w:space="0" w:color="000000"/>
              <w:bottom w:val="single" w:sz="4" w:space="0" w:color="000000"/>
              <w:right w:val="single" w:sz="4" w:space="0" w:color="000000"/>
            </w:tcBorders>
            <w:shd w:val="clear" w:color="auto" w:fill="D3D3D3"/>
          </w:tcPr>
          <w:p>
            <w:pPr/>
          </w:p>
        </w:tc>
        <w:tc>
          <w:tcPr>
            <w:tcW w:w="1684" w:type="dxa"/>
            <w:vMerge/>
            <w:tcBorders>
              <w:left w:val="single" w:sz="4" w:space="0" w:color="000000"/>
              <w:bottom w:val="single" w:sz="4" w:space="0" w:color="000000"/>
              <w:right w:val="single" w:sz="4" w:space="0" w:color="000000"/>
            </w:tcBorders>
            <w:shd w:val="clear" w:color="auto" w:fill="D3D3D3"/>
          </w:tcPr>
          <w:p>
            <w:pPr/>
          </w:p>
        </w:tc>
        <w:tc>
          <w:tcPr>
            <w:tcW w:w="1711" w:type="dxa"/>
            <w:vMerge/>
            <w:tcBorders>
              <w:left w:val="single" w:sz="4" w:space="0" w:color="000000"/>
              <w:bottom w:val="single" w:sz="4" w:space="0" w:color="000000"/>
              <w:right w:val="single" w:sz="4" w:space="0" w:color="000000"/>
            </w:tcBorders>
            <w:shd w:val="clear" w:color="auto" w:fill="D3D3D3"/>
          </w:tcPr>
          <w:p>
            <w:pPr/>
          </w:p>
        </w:tc>
        <w:tc>
          <w:tcPr>
            <w:tcW w:w="171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68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1,918,470.57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180,530,446.34</w:t>
            </w:r>
          </w:p>
        </w:tc>
        <w:tc>
          <w:tcPr>
            <w:tcW w:w="17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182,448,916.91</w:t>
            </w:r>
          </w:p>
        </w:tc>
      </w:tr>
      <w:tr>
        <w:trPr>
          <w:trHeight w:val="714"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以公允价值计量且其变动计入当期损益 的金融资产</w:t>
            </w:r>
          </w:p>
        </w:tc>
        <w:tc>
          <w:tcPr>
            <w:tcW w:w="168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1,918,470.57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180,530,446.34</w:t>
            </w:r>
          </w:p>
        </w:tc>
        <w:tc>
          <w:tcPr>
            <w:tcW w:w="17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182,448,916.91</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68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1,918,470.57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180,530,446.34</w:t>
            </w:r>
          </w:p>
        </w:tc>
        <w:tc>
          <w:tcPr>
            <w:tcW w:w="17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182,448,916.91</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684" w:type="dxa"/>
            <w:tcBorders>
              <w:top w:val="single" w:sz="4" w:space="0" w:color="000000"/>
              <w:left w:val="single" w:sz="9" w:space="0" w:color="D3D3D3"/>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19,114,852.91</w:t>
            </w:r>
          </w:p>
        </w:tc>
        <w:tc>
          <w:tcPr>
            <w:tcW w:w="171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19,114,852.91</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684" w:type="dxa"/>
            <w:tcBorders>
              <w:top w:val="single" w:sz="4" w:space="0" w:color="000000"/>
              <w:left w:val="single" w:sz="9" w:space="0" w:color="D3D3D3"/>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134,950,686.64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134,950,686.64</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68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1,918,470.57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199,645,299.25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134,950,686.64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336,514,456.46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17" w:firstLine="420"/>
        <w:jc w:val="left"/>
      </w:pPr>
      <w:r>
        <w:rPr>
          <w:spacing w:val="-1"/>
        </w:rPr>
        <w:t>本公司子公司浙江华媒投资有限公司持有的交易性金融资产为合信安胜</w:t>
      </w:r>
      <w:r>
        <w:rPr>
          <w:rFonts w:ascii="Times New Roman" w:hAnsi="Times New Roman" w:cs="Times New Roman" w:eastAsia="Times New Roman" w:hint="default"/>
          <w:spacing w:val="-1"/>
        </w:rPr>
        <w:t>2</w:t>
      </w:r>
      <w:r>
        <w:rPr>
          <w:spacing w:val="-1"/>
        </w:rPr>
        <w:t>号私募基金，</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日的公允价值以年</w:t>
      </w:r>
      <w:r>
        <w:rPr/>
        <w:t> 末最新市价计量，市价为</w:t>
      </w:r>
      <w:r>
        <w:rPr>
          <w:rFonts w:ascii="Times New Roman" w:hAnsi="Times New Roman" w:cs="Times New Roman" w:eastAsia="Times New Roman" w:hint="default"/>
        </w:rPr>
        <w:t>1,918,470.57</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0" w:firstLine="420"/>
        <w:jc w:val="left"/>
      </w:pPr>
      <w:r>
        <w:rPr/>
        <w:t>对于公司持有的银行理财产品，采用估值技术确定其公允价值。所使用的估值模型为同类型工具的交易商报价。估值 技术的输入值主要包括合同约定的预期收益率。</w:t>
      </w:r>
    </w:p>
    <w:p>
      <w:pPr>
        <w:pStyle w:val="BodyText"/>
        <w:spacing w:line="240" w:lineRule="auto" w:before="19"/>
        <w:ind w:left="444" w:right="0"/>
        <w:jc w:val="left"/>
      </w:pPr>
      <w:r>
        <w:rPr/>
        <w:t>对于公司持有的应收账款融资为应收票据，持有意图为背书，且其剩余期限较短，账面价值等同于公允价值。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07"/>
        <w:jc w:val="left"/>
      </w:pPr>
      <w:r>
        <w:rPr>
          <w:spacing w:val="-1"/>
        </w:rPr>
        <w:t>对于不在活跃市场上交易的其他权益工具投资的某些项目，采用估值技术确定其公允价值。所使用的估值模型主要为现</w:t>
      </w:r>
      <w:r>
        <w:rPr/>
        <w:t> 金流量折现模型。</w:t>
      </w:r>
    </w:p>
    <w:p>
      <w:pPr>
        <w:pStyle w:val="BodyText"/>
        <w:spacing w:line="312" w:lineRule="auto" w:before="19"/>
        <w:ind w:left="153" w:right="0" w:firstLine="307"/>
        <w:jc w:val="left"/>
      </w:pPr>
      <w:r>
        <w:rPr>
          <w:spacing w:val="-2"/>
        </w:rPr>
        <w:t>对于不在活跃市场上交易的其他权益工具投资的某些项目</w:t>
      </w:r>
      <w:r>
        <w:rPr>
          <w:rFonts w:ascii="Times New Roman" w:hAnsi="Times New Roman" w:cs="Times New Roman" w:eastAsia="Times New Roman" w:hint="default"/>
          <w:spacing w:val="-2"/>
        </w:rPr>
        <w:t>,</w:t>
      </w:r>
      <w:r>
        <w:rPr>
          <w:spacing w:val="-2"/>
        </w:rPr>
        <w:t>由于公司持有被投资单位股权较低，无重大影响，对被投资公</w:t>
      </w:r>
      <w:r>
        <w:rPr/>
        <w:t> </w:t>
      </w:r>
      <w:r>
        <w:rPr>
          <w:spacing w:val="-2"/>
        </w:rPr>
        <w:t>司股权采用收益法或者市场法进行估值不切实可行，且近期内被投资单位并无引入外部投资者、股东之间转让股权等可作为</w:t>
      </w:r>
      <w:r>
        <w:rPr>
          <w:spacing w:val="-64"/>
        </w:rPr>
        <w:t> </w:t>
      </w:r>
      <w:r>
        <w:rPr>
          <w:spacing w:val="-64"/>
        </w:rPr>
      </w:r>
      <w:r>
        <w:rPr>
          <w:spacing w:val="-4"/>
        </w:rPr>
        <w:t>确定公允价值的参考依据，此外，公司从可获取的相关信息分析，未发现被投资单位内外部环境自年初以来已发生重大变化，</w:t>
      </w:r>
      <w:r>
        <w:rPr>
          <w:spacing w:val="-44"/>
        </w:rPr>
        <w:t> </w:t>
      </w:r>
      <w:r>
        <w:rPr>
          <w:spacing w:val="-44"/>
        </w:rPr>
      </w:r>
      <w:r>
        <w:rPr/>
        <w:t>因此属于可用账面成本作为公允价值最佳估计的</w:t>
      </w:r>
      <w:r>
        <w:rPr>
          <w:rFonts w:ascii="Times New Roman" w:hAnsi="Times New Roman" w:cs="Times New Roman" w:eastAsia="Times New Roman" w:hint="default"/>
        </w:rPr>
        <w:t>“</w:t>
      </w:r>
      <w:r>
        <w:rPr/>
        <w:t>有限情况</w:t>
      </w:r>
      <w:r>
        <w:rPr>
          <w:rFonts w:ascii="Times New Roman" w:hAnsi="Times New Roman" w:cs="Times New Roman" w:eastAsia="Times New Roman" w:hint="default"/>
        </w:rPr>
        <w:t>”</w:t>
      </w:r>
      <w:r>
        <w:rPr/>
        <w:t>，因此年末以成本作为公允价值。</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after="0" w:line="240" w:lineRule="auto"/>
        <w:jc w:val="left"/>
        <w:sectPr>
          <w:pgSz w:w="11910" w:h="16840"/>
          <w:pgMar w:header="0" w:footer="982" w:top="1100" w:bottom="118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3"/>
        <w:jc w:val="left"/>
      </w:pPr>
      <w:r>
        <w:rPr/>
        <w:t>本公司以摊余成本计量的金融资产和金融负债主要包括：货币资金、应收票据、应收账款、其他应收款、短期借款、 应付票据、应付账款、其他应付款等。本公司不以公允价值计量的金融资产和金融负债的账面价值与公允价值相差很小。</w:t>
      </w:r>
    </w:p>
    <w:p>
      <w:pPr>
        <w:spacing w:line="240" w:lineRule="auto" w:before="7"/>
        <w:rPr>
          <w:rFonts w:ascii="宋体" w:hAnsi="宋体" w:cs="宋体" w:eastAsia="宋体" w:hint="default"/>
          <w:sz w:val="22"/>
          <w:szCs w:val="22"/>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216"/>
        <w:gridCol w:w="595"/>
        <w:gridCol w:w="776"/>
        <w:gridCol w:w="1181"/>
        <w:gridCol w:w="2216"/>
        <w:gridCol w:w="2396"/>
      </w:tblGrid>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300,000,000.00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48.13%</w:t>
            </w:r>
          </w:p>
        </w:tc>
      </w:tr>
    </w:tbl>
    <w:p>
      <w:pPr>
        <w:pStyle w:val="BodyText"/>
        <w:spacing w:line="357" w:lineRule="auto" w:before="51"/>
        <w:ind w:left="153" w:right="6351"/>
        <w:jc w:val="left"/>
      </w:pPr>
      <w:r>
        <w:rPr/>
        <w:t>本企业的母公司情况的说明 </w:t>
      </w:r>
      <w:r>
        <w:rPr>
          <w:spacing w:val="-4"/>
        </w:rPr>
        <w:t>本企业最终控制方是杭州日报报业集团（杭州日报社）。</w:t>
      </w:r>
    </w:p>
    <w:p>
      <w:pPr>
        <w:spacing w:line="240" w:lineRule="auto" w:before="1"/>
        <w:rPr>
          <w:rFonts w:ascii="宋体" w:hAnsi="宋体" w:cs="宋体" w:eastAsia="宋体" w:hint="default"/>
          <w:sz w:val="20"/>
          <w:szCs w:val="20"/>
        </w:rPr>
      </w:pPr>
    </w:p>
    <w:p>
      <w:pPr>
        <w:spacing w:line="547" w:lineRule="auto" w:before="0"/>
        <w:ind w:left="154" w:right="42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0"/>
        <w:jc w:val="left"/>
      </w:pPr>
      <w:r>
        <w:rPr/>
        <w:t>本企业重要的合营或联营企业详见附注九</w:t>
      </w:r>
      <w:r>
        <w:rPr>
          <w:rFonts w:ascii="Times New Roman" w:hAnsi="Times New Roman" w:cs="Times New Roman" w:eastAsia="Times New Roman" w:hint="default"/>
        </w:rPr>
        <w:t>(3)“</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杭州丹浙控股有限公司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杭州十九楼电子商务有限公司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廊坊市中关村智酷人才服务有限公司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浙江都快金服信息服务有限公司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杭州看看十度网络科技有限公司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杭州华媒数创企业管理有限公司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西安优铁传媒科技有限公司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浙江蜂果网络科技有限公司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中教星创教育科技（北京）有限公司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浙江都市会展文化发展有限公司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杭州市余杭新闻传媒中心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杭州源素信息技术有限公司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邓健</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江苏凯启教育科技有限公司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深圳市泽创投资发展有限公司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王建凯</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知本环球国际教育科技（北京）有限公司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宁波高新区新未来教育科技有限公司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哈尔滨报达集团有限公司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余杭晨报印刷厂</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天津尚优传媒科技有限公司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子公司少数股东的全资子公司</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浙江华朗实业有限公司持有其股权比例下降至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11.5%</w:t>
            </w:r>
            <w:r>
              <w:rPr>
                <w:rFonts w:ascii="宋体" w:hAnsi="宋体" w:cs="宋体" w:eastAsia="宋体" w:hint="default"/>
                <w:sz w:val="18"/>
                <w:szCs w:val="18"/>
              </w:rPr>
              <w:t>，不再 具有重大影响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吴井军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杭州乐活公益服务中心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子公司关键管理人员控制的公司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子公司少数股东控制的公司</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019"/>
        <w:gridCol w:w="1717"/>
        <w:gridCol w:w="1186"/>
        <w:gridCol w:w="1212"/>
        <w:gridCol w:w="1375"/>
        <w:gridCol w:w="1184"/>
      </w:tblGrid>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0" w:right="60"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是否超过交易额 度</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采编服务、版权分成 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85,245,283.32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85,537,736.15</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采编服务、活动费等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66,645,262.25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69,877,902.63</w:t>
            </w: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采编服务、广告及策 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22,245,145.15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21,505,807.75</w:t>
            </w: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采编服务、广告及策 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18,867,405.66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18,696,195.28</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余杭晨报印刷厂</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13,765,305.45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019"/>
        <w:gridCol w:w="1717"/>
        <w:gridCol w:w="1186"/>
        <w:gridCol w:w="1212"/>
        <w:gridCol w:w="1375"/>
        <w:gridCol w:w="1184"/>
      </w:tblGrid>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11,698,113.06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9,164,820.30</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8,575,471.44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8,575,471.44</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4,705,827.57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4,321,173.62</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广告、电费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1,292,933.76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1,139,872.05</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1,698,326.95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场地使用费、活动费 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1,547,160.49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1,951,824.03</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西安优铁传媒科技有限公司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795,990.57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613,207.56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562,106.93</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471,698.10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广告代理、咨询费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275,094.41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42,641.51</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天津尚优传媒科技有限公司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301,886.79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265,094.33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94,339.62</w:t>
            </w:r>
          </w:p>
        </w:tc>
      </w:tr>
      <w:tr>
        <w:trPr>
          <w:trHeight w:val="714"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 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图书、服务费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89,172.00</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广告、活动费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181,668.22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5,056.89</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181,452.84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548,139.45</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372,767.46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123,300.98</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55,849.06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购买商品、发行费等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53,512.62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195,702.89</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教育经费、培训费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20,388.35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浙江都市会展文化发展有限公司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13,578.11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387,122.97</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9,981.13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871.70</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设计服务、活动费等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58,820.29</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1,724,605.20</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广告、服务费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441,226.42</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159,067.92</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杭州源素信息技术有限公司</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323,624.60</w:t>
            </w:r>
          </w:p>
        </w:tc>
      </w:tr>
      <w:tr>
        <w:trPr>
          <w:trHeight w:val="402" w:hRule="exact"/>
        </w:trPr>
        <w:tc>
          <w:tcPr>
            <w:tcW w:w="30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240,109,628.23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225,526,602.62</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093"/>
        <w:gridCol w:w="3034"/>
        <w:gridCol w:w="1284"/>
        <w:gridCol w:w="1283"/>
      </w:tblGrid>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广告、发行、印刷等</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69,061,311.89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13,607,097.29</w:t>
            </w:r>
          </w:p>
        </w:tc>
      </w:tr>
      <w:tr>
        <w:trPr>
          <w:trHeight w:val="403"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3,113,207.46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3,625,943.30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093"/>
        <w:gridCol w:w="3034"/>
        <w:gridCol w:w="1284"/>
        <w:gridCol w:w="1283"/>
      </w:tblGrid>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印刷、广告、投递、产品销售等</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2,952,761.20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3,439,344.34</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教育培训及技术服务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1,859,229.28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1,732,435.90</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广告、咨询服务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1,181,101.27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1,809,770.67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杭州十九楼电子商务有限公司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566,084.91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459,905.66</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514,150.94</w:t>
            </w:r>
          </w:p>
        </w:tc>
        <w:tc>
          <w:tcPr>
            <w:tcW w:w="12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497,307.55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2,053,427.87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报刊发行、会展服务、投递等</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496,026.54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82,443.17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出售商品、广告及发行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484,422.88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43,730.17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印刷、服务及设备租赁</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463,232.45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6,920,856.41</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383,396.23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33,018.87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359,184.91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891,270.85</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物流配送</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353,510.63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628,948.04</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300,102.03</w:t>
            </w:r>
          </w:p>
        </w:tc>
        <w:tc>
          <w:tcPr>
            <w:tcW w:w="12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房租租赁、报刊发行、产品销售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211,745.13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18,600.00</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物流配送收入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127,507.96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25,954.86</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杭州乐活公益服务中心</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102,203.77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8,620.69</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94,428.83</w:t>
            </w:r>
          </w:p>
        </w:tc>
        <w:tc>
          <w:tcPr>
            <w:tcW w:w="12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印刷、产品销售、报刊发行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87,826.21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97,049.07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报刊发行、广告策划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80,379.49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1,795.90</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印刷业、服务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48,436.32</w:t>
            </w:r>
          </w:p>
        </w:tc>
        <w:tc>
          <w:tcPr>
            <w:tcW w:w="12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47,169.81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373,814.93</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38,328.98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21,259.90</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理财服务、产品销售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25,425.83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475,913.58</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10,796.20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11,111.60</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印刷、广告宣传</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3,018.87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1,277,063.79</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1,415.09</w:t>
            </w:r>
          </w:p>
        </w:tc>
        <w:tc>
          <w:tcPr>
            <w:tcW w:w="12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杭州新旺财商贸有限公司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636.19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16,323.18</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浙江都市会展文化发展有限公司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605.72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301,651.00</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杭州日报国际旅行社有限公司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47,261.93</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廊坊市中关村智酷人才服务有限公司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1,348,113.17</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广告、服务收入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943,396.22</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289,150.94</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广告及策划收入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245,283.02</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241,834.91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093"/>
        <w:gridCol w:w="3034"/>
        <w:gridCol w:w="1284"/>
        <w:gridCol w:w="1283"/>
      </w:tblGrid>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97,087.38</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广告、印刷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77,892.24</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杭州丹浙控股有限公司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广告、销售商品收入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337.15</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浙江都快金服信息服务有限公司</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销售商品收入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245.69</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3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83,465,039.48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41,247,953.69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088"/>
        <w:gridCol w:w="2393"/>
        <w:gridCol w:w="239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20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162,228.30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20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17,241.38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179,927.42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17,241.38</w:t>
            </w:r>
          </w:p>
        </w:tc>
      </w:tr>
    </w:tbl>
    <w:p>
      <w:pPr>
        <w:pStyle w:val="BodyText"/>
        <w:spacing w:line="240" w:lineRule="auto" w:before="51"/>
        <w:ind w:right="0"/>
        <w:jc w:val="left"/>
      </w:pPr>
      <w:r>
        <w:rPr/>
        <w:t>本公司作为承租方：</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948"/>
        <w:gridCol w:w="2392"/>
        <w:gridCol w:w="2392"/>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11,572,073.20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8,915,722.16</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 司</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地铁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号线广告经营 权费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7,983,560.13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7,518,249.93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525,716.22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562,335.25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347,619.04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347,619.04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66,432.35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19,447.62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114,371.42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场地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2,122,641.48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1,965,408.78</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 有限公司</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406,395.84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场地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12,981.12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528,131.07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浙江都市会展文化发展有限公司</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233,962.26</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23,150,200.33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20,245,799.91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本公司作为担保方：无</w:t>
      </w:r>
    </w:p>
    <w:p>
      <w:pPr>
        <w:spacing w:after="0" w:line="240" w:lineRule="auto"/>
        <w:jc w:val="left"/>
        <w:sectPr>
          <w:pgSz w:w="11910" w:h="16840"/>
          <w:pgMar w:header="0" w:footer="982" w:top="1100" w:bottom="118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57"/>
        <w:gridCol w:w="1571"/>
        <w:gridCol w:w="1914"/>
        <w:gridCol w:w="1914"/>
        <w:gridCol w:w="1914"/>
      </w:tblGrid>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宁波高新区新愿景股权投资 有限公司</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吴井军</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9,429,749.35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571"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1"/>
        <w:gridCol w:w="1284"/>
        <w:gridCol w:w="2125"/>
        <w:gridCol w:w="1702"/>
        <w:gridCol w:w="1320"/>
      </w:tblGrid>
      <w:tr>
        <w:trPr>
          <w:trHeight w:val="401" w:hRule="exact"/>
        </w:trPr>
        <w:tc>
          <w:tcPr>
            <w:tcW w:w="3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无息拆借</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2"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3"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宁波高新区新未来教育科技有限公司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r>
        <w:trPr>
          <w:trHeight w:val="401"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3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84"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计息拆借</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购买杭州萧文置业有限公司</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308,173,300.00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西安时代尚优文化传媒集团 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购买福州风盛传媒有限公司</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308,563,300.00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5,523,052.75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6,180,500.00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53"/>
        <w:gridCol w:w="3830"/>
        <w:gridCol w:w="1202"/>
        <w:gridCol w:w="1103"/>
        <w:gridCol w:w="1202"/>
        <w:gridCol w:w="1103"/>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53" w:type="dxa"/>
            <w:vMerge/>
            <w:tcBorders>
              <w:left w:val="single" w:sz="4" w:space="0" w:color="000000"/>
              <w:bottom w:val="single" w:sz="4" w:space="0" w:color="000000"/>
              <w:right w:val="single" w:sz="4" w:space="0" w:color="000000"/>
            </w:tcBorders>
            <w:shd w:val="clear" w:color="auto" w:fill="D3D3D3"/>
          </w:tcPr>
          <w:p>
            <w:pPr/>
          </w:p>
        </w:tc>
        <w:tc>
          <w:tcPr>
            <w:tcW w:w="3830" w:type="dxa"/>
            <w:vMerge/>
            <w:tcBorders>
              <w:left w:val="single" w:sz="4" w:space="0" w:color="000000"/>
              <w:bottom w:val="single" w:sz="4" w:space="0" w:color="000000"/>
              <w:right w:val="single" w:sz="4" w:space="0" w:color="000000"/>
            </w:tcBorders>
            <w:shd w:val="clear" w:color="auto" w:fill="D3D3D3"/>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1,089,092.00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89,796.59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143,197.72</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50,883.00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1,441,518.22</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28,830.36</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568,476.00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140,346.37</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545,000.00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171,000.00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361,490.00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8,887.25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585,146.14</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14,451.75</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浙江都市会展文化发展有限公司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300,020.00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135,004.00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300,020.00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60,000.40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136,400.00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108,319.35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2,268.98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114.99</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65,963.57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6,897.21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68,724.57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9,947.59</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浙江弘致投资管理有限公司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杭州乐活公益服务中心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28,736.00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26,638.00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665.95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10,840.00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334,556.00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6,691.12</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147,957.00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26,185.00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19,716.00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廊坊市中关村智酷人才服务有限公司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28,580.00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浙江国大会展服务有限公司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246,500.00</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300,020.00</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1,772,138.87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797,462.49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53"/>
        <w:gridCol w:w="3830"/>
        <w:gridCol w:w="1202"/>
        <w:gridCol w:w="1103"/>
        <w:gridCol w:w="1202"/>
        <w:gridCol w:w="1103"/>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3,459.12</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杭州火鸟区块链有限公司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2,681.03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53.62</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5,850,975.80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715,912.00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7,165,076.03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1,197,481.63</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51,100.59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杭州源素信息技术有限公司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161,812.30</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279.95</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51,100.59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162,092.25</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2,137,107.19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1,973,151.34</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1,362,717.00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778,301.79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778,301.82</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285,170.73</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145,480.78</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51,100.61</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51,100.62</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4,614,397.32</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2,948,034.56</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500,000.01</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500,000.01</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杭州华媒科创园区管理有限公司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20,000,674.00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3,600,023.59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20,000,699.00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1,750,024.47</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4,740,160.00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4,740,160.00</w:t>
            </w: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杭州华媒数创企业管理有限公司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19,001.77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665.06</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中教星创教育科技（北京）有限公司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325,078.20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11,378.00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8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27,871,835.77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4,583,358.65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26,110,937.20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1,907,702.47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4"/>
        <w:gridCol w:w="4960"/>
        <w:gridCol w:w="1685"/>
        <w:gridCol w:w="1685"/>
      </w:tblGrid>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7,900,989.58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5,980,398.78</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2,186,761.32</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1,226,415.06</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余杭晨报印刷厂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1,061,556.00</w:t>
            </w: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364"/>
        <w:gridCol w:w="4960"/>
        <w:gridCol w:w="1685"/>
        <w:gridCol w:w="1685"/>
      </w:tblGrid>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杭州富阳闻达电子商务有限公司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798,934.55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264,613.53</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459,905.60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2,244.26</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320,003.05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337,795.11</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276,788.02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3,946,751.08</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西安时代尚优文化传媒集团有限公司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213,827.44</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188,679.25</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杭州城乡通商务有限公司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145,282.95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177,236.87</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布朗睿智（北京）国际教育科技有限公司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杭州萧山日报资本管理有限公司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122,408.86</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杭州丛人广告有限公司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38,786.74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38,786.74</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14,515.04</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469,462.50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杭州西城文化传媒有限公司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天津尚优传媒科技有限公司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38,055,183.30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13,676,459.05</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浙江蜂果网络科技有限公司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796,348.59</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286,908.11</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北京中关村智酷双创人才服务股份有限公司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177,305.83</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杭州看看十度网络科技有限公司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17,699.12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11,212.85</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115,430.32</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24,352.78</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3,363,800.50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159,783.10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杭州市余杭新闻传媒中心</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143,986,618.98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56,434,184.45</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20,011,076.40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宁波高新区新未来教育科技有限公司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364"/>
        <w:gridCol w:w="4960"/>
        <w:gridCol w:w="1685"/>
        <w:gridCol w:w="1685"/>
      </w:tblGrid>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7,578,107.20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3,804,215.17</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江苏凯启教育科技有限公司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知本环球国际教育科技（北京）有限公司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30,612.04</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哈尔滨报达集团有限公司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8,049.48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邓健</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3,402.00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深圳市泽创投资发展有限公司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514,500.00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曲水华航投资有限公司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46,284,000.00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宁波高新区新愿景股权投资有限公司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23,142,000.00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杨柳</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4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192,310,283.56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136,366,913.66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十四、承诺及或有事项</w:t>
      </w:r>
      <w:r>
        <w:rPr>
          <w:b w:val="0"/>
          <w:bCs w:val="0"/>
        </w:rPr>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5"/>
        <w:ind w:left="153" w:right="0"/>
        <w:jc w:val="left"/>
      </w:pPr>
      <w:r>
        <w:rPr>
          <w:rFonts w:ascii="Times New Roman" w:hAnsi="Times New Roman" w:cs="Times New Roman" w:eastAsia="Times New Roman" w:hint="default"/>
        </w:rPr>
        <w:t>1</w:t>
      </w:r>
      <w:r>
        <w:rPr/>
        <w:t>、已签订的尚未履行或尚未完全履行的对外投资合同及有关财务支出</w:t>
      </w:r>
    </w:p>
    <w:p>
      <w:pPr>
        <w:pStyle w:val="BodyText"/>
        <w:spacing w:line="300" w:lineRule="auto" w:before="63"/>
        <w:ind w:left="153" w:right="112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月，本公司与杭州凌晟投资管理合伙企业（有限合伙）、杭州祈晟实业有限公司、安扬资产管理（杭州）有限公司 </w:t>
      </w:r>
      <w:r>
        <w:rPr>
          <w:spacing w:val="-6"/>
        </w:rPr>
        <w:t>共同投资</w:t>
      </w:r>
      <w:r>
        <w:rPr>
          <w:rFonts w:ascii="Times New Roman" w:hAnsi="Times New Roman" w:cs="Times New Roman" w:eastAsia="Times New Roman" w:hint="default"/>
          <w:spacing w:val="-6"/>
        </w:rPr>
        <w:t>40,000.00</w:t>
      </w:r>
      <w:r>
        <w:rPr>
          <w:spacing w:val="-6"/>
        </w:rPr>
        <w:t>万元，设立杭州杭实华媒投资管理合伙企业（有限合伙）。其中本公司出资</w:t>
      </w:r>
      <w:r>
        <w:rPr>
          <w:rFonts w:ascii="Times New Roman" w:hAnsi="Times New Roman" w:cs="Times New Roman" w:eastAsia="Times New Roman" w:hint="default"/>
          <w:spacing w:val="-6"/>
        </w:rPr>
        <w:t>19,800.00</w:t>
      </w:r>
      <w:r>
        <w:rPr>
          <w:spacing w:val="-6"/>
        </w:rPr>
        <w:t>万元，持有该公司</w:t>
      </w:r>
      <w:r>
        <w:rPr>
          <w:rFonts w:ascii="Times New Roman" w:hAnsi="Times New Roman" w:cs="Times New Roman" w:eastAsia="Times New Roman" w:hint="default"/>
          <w:spacing w:val="-6"/>
        </w:rPr>
        <w:t>49.5%</w:t>
      </w:r>
      <w:r>
        <w:rPr>
          <w:rFonts w:ascii="Times New Roman" w:hAnsi="Times New Roman" w:cs="Times New Roman" w:eastAsia="Times New Roman" w:hint="default"/>
          <w:spacing w:val="-12"/>
        </w:rPr>
        <w:t> </w:t>
      </w:r>
      <w:r>
        <w:rPr/>
        <w:t>股权。截至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日本公司已出资</w:t>
      </w:r>
      <w:r>
        <w:rPr>
          <w:rFonts w:ascii="Times New Roman" w:hAnsi="Times New Roman" w:cs="Times New Roman" w:eastAsia="Times New Roman" w:hint="default"/>
        </w:rPr>
        <w:t>7,450.00</w:t>
      </w:r>
      <w:r>
        <w:rPr/>
        <w:t>万元，尚有</w:t>
      </w:r>
      <w:r>
        <w:rPr>
          <w:rFonts w:ascii="Times New Roman" w:hAnsi="Times New Roman" w:cs="Times New Roman" w:eastAsia="Times New Roman" w:hint="default"/>
        </w:rPr>
        <w:t>12,350.00</w:t>
      </w:r>
      <w:r>
        <w:rPr/>
        <w:t>万元未出资。 </w:t>
      </w:r>
      <w:r>
        <w:rPr>
          <w:rFonts w:ascii="Times New Roman" w:hAnsi="Times New Roman" w:cs="Times New Roman" w:eastAsia="Times New Roman" w:hint="default"/>
        </w:rPr>
        <w:t>2</w:t>
      </w:r>
      <w:r>
        <w:rPr/>
        <w:t>、已签订的正在或准备履行的租赁合同及财务影响</w:t>
      </w:r>
    </w:p>
    <w:p>
      <w:pPr>
        <w:pStyle w:val="BodyText"/>
        <w:spacing w:line="240" w:lineRule="auto" w:before="13"/>
        <w:ind w:left="371" w:right="0"/>
        <w:jc w:val="left"/>
      </w:pPr>
      <w:r>
        <w:rPr/>
        <w:t>至资产负债表日止，本公司对外签订的不可撤销的经营租赁合约情况如下：</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5539"/>
        <w:gridCol w:w="2059"/>
        <w:gridCol w:w="2059"/>
      </w:tblGrid>
      <w:tr>
        <w:trPr>
          <w:trHeight w:val="342" w:hRule="exact"/>
        </w:trPr>
        <w:tc>
          <w:tcPr>
            <w:tcW w:w="55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66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0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5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059"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185,158,060.18</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163,389,845.69</w:t>
            </w:r>
          </w:p>
        </w:tc>
      </w:tr>
      <w:tr>
        <w:trPr>
          <w:trHeight w:val="342" w:hRule="exact"/>
        </w:trPr>
        <w:tc>
          <w:tcPr>
            <w:tcW w:w="5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161,914,043.16</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150,809,490.17</w:t>
            </w:r>
          </w:p>
        </w:tc>
      </w:tr>
      <w:tr>
        <w:trPr>
          <w:trHeight w:val="342" w:hRule="exact"/>
        </w:trPr>
        <w:tc>
          <w:tcPr>
            <w:tcW w:w="5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23,539,802.58</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137,776,658.51</w:t>
            </w:r>
          </w:p>
        </w:tc>
      </w:tr>
      <w:tr>
        <w:trPr>
          <w:trHeight w:val="342" w:hRule="exact"/>
        </w:trPr>
        <w:tc>
          <w:tcPr>
            <w:tcW w:w="5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62,009,260.85</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34,240,656.90</w:t>
            </w:r>
          </w:p>
        </w:tc>
      </w:tr>
      <w:tr>
        <w:trPr>
          <w:trHeight w:val="338" w:hRule="exact"/>
        </w:trPr>
        <w:tc>
          <w:tcPr>
            <w:tcW w:w="55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432,621,166.77</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486,216,651.27</w:t>
            </w:r>
          </w:p>
        </w:tc>
      </w:tr>
    </w:tbl>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53" w:right="1111" w:hanging="10"/>
        <w:jc w:val="left"/>
      </w:pPr>
      <w:r>
        <w:rPr>
          <w:rFonts w:ascii="Times New Roman" w:hAnsi="Times New Roman" w:cs="Times New Roman" w:eastAsia="Times New Roman" w:hint="default"/>
        </w:rPr>
        <w:t>1.</w:t>
      </w:r>
      <w:r>
        <w:rPr/>
        <w:t>未决诉讼仲裁形成的或有负债及其财务影响 本公司之子公司杭州日报传媒有限公司（以下简称</w:t>
      </w:r>
      <w:r>
        <w:rPr>
          <w:rFonts w:ascii="Times New Roman" w:hAnsi="Times New Roman" w:cs="Times New Roman" w:eastAsia="Times New Roman" w:hint="default"/>
        </w:rPr>
        <w:t>“</w:t>
      </w:r>
      <w:r>
        <w:rPr/>
        <w:t>日报传媒</w:t>
      </w:r>
      <w:r>
        <w:rPr>
          <w:rFonts w:ascii="Times New Roman" w:hAnsi="Times New Roman" w:cs="Times New Roman" w:eastAsia="Times New Roman" w:hint="default"/>
        </w:rPr>
        <w:t>”</w:t>
      </w:r>
      <w:r>
        <w:rPr/>
        <w:t>）为承办</w:t>
      </w:r>
      <w:r>
        <w:rPr>
          <w:rFonts w:ascii="Times New Roman" w:hAnsi="Times New Roman" w:cs="Times New Roman" w:eastAsia="Times New Roman" w:hint="default"/>
        </w:rPr>
        <w:t>2018</w:t>
      </w:r>
      <w:r>
        <w:rPr/>
        <w:t>年中国城市规划年会会展项目，与杭州紫罗</w:t>
      </w:r>
    </w:p>
    <w:p>
      <w:pPr>
        <w:pStyle w:val="BodyText"/>
        <w:spacing w:line="307" w:lineRule="auto" w:before="13"/>
        <w:ind w:left="153" w:right="1121"/>
        <w:jc w:val="left"/>
      </w:pPr>
      <w:r>
        <w:rPr/>
        <w:t>兰文化传媒有限公司（又下简称</w:t>
      </w:r>
      <w:r>
        <w:rPr>
          <w:rFonts w:ascii="Times New Roman" w:hAnsi="Times New Roman" w:cs="Times New Roman" w:eastAsia="Times New Roman" w:hint="default"/>
        </w:rPr>
        <w:t>“</w:t>
      </w:r>
      <w:r>
        <w:rPr/>
        <w:t>紫罗兰公司</w:t>
      </w:r>
      <w:r>
        <w:rPr>
          <w:rFonts w:ascii="Times New Roman" w:hAnsi="Times New Roman" w:cs="Times New Roman" w:eastAsia="Times New Roman" w:hint="default"/>
        </w:rPr>
        <w:t>”)</w:t>
      </w:r>
      <w:r>
        <w:rPr/>
        <w:t>协商，拟由其负责会展现场搭建工作。项目结束后，在审价过程中，因结算 </w:t>
      </w:r>
      <w:r>
        <w:rPr>
          <w:spacing w:val="-2"/>
        </w:rPr>
        <w:t>报告列明的很多项目单价、数量与市场价格、前期合作项目参考价格严重不符，且现场实际履约情况与合同约定还有很大出</w:t>
      </w:r>
      <w:r>
        <w:rPr>
          <w:spacing w:val="-66"/>
        </w:rPr>
        <w:t> </w:t>
      </w:r>
      <w:r>
        <w:rPr>
          <w:spacing w:val="-66"/>
        </w:rPr>
      </w:r>
      <w:r>
        <w:rPr/>
        <w:t>入，未能被日报传媒、造价咨询单位接受，故紫罗兰公司起诉至杭州下城区人民法院，要求按其提出的结算报告所载金额 </w:t>
      </w:r>
      <w:r>
        <w:rPr>
          <w:rFonts w:ascii="Times New Roman" w:hAnsi="Times New Roman" w:cs="Times New Roman" w:eastAsia="Times New Roman" w:hint="default"/>
        </w:rPr>
        <w:t>4,937,887</w:t>
      </w:r>
      <w:r>
        <w:rPr/>
        <w:t>元进行结算（案号为：</w:t>
      </w:r>
      <w:r>
        <w:rPr>
          <w:rFonts w:ascii="Times New Roman" w:hAnsi="Times New Roman" w:cs="Times New Roman" w:eastAsia="Times New Roman" w:hint="default"/>
        </w:rPr>
        <w:t>2019</w:t>
      </w:r>
      <w:r>
        <w:rPr/>
        <w:t>浙</w:t>
      </w:r>
      <w:r>
        <w:rPr>
          <w:rFonts w:ascii="Times New Roman" w:hAnsi="Times New Roman" w:cs="Times New Roman" w:eastAsia="Times New Roman" w:hint="default"/>
        </w:rPr>
        <w:t>0103</w:t>
      </w:r>
      <w:r>
        <w:rPr/>
        <w:t>民初</w:t>
      </w:r>
      <w:r>
        <w:rPr>
          <w:rFonts w:ascii="Times New Roman" w:hAnsi="Times New Roman" w:cs="Times New Roman" w:eastAsia="Times New Roman" w:hint="default"/>
        </w:rPr>
        <w:t>3836</w:t>
      </w:r>
      <w:r>
        <w:rPr/>
        <w:t>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日，日报传媒向杭州下城区人民法院提起反诉，请 求判决确认日报传媒与紫罗兰公司合同最终结算价格为</w:t>
      </w:r>
      <w:r>
        <w:rPr>
          <w:rFonts w:ascii="Times New Roman" w:hAnsi="Times New Roman" w:cs="Times New Roman" w:eastAsia="Times New Roman" w:hint="default"/>
        </w:rPr>
        <w:t>2,738,967.00</w:t>
      </w:r>
      <w:r>
        <w:rPr/>
        <w:t>元，并由紫罗兰公司承担全部诉讼费用。目前，原告与 被告均同意委托第三方对上述会展项目进行司法审计及价格评估，且完成了委托手续，工作仍在进行当中。</w:t>
      </w:r>
    </w:p>
    <w:p>
      <w:pPr>
        <w:pStyle w:val="BodyText"/>
        <w:spacing w:line="240" w:lineRule="auto" w:before="26"/>
        <w:ind w:left="577" w:right="0"/>
        <w:jc w:val="left"/>
      </w:pPr>
      <w:r>
        <w:rPr/>
        <w:t>因项目审计及评估结果尚未确定，法院可能判决的金额比较难估计和预测。</w:t>
      </w:r>
    </w:p>
    <w:p>
      <w:pPr>
        <w:pStyle w:val="BodyText"/>
        <w:spacing w:line="300" w:lineRule="auto" w:before="76"/>
        <w:ind w:left="573" w:right="4271" w:hanging="20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本公司合并范围内公司之间的担保情况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日，本公司合并范围内公司之间的保证担保情况</w:t>
      </w:r>
      <w:r>
        <w:rPr>
          <w:rFonts w:ascii="Times New Roman" w:hAnsi="Times New Roman" w:cs="Times New Roman" w:eastAsia="Times New Roman" w:hint="default"/>
        </w:rPr>
        <w:t>(</w:t>
      </w:r>
      <w:r>
        <w:rPr/>
        <w:t>单位：元</w:t>
      </w:r>
      <w:r>
        <w:rPr>
          <w:rFonts w:ascii="Times New Roman" w:hAnsi="Times New Roman" w:cs="Times New Roman" w:eastAsia="Times New Roman" w:hint="default"/>
        </w:rPr>
        <w:t>)</w:t>
      </w:r>
    </w:p>
    <w:tbl>
      <w:tblPr>
        <w:tblW w:w="0" w:type="auto"/>
        <w:jc w:val="left"/>
        <w:tblInd w:w="149" w:type="dxa"/>
        <w:tblLayout w:type="fixed"/>
        <w:tblCellMar>
          <w:top w:w="0" w:type="dxa"/>
          <w:left w:w="0" w:type="dxa"/>
          <w:bottom w:w="0" w:type="dxa"/>
          <w:right w:w="0" w:type="dxa"/>
        </w:tblCellMar>
        <w:tblLook w:val="01E0"/>
      </w:tblPr>
      <w:tblGrid>
        <w:gridCol w:w="1867"/>
        <w:gridCol w:w="2804"/>
        <w:gridCol w:w="1850"/>
        <w:gridCol w:w="1276"/>
        <w:gridCol w:w="1134"/>
        <w:gridCol w:w="716"/>
      </w:tblGrid>
      <w:tr>
        <w:trPr>
          <w:trHeight w:val="342" w:hRule="exact"/>
        </w:trPr>
        <w:tc>
          <w:tcPr>
            <w:tcW w:w="18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28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8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2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71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5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left"/>
              <w:rPr>
                <w:rFonts w:ascii="宋体" w:hAnsi="宋体" w:cs="宋体" w:eastAsia="宋体" w:hint="default"/>
                <w:sz w:val="18"/>
                <w:szCs w:val="18"/>
              </w:rPr>
            </w:pPr>
            <w:r>
              <w:rPr>
                <w:rFonts w:ascii="宋体" w:hAnsi="宋体" w:cs="宋体" w:eastAsia="宋体" w:hint="default"/>
                <w:spacing w:val="4"/>
                <w:sz w:val="18"/>
                <w:szCs w:val="18"/>
              </w:rPr>
              <w:t>浙江华媒控股股份有限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left"/>
              <w:rPr>
                <w:rFonts w:ascii="宋体" w:hAnsi="宋体" w:cs="宋体" w:eastAsia="宋体" w:hint="default"/>
                <w:sz w:val="18"/>
                <w:szCs w:val="18"/>
              </w:rPr>
            </w:pPr>
            <w:r>
              <w:rPr>
                <w:rFonts w:ascii="宋体" w:hAnsi="宋体" w:cs="宋体" w:eastAsia="宋体" w:hint="default"/>
                <w:spacing w:val="6"/>
                <w:sz w:val="18"/>
                <w:szCs w:val="18"/>
              </w:rPr>
              <w:t>中教未来国际教育科技（北京）有 </w:t>
            </w:r>
            <w:r>
              <w:rPr>
                <w:rFonts w:ascii="宋体" w:hAnsi="宋体" w:cs="宋体" w:eastAsia="宋体" w:hint="default"/>
                <w:sz w:val="18"/>
                <w:szCs w:val="18"/>
              </w:rPr>
              <w:t>限公司</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pacing w:val="2"/>
                <w:sz w:val="18"/>
                <w:szCs w:val="18"/>
              </w:rPr>
              <w:t>杭州银行股份有限公司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北京中关村支行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22,530,023.75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2020/9/7</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0"/>
              <w:jc w:val="left"/>
              <w:rPr>
                <w:rFonts w:ascii="宋体" w:hAnsi="宋体" w:cs="宋体" w:eastAsia="宋体" w:hint="default"/>
                <w:sz w:val="18"/>
                <w:szCs w:val="18"/>
              </w:rPr>
            </w:pPr>
            <w:r>
              <w:rPr>
                <w:rFonts w:ascii="宋体" w:hAnsi="宋体" w:cs="宋体" w:eastAsia="宋体" w:hint="default"/>
                <w:spacing w:val="4"/>
                <w:sz w:val="18"/>
                <w:szCs w:val="18"/>
              </w:rPr>
              <w:t>浙江华媒控股股份有限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浙江风盛传媒股份有限公司</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pacing w:val="2"/>
                <w:sz w:val="18"/>
                <w:szCs w:val="18"/>
              </w:rPr>
              <w:t>中国工商银行解放路支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44,009,613.13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2020/12/14</w:t>
            </w:r>
          </w:p>
        </w:tc>
        <w:tc>
          <w:tcPr>
            <w:tcW w:w="7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sz w:val="20"/>
          <w:szCs w:val="20"/>
        </w:rPr>
      </w:pPr>
    </w:p>
    <w:p>
      <w:pPr>
        <w:spacing w:line="487" w:lineRule="auto" w:before="35"/>
        <w:ind w:left="15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5"/>
        <w:gridCol w:w="5909"/>
        <w:gridCol w:w="1867"/>
        <w:gridCol w:w="1033"/>
      </w:tblGrid>
      <w:tr>
        <w:trPr>
          <w:trHeight w:val="161" w:hRule="exact"/>
        </w:trPr>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68" w:right="26" w:hanging="540"/>
              <w:jc w:val="left"/>
              <w:rPr>
                <w:rFonts w:ascii="宋体" w:hAnsi="宋体" w:cs="宋体" w:eastAsia="宋体" w:hint="default"/>
                <w:sz w:val="18"/>
                <w:szCs w:val="18"/>
              </w:rPr>
            </w:pPr>
            <w:r>
              <w:rPr>
                <w:rFonts w:ascii="宋体" w:hAnsi="宋体" w:cs="宋体" w:eastAsia="宋体" w:hint="default"/>
                <w:sz w:val="18"/>
                <w:szCs w:val="18"/>
              </w:rPr>
              <w:t>对财务状况和经营成果 的影响数</w:t>
            </w:r>
          </w:p>
        </w:tc>
        <w:tc>
          <w:tcPr>
            <w:tcW w:w="10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1" w:right="60"/>
              <w:jc w:val="left"/>
              <w:rPr>
                <w:rFonts w:ascii="宋体" w:hAnsi="宋体" w:cs="宋体" w:eastAsia="宋体" w:hint="default"/>
                <w:sz w:val="18"/>
                <w:szCs w:val="18"/>
              </w:rPr>
            </w:pPr>
            <w:r>
              <w:rPr>
                <w:rFonts w:ascii="宋体" w:hAnsi="宋体" w:cs="宋体" w:eastAsia="宋体" w:hint="default"/>
                <w:sz w:val="18"/>
                <w:szCs w:val="18"/>
              </w:rPr>
              <w:t>无法估计影 响数的原因</w:t>
            </w:r>
          </w:p>
        </w:tc>
      </w:tr>
      <w:tr>
        <w:trPr>
          <w:trHeight w:val="392" w:hRule="exact"/>
        </w:trPr>
        <w:tc>
          <w:tcPr>
            <w:tcW w:w="8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9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867" w:type="dxa"/>
            <w:vMerge/>
            <w:tcBorders>
              <w:left w:val="single" w:sz="4" w:space="0" w:color="000000"/>
              <w:right w:val="single" w:sz="4" w:space="0" w:color="000000"/>
            </w:tcBorders>
            <w:shd w:val="clear" w:color="auto" w:fill="D3D3D3"/>
          </w:tcPr>
          <w:p>
            <w:pPr/>
          </w:p>
        </w:tc>
        <w:tc>
          <w:tcPr>
            <w:tcW w:w="1033" w:type="dxa"/>
            <w:vMerge/>
            <w:tcBorders>
              <w:left w:val="single" w:sz="4" w:space="0" w:color="000000"/>
              <w:right w:val="single" w:sz="4" w:space="0" w:color="000000"/>
            </w:tcBorders>
            <w:shd w:val="clear" w:color="auto" w:fill="D3D3D3"/>
          </w:tcPr>
          <w:p>
            <w:pPr/>
          </w:p>
        </w:tc>
      </w:tr>
      <w:tr>
        <w:trPr>
          <w:trHeight w:val="161" w:hRule="exact"/>
        </w:trPr>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59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67" w:type="dxa"/>
            <w:vMerge/>
            <w:tcBorders>
              <w:left w:val="single" w:sz="4" w:space="0" w:color="000000"/>
              <w:bottom w:val="single" w:sz="4" w:space="0" w:color="000000"/>
              <w:right w:val="single" w:sz="4" w:space="0" w:color="000000"/>
            </w:tcBorders>
            <w:shd w:val="clear" w:color="auto" w:fill="D3D3D3"/>
          </w:tcPr>
          <w:p>
            <w:pPr/>
          </w:p>
        </w:tc>
        <w:tc>
          <w:tcPr>
            <w:tcW w:w="103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845"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股票和债 券的发行</w:t>
            </w:r>
          </w:p>
        </w:tc>
        <w:tc>
          <w:tcPr>
            <w:tcW w:w="5909" w:type="dxa"/>
            <w:tcBorders>
              <w:top w:val="single" w:sz="4" w:space="0" w:color="000000"/>
              <w:left w:val="single" w:sz="13" w:space="0" w:color="D3D3D3"/>
              <w:bottom w:val="nil" w:sz="6" w:space="0" w:color="auto"/>
              <w:right w:val="single" w:sz="4" w:space="0" w:color="000000"/>
            </w:tcBorders>
            <w:shd w:val="clear" w:color="auto" w:fill="C7EDCC"/>
          </w:tcPr>
          <w:p>
            <w:pPr/>
          </w:p>
        </w:tc>
        <w:tc>
          <w:tcPr>
            <w:tcW w:w="1867" w:type="dxa"/>
            <w:vMerge w:val="restart"/>
            <w:tcBorders>
              <w:top w:val="single" w:sz="4" w:space="0" w:color="000000"/>
              <w:left w:val="single" w:sz="9" w:space="0" w:color="C7EDC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250,000,000.00</w:t>
            </w:r>
          </w:p>
        </w:tc>
        <w:tc>
          <w:tcPr>
            <w:tcW w:w="1033" w:type="dxa"/>
            <w:vMerge w:val="restart"/>
            <w:tcBorders>
              <w:top w:val="single" w:sz="4" w:space="0" w:color="000000"/>
              <w:left w:val="single" w:sz="4" w:space="0" w:color="000000"/>
              <w:right w:val="single" w:sz="4" w:space="0" w:color="000000"/>
            </w:tcBorders>
            <w:shd w:val="clear" w:color="auto" w:fill="C7EDCC"/>
          </w:tcPr>
          <w:p>
            <w:pPr/>
          </w:p>
        </w:tc>
      </w:tr>
      <w:tr>
        <w:trPr>
          <w:trHeight w:val="392" w:hRule="exact"/>
        </w:trPr>
        <w:tc>
          <w:tcPr>
            <w:tcW w:w="845" w:type="dxa"/>
            <w:vMerge/>
            <w:tcBorders>
              <w:left w:val="single" w:sz="4" w:space="0" w:color="000000"/>
              <w:right w:val="single" w:sz="9" w:space="0" w:color="C7EDCC"/>
            </w:tcBorders>
            <w:shd w:val="clear" w:color="auto" w:fill="D3D3D3"/>
          </w:tcPr>
          <w:p>
            <w:pPr/>
          </w:p>
        </w:tc>
        <w:tc>
          <w:tcPr>
            <w:tcW w:w="5909" w:type="dxa"/>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年度第一期超短期融资券</w:t>
            </w:r>
          </w:p>
        </w:tc>
        <w:tc>
          <w:tcPr>
            <w:tcW w:w="1867" w:type="dxa"/>
            <w:vMerge/>
            <w:tcBorders>
              <w:left w:val="single" w:sz="9" w:space="0" w:color="C7EDCC"/>
              <w:right w:val="single" w:sz="4" w:space="0" w:color="000000"/>
            </w:tcBorders>
          </w:tcPr>
          <w:p>
            <w:pPr/>
          </w:p>
        </w:tc>
        <w:tc>
          <w:tcPr>
            <w:tcW w:w="1033" w:type="dxa"/>
            <w:vMerge/>
            <w:tcBorders>
              <w:left w:val="single" w:sz="4" w:space="0" w:color="000000"/>
              <w:right w:val="single" w:sz="4" w:space="0" w:color="000000"/>
            </w:tcBorders>
            <w:shd w:val="clear" w:color="auto" w:fill="C7EDCC"/>
          </w:tcPr>
          <w:p>
            <w:pPr/>
          </w:p>
        </w:tc>
      </w:tr>
      <w:tr>
        <w:trPr>
          <w:trHeight w:val="161" w:hRule="exact"/>
        </w:trPr>
        <w:tc>
          <w:tcPr>
            <w:tcW w:w="845" w:type="dxa"/>
            <w:vMerge/>
            <w:tcBorders>
              <w:left w:val="single" w:sz="4" w:space="0" w:color="000000"/>
              <w:bottom w:val="single" w:sz="4" w:space="0" w:color="000000"/>
              <w:right w:val="single" w:sz="9" w:space="0" w:color="C7EDCC"/>
            </w:tcBorders>
            <w:shd w:val="clear" w:color="auto" w:fill="D3D3D3"/>
          </w:tcPr>
          <w:p>
            <w:pPr/>
          </w:p>
        </w:tc>
        <w:tc>
          <w:tcPr>
            <w:tcW w:w="5909" w:type="dxa"/>
            <w:tcBorders>
              <w:top w:val="nil" w:sz="6" w:space="0" w:color="auto"/>
              <w:left w:val="single" w:sz="13" w:space="0" w:color="D3D3D3"/>
              <w:bottom w:val="single" w:sz="4" w:space="0" w:color="000000"/>
              <w:right w:val="single" w:sz="4" w:space="0" w:color="000000"/>
            </w:tcBorders>
            <w:shd w:val="clear" w:color="auto" w:fill="C7EDCC"/>
          </w:tcPr>
          <w:p>
            <w:pPr/>
          </w:p>
        </w:tc>
        <w:tc>
          <w:tcPr>
            <w:tcW w:w="1867" w:type="dxa"/>
            <w:vMerge/>
            <w:tcBorders>
              <w:left w:val="single" w:sz="9" w:space="0" w:color="C7EDCC"/>
              <w:bottom w:val="single" w:sz="4" w:space="0" w:color="000000"/>
              <w:right w:val="single" w:sz="4" w:space="0" w:color="000000"/>
            </w:tcBorders>
          </w:tcPr>
          <w:p>
            <w:pPr/>
          </w:p>
        </w:tc>
        <w:tc>
          <w:tcPr>
            <w:tcW w:w="1033"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845"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重要的对 外投资</w:t>
            </w:r>
          </w:p>
        </w:tc>
        <w:tc>
          <w:tcPr>
            <w:tcW w:w="5909" w:type="dxa"/>
            <w:tcBorders>
              <w:top w:val="single" w:sz="4" w:space="0" w:color="000000"/>
              <w:left w:val="single" w:sz="13" w:space="0" w:color="D3D3D3"/>
              <w:bottom w:val="nil" w:sz="6" w:space="0" w:color="auto"/>
              <w:right w:val="single" w:sz="4" w:space="0" w:color="000000"/>
            </w:tcBorders>
            <w:shd w:val="clear" w:color="auto" w:fill="C7EDCC"/>
          </w:tcPr>
          <w:p>
            <w:pPr/>
          </w:p>
        </w:tc>
        <w:tc>
          <w:tcPr>
            <w:tcW w:w="1867" w:type="dxa"/>
            <w:vMerge w:val="restart"/>
            <w:tcBorders>
              <w:top w:val="single" w:sz="4" w:space="0" w:color="000000"/>
              <w:left w:val="single" w:sz="9" w:space="0" w:color="C7EDC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3,005,000.00</w:t>
            </w:r>
          </w:p>
        </w:tc>
        <w:tc>
          <w:tcPr>
            <w:tcW w:w="1033" w:type="dxa"/>
            <w:vMerge w:val="restart"/>
            <w:tcBorders>
              <w:top w:val="single" w:sz="4" w:space="0" w:color="000000"/>
              <w:left w:val="single" w:sz="4" w:space="0" w:color="000000"/>
              <w:right w:val="single" w:sz="4" w:space="0" w:color="000000"/>
            </w:tcBorders>
            <w:shd w:val="clear" w:color="auto" w:fill="C7EDCC"/>
          </w:tcPr>
          <w:p>
            <w:pPr/>
          </w:p>
        </w:tc>
      </w:tr>
      <w:tr>
        <w:trPr>
          <w:trHeight w:val="392" w:hRule="exact"/>
        </w:trPr>
        <w:tc>
          <w:tcPr>
            <w:tcW w:w="845" w:type="dxa"/>
            <w:vMerge/>
            <w:tcBorders>
              <w:left w:val="single" w:sz="4" w:space="0" w:color="000000"/>
              <w:right w:val="single" w:sz="9" w:space="0" w:color="C7EDCC"/>
            </w:tcBorders>
            <w:shd w:val="clear" w:color="auto" w:fill="D3D3D3"/>
          </w:tcPr>
          <w:p>
            <w:pPr/>
          </w:p>
        </w:tc>
        <w:tc>
          <w:tcPr>
            <w:tcW w:w="5909" w:type="dxa"/>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风盛传媒股份转让联营企业西安优铁传媒科技有限公司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1867" w:type="dxa"/>
            <w:vMerge/>
            <w:tcBorders>
              <w:left w:val="single" w:sz="9" w:space="0" w:color="C7EDCC"/>
              <w:right w:val="single" w:sz="4" w:space="0" w:color="000000"/>
            </w:tcBorders>
          </w:tcPr>
          <w:p>
            <w:pPr/>
          </w:p>
        </w:tc>
        <w:tc>
          <w:tcPr>
            <w:tcW w:w="1033" w:type="dxa"/>
            <w:vMerge/>
            <w:tcBorders>
              <w:left w:val="single" w:sz="4" w:space="0" w:color="000000"/>
              <w:right w:val="single" w:sz="4" w:space="0" w:color="000000"/>
            </w:tcBorders>
            <w:shd w:val="clear" w:color="auto" w:fill="C7EDCC"/>
          </w:tcPr>
          <w:p>
            <w:pPr/>
          </w:p>
        </w:tc>
      </w:tr>
      <w:tr>
        <w:trPr>
          <w:trHeight w:val="161" w:hRule="exact"/>
        </w:trPr>
        <w:tc>
          <w:tcPr>
            <w:tcW w:w="845" w:type="dxa"/>
            <w:vMerge/>
            <w:tcBorders>
              <w:left w:val="single" w:sz="4" w:space="0" w:color="000000"/>
              <w:bottom w:val="single" w:sz="4" w:space="0" w:color="000000"/>
              <w:right w:val="single" w:sz="9" w:space="0" w:color="C7EDCC"/>
            </w:tcBorders>
            <w:shd w:val="clear" w:color="auto" w:fill="D3D3D3"/>
          </w:tcPr>
          <w:p>
            <w:pPr/>
          </w:p>
        </w:tc>
        <w:tc>
          <w:tcPr>
            <w:tcW w:w="5909" w:type="dxa"/>
            <w:tcBorders>
              <w:top w:val="nil" w:sz="6" w:space="0" w:color="auto"/>
              <w:left w:val="single" w:sz="13" w:space="0" w:color="D3D3D3"/>
              <w:bottom w:val="single" w:sz="4" w:space="0" w:color="000000"/>
              <w:right w:val="single" w:sz="4" w:space="0" w:color="000000"/>
            </w:tcBorders>
            <w:shd w:val="clear" w:color="auto" w:fill="C7EDCC"/>
          </w:tcPr>
          <w:p>
            <w:pPr/>
          </w:p>
        </w:tc>
        <w:tc>
          <w:tcPr>
            <w:tcW w:w="1867" w:type="dxa"/>
            <w:vMerge/>
            <w:tcBorders>
              <w:left w:val="single" w:sz="9" w:space="0" w:color="C7EDCC"/>
              <w:bottom w:val="single" w:sz="4" w:space="0" w:color="000000"/>
              <w:right w:val="single" w:sz="4" w:space="0" w:color="000000"/>
            </w:tcBorders>
          </w:tcPr>
          <w:p>
            <w:pPr/>
          </w:p>
        </w:tc>
        <w:tc>
          <w:tcPr>
            <w:tcW w:w="1033"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102"/>
              <w:jc w:val="left"/>
              <w:rPr>
                <w:rFonts w:ascii="宋体" w:hAnsi="宋体" w:cs="宋体" w:eastAsia="宋体" w:hint="default"/>
                <w:sz w:val="18"/>
                <w:szCs w:val="18"/>
              </w:rPr>
            </w:pPr>
            <w:r>
              <w:rPr>
                <w:rFonts w:ascii="宋体" w:hAnsi="宋体" w:cs="宋体" w:eastAsia="宋体" w:hint="default"/>
                <w:sz w:val="18"/>
                <w:szCs w:val="18"/>
              </w:rPr>
              <w:t>重要的对 外投资</w:t>
            </w:r>
          </w:p>
        </w:tc>
        <w:tc>
          <w:tcPr>
            <w:tcW w:w="59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3"/>
                <w:sz w:val="18"/>
                <w:szCs w:val="18"/>
              </w:rPr>
              <w:t>风盛传媒股份与厦门涣聚投资合伙企业（有限合伙）、悦圈（厦门）股权投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资合伙企业（有限合伙）共同出资设立合资公司厦门风盛传媒有限公司</w:t>
            </w:r>
          </w:p>
        </w:tc>
        <w:tc>
          <w:tcPr>
            <w:tcW w:w="186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9" w:right="0"/>
              <w:jc w:val="left"/>
              <w:rPr>
                <w:rFonts w:ascii="Times New Roman" w:hAnsi="Times New Roman" w:cs="Times New Roman" w:eastAsia="Times New Roman" w:hint="default"/>
                <w:sz w:val="18"/>
                <w:szCs w:val="18"/>
              </w:rPr>
            </w:pPr>
            <w:r>
              <w:rPr>
                <w:rFonts w:ascii="Times New Roman"/>
                <w:sz w:val="18"/>
              </w:rPr>
              <w:t>2,550,000.00</w:t>
            </w:r>
          </w:p>
        </w:tc>
        <w:tc>
          <w:tcPr>
            <w:tcW w:w="1033"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420"/>
        <w:jc w:val="both"/>
      </w:pPr>
      <w:r>
        <w:rPr/>
        <w:t>新型冠状病毒感染的肺炎疫情于</w:t>
      </w:r>
      <w:r>
        <w:rPr>
          <w:spacing w:val="-19"/>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月在全国爆发以来，对肺炎疫情的防控工作正在全国范围内持续进行。本公 </w:t>
      </w:r>
      <w:r>
        <w:rPr>
          <w:spacing w:val="-2"/>
        </w:rPr>
        <w:t>司积极响应并严格执行党和国家各级政府对肺炎疫情防控的各项规定和要求。本公司预计此次新冠疫情及防控措施将对公司</w:t>
      </w:r>
      <w:r>
        <w:rPr>
          <w:spacing w:val="-64"/>
        </w:rPr>
        <w:t> </w:t>
      </w:r>
      <w:r>
        <w:rPr>
          <w:spacing w:val="-64"/>
        </w:rPr>
      </w:r>
      <w:r>
        <w:rPr/>
        <w:t>的生产和经营造成一定的暂时性影响，影响程度取决于疫情防控的进展情况、持续时间以及各地防控政策的实施情况。</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0" w:firstLine="420"/>
        <w:jc w:val="left"/>
      </w:pPr>
      <w:r>
        <w:rPr/>
        <w:t>根据本公司的内部组织结构、管理要求及内部报告制度，本公司的经营业务划分为</w:t>
      </w:r>
      <w:r>
        <w:rPr>
          <w:rFonts w:ascii="Times New Roman" w:hAnsi="Times New Roman" w:cs="Times New Roman" w:eastAsia="Times New Roman" w:hint="default"/>
        </w:rPr>
        <w:t>2</w:t>
      </w:r>
      <w:r>
        <w:rPr/>
        <w:t>个经营分部，本公司的管理层定期 评价这些分部的经营成果，以决定向其分配资源及评价其业绩。在经营分部的基础上本公司确定了</w:t>
      </w:r>
      <w:r>
        <w:rPr>
          <w:rFonts w:ascii="Times New Roman" w:hAnsi="Times New Roman" w:cs="Times New Roman" w:eastAsia="Times New Roman" w:hint="default"/>
        </w:rPr>
        <w:t>2</w:t>
      </w:r>
      <w:r>
        <w:rPr/>
        <w:t>个报告分部，分别为报</w:t>
      </w:r>
      <w:r>
        <w:rPr>
          <w:spacing w:val="-84"/>
        </w:rPr>
        <w:t> </w:t>
      </w:r>
      <w:r>
        <w:rPr>
          <w:spacing w:val="-84"/>
        </w:rPr>
      </w:r>
      <w:r>
        <w:rPr>
          <w:spacing w:val="-2"/>
        </w:rPr>
        <w:t>刊发行业广告策划及印刷相关业务、教育培训业务。这些报告分部是以主营业务收入的性质不同为基础确定的。本公司的报</w:t>
      </w:r>
      <w:r>
        <w:rPr>
          <w:spacing w:val="-66"/>
        </w:rPr>
        <w:t> </w:t>
      </w:r>
      <w:r>
        <w:rPr>
          <w:spacing w:val="-66"/>
        </w:rPr>
      </w:r>
      <w:r>
        <w:rPr>
          <w:spacing w:val="-7"/>
        </w:rPr>
        <w:t>刊发行业广告策划及印刷相关业务分部主要提供的主要产品及劳务为：设计、制作、代理、发布国内广告（除网络广告发布），</w:t>
      </w:r>
      <w:r>
        <w:rPr>
          <w:spacing w:val="-52"/>
        </w:rPr>
        <w:t> </w:t>
      </w:r>
      <w:r>
        <w:rPr>
          <w:spacing w:val="-52"/>
        </w:rPr>
      </w:r>
      <w:r>
        <w:rPr>
          <w:spacing w:val="-2"/>
        </w:rPr>
        <w:t>文化艺术交流活动策划、会展服务，出版物、包装装潢、其他印刷品印刷（限分支机构经营），批发、零售，印刷器材、印</w:t>
      </w:r>
      <w:r>
        <w:rPr>
          <w:spacing w:val="-71"/>
        </w:rPr>
        <w:t> </w:t>
      </w:r>
      <w:r>
        <w:rPr>
          <w:spacing w:val="-71"/>
        </w:rPr>
      </w:r>
      <w:r>
        <w:rPr>
          <w:spacing w:val="-2"/>
        </w:rPr>
        <w:t>刷物资；教育培训业务分部提供的主要产品和劳务为教育管理、教育咨询、声乐培训、舞蹈培训、技术开发、技术转让、技</w:t>
      </w:r>
      <w:r>
        <w:rPr>
          <w:spacing w:val="-65"/>
        </w:rPr>
        <w:t> </w:t>
      </w:r>
      <w:r>
        <w:rPr>
          <w:spacing w:val="-65"/>
        </w:rPr>
      </w:r>
      <w:r>
        <w:rPr/>
        <w:t>术咨询、技术服务、技术培训。</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903"/>
        <w:gridCol w:w="1925"/>
        <w:gridCol w:w="1914"/>
        <w:gridCol w:w="1914"/>
      </w:tblGrid>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1" w:right="39" w:hanging="180"/>
              <w:jc w:val="left"/>
              <w:rPr>
                <w:rFonts w:ascii="宋体" w:hAnsi="宋体" w:cs="宋体" w:eastAsia="宋体" w:hint="default"/>
                <w:sz w:val="18"/>
                <w:szCs w:val="18"/>
              </w:rPr>
            </w:pPr>
            <w:r>
              <w:rPr>
                <w:rFonts w:ascii="宋体" w:hAnsi="宋体" w:cs="宋体" w:eastAsia="宋体" w:hint="default"/>
                <w:sz w:val="18"/>
                <w:szCs w:val="18"/>
              </w:rPr>
              <w:t>报刊发行业广告策划及 印刷相关业务分部</w:t>
            </w:r>
          </w:p>
        </w:tc>
        <w:tc>
          <w:tcPr>
            <w:tcW w:w="19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3" w:type="dxa"/>
            <w:vMerge/>
            <w:tcBorders>
              <w:left w:val="single" w:sz="4" w:space="0" w:color="000000"/>
              <w:right w:val="single" w:sz="4" w:space="0" w:color="000000"/>
            </w:tcBorders>
            <w:shd w:val="clear" w:color="auto" w:fill="D3D3D3"/>
          </w:tcPr>
          <w:p>
            <w:pPr/>
          </w:p>
        </w:tc>
        <w:tc>
          <w:tcPr>
            <w:tcW w:w="19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教育培训业务分部</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c>
          <w:tcPr>
            <w:tcW w:w="19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分部收入</w:t>
            </w:r>
          </w:p>
        </w:tc>
        <w:tc>
          <w:tcPr>
            <w:tcW w:w="190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1,493,457,219.32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264,335,900.64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1,757,793,119.96</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分部成本</w:t>
            </w:r>
          </w:p>
        </w:tc>
        <w:tc>
          <w:tcPr>
            <w:tcW w:w="190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1,161,231,965.94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134,971,420.46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1,296,203,386.40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8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0" w:footer="982" w:top="1100" w:bottom="1180" w:left="980" w:right="0"/>
        </w:sectPr>
      </w:pPr>
    </w:p>
    <w:p>
      <w:pPr>
        <w:pStyle w:val="Heading3"/>
        <w:spacing w:line="240" w:lineRule="auto" w:before="84"/>
        <w:ind w:right="0"/>
        <w:jc w:val="left"/>
        <w:rPr>
          <w:b w:val="0"/>
          <w:bCs w:val="0"/>
        </w:rPr>
      </w:pPr>
      <w:r>
        <w:rPr>
          <w:w w:val="95"/>
        </w:rPr>
        <w:t>（</w:t>
      </w:r>
      <w:r>
        <w:rPr>
          <w:rFonts w:ascii="Times New Roman" w:hAnsi="Times New Roman" w:cs="Times New Roman" w:eastAsia="Times New Roman" w:hint="default"/>
          <w:w w:val="95"/>
        </w:rPr>
        <w:t>1</w:t>
      </w:r>
      <w:r>
        <w:rPr>
          <w:w w:val="95"/>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7"/>
          <w:szCs w:val="17"/>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2367" w:space="6461"/>
            <w:col w:w="210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0"/>
        <w:gridCol w:w="989"/>
        <w:gridCol w:w="701"/>
        <w:gridCol w:w="788"/>
        <w:gridCol w:w="652"/>
        <w:gridCol w:w="1024"/>
        <w:gridCol w:w="854"/>
        <w:gridCol w:w="701"/>
        <w:gridCol w:w="698"/>
        <w:gridCol w:w="652"/>
        <w:gridCol w:w="866"/>
      </w:tblGrid>
      <w:tr>
        <w:trPr>
          <w:trHeight w:val="251" w:hRule="exact"/>
        </w:trPr>
        <w:tc>
          <w:tcPr>
            <w:tcW w:w="1730" w:type="dxa"/>
            <w:vMerge w:val="restart"/>
            <w:tcBorders>
              <w:top w:val="single" w:sz="4" w:space="0" w:color="000000"/>
              <w:left w:val="single" w:sz="4" w:space="0" w:color="000000"/>
              <w:right w:val="single" w:sz="4" w:space="0" w:color="000000"/>
            </w:tcBorders>
            <w:shd w:val="clear" w:color="auto" w:fill="D3D3D3"/>
          </w:tcPr>
          <w:p>
            <w:pPr/>
          </w:p>
        </w:tc>
        <w:tc>
          <w:tcPr>
            <w:tcW w:w="415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5" w:hRule="exact"/>
        </w:trPr>
        <w:tc>
          <w:tcPr>
            <w:tcW w:w="1730" w:type="dxa"/>
            <w:vMerge/>
            <w:tcBorders>
              <w:left w:val="single" w:sz="4" w:space="0" w:color="000000"/>
              <w:bottom w:val="nil" w:sz="6" w:space="0" w:color="auto"/>
              <w:right w:val="single" w:sz="4" w:space="0" w:color="000000"/>
            </w:tcBorders>
            <w:shd w:val="clear" w:color="auto" w:fill="D3D3D3"/>
          </w:tcPr>
          <w:p>
            <w:pPr/>
          </w:p>
        </w:tc>
        <w:tc>
          <w:tcPr>
            <w:tcW w:w="16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4" w:type="dxa"/>
            <w:vMerge w:val="restart"/>
            <w:tcBorders>
              <w:top w:val="single" w:sz="4" w:space="0" w:color="000000"/>
              <w:left w:val="single" w:sz="4" w:space="0" w:color="000000"/>
              <w:right w:val="single" w:sz="4" w:space="0" w:color="000000"/>
            </w:tcBorders>
            <w:shd w:val="clear" w:color="auto" w:fill="D3D3D3"/>
          </w:tcPr>
          <w:p>
            <w:pPr/>
          </w:p>
        </w:tc>
        <w:tc>
          <w:tcPr>
            <w:tcW w:w="15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4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3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6" w:type="dxa"/>
            <w:vMerge w:val="restart"/>
            <w:tcBorders>
              <w:top w:val="single" w:sz="4" w:space="0" w:color="000000"/>
              <w:left w:val="single" w:sz="4" w:space="0" w:color="000000"/>
              <w:right w:val="single" w:sz="4" w:space="0" w:color="000000"/>
            </w:tcBorders>
            <w:shd w:val="clear" w:color="auto" w:fill="D3D3D3"/>
          </w:tcPr>
          <w:p>
            <w:pPr/>
          </w:p>
        </w:tc>
      </w:tr>
      <w:tr>
        <w:trPr>
          <w:trHeight w:val="125" w:hRule="exact"/>
        </w:trPr>
        <w:tc>
          <w:tcPr>
            <w:tcW w:w="1730"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690" w:type="dxa"/>
            <w:gridSpan w:val="2"/>
            <w:vMerge/>
            <w:tcBorders>
              <w:left w:val="single" w:sz="4" w:space="0" w:color="000000"/>
              <w:bottom w:val="single" w:sz="4" w:space="0" w:color="000000"/>
              <w:right w:val="single" w:sz="4" w:space="0" w:color="000000"/>
            </w:tcBorders>
            <w:shd w:val="clear" w:color="auto" w:fill="D3D3D3"/>
          </w:tcPr>
          <w:p>
            <w:pPr/>
          </w:p>
        </w:tc>
        <w:tc>
          <w:tcPr>
            <w:tcW w:w="1439" w:type="dxa"/>
            <w:gridSpan w:val="2"/>
            <w:vMerge/>
            <w:tcBorders>
              <w:left w:val="single" w:sz="4" w:space="0" w:color="000000"/>
              <w:bottom w:val="single" w:sz="4" w:space="0" w:color="000000"/>
              <w:right w:val="single" w:sz="4" w:space="0" w:color="000000"/>
            </w:tcBorders>
            <w:shd w:val="clear" w:color="auto" w:fill="D3D3D3"/>
          </w:tcPr>
          <w:p>
            <w:pPr/>
          </w:p>
        </w:tc>
        <w:tc>
          <w:tcPr>
            <w:tcW w:w="1024" w:type="dxa"/>
            <w:vMerge/>
            <w:tcBorders>
              <w:left w:val="single" w:sz="4" w:space="0" w:color="000000"/>
              <w:bottom w:val="nil" w:sz="6" w:space="0" w:color="auto"/>
              <w:right w:val="single" w:sz="4" w:space="0" w:color="000000"/>
            </w:tcBorders>
            <w:shd w:val="clear" w:color="auto" w:fill="D3D3D3"/>
          </w:tcPr>
          <w:p>
            <w:pPr/>
          </w:p>
        </w:tc>
        <w:tc>
          <w:tcPr>
            <w:tcW w:w="1555" w:type="dxa"/>
            <w:gridSpan w:val="2"/>
            <w:vMerge/>
            <w:tcBorders>
              <w:left w:val="single" w:sz="4" w:space="0" w:color="000000"/>
              <w:bottom w:val="single" w:sz="4" w:space="0" w:color="000000"/>
              <w:right w:val="single" w:sz="4" w:space="0" w:color="000000"/>
            </w:tcBorders>
            <w:shd w:val="clear" w:color="auto" w:fill="D3D3D3"/>
          </w:tcPr>
          <w:p>
            <w:pPr/>
          </w:p>
        </w:tc>
        <w:tc>
          <w:tcPr>
            <w:tcW w:w="1349" w:type="dxa"/>
            <w:gridSpan w:val="2"/>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r>
      <w:tr>
        <w:trPr>
          <w:trHeight w:val="120" w:hRule="exact"/>
        </w:trPr>
        <w:tc>
          <w:tcPr>
            <w:tcW w:w="1730" w:type="dxa"/>
            <w:vMerge/>
            <w:tcBorders>
              <w:left w:val="single" w:sz="4" w:space="0" w:color="000000"/>
              <w:bottom w:val="nil" w:sz="6" w:space="0" w:color="auto"/>
              <w:right w:val="single" w:sz="4" w:space="0" w:color="000000"/>
            </w:tcBorders>
            <w:shd w:val="clear" w:color="auto" w:fill="D3D3D3"/>
          </w:tcPr>
          <w:p>
            <w:pPr/>
          </w:p>
        </w:tc>
        <w:tc>
          <w:tcPr>
            <w:tcW w:w="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7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30" w:right="5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24"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4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69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230" w:right="5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0" w:hRule="exact"/>
        </w:trPr>
        <w:tc>
          <w:tcPr>
            <w:tcW w:w="1730" w:type="dxa"/>
            <w:vMerge w:val="restart"/>
            <w:tcBorders>
              <w:top w:val="nil" w:sz="6" w:space="0" w:color="auto"/>
              <w:left w:val="single" w:sz="4" w:space="0" w:color="000000"/>
              <w:right w:val="single" w:sz="4" w:space="0" w:color="000000"/>
            </w:tcBorders>
            <w:shd w:val="clear" w:color="auto" w:fill="D3D3D3"/>
          </w:tcPr>
          <w:p>
            <w:pPr/>
          </w:p>
        </w:tc>
        <w:tc>
          <w:tcPr>
            <w:tcW w:w="989"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left="3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3D3D3"/>
          </w:tcPr>
          <w:p>
            <w:pPr/>
          </w:p>
        </w:tc>
        <w:tc>
          <w:tcPr>
            <w:tcW w:w="1024" w:type="dxa"/>
            <w:vMerge/>
            <w:tcBorders>
              <w:left w:val="single" w:sz="4" w:space="0" w:color="000000"/>
              <w:bottom w:val="nil" w:sz="6" w:space="0" w:color="auto"/>
              <w:right w:val="single" w:sz="4" w:space="0" w:color="000000"/>
            </w:tcBorders>
            <w:shd w:val="clear" w:color="auto" w:fill="D3D3D3"/>
          </w:tcPr>
          <w:p>
            <w:pPr/>
          </w:p>
        </w:tc>
        <w:tc>
          <w:tcPr>
            <w:tcW w:w="854"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left="2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98" w:type="dxa"/>
            <w:vMerge w:val="restart"/>
            <w:tcBorders>
              <w:top w:val="nil" w:sz="6" w:space="0" w:color="auto"/>
              <w:left w:val="single" w:sz="4" w:space="0" w:color="000000"/>
              <w:right w:val="single" w:sz="4" w:space="0" w:color="000000"/>
            </w:tcBorders>
            <w:shd w:val="clear" w:color="auto" w:fill="D3D3D3"/>
          </w:tcPr>
          <w:p>
            <w:pPr>
              <w:pStyle w:val="TableParagraph"/>
              <w:spacing w:line="222" w:lineRule="exact"/>
              <w:ind w:left="1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r>
      <w:tr>
        <w:trPr>
          <w:trHeight w:val="250" w:hRule="exact"/>
        </w:trPr>
        <w:tc>
          <w:tcPr>
            <w:tcW w:w="1730" w:type="dxa"/>
            <w:vMerge/>
            <w:tcBorders>
              <w:left w:val="single" w:sz="4" w:space="0" w:color="000000"/>
              <w:bottom w:val="single" w:sz="4" w:space="0" w:color="000000"/>
              <w:right w:val="single" w:sz="4" w:space="0" w:color="000000"/>
            </w:tcBorders>
            <w:shd w:val="clear" w:color="auto" w:fill="D3D3D3"/>
          </w:tcPr>
          <w:p>
            <w:pPr/>
          </w:p>
        </w:tc>
        <w:tc>
          <w:tcPr>
            <w:tcW w:w="989" w:type="dxa"/>
            <w:vMerge/>
            <w:tcBorders>
              <w:left w:val="single" w:sz="4" w:space="0" w:color="000000"/>
              <w:bottom w:val="single" w:sz="4" w:space="0" w:color="000000"/>
              <w:right w:val="single" w:sz="4" w:space="0" w:color="000000"/>
            </w:tcBorders>
            <w:shd w:val="clear" w:color="auto" w:fill="D3D3D3"/>
          </w:tcPr>
          <w:p>
            <w:pPr/>
          </w:p>
        </w:tc>
        <w:tc>
          <w:tcPr>
            <w:tcW w:w="701" w:type="dxa"/>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1024" w:type="dxa"/>
            <w:tcBorders>
              <w:top w:val="nil" w:sz="6" w:space="0" w:color="auto"/>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c>
          <w:tcPr>
            <w:tcW w:w="701" w:type="dxa"/>
            <w:vMerge/>
            <w:tcBorders>
              <w:left w:val="single" w:sz="4" w:space="0" w:color="000000"/>
              <w:bottom w:val="single" w:sz="4" w:space="0" w:color="000000"/>
              <w:right w:val="single" w:sz="4" w:space="0" w:color="000000"/>
            </w:tcBorders>
            <w:shd w:val="clear" w:color="auto" w:fill="D3D3D3"/>
          </w:tcPr>
          <w:p>
            <w:pPr/>
          </w:p>
        </w:tc>
        <w:tc>
          <w:tcPr>
            <w:tcW w:w="69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51"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90"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2" w:right="75"/>
              <w:jc w:val="left"/>
              <w:rPr>
                <w:rFonts w:ascii="宋体" w:hAnsi="宋体" w:cs="宋体" w:eastAsia="宋体" w:hint="default"/>
                <w:sz w:val="18"/>
                <w:szCs w:val="18"/>
              </w:rPr>
            </w:pPr>
            <w:r>
              <w:rPr>
                <w:rFonts w:ascii="宋体" w:hAnsi="宋体" w:cs="宋体" w:eastAsia="宋体" w:hint="default"/>
                <w:sz w:val="18"/>
                <w:szCs w:val="18"/>
              </w:rPr>
              <w:t>按组合计提坏账准备 的应收账款</w:t>
            </w:r>
          </w:p>
        </w:tc>
        <w:tc>
          <w:tcPr>
            <w:tcW w:w="9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0"/>
              <w:jc w:val="left"/>
              <w:rPr>
                <w:rFonts w:ascii="Times New Roman" w:hAnsi="Times New Roman" w:cs="Times New Roman" w:eastAsia="Times New Roman" w:hint="default"/>
                <w:sz w:val="18"/>
                <w:szCs w:val="18"/>
              </w:rPr>
            </w:pPr>
            <w:r>
              <w:rPr>
                <w:rFonts w:ascii="Times New Roman"/>
                <w:sz w:val="18"/>
              </w:rPr>
              <w:t>1,218,202.26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24,364.05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6" w:right="0"/>
              <w:jc w:val="left"/>
              <w:rPr>
                <w:rFonts w:ascii="Times New Roman" w:hAnsi="Times New Roman" w:cs="Times New Roman" w:eastAsia="Times New Roman" w:hint="default"/>
                <w:sz w:val="18"/>
                <w:szCs w:val="18"/>
              </w:rPr>
            </w:pPr>
            <w:r>
              <w:rPr>
                <w:rFonts w:ascii="Times New Roman"/>
                <w:sz w:val="18"/>
              </w:rPr>
              <w:t>2.00%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1,193,838.21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 w:right="0"/>
              <w:jc w:val="left"/>
              <w:rPr>
                <w:rFonts w:ascii="Times New Roman" w:hAnsi="Times New Roman" w:cs="Times New Roman" w:eastAsia="Times New Roman" w:hint="default"/>
                <w:sz w:val="18"/>
                <w:szCs w:val="18"/>
              </w:rPr>
            </w:pPr>
            <w:r>
              <w:rPr>
                <w:rFonts w:ascii="Times New Roman"/>
                <w:sz w:val="18"/>
              </w:rPr>
              <w:t>312,237.03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100.00%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6,244.74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6" w:right="0"/>
              <w:jc w:val="left"/>
              <w:rPr>
                <w:rFonts w:ascii="Times New Roman" w:hAnsi="Times New Roman" w:cs="Times New Roman" w:eastAsia="Times New Roman" w:hint="default"/>
                <w:sz w:val="18"/>
                <w:szCs w:val="18"/>
              </w:rPr>
            </w:pPr>
            <w:r>
              <w:rPr>
                <w:rFonts w:ascii="Times New Roman"/>
                <w:sz w:val="18"/>
              </w:rPr>
              <w:t>2.00%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 w:right="0"/>
              <w:jc w:val="left"/>
              <w:rPr>
                <w:rFonts w:ascii="Times New Roman" w:hAnsi="Times New Roman" w:cs="Times New Roman" w:eastAsia="Times New Roman" w:hint="default"/>
                <w:sz w:val="18"/>
                <w:szCs w:val="18"/>
              </w:rPr>
            </w:pPr>
            <w:r>
              <w:rPr>
                <w:rFonts w:ascii="Times New Roman"/>
                <w:sz w:val="18"/>
              </w:rPr>
              <w:t>305,992.29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95"/>
        <w:gridCol w:w="1013"/>
        <w:gridCol w:w="701"/>
        <w:gridCol w:w="776"/>
        <w:gridCol w:w="674"/>
        <w:gridCol w:w="1001"/>
        <w:gridCol w:w="866"/>
        <w:gridCol w:w="701"/>
        <w:gridCol w:w="686"/>
        <w:gridCol w:w="674"/>
        <w:gridCol w:w="866"/>
      </w:tblGrid>
      <w:tr>
        <w:trPr>
          <w:trHeight w:val="250" w:hRule="exact"/>
        </w:trPr>
        <w:tc>
          <w:tcPr>
            <w:tcW w:w="1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1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1,218,202.26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Times New Roman"/>
                <w:sz w:val="18"/>
              </w:rPr>
              <w:t>24,364.05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7" w:right="0"/>
              <w:jc w:val="left"/>
              <w:rPr>
                <w:rFonts w:ascii="Times New Roman" w:hAnsi="Times New Roman" w:cs="Times New Roman" w:eastAsia="Times New Roman" w:hint="default"/>
                <w:sz w:val="18"/>
                <w:szCs w:val="18"/>
              </w:rPr>
            </w:pPr>
            <w:r>
              <w:rPr>
                <w:rFonts w:ascii="Times New Roman"/>
                <w:sz w:val="18"/>
              </w:rPr>
              <w:t>2.00%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1,193,838.21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312,237.03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Times New Roman" w:hAnsi="Times New Roman" w:cs="Times New Roman" w:eastAsia="Times New Roman" w:hint="default"/>
                <w:sz w:val="18"/>
                <w:szCs w:val="18"/>
              </w:rPr>
            </w:pPr>
            <w:r>
              <w:rPr>
                <w:rFonts w:ascii="Times New Roman"/>
                <w:sz w:val="18"/>
              </w:rPr>
              <w:t>100.00%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Times New Roman"/>
                <w:sz w:val="18"/>
              </w:rPr>
              <w:t>6,244.74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7" w:right="0"/>
              <w:jc w:val="left"/>
              <w:rPr>
                <w:rFonts w:ascii="Times New Roman" w:hAnsi="Times New Roman" w:cs="Times New Roman" w:eastAsia="Times New Roman" w:hint="default"/>
                <w:sz w:val="18"/>
                <w:szCs w:val="18"/>
              </w:rPr>
            </w:pPr>
            <w:r>
              <w:rPr>
                <w:rFonts w:ascii="Times New Roman"/>
                <w:sz w:val="18"/>
              </w:rPr>
              <w:t>2.00%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305,992.29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0"/>
        </w:sectPr>
      </w:pPr>
    </w:p>
    <w:p>
      <w:pPr>
        <w:pStyle w:val="BodyText"/>
        <w:spacing w:line="360" w:lineRule="auto" w:before="51"/>
        <w:ind w:left="153" w:right="-1"/>
        <w:jc w:val="left"/>
        <w:rPr>
          <w:rFonts w:ascii="Times New Roman" w:hAnsi="Times New Roman" w:cs="Times New Roman" w:eastAsia="Times New Roman" w:hint="default"/>
        </w:rPr>
      </w:pPr>
      <w:r>
        <w:rPr/>
        <w:t>按单项计提坏账准备：无 </w:t>
      </w:r>
      <w:r>
        <w:rPr>
          <w:spacing w:val="-1"/>
        </w:rPr>
        <w:t>按组合计提坏账准备：</w:t>
      </w:r>
      <w:r>
        <w:rPr>
          <w:rFonts w:ascii="Times New Roman" w:hAnsi="Times New Roman" w:cs="Times New Roman" w:eastAsia="Times New Roman" w:hint="default"/>
          <w:spacing w:val="-1"/>
        </w:rPr>
        <w:t>24,364.05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5"/>
        <w:ind w:left="153" w:right="0"/>
        <w:jc w:val="left"/>
      </w:pPr>
      <w:r>
        <w:rPr/>
        <w:t>单位： 元</w:t>
      </w:r>
    </w:p>
    <w:p>
      <w:pPr>
        <w:spacing w:after="0" w:line="240" w:lineRule="auto"/>
        <w:jc w:val="left"/>
        <w:sectPr>
          <w:type w:val="continuous"/>
          <w:pgSz w:w="11910" w:h="16840"/>
          <w:pgMar w:top="1060" w:bottom="1180" w:left="980" w:right="0"/>
          <w:cols w:num="2" w:equalWidth="0">
            <w:col w:w="2674" w:space="6154"/>
            <w:col w:w="210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0" w:type="dxa"/>
            <w:vMerge/>
            <w:tcBorders>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4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1,218,202.26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24,364.05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1,218,202.26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24,364.05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73" w:right="8771" w:hanging="420"/>
        <w:jc w:val="left"/>
      </w:pPr>
      <w:r>
        <w:rPr/>
        <w:t>确定该组合依据的说明： 其中：账龄组合</w:t>
      </w:r>
    </w:p>
    <w:tbl>
      <w:tblPr>
        <w:tblW w:w="0" w:type="auto"/>
        <w:jc w:val="left"/>
        <w:tblInd w:w="139" w:type="dxa"/>
        <w:tblLayout w:type="fixed"/>
        <w:tblCellMar>
          <w:top w:w="0" w:type="dxa"/>
          <w:left w:w="0" w:type="dxa"/>
          <w:bottom w:w="0" w:type="dxa"/>
          <w:right w:w="0" w:type="dxa"/>
        </w:tblCellMar>
        <w:tblLook w:val="01E0"/>
      </w:tblPr>
      <w:tblGrid>
        <w:gridCol w:w="4835"/>
        <w:gridCol w:w="4823"/>
      </w:tblGrid>
      <w:tr>
        <w:trPr>
          <w:trHeight w:val="322" w:hRule="exact"/>
        </w:trPr>
        <w:tc>
          <w:tcPr>
            <w:tcW w:w="4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82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48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482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1,218,202.26</w:t>
            </w:r>
          </w:p>
        </w:tc>
      </w:tr>
      <w:tr>
        <w:trPr>
          <w:trHeight w:val="342"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账面余额小计</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1,218,202.26</w:t>
            </w:r>
          </w:p>
        </w:tc>
      </w:tr>
      <w:tr>
        <w:trPr>
          <w:trHeight w:val="342"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z w:val="18"/>
              </w:rPr>
              <w:t>24,364.05</w:t>
            </w:r>
          </w:p>
        </w:tc>
      </w:tr>
      <w:tr>
        <w:trPr>
          <w:trHeight w:val="343" w:hRule="exact"/>
        </w:trPr>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1,193,838.21</w:t>
            </w:r>
          </w:p>
        </w:tc>
      </w:tr>
    </w:tbl>
    <w:p>
      <w:pPr>
        <w:pStyle w:val="BodyText"/>
        <w:spacing w:line="357" w:lineRule="auto" w:before="44"/>
        <w:ind w:left="153" w:right="8591"/>
        <w:jc w:val="left"/>
      </w:pPr>
      <w:r>
        <w:rPr/>
        <w:t>按组合计提坏账准备：无 确定该组合依据的说明：无</w:t>
      </w:r>
    </w:p>
    <w:p>
      <w:pPr>
        <w:pStyle w:val="BodyText"/>
        <w:spacing w:line="240" w:lineRule="auto" w:before="29"/>
        <w:ind w:left="153" w:right="0"/>
        <w:jc w:val="left"/>
      </w:pPr>
      <w:r>
        <w:rPr/>
        <w:t>如是按照预期信用损失一般模型计提应收账款坏账准备，请参照其他应收款的披露方式披露坏账准备的相关信息：</w:t>
      </w:r>
    </w:p>
    <w:p>
      <w:pPr>
        <w:pStyle w:val="BodyText"/>
        <w:spacing w:line="338" w:lineRule="auto" w:before="116"/>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pStyle w:val="BodyText"/>
        <w:spacing w:line="240" w:lineRule="auto" w:before="43"/>
        <w:ind w:left="0" w:right="1129"/>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1,218,202.26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1,218,202.26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5"/>
        <w:ind w:left="461" w:right="0"/>
        <w:jc w:val="left"/>
      </w:pPr>
      <w:r>
        <w:rPr/>
        <w:t>本公司本年按欠款方归集的年末余额前五名应收账款汇总金额为</w:t>
      </w:r>
      <w:r>
        <w:rPr>
          <w:rFonts w:ascii="Times New Roman" w:hAnsi="Times New Roman" w:cs="Times New Roman" w:eastAsia="Times New Roman" w:hint="default"/>
        </w:rPr>
        <w:t>1,218,202.26</w:t>
      </w:r>
      <w:r>
        <w:rPr/>
        <w:t>元，占应收账款年末余额合计数的比例为</w:t>
      </w:r>
    </w:p>
    <w:p>
      <w:pPr>
        <w:pStyle w:val="BodyText"/>
        <w:spacing w:line="240" w:lineRule="auto" w:before="63"/>
        <w:ind w:left="153" w:right="0"/>
        <w:jc w:val="left"/>
      </w:pPr>
      <w:r>
        <w:rPr>
          <w:rFonts w:ascii="Times New Roman" w:hAnsi="Times New Roman" w:cs="Times New Roman" w:eastAsia="Times New Roman" w:hint="default"/>
        </w:rPr>
        <w:t>100.00%</w:t>
      </w:r>
      <w:r>
        <w:rPr/>
        <w:t>，相应计提的坏账准备年末余额汇总金额为</w:t>
      </w:r>
      <w:r>
        <w:rPr>
          <w:rFonts w:ascii="Times New Roman" w:hAnsi="Times New Roman" w:cs="Times New Roman" w:eastAsia="Times New Roman" w:hint="default"/>
        </w:rPr>
        <w:t>24,364.05</w:t>
      </w:r>
      <w:r>
        <w:rPr/>
        <w:t>元。</w:t>
      </w:r>
    </w:p>
    <w:p>
      <w:pPr>
        <w:spacing w:after="0" w:line="240" w:lineRule="auto"/>
        <w:jc w:val="left"/>
        <w:sectPr>
          <w:type w:val="continuous"/>
          <w:pgSz w:w="11910" w:h="16840"/>
          <w:pgMar w:top="106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418,258,815.07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285,873,925.79</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518,258,815.07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491,373,925.80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1100" w:bottom="118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293,217,890.10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267,592,702.60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128,021,394.41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573,932.78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68,188.58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6,852.30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421,881,405.87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287,625,054.90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8"/>
        <w:gridCol w:w="1678"/>
        <w:gridCol w:w="2099"/>
        <w:gridCol w:w="2087"/>
        <w:gridCol w:w="1792"/>
      </w:tblGrid>
      <w:tr>
        <w:trPr>
          <w:trHeight w:val="402" w:hRule="exact"/>
        </w:trPr>
        <w:tc>
          <w:tcPr>
            <w:tcW w:w="1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79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3" w:hRule="exact"/>
        </w:trPr>
        <w:tc>
          <w:tcPr>
            <w:tcW w:w="18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566" w:right="65"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2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71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678"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2087" w:type="dxa"/>
            <w:vMerge/>
            <w:tcBorders>
              <w:left w:val="single" w:sz="4" w:space="0" w:color="000000"/>
              <w:bottom w:val="single" w:sz="4" w:space="0" w:color="000000"/>
              <w:right w:val="single" w:sz="4" w:space="0" w:color="000000"/>
            </w:tcBorders>
            <w:shd w:val="clear" w:color="auto" w:fill="D3D3D3"/>
          </w:tcPr>
          <w:p>
            <w:pPr/>
          </w:p>
        </w:tc>
        <w:tc>
          <w:tcPr>
            <w:tcW w:w="179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1,751,129.11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1,751,129.11</w:t>
            </w:r>
          </w:p>
        </w:tc>
      </w:tr>
      <w:tr>
        <w:trPr>
          <w:trHeight w:val="161" w:hRule="exact"/>
        </w:trPr>
        <w:tc>
          <w:tcPr>
            <w:tcW w:w="188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9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888" w:type="dxa"/>
            <w:vMerge/>
            <w:tcBorders>
              <w:left w:val="single" w:sz="4" w:space="0" w:color="000000"/>
              <w:right w:val="single" w:sz="4" w:space="0" w:color="000000"/>
            </w:tcBorders>
            <w:shd w:val="clear" w:color="auto" w:fill="D3D3D3"/>
          </w:tcPr>
          <w:p>
            <w:pPr/>
          </w:p>
        </w:tc>
        <w:tc>
          <w:tcPr>
            <w:tcW w:w="16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0" w:hRule="exact"/>
        </w:trPr>
        <w:tc>
          <w:tcPr>
            <w:tcW w:w="1888" w:type="dxa"/>
            <w:vMerge/>
            <w:tcBorders>
              <w:left w:val="single" w:sz="4" w:space="0" w:color="000000"/>
              <w:bottom w:val="single" w:sz="4" w:space="0" w:color="000000"/>
              <w:right w:val="single" w:sz="4" w:space="0" w:color="000000"/>
            </w:tcBorders>
            <w:shd w:val="clear" w:color="auto" w:fill="D3D3D3"/>
          </w:tcPr>
          <w:p>
            <w:pPr/>
          </w:p>
        </w:tc>
        <w:tc>
          <w:tcPr>
            <w:tcW w:w="1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9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1,871,461.69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1,871,461.69</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3,622,590.80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3,622,590.80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6"/>
        <w:ind w:right="15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935" w:space="4894"/>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164,286,091.24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101,028,952.26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105,226,232.00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51,340,130.37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27,224,921.37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24,115,209.00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421,881,405.87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14"/>
        <w:gridCol w:w="1493"/>
        <w:gridCol w:w="1502"/>
        <w:gridCol w:w="1435"/>
        <w:gridCol w:w="624"/>
        <w:gridCol w:w="624"/>
        <w:gridCol w:w="1501"/>
      </w:tblGrid>
      <w:tr>
        <w:trPr>
          <w:trHeight w:val="250" w:hRule="exact"/>
        </w:trPr>
        <w:tc>
          <w:tcPr>
            <w:tcW w:w="25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18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2514" w:type="dxa"/>
            <w:vMerge/>
            <w:tcBorders>
              <w:left w:val="single" w:sz="4" w:space="0" w:color="000000"/>
              <w:bottom w:val="single" w:sz="4" w:space="0" w:color="000000"/>
              <w:right w:val="single" w:sz="4" w:space="0" w:color="000000"/>
            </w:tcBorders>
            <w:shd w:val="clear" w:color="auto" w:fill="D3D3D3"/>
          </w:tcPr>
          <w:p>
            <w:pPr/>
          </w:p>
        </w:tc>
        <w:tc>
          <w:tcPr>
            <w:tcW w:w="1493" w:type="dxa"/>
            <w:vMerge/>
            <w:tcBorders>
              <w:left w:val="single" w:sz="4" w:space="0" w:color="000000"/>
              <w:bottom w:val="single" w:sz="4" w:space="0" w:color="000000"/>
              <w:right w:val="single" w:sz="4" w:space="0" w:color="000000"/>
            </w:tcBorders>
            <w:shd w:val="clear" w:color="auto" w:fill="D3D3D3"/>
          </w:tcPr>
          <w:p>
            <w:pPr/>
          </w:p>
        </w:tc>
        <w:tc>
          <w:tcPr>
            <w:tcW w:w="1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66"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6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6"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vMerge/>
            <w:tcBorders>
              <w:left w:val="single" w:sz="4" w:space="0" w:color="000000"/>
              <w:bottom w:val="single" w:sz="4" w:space="0" w:color="000000"/>
              <w:right w:val="single" w:sz="4" w:space="0" w:color="000000"/>
            </w:tcBorders>
            <w:shd w:val="clear" w:color="auto" w:fill="D3D3D3"/>
          </w:tcPr>
          <w:p>
            <w:pPr/>
          </w:p>
        </w:tc>
      </w:tr>
      <w:tr>
        <w:trPr>
          <w:trHeight w:val="251" w:hRule="exact"/>
        </w:trPr>
        <w:tc>
          <w:tcPr>
            <w:tcW w:w="25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93" w:type="dxa"/>
            <w:tcBorders>
              <w:top w:val="single" w:sz="4" w:space="0" w:color="000000"/>
              <w:left w:val="single" w:sz="10" w:space="0" w:color="C7EDCC"/>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9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1,751,129.11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25" w:right="0"/>
              <w:jc w:val="left"/>
              <w:rPr>
                <w:rFonts w:ascii="Times New Roman" w:hAnsi="Times New Roman" w:cs="Times New Roman" w:eastAsia="Times New Roman" w:hint="default"/>
                <w:sz w:val="18"/>
                <w:szCs w:val="18"/>
              </w:rPr>
            </w:pPr>
            <w:r>
              <w:rPr>
                <w:rFonts w:ascii="Times New Roman"/>
                <w:sz w:val="18"/>
              </w:rPr>
              <w:t>1,871,461.69</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3,622,590.80</w:t>
            </w:r>
          </w:p>
        </w:tc>
      </w:tr>
      <w:tr>
        <w:trPr>
          <w:trHeight w:val="251" w:hRule="exact"/>
        </w:trPr>
        <w:tc>
          <w:tcPr>
            <w:tcW w:w="2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1,751,129.11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25" w:right="0"/>
              <w:jc w:val="left"/>
              <w:rPr>
                <w:rFonts w:ascii="Times New Roman" w:hAnsi="Times New Roman" w:cs="Times New Roman" w:eastAsia="Times New Roman" w:hint="default"/>
                <w:sz w:val="18"/>
                <w:szCs w:val="18"/>
              </w:rPr>
            </w:pPr>
            <w:r>
              <w:rPr>
                <w:rFonts w:ascii="Times New Roman"/>
                <w:sz w:val="18"/>
              </w:rPr>
              <w:t>1,871,461.69</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3,622,590.80</w:t>
            </w:r>
          </w:p>
        </w:tc>
      </w:tr>
    </w:tbl>
    <w:p>
      <w:pPr>
        <w:pStyle w:val="BodyText"/>
        <w:spacing w:line="316" w:lineRule="auto" w:before="10"/>
        <w:ind w:left="573" w:right="0"/>
        <w:jc w:val="left"/>
      </w:pPr>
      <w:r>
        <w:rPr/>
        <w:t>本期坏账准备计提以及评估金融工具的信用风险是否显著增加的依据： 用以确定本期坏账准备计提金额以及评估金融工具的信用风险自初始确认后是否已显著增加等事项所采用的输入值、</w:t>
      </w:r>
    </w:p>
    <w:p>
      <w:pPr>
        <w:pStyle w:val="BodyText"/>
        <w:spacing w:line="300" w:lineRule="auto" w:before="19"/>
        <w:ind w:right="6160"/>
        <w:jc w:val="left"/>
      </w:pPr>
      <w:r>
        <w:rPr/>
        <w:t>假设等信息详见十节（二、</w:t>
      </w:r>
      <w:r>
        <w:rPr>
          <w:rFonts w:ascii="Times New Roman" w:hAnsi="Times New Roman" w:cs="Times New Roman" w:eastAsia="Times New Roman" w:hint="default"/>
        </w:rPr>
        <w:t>3</w:t>
      </w:r>
      <w:r>
        <w:rPr/>
        <w:t>）预期信用损失计量的参数。 其中本期坏账准备转回或收回金额重要的：无</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00" w:lineRule="auto" w:before="115"/>
        <w:ind w:right="0" w:firstLine="373"/>
        <w:jc w:val="left"/>
      </w:pPr>
      <w:r>
        <w:rPr/>
        <w:t>本公司本年按欠款方归集的年末余额前五名其他应收款汇总金额为</w:t>
      </w:r>
      <w:r>
        <w:rPr>
          <w:rFonts w:ascii="Times New Roman" w:hAnsi="Times New Roman" w:cs="Times New Roman" w:eastAsia="Times New Roman" w:hint="default"/>
        </w:rPr>
        <w:t>339,616,079.04</w:t>
      </w:r>
      <w:r>
        <w:rPr/>
        <w:t>元，占其他应收款年末余额合计数的 比例为</w:t>
      </w:r>
      <w:r>
        <w:rPr>
          <w:rFonts w:ascii="Times New Roman" w:hAnsi="Times New Roman" w:cs="Times New Roman" w:eastAsia="Times New Roman" w:hint="default"/>
        </w:rPr>
        <w:t>80.50%</w:t>
      </w:r>
      <w:r>
        <w:rPr/>
        <w:t>，相应计提的坏账准备年末余额汇总金额为</w:t>
      </w:r>
      <w:r>
        <w:rPr>
          <w:rFonts w:ascii="Times New Roman" w:hAnsi="Times New Roman" w:cs="Times New Roman" w:eastAsia="Times New Roman" w:hint="default"/>
        </w:rPr>
        <w:t>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130"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0"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251"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0"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3,000,150,018.41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3,000,150,018.41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2,745,505,500.00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2,745,505,500.00</w:t>
            </w:r>
          </w:p>
        </w:tc>
      </w:tr>
      <w:tr>
        <w:trPr>
          <w:trHeight w:val="490"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190,703,611.72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190,703,611.72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187,309,451.62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187,309,451.62</w:t>
            </w:r>
          </w:p>
        </w:tc>
      </w:tr>
      <w:tr>
        <w:trPr>
          <w:trHeight w:val="251"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3,190,853,630.13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3,190,853,630.13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2,932,814,951.62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2,932,814,951.62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18"/>
        <w:gridCol w:w="1501"/>
        <w:gridCol w:w="1182"/>
        <w:gridCol w:w="1001"/>
        <w:gridCol w:w="794"/>
        <w:gridCol w:w="348"/>
        <w:gridCol w:w="1502"/>
        <w:gridCol w:w="1019"/>
      </w:tblGrid>
      <w:tr>
        <w:trPr>
          <w:trHeight w:val="251" w:hRule="exact"/>
        </w:trPr>
        <w:tc>
          <w:tcPr>
            <w:tcW w:w="23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25"/>
              <w:ind w:left="625" w:right="84"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332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25"/>
              <w:ind w:left="625" w:right="85"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019"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233" w:right="5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90" w:hRule="exact"/>
        </w:trPr>
        <w:tc>
          <w:tcPr>
            <w:tcW w:w="2318" w:type="dxa"/>
            <w:vMerge/>
            <w:tcBorders>
              <w:left w:val="single" w:sz="4" w:space="0" w:color="000000"/>
              <w:bottom w:val="single" w:sz="4" w:space="0" w:color="000000"/>
              <w:right w:val="single" w:sz="4" w:space="0" w:color="000000"/>
            </w:tcBorders>
            <w:shd w:val="clear" w:color="auto" w:fill="D3D3D3"/>
          </w:tcPr>
          <w:p>
            <w:pPr/>
          </w:p>
        </w:tc>
        <w:tc>
          <w:tcPr>
            <w:tcW w:w="1501" w:type="dxa"/>
            <w:vMerge/>
            <w:tcBorders>
              <w:left w:val="single" w:sz="4" w:space="0" w:color="000000"/>
              <w:bottom w:val="single" w:sz="4" w:space="0" w:color="000000"/>
              <w:right w:val="single" w:sz="4" w:space="0" w:color="000000"/>
            </w:tcBorders>
            <w:shd w:val="clear" w:color="auto" w:fill="D3D3D3"/>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12" w:right="30"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78" w:right="78"/>
              <w:jc w:val="left"/>
              <w:rPr>
                <w:rFonts w:ascii="宋体" w:hAnsi="宋体" w:cs="宋体" w:eastAsia="宋体" w:hint="default"/>
                <w:sz w:val="18"/>
                <w:szCs w:val="18"/>
              </w:rPr>
            </w:pPr>
            <w:r>
              <w:rPr>
                <w:rFonts w:ascii="宋体" w:hAnsi="宋体" w:cs="宋体" w:eastAsia="宋体" w:hint="default"/>
                <w:sz w:val="18"/>
                <w:szCs w:val="18"/>
              </w:rPr>
              <w:t>其 他</w:t>
            </w:r>
          </w:p>
        </w:tc>
        <w:tc>
          <w:tcPr>
            <w:tcW w:w="1502" w:type="dxa"/>
            <w:vMerge/>
            <w:tcBorders>
              <w:left w:val="single" w:sz="4" w:space="0" w:color="000000"/>
              <w:bottom w:val="single" w:sz="4" w:space="0" w:color="000000"/>
              <w:right w:val="single" w:sz="4" w:space="0" w:color="000000"/>
            </w:tcBorders>
            <w:shd w:val="clear" w:color="auto" w:fill="D3D3D3"/>
          </w:tcPr>
          <w:p>
            <w:pPr/>
          </w:p>
        </w:tc>
        <w:tc>
          <w:tcPr>
            <w:tcW w:w="1019"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972,051,681.49</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972,051,681.49</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38,467,000.00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38,467,000.00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415,813,905.56</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415,813,905.56</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69,773,700.00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69,773,700.00</w:t>
            </w:r>
          </w:p>
        </w:tc>
        <w:tc>
          <w:tcPr>
            <w:tcW w:w="10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0"/>
        </w:sectPr>
      </w:pPr>
    </w:p>
    <w:p>
      <w:pPr>
        <w:spacing w:line="240" w:lineRule="auto" w:before="6"/>
        <w:rPr>
          <w:rFonts w:ascii="宋体" w:hAnsi="宋体" w:cs="宋体" w:eastAsia="宋体" w:hint="default"/>
          <w:sz w:val="24"/>
          <w:szCs w:val="24"/>
        </w:rPr>
      </w:pPr>
    </w:p>
    <w:tbl>
      <w:tblPr>
        <w:tblW w:w="0" w:type="auto"/>
        <w:jc w:val="left"/>
        <w:tblInd w:w="889" w:type="dxa"/>
        <w:tblLayout w:type="fixed"/>
        <w:tblCellMar>
          <w:top w:w="0" w:type="dxa"/>
          <w:left w:w="0" w:type="dxa"/>
          <w:bottom w:w="0" w:type="dxa"/>
          <w:right w:w="0" w:type="dxa"/>
        </w:tblCellMar>
        <w:tblLook w:val="01E0"/>
      </w:tblPr>
      <w:tblGrid>
        <w:gridCol w:w="2318"/>
        <w:gridCol w:w="1502"/>
        <w:gridCol w:w="1182"/>
        <w:gridCol w:w="1001"/>
        <w:gridCol w:w="794"/>
        <w:gridCol w:w="348"/>
        <w:gridCol w:w="1502"/>
        <w:gridCol w:w="1019"/>
      </w:tblGrid>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140,938,900.00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139,938,900.00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23,640,412.95</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23,640,412.95</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23"/>
              <w:jc w:val="left"/>
              <w:rPr>
                <w:rFonts w:ascii="宋体" w:hAnsi="宋体" w:cs="宋体" w:eastAsia="宋体" w:hint="default"/>
                <w:sz w:val="18"/>
                <w:szCs w:val="18"/>
              </w:rPr>
            </w:pPr>
            <w:r>
              <w:rPr>
                <w:rFonts w:ascii="宋体" w:hAnsi="宋体" w:cs="宋体" w:eastAsia="宋体" w:hint="default"/>
                <w:sz w:val="18"/>
                <w:szCs w:val="18"/>
              </w:rPr>
              <w:t>杭州日报报业集团盛元印务 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325,190,800.00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325,190,800.00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76,063,600.00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76,063,600.00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11,096,000.00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11,096,000.00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23"/>
              <w:jc w:val="left"/>
              <w:rPr>
                <w:rFonts w:ascii="宋体" w:hAnsi="宋体" w:cs="宋体" w:eastAsia="宋体" w:hint="default"/>
                <w:sz w:val="18"/>
                <w:szCs w:val="18"/>
              </w:rPr>
            </w:pPr>
            <w:r>
              <w:rPr>
                <w:rFonts w:ascii="宋体" w:hAnsi="宋体" w:cs="宋体" w:eastAsia="宋体" w:hint="default"/>
                <w:sz w:val="18"/>
                <w:szCs w:val="18"/>
              </w:rPr>
              <w:t>杭州华泰一媒文化传媒有限 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60,469,500.00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60,469,500.00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66,000,000.00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23"/>
              <w:jc w:val="left"/>
              <w:rPr>
                <w:rFonts w:ascii="宋体" w:hAnsi="宋体" w:cs="宋体" w:eastAsia="宋体" w:hint="default"/>
                <w:sz w:val="18"/>
                <w:szCs w:val="18"/>
              </w:rPr>
            </w:pPr>
            <w:r>
              <w:rPr>
                <w:rFonts w:ascii="宋体" w:hAnsi="宋体" w:cs="宋体" w:eastAsia="宋体" w:hint="default"/>
                <w:sz w:val="18"/>
                <w:szCs w:val="18"/>
              </w:rPr>
              <w:t>中教未来国际教育科技（北 京）有限公司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522,000,000.00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522,000,000.00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23"/>
              <w:jc w:val="left"/>
              <w:rPr>
                <w:rFonts w:ascii="宋体" w:hAnsi="宋体" w:cs="宋体" w:eastAsia="宋体" w:hint="default"/>
                <w:sz w:val="18"/>
                <w:szCs w:val="18"/>
              </w:rPr>
            </w:pPr>
            <w:r>
              <w:rPr>
                <w:rFonts w:ascii="宋体" w:hAnsi="宋体" w:cs="宋体" w:eastAsia="宋体" w:hint="default"/>
                <w:sz w:val="18"/>
                <w:szCs w:val="18"/>
              </w:rPr>
              <w:t>杭州日报报业集团每日送电 子商务有限公司</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浙江华媒教育科技有限公司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杭州钱塘传媒有限公司</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23"/>
              <w:jc w:val="left"/>
              <w:rPr>
                <w:rFonts w:ascii="宋体" w:hAnsi="宋体" w:cs="宋体" w:eastAsia="宋体" w:hint="default"/>
                <w:sz w:val="18"/>
                <w:szCs w:val="18"/>
              </w:rPr>
            </w:pPr>
            <w:r>
              <w:rPr>
                <w:rFonts w:ascii="宋体" w:hAnsi="宋体" w:cs="宋体" w:eastAsia="宋体" w:hint="default"/>
                <w:sz w:val="18"/>
                <w:szCs w:val="18"/>
              </w:rPr>
              <w:t>浙江华媒智谷商业运营管理 有限公司</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杭州华媒文化发展有限公司</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83,644,518.41</w:t>
            </w:r>
          </w:p>
        </w:tc>
        <w:tc>
          <w:tcPr>
            <w:tcW w:w="100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83,644,518.41</w:t>
            </w:r>
          </w:p>
        </w:tc>
        <w:tc>
          <w:tcPr>
            <w:tcW w:w="101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2,745,505,500.00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255,644,518.41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3,000,150,018.41</w:t>
            </w:r>
          </w:p>
        </w:tc>
        <w:tc>
          <w:tcPr>
            <w:tcW w:w="10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82" w:top="1100" w:bottom="1180" w:left="240" w:right="0"/>
        </w:sectPr>
      </w:pPr>
    </w:p>
    <w:p>
      <w:pPr>
        <w:pStyle w:val="Heading3"/>
        <w:spacing w:line="240" w:lineRule="auto" w:before="35"/>
        <w:ind w:left="894" w:right="0"/>
        <w:jc w:val="left"/>
        <w:rPr>
          <w:b w:val="0"/>
          <w:bCs w:val="0"/>
        </w:rPr>
      </w:pPr>
      <w:r>
        <w:rPr>
          <w:w w:val="95"/>
        </w:rPr>
        <w:t>（</w:t>
      </w:r>
      <w:r>
        <w:rPr>
          <w:rFonts w:ascii="Times New Roman" w:hAnsi="Times New Roman" w:cs="Times New Roman" w:eastAsia="Times New Roman" w:hint="default"/>
          <w:w w:val="95"/>
        </w:rPr>
        <w:t>2</w:t>
      </w:r>
      <w:r>
        <w:rPr>
          <w:w w:val="95"/>
        </w:rPr>
        <w:t>）对联营、合营企业投资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893" w:right="0"/>
        <w:jc w:val="left"/>
      </w:pPr>
      <w:r>
        <w:rPr/>
        <w:t>单位： 元</w:t>
      </w:r>
    </w:p>
    <w:p>
      <w:pPr>
        <w:spacing w:after="0" w:line="240" w:lineRule="auto"/>
        <w:jc w:val="left"/>
        <w:sectPr>
          <w:type w:val="continuous"/>
          <w:pgSz w:w="11910" w:h="16840"/>
          <w:pgMar w:top="1060" w:bottom="1180" w:left="240" w:right="0"/>
          <w:cols w:num="2" w:equalWidth="0">
            <w:col w:w="3528" w:space="5300"/>
            <w:col w:w="2842"/>
          </w:cols>
        </w:sectPr>
      </w:pP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13"/>
        <w:gridCol w:w="1194"/>
        <w:gridCol w:w="1092"/>
        <w:gridCol w:w="1091"/>
        <w:gridCol w:w="1076"/>
        <w:gridCol w:w="1068"/>
        <w:gridCol w:w="870"/>
        <w:gridCol w:w="886"/>
        <w:gridCol w:w="490"/>
        <w:gridCol w:w="239"/>
        <w:gridCol w:w="1182"/>
        <w:gridCol w:w="700"/>
      </w:tblGrid>
      <w:tr>
        <w:trPr>
          <w:trHeight w:val="251" w:hRule="exact"/>
        </w:trPr>
        <w:tc>
          <w:tcPr>
            <w:tcW w:w="13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exact"/>
              <w:ind w:left="294" w:right="10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81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exact"/>
              <w:ind w:left="285" w:right="10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70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74" w:right="7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29" w:hRule="exact"/>
        </w:trPr>
        <w:tc>
          <w:tcPr>
            <w:tcW w:w="1313"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82" w:right="0"/>
              <w:jc w:val="left"/>
              <w:rPr>
                <w:rFonts w:ascii="宋体" w:hAnsi="宋体" w:cs="宋体" w:eastAsia="宋体" w:hint="default"/>
                <w:sz w:val="18"/>
                <w:szCs w:val="18"/>
              </w:rPr>
            </w:pPr>
            <w:r>
              <w:rPr>
                <w:rFonts w:ascii="宋体" w:hAnsi="宋体" w:cs="宋体" w:eastAsia="宋体" w:hint="default"/>
                <w:sz w:val="18"/>
                <w:szCs w:val="18"/>
              </w:rPr>
              <w:t>权益法下确</w:t>
            </w:r>
          </w:p>
          <w:p>
            <w:pPr>
              <w:pStyle w:val="TableParagraph"/>
              <w:spacing w:line="244" w:lineRule="auto" w:before="4"/>
              <w:ind w:left="442" w:right="83" w:hanging="360"/>
              <w:jc w:val="left"/>
              <w:rPr>
                <w:rFonts w:ascii="宋体" w:hAnsi="宋体" w:cs="宋体" w:eastAsia="宋体" w:hint="default"/>
                <w:sz w:val="18"/>
                <w:szCs w:val="18"/>
              </w:rPr>
            </w:pPr>
            <w:r>
              <w:rPr>
                <w:rFonts w:ascii="宋体" w:hAnsi="宋体" w:cs="宋体" w:eastAsia="宋体" w:hint="default"/>
                <w:sz w:val="18"/>
                <w:szCs w:val="18"/>
              </w:rPr>
              <w:t>认的投资损 益</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257" w:right="78"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249" w:right="68"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6"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44" w:lineRule="auto" w:before="4"/>
              <w:ind w:left="166" w:right="77"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6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4" w:lineRule="auto" w:before="4"/>
              <w:ind w:left="60" w:right="5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2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1"/>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182" w:type="dxa"/>
            <w:vMerge/>
            <w:tcBorders>
              <w:left w:val="single" w:sz="4" w:space="0" w:color="000000"/>
              <w:bottom w:val="single" w:sz="4" w:space="0" w:color="000000"/>
              <w:right w:val="single" w:sz="4" w:space="0" w:color="000000"/>
            </w:tcBorders>
            <w:shd w:val="clear" w:color="auto" w:fill="D3D3D3"/>
          </w:tcPr>
          <w:p>
            <w:pPr/>
          </w:p>
        </w:tc>
        <w:tc>
          <w:tcPr>
            <w:tcW w:w="700"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1120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50" w:hRule="exact"/>
        </w:trPr>
        <w:tc>
          <w:tcPr>
            <w:tcW w:w="1120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90" w:hRule="exact"/>
        </w:trPr>
        <w:tc>
          <w:tcPr>
            <w:tcW w:w="1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8"/>
              <w:jc w:val="left"/>
              <w:rPr>
                <w:rFonts w:ascii="宋体" w:hAnsi="宋体" w:cs="宋体" w:eastAsia="宋体" w:hint="default"/>
                <w:sz w:val="18"/>
                <w:szCs w:val="18"/>
              </w:rPr>
            </w:pPr>
            <w:r>
              <w:rPr>
                <w:rFonts w:ascii="宋体" w:hAnsi="宋体" w:cs="宋体" w:eastAsia="宋体" w:hint="default"/>
                <w:sz w:val="18"/>
                <w:szCs w:val="18"/>
              </w:rPr>
              <w:t>杭州华媒科创园 区管理有限公司</w:t>
            </w:r>
          </w:p>
        </w:tc>
        <w:tc>
          <w:tcPr>
            <w:tcW w:w="119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3,604,261.88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-2,580,983.96</w:t>
            </w:r>
          </w:p>
        </w:tc>
        <w:tc>
          <w:tcPr>
            <w:tcW w:w="10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1,023,277.92</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8"/>
              <w:jc w:val="left"/>
              <w:rPr>
                <w:rFonts w:ascii="宋体" w:hAnsi="宋体" w:cs="宋体" w:eastAsia="宋体" w:hint="default"/>
                <w:sz w:val="18"/>
                <w:szCs w:val="18"/>
              </w:rPr>
            </w:pPr>
            <w:r>
              <w:rPr>
                <w:rFonts w:ascii="宋体" w:hAnsi="宋体" w:cs="宋体" w:eastAsia="宋体" w:hint="default"/>
                <w:sz w:val="18"/>
                <w:szCs w:val="18"/>
              </w:rPr>
              <w:t>杭州文化产权交 易所有限公司</w:t>
            </w:r>
          </w:p>
        </w:tc>
        <w:tc>
          <w:tcPr>
            <w:tcW w:w="119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21,555,454.53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-128,194.46</w:t>
            </w:r>
          </w:p>
        </w:tc>
        <w:tc>
          <w:tcPr>
            <w:tcW w:w="10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21,427,260.07</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8"/>
              <w:jc w:val="left"/>
              <w:rPr>
                <w:rFonts w:ascii="宋体" w:hAnsi="宋体" w:cs="宋体" w:eastAsia="宋体" w:hint="default"/>
                <w:sz w:val="18"/>
                <w:szCs w:val="18"/>
              </w:rPr>
            </w:pPr>
            <w:r>
              <w:rPr>
                <w:rFonts w:ascii="宋体" w:hAnsi="宋体" w:cs="宋体" w:eastAsia="宋体" w:hint="default"/>
                <w:sz w:val="18"/>
                <w:szCs w:val="18"/>
              </w:rPr>
              <w:t>杭州火鸟区块链 有限公司</w:t>
            </w:r>
          </w:p>
        </w:tc>
        <w:tc>
          <w:tcPr>
            <w:tcW w:w="119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3,506,706.32</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-100,831.03</w:t>
            </w:r>
          </w:p>
        </w:tc>
        <w:tc>
          <w:tcPr>
            <w:tcW w:w="10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3,405,875.29</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8"/>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19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78,364,973.67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16,757,999.00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-2,496,288.58</w:t>
            </w:r>
          </w:p>
        </w:tc>
        <w:tc>
          <w:tcPr>
            <w:tcW w:w="10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sz w:val="18"/>
              </w:rPr>
              <w:t>219,127.12</w:t>
            </w:r>
          </w:p>
        </w:tc>
        <w:tc>
          <w:tcPr>
            <w:tcW w:w="88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59,329,813.21</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18"/>
              <w:jc w:val="left"/>
              <w:rPr>
                <w:rFonts w:ascii="宋体" w:hAnsi="宋体" w:cs="宋体" w:eastAsia="宋体" w:hint="default"/>
                <w:sz w:val="18"/>
                <w:szCs w:val="18"/>
              </w:rPr>
            </w:pPr>
            <w:r>
              <w:rPr>
                <w:rFonts w:ascii="宋体" w:hAnsi="宋体" w:cs="宋体" w:eastAsia="宋体" w:hint="default"/>
                <w:sz w:val="18"/>
                <w:szCs w:val="18"/>
              </w:rPr>
              <w:t>杭州华媒泽商创 业投资合伙企业</w:t>
            </w:r>
          </w:p>
        </w:tc>
        <w:tc>
          <w:tcPr>
            <w:tcW w:w="119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30,770,131.13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-27,622.90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 w:right="0"/>
              <w:jc w:val="center"/>
              <w:rPr>
                <w:rFonts w:ascii="Times New Roman" w:hAnsi="Times New Roman" w:cs="Times New Roman" w:eastAsia="Times New Roman" w:hint="default"/>
                <w:sz w:val="18"/>
                <w:szCs w:val="18"/>
              </w:rPr>
            </w:pPr>
            <w:r>
              <w:rPr>
                <w:rFonts w:ascii="Times New Roman"/>
                <w:sz w:val="18"/>
              </w:rPr>
              <w:t>-4,631,596.93</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2"/>
                <w:sz w:val="18"/>
              </w:rPr>
              <w:t>26,110,911.30</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1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18"/>
              <w:jc w:val="left"/>
              <w:rPr>
                <w:rFonts w:ascii="宋体" w:hAnsi="宋体" w:cs="宋体" w:eastAsia="宋体" w:hint="default"/>
                <w:sz w:val="18"/>
                <w:szCs w:val="18"/>
              </w:rPr>
            </w:pPr>
            <w:r>
              <w:rPr>
                <w:rFonts w:ascii="宋体" w:hAnsi="宋体" w:cs="宋体" w:eastAsia="宋体" w:hint="default"/>
                <w:sz w:val="18"/>
                <w:szCs w:val="18"/>
              </w:rPr>
              <w:t>杭州杭实华媒投 资管理合伙企业</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49,507,924.09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5,517,381.55</w:t>
            </w:r>
          </w:p>
        </w:tc>
        <w:tc>
          <w:tcPr>
            <w:tcW w:w="10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618,831.71</w:t>
            </w: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79,406,473.93</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187,309,451.62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25,000,000.00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16,757,999.00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183,460.62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 w:right="0"/>
              <w:jc w:val="center"/>
              <w:rPr>
                <w:rFonts w:ascii="Times New Roman" w:hAnsi="Times New Roman" w:cs="Times New Roman" w:eastAsia="Times New Roman" w:hint="default"/>
                <w:sz w:val="18"/>
                <w:szCs w:val="18"/>
              </w:rPr>
            </w:pPr>
            <w:r>
              <w:rPr>
                <w:rFonts w:ascii="Times New Roman"/>
                <w:sz w:val="18"/>
              </w:rPr>
              <w:t>-4,631,596.93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 w:right="0"/>
              <w:jc w:val="left"/>
              <w:rPr>
                <w:rFonts w:ascii="Times New Roman" w:hAnsi="Times New Roman" w:cs="Times New Roman" w:eastAsia="Times New Roman" w:hint="default"/>
                <w:sz w:val="18"/>
                <w:szCs w:val="18"/>
              </w:rPr>
            </w:pPr>
            <w:r>
              <w:rPr>
                <w:rFonts w:ascii="Times New Roman"/>
                <w:sz w:val="18"/>
              </w:rPr>
              <w:t>219,127.12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 w:right="0"/>
              <w:jc w:val="left"/>
              <w:rPr>
                <w:rFonts w:ascii="Times New Roman" w:hAnsi="Times New Roman" w:cs="Times New Roman" w:eastAsia="Times New Roman" w:hint="default"/>
                <w:sz w:val="18"/>
                <w:szCs w:val="18"/>
              </w:rPr>
            </w:pPr>
            <w:r>
              <w:rPr>
                <w:rFonts w:ascii="Times New Roman"/>
                <w:sz w:val="18"/>
              </w:rPr>
              <w:t>618,831.71</w:t>
            </w: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190,703,611.72</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187,309,451.62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25,000,000.00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16,757,999.00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183,460.62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 w:right="0"/>
              <w:jc w:val="center"/>
              <w:rPr>
                <w:rFonts w:ascii="Times New Roman" w:hAnsi="Times New Roman" w:cs="Times New Roman" w:eastAsia="Times New Roman" w:hint="default"/>
                <w:sz w:val="18"/>
                <w:szCs w:val="18"/>
              </w:rPr>
            </w:pPr>
            <w:r>
              <w:rPr>
                <w:rFonts w:ascii="Times New Roman"/>
                <w:sz w:val="18"/>
              </w:rPr>
              <w:t>-4,631,596.93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 w:right="0"/>
              <w:jc w:val="left"/>
              <w:rPr>
                <w:rFonts w:ascii="Times New Roman" w:hAnsi="Times New Roman" w:cs="Times New Roman" w:eastAsia="Times New Roman" w:hint="default"/>
                <w:sz w:val="18"/>
                <w:szCs w:val="18"/>
              </w:rPr>
            </w:pPr>
            <w:r>
              <w:rPr>
                <w:rFonts w:ascii="Times New Roman"/>
                <w:sz w:val="18"/>
              </w:rPr>
              <w:t>219,127.12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 w:right="0"/>
              <w:jc w:val="left"/>
              <w:rPr>
                <w:rFonts w:ascii="Times New Roman" w:hAnsi="Times New Roman" w:cs="Times New Roman" w:eastAsia="Times New Roman" w:hint="default"/>
                <w:sz w:val="18"/>
                <w:szCs w:val="18"/>
              </w:rPr>
            </w:pPr>
            <w:r>
              <w:rPr>
                <w:rFonts w:ascii="Times New Roman"/>
                <w:sz w:val="18"/>
              </w:rPr>
              <w:t>618,831.71</w:t>
            </w:r>
          </w:p>
        </w:tc>
        <w:tc>
          <w:tcPr>
            <w:tcW w:w="49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190,703,611.72</w:t>
            </w:r>
          </w:p>
        </w:tc>
        <w:tc>
          <w:tcPr>
            <w:tcW w:w="7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894"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80" w:left="240" w:right="0"/>
        </w:sectPr>
      </w:pPr>
    </w:p>
    <w:p>
      <w:pPr>
        <w:pStyle w:val="Heading3"/>
        <w:spacing w:line="240" w:lineRule="auto" w:before="35"/>
        <w:ind w:left="894" w:right="0"/>
        <w:jc w:val="left"/>
        <w:rPr>
          <w:b w:val="0"/>
          <w:bCs w:val="0"/>
        </w:rPr>
      </w:pPr>
      <w:r>
        <w:rPr>
          <w:rFonts w:ascii="Times New Roman" w:hAnsi="Times New Roman" w:cs="Times New Roman" w:eastAsia="Times New Roman" w:hint="default"/>
          <w:w w:val="95"/>
        </w:rPr>
        <w:t>4</w:t>
      </w:r>
      <w:r>
        <w:rPr>
          <w:w w:val="95"/>
        </w:rPr>
        <w:t>、营业收入和营业成本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893" w:right="0"/>
        <w:jc w:val="left"/>
      </w:pPr>
      <w:r>
        <w:rPr/>
        <w:t>单位： 元</w:t>
      </w:r>
    </w:p>
    <w:p>
      <w:pPr>
        <w:spacing w:after="0" w:line="240" w:lineRule="auto"/>
        <w:jc w:val="left"/>
        <w:sectPr>
          <w:type w:val="continuous"/>
          <w:pgSz w:w="11910" w:h="16840"/>
          <w:pgMar w:top="1060" w:bottom="1180" w:left="240" w:right="0"/>
          <w:cols w:num="2" w:equalWidth="0">
            <w:col w:w="3107" w:space="5721"/>
            <w:col w:w="2842"/>
          </w:cols>
        </w:sectPr>
      </w:pPr>
    </w:p>
    <w:p>
      <w:pPr>
        <w:spacing w:line="240" w:lineRule="auto" w:before="1"/>
        <w:rPr>
          <w:rFonts w:ascii="宋体" w:hAnsi="宋体" w:cs="宋体" w:eastAsia="宋体" w:hint="default"/>
          <w:sz w:val="8"/>
          <w:szCs w:val="8"/>
        </w:rPr>
      </w:pPr>
    </w:p>
    <w:tbl>
      <w:tblPr>
        <w:tblW w:w="0" w:type="auto"/>
        <w:jc w:val="left"/>
        <w:tblInd w:w="889" w:type="dxa"/>
        <w:tblLayout w:type="fixed"/>
        <w:tblCellMar>
          <w:top w:w="0" w:type="dxa"/>
          <w:left w:w="0" w:type="dxa"/>
          <w:bottom w:w="0" w:type="dxa"/>
          <w:right w:w="0" w:type="dxa"/>
        </w:tblCellMar>
        <w:tblLook w:val="01E0"/>
      </w:tblPr>
      <w:tblGrid>
        <w:gridCol w:w="1994"/>
        <w:gridCol w:w="1837"/>
        <w:gridCol w:w="1913"/>
        <w:gridCol w:w="1913"/>
        <w:gridCol w:w="1901"/>
      </w:tblGrid>
      <w:tr>
        <w:trPr>
          <w:trHeight w:val="330"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type w:val="continuous"/>
          <w:pgSz w:w="11910" w:h="16840"/>
          <w:pgMar w:top="1060" w:bottom="1180" w:left="24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330"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4,355,278.18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3,223,202.74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3,625,943.30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6,591,533.77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2,440,916.00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2,210,674.06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10,946,811.95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5,664,118.74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5,836,617.36</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是否已执行新收入准则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183,460.62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1,816,462.63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6,234,228.47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0" w:type="dxa"/>
            <w:tcBorders>
              <w:top w:val="single" w:sz="4" w:space="0" w:color="000000"/>
              <w:left w:val="single" w:sz="9" w:space="0" w:color="C7EDCC"/>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2,166,884.71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6,417,689.09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3,983,347.34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5217"/>
        <w:gridCol w:w="2422"/>
        <w:gridCol w:w="1914"/>
      </w:tblGrid>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1,620,474.35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 w:right="1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准定额或定量享受的政府补助除外）</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34,619,011.38</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15,223,144.68</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 w:right="1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融资产、衍生金融资产、交易性金融负债、衍生金融负债产生的公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允价值变动损益，以及处置交易性金融资产、衍生金融资产、交易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性金融负债、衍生金融负债和其他债权投资取得的投资收益</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681,275.86</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16,963.20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9,350,724.70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6,391,993.15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116,410.17</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5,204,075.78</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62,583,101.37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spacing w:after="0" w:line="240" w:lineRule="auto"/>
        <w:jc w:val="left"/>
        <w:sectPr>
          <w:pgSz w:w="11910" w:h="16840"/>
          <w:pgMar w:header="0" w:footer="982" w:top="1100" w:bottom="1180" w:left="980" w:right="0"/>
        </w:sectPr>
      </w:pPr>
    </w:p>
    <w:p>
      <w:pPr>
        <w:spacing w:line="240" w:lineRule="auto" w:before="12"/>
        <w:rPr>
          <w:rFonts w:ascii="宋体" w:hAnsi="宋体" w:cs="宋体" w:eastAsia="宋体" w:hint="default"/>
          <w:sz w:val="21"/>
          <w:szCs w:val="21"/>
        </w:rPr>
      </w:pPr>
    </w:p>
    <w:p>
      <w:pPr>
        <w:pStyle w:val="BodyText"/>
        <w:spacing w:line="302" w:lineRule="auto" w:before="44"/>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41"/>
        <w:gridCol w:w="1489"/>
        <w:gridCol w:w="1913"/>
        <w:gridCol w:w="1913"/>
      </w:tblGrid>
      <w:tr>
        <w:trPr>
          <w:trHeight w:val="206" w:hRule="exact"/>
        </w:trPr>
        <w:tc>
          <w:tcPr>
            <w:tcW w:w="4241" w:type="dxa"/>
            <w:tcBorders>
              <w:top w:val="single" w:sz="4" w:space="0" w:color="000000"/>
              <w:left w:val="single" w:sz="4" w:space="0" w:color="000000"/>
              <w:bottom w:val="nil" w:sz="6" w:space="0" w:color="auto"/>
              <w:right w:val="single" w:sz="4" w:space="0" w:color="000000"/>
            </w:tcBorders>
            <w:shd w:val="clear" w:color="auto" w:fill="D3D3D3"/>
          </w:tcPr>
          <w:p>
            <w:pPr/>
          </w:p>
        </w:tc>
        <w:tc>
          <w:tcPr>
            <w:tcW w:w="148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7"/>
              <w:ind w:left="469"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424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9" w:type="dxa"/>
            <w:vMerge/>
            <w:tcBorders>
              <w:left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4241" w:type="dxa"/>
            <w:vMerge/>
            <w:tcBorders>
              <w:left w:val="single" w:sz="4" w:space="0" w:color="000000"/>
              <w:bottom w:val="nil" w:sz="6" w:space="0" w:color="auto"/>
              <w:right w:val="single" w:sz="4" w:space="0" w:color="000000"/>
            </w:tcBorders>
            <w:shd w:val="clear" w:color="auto" w:fill="D3D3D3"/>
          </w:tcPr>
          <w:p>
            <w:pPr/>
          </w:p>
        </w:tc>
        <w:tc>
          <w:tcPr>
            <w:tcW w:w="1489" w:type="dxa"/>
            <w:vMerge/>
            <w:tcBorders>
              <w:left w:val="single" w:sz="4" w:space="0" w:color="000000"/>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4241" w:type="dxa"/>
            <w:tcBorders>
              <w:top w:val="nil" w:sz="6" w:space="0" w:color="auto"/>
              <w:left w:val="single" w:sz="4" w:space="0" w:color="000000"/>
              <w:bottom w:val="single" w:sz="4" w:space="0" w:color="000000"/>
              <w:right w:val="single" w:sz="4" w:space="0" w:color="000000"/>
            </w:tcBorders>
            <w:shd w:val="clear" w:color="auto" w:fill="D3D3D3"/>
          </w:tcPr>
          <w:p>
            <w:pPr/>
          </w:p>
        </w:tc>
        <w:tc>
          <w:tcPr>
            <w:tcW w:w="1489"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9" w:type="dxa"/>
            <w:tcBorders>
              <w:top w:val="single" w:sz="22" w:space="0" w:color="D3D3D3"/>
              <w:left w:val="single" w:sz="13" w:space="0" w:color="D3D3D3"/>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4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982" w:top="1100" w:bottom="118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3"/>
      <w:r>
        <w:rPr/>
        <w:t>第十三节</w:t>
      </w:r>
      <w:r>
        <w:rPr>
          <w:spacing w:val="-9"/>
        </w:rPr>
        <w:t> </w:t>
      </w:r>
      <w:r>
        <w:rPr/>
        <w:t>备查文件目录</w:t>
      </w:r>
      <w:bookmarkEnd w:id="13"/>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、经公司法定代表人、主管会计工作的负责人、会计机构负责人签字并盖章的财务报表；</w:t>
      </w:r>
    </w:p>
    <w:p>
      <w:pPr>
        <w:pStyle w:val="BodyText"/>
        <w:spacing w:line="240" w:lineRule="auto" w:before="63"/>
        <w:ind w:left="153" w:right="0"/>
        <w:jc w:val="left"/>
      </w:pPr>
      <w:r>
        <w:rPr>
          <w:rFonts w:ascii="Times New Roman" w:hAnsi="Times New Roman" w:cs="Times New Roman" w:eastAsia="Times New Roman" w:hint="default"/>
        </w:rPr>
        <w:t>2</w:t>
      </w:r>
      <w:r>
        <w:rPr/>
        <w:t>、经中汇会计师事务所（特殊普通合伙）盖章、注册会计师签名并盖章的审计报告原件。</w:t>
      </w:r>
    </w:p>
    <w:p>
      <w:pPr>
        <w:pStyle w:val="BodyText"/>
        <w:spacing w:line="240" w:lineRule="auto" w:before="63"/>
        <w:ind w:left="153" w:right="0"/>
        <w:jc w:val="left"/>
      </w:pPr>
      <w:r>
        <w:rPr>
          <w:rFonts w:ascii="Times New Roman" w:hAnsi="Times New Roman" w:cs="Times New Roman" w:eastAsia="Times New Roman" w:hint="default"/>
        </w:rPr>
        <w:t>3</w:t>
      </w:r>
      <w:r>
        <w:rPr/>
        <w:t>、报告期内在巨潮资讯网上公开披露过的所有公司文件的正本及公告的原稿。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line="571" w:lineRule="auto" w:before="38"/>
        <w:ind w:left="7472" w:right="1112" w:hanging="80"/>
        <w:jc w:val="left"/>
        <w:rPr>
          <w:rFonts w:ascii="宋体" w:hAnsi="宋体" w:cs="宋体" w:eastAsia="宋体" w:hint="default"/>
          <w:sz w:val="20"/>
          <w:szCs w:val="20"/>
        </w:rPr>
      </w:pPr>
      <w:r>
        <w:rPr>
          <w:rFonts w:ascii="宋体" w:hAnsi="宋体" w:cs="宋体" w:eastAsia="宋体" w:hint="default"/>
          <w:sz w:val="20"/>
          <w:szCs w:val="20"/>
        </w:rPr>
        <w:t>浙江华媒控股股份有限公司</w:t>
      </w:r>
      <w:r>
        <w:rPr>
          <w:rFonts w:ascii="宋体" w:hAnsi="宋体" w:cs="宋体" w:eastAsia="宋体" w:hint="default"/>
          <w:w w:val="100"/>
          <w:sz w:val="20"/>
          <w:szCs w:val="20"/>
        </w:rPr>
        <w:t> </w:t>
      </w:r>
      <w:r>
        <w:rPr>
          <w:rFonts w:ascii="宋体" w:hAnsi="宋体" w:cs="宋体" w:eastAsia="宋体" w:hint="default"/>
          <w:sz w:val="20"/>
          <w:szCs w:val="20"/>
        </w:rPr>
        <w:t>法定代表人：董悦</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2020</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27</w:t>
      </w:r>
      <w:r>
        <w:rPr>
          <w:rFonts w:ascii="宋体" w:hAnsi="宋体" w:cs="宋体" w:eastAsia="宋体" w:hint="default"/>
          <w:sz w:val="20"/>
          <w:szCs w:val="20"/>
        </w:rPr>
        <w:t>日</w:t>
      </w:r>
    </w:p>
    <w:sectPr>
      <w:pgSz w:w="11910" w:h="16840"/>
      <w:pgMar w:header="0" w:footer="982" w:top="110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8040" type="#_x0000_t75" stroked="false">
          <v:imagedata r:id="rId1" o:title=""/>
        </v:shape>
      </w:pict>
    </w:r>
    <w:r>
      <w:rPr/>
      <w:pict>
        <v:shape style="position:absolute;margin-left:533.119873pt;margin-top:795.457642pt;width:6.5pt;height:11pt;mso-position-horizontal-relative:page;mso-position-vertical-relative:page;z-index:-12480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560" type="#_x0000_t75" stroked="false">
          <v:imagedata r:id="rId1" o:title=""/>
        </v:shape>
      </w:pict>
    </w:r>
    <w:r>
      <w:rPr/>
      <w:pict>
        <v:shape style="position:absolute;margin-left:527.619873pt;margin-top:781.897522pt;width:13pt;height:11pt;mso-position-horizontal-relative:page;mso-position-vertical-relative:page;z-index:-1247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512" type="#_x0000_t75" stroked="false">
          <v:imagedata r:id="rId1" o:title=""/>
        </v:shape>
      </w:pict>
    </w:r>
    <w:r>
      <w:rPr/>
      <w:pict>
        <v:shape style="position:absolute;margin-left:524.119873pt;margin-top:781.897522pt;width:15.5pt;height:11pt;mso-position-horizontal-relative:page;mso-position-vertical-relative:page;z-index:-1247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464" type="#_x0000_t75" stroked="false">
          <v:imagedata r:id="rId1" o:title=""/>
        </v:shape>
      </w:pict>
    </w:r>
    <w:r>
      <w:rPr/>
      <w:pict>
        <v:shape style="position:absolute;margin-left:523.119873pt;margin-top:781.897522pt;width:17.5pt;height:11pt;mso-position-horizontal-relative:page;mso-position-vertical-relative:page;z-index:-1247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247392" type="#_x0000_t75" stroked="false">
          <v:imagedata r:id="rId1" o:title=""/>
        </v:shape>
      </w:pict>
    </w:r>
    <w:r>
      <w:rPr/>
      <w:pict>
        <v:shape style="position:absolute;margin-left:754.410522pt;margin-top:535.297913pt;width:17.5pt;height:11pt;mso-position-horizontal-relative:page;mso-position-vertical-relative:page;z-index:-1247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296" type="#_x0000_t75" stroked="false">
          <v:imagedata r:id="rId1" o:title=""/>
        </v:shape>
      </w:pict>
    </w:r>
    <w:r>
      <w:rPr/>
      <w:pict>
        <v:shape style="position:absolute;margin-left:523.119873pt;margin-top:781.897522pt;width:17.5pt;height:11pt;mso-position-horizontal-relative:page;mso-position-vertical-relative:page;z-index:-1247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200" type="#_x0000_t75" stroked="false">
          <v:imagedata r:id="rId1" o:title=""/>
        </v:shape>
      </w:pict>
    </w:r>
    <w:r>
      <w:rPr/>
      <w:pict>
        <v:shape style="position:absolute;margin-left:523.119873pt;margin-top:781.897522pt;width:17.5pt;height:11pt;mso-position-horizontal-relative:page;mso-position-vertical-relative:page;z-index:-1247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992" type="#_x0000_t75" stroked="false">
          <v:imagedata r:id="rId1" o:title=""/>
        </v:shape>
      </w:pict>
    </w:r>
    <w:r>
      <w:rPr/>
      <w:pict>
        <v:shape style="position:absolute;margin-left:527.619873pt;margin-top:781.897522pt;width:13pt;height:11pt;mso-position-horizontal-relative:page;mso-position-vertical-relative:page;z-index:-1247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821.797607pt;width:6.5pt;height:11pt;mso-position-horizontal-relative:page;mso-position-vertical-relative:page;z-index:-12479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920" type="#_x0000_t75" stroked="false">
          <v:imagedata r:id="rId1" o:title=""/>
        </v:shape>
      </w:pict>
    </w:r>
    <w:r>
      <w:rPr/>
      <w:pict>
        <v:shape style="position:absolute;margin-left:527.619873pt;margin-top:781.897522pt;width:13pt;height:11pt;mso-position-horizontal-relative:page;mso-position-vertical-relative:page;z-index:-1247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872" type="#_x0000_t75" stroked="false">
          <v:imagedata r:id="rId1" o:title=""/>
        </v:shape>
      </w:pict>
    </w:r>
    <w:r>
      <w:rPr/>
      <w:pict>
        <v:shape style="position:absolute;margin-left:528.619873pt;margin-top:807.637634pt;width:6.5pt;height:11pt;mso-position-horizontal-relative:page;mso-position-vertical-relative:page;z-index:-12478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47824" type="#_x0000_t75" stroked="false">
          <v:imagedata r:id="rId1" o:title=""/>
        </v:shape>
      </w:pict>
    </w:r>
    <w:r>
      <w:rPr/>
      <w:pict>
        <v:shape style="position:absolute;margin-left:527.619873pt;margin-top:781.897522pt;width:13pt;height:11pt;mso-position-horizontal-relative:page;mso-position-vertical-relative:page;z-index:-1247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247776" type="#_x0000_t75" stroked="false">
          <v:imagedata r:id="rId1" o:title=""/>
        </v:shape>
      </w:pict>
    </w:r>
    <w:r>
      <w:rPr/>
      <w:pict>
        <v:shape style="position:absolute;margin-left:759.910522pt;margin-top:566.497925pt;width:11pt;height:11pt;mso-position-horizontal-relative:page;mso-position-vertical-relative:page;z-index:-12477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247704" type="#_x0000_t75" stroked="false">
          <v:imagedata r:id="rId1" o:title=""/>
        </v:shape>
      </w:pict>
    </w:r>
    <w:r>
      <w:rPr/>
      <w:pict>
        <v:shape style="position:absolute;margin-left:759.910522pt;margin-top:580.657959pt;width:11pt;height:11pt;mso-position-horizontal-relative:page;mso-position-vertical-relative:page;z-index:-1247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40295pt;margin-top:570.334656pt;width:42.060646pt;height:18.943344pt;mso-position-horizontal-relative:page;mso-position-vertical-relative:page;z-index:-1247656" type="#_x0000_t75" stroked="false">
          <v:imagedata r:id="rId1" o:title=""/>
        </v:shape>
      </w:pict>
    </w:r>
    <w:r>
      <w:rPr/>
      <w:pict>
        <v:shape style="position:absolute;margin-left:758.910522pt;margin-top:535.297913pt;width:13pt;height:11pt;mso-position-horizontal-relative:page;mso-position-vertical-relative:page;z-index:-1247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24806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247728"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4760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4758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247416"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4734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47320"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472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4722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2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19"/>
      <w:ind w:left="576"/>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000607.cn/" TargetMode="External"/><Relationship Id="rId10" Type="http://schemas.openxmlformats.org/officeDocument/2006/relationships/hyperlink" Target="mailto:ir000607@000607.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3.xml"/><Relationship Id="rId24" Type="http://schemas.openxmlformats.org/officeDocument/2006/relationships/image" Target="media/image1.jpeg"/><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header" Target="header2.xml"/><Relationship Id="rId29" Type="http://schemas.openxmlformats.org/officeDocument/2006/relationships/footer" Target="footer7.xml"/><Relationship Id="rId30" Type="http://schemas.openxmlformats.org/officeDocument/2006/relationships/header" Target="header3.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4.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5.xml"/><Relationship Id="rId38" Type="http://schemas.openxmlformats.org/officeDocument/2006/relationships/footer" Target="footer13.xml"/><Relationship Id="rId39" Type="http://schemas.openxmlformats.org/officeDocument/2006/relationships/header" Target="header6.xml"/><Relationship Id="rId40" Type="http://schemas.openxmlformats.org/officeDocument/2006/relationships/footer" Target="footer14.xml"/><Relationship Id="rId41" Type="http://schemas.openxmlformats.org/officeDocument/2006/relationships/image" Target="media/image14.png"/><Relationship Id="rId42" Type="http://schemas.openxmlformats.org/officeDocument/2006/relationships/header" Target="header7.xml"/><Relationship Id="rId43" Type="http://schemas.openxmlformats.org/officeDocument/2006/relationships/footer" Target="footer15.xml"/><Relationship Id="rId44" Type="http://schemas.openxmlformats.org/officeDocument/2006/relationships/header" Target="header8.xml"/><Relationship Id="rId45" Type="http://schemas.openxmlformats.org/officeDocument/2006/relationships/footer" Target="footer16.xml"/><Relationship Id="rId46" Type="http://schemas.openxmlformats.org/officeDocument/2006/relationships/header" Target="header9.xml"/><Relationship Id="rId47" Type="http://schemas.openxmlformats.org/officeDocument/2006/relationships/footer" Target="footer17.xml"/><Relationship Id="rId48"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hmzjj</dc:creator>
  <dc:title>Microsoft Word - 2020-009  2019年年度报告全文0427.doc</dc:title>
  <dcterms:created xsi:type="dcterms:W3CDTF">2020-05-19T08:01:55Z</dcterms:created>
  <dcterms:modified xsi:type="dcterms:W3CDTF">2020-05-19T08:01:55Z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PScript5.dll Version 5.2.2</vt:lpwstr>
  </property>
  <property fmtid="{D5CDD505-2E9C-101B-9397-08002B2CF9AE}" pid="4" name="LastSaved">
    <vt:filetime>2020-05-19T00:00:00Z</vt:filetime>
  </property>
</Properties>
</file>