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700" w:lineRule="exact"/>
        <w:ind w:left="368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3"/>
          <w:sz w:val="20"/>
          <w:szCs w:val="20"/>
        </w:rPr>
        <w:drawing>
          <wp:inline distT="0" distB="0" distL="0" distR="0">
            <wp:extent cx="1636048" cy="17145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36048" cy="1714500"/>
                    </a:xfrm>
                    <a:prstGeom prst="rect">
                      <a:avLst/>
                    </a:prstGeom>
                  </pic:spPr>
                </pic:pic>
              </a:graphicData>
            </a:graphic>
          </wp:inline>
        </w:drawing>
      </w:r>
      <w:r>
        <w:rPr>
          <w:rFonts w:ascii="Times New Roman" w:hAnsi="Times New Roman" w:cs="Times New Roman" w:eastAsia="Times New Roman" w:hint="default"/>
          <w:position w:val="-53"/>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135" w:right="134" w:firstLine="0"/>
        <w:jc w:val="center"/>
        <w:rPr>
          <w:rFonts w:ascii="宋体" w:hAnsi="宋体" w:cs="宋体" w:eastAsia="宋体" w:hint="default"/>
          <w:sz w:val="36"/>
          <w:szCs w:val="36"/>
        </w:rPr>
      </w:pPr>
      <w:r>
        <w:rPr>
          <w:rFonts w:ascii="宋体" w:hAnsi="宋体" w:cs="宋体" w:eastAsia="宋体" w:hint="default"/>
          <w:b/>
          <w:bCs/>
          <w:sz w:val="36"/>
          <w:szCs w:val="36"/>
        </w:rPr>
        <w:t>智度投资股份有限公司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5" w:right="13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135" w:right="13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2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本公司董事会、监事会及董事、监事、高级管理人员保证年度报告内容的</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4" w:right="2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公司负责人赵立仁、主管会计工作负责人刘韡及会计机构负责人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宋婷婷声明：保证年度报告中财务报告的真实、准确、完整。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公司可能面对的风险</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国内经济增速放缓，市场需求疲软，订单下降的风险；</w:t>
      </w:r>
      <w:r>
        <w:rPr>
          <w:rFonts w:ascii="宋体" w:hAnsi="宋体" w:cs="宋体" w:eastAsia="宋体" w:hint="default"/>
          <w:sz w:val="28"/>
          <w:szCs w:val="28"/>
        </w:rPr>
      </w:r>
    </w:p>
    <w:p>
      <w:pPr>
        <w:spacing w:line="303" w:lineRule="exact" w:before="0"/>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公司并购重组本身及其相关的风险。</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2" w:header="747" w:top="1060" w:bottom="1180" w:left="980" w:right="8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35" w:right="13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rPr>
              <w:tab/>
              <w:t>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9">
            <w:r>
              <w:rPr/>
              <w:t>第二节 公司简介和主要财务指标</w:t>
            </w:r>
            <w:r>
              <w:rPr>
                <w:rFonts w:ascii="Times New Roman" w:hAnsi="Times New Roman" w:cs="Times New Roman" w:eastAsia="Times New Roman" w:hint="default"/>
              </w:rPr>
              <w:tab/>
              <w:t>5</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8">
            <w:r>
              <w:rPr/>
              <w:t>第三节 公司业务概要</w:t>
            </w:r>
            <w:r>
              <w:rPr>
                <w:rFonts w:ascii="Times New Roman" w:hAnsi="Times New Roman" w:cs="Times New Roman" w:eastAsia="Times New Roman" w:hint="default"/>
              </w:rPr>
              <w:tab/>
              <w:t>9</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7">
            <w:r>
              <w:rPr/>
              <w:t>第四节 管理层讨论与分析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4"/>
              </w:rPr>
              <w:t>11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6">
            <w:r>
              <w:rPr/>
              <w:t>第五节 重要事项</w:t>
            </w:r>
            <w:r>
              <w:rPr>
                <w:rFonts w:ascii="Times New Roman" w:hAnsi="Times New Roman" w:cs="Times New Roman" w:eastAsia="Times New Roman" w:hint="default"/>
              </w:rPr>
              <w:tab/>
              <w:t>25</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5">
            <w:r>
              <w:rPr/>
              <w:t>第六节 股份变动及股东情况</w:t>
            </w:r>
            <w:r>
              <w:rPr>
                <w:rFonts w:ascii="Times New Roman" w:hAnsi="Times New Roman" w:cs="Times New Roman" w:eastAsia="Times New Roman" w:hint="default"/>
              </w:rPr>
              <w:tab/>
              <w:t>36</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4">
            <w:r>
              <w:rPr/>
              <w:t>第七节 优先股相关情况</w:t>
            </w:r>
            <w:r>
              <w:rPr>
                <w:rFonts w:ascii="Times New Roman" w:hAnsi="Times New Roman" w:cs="Times New Roman" w:eastAsia="Times New Roman" w:hint="default"/>
              </w:rPr>
              <w:tab/>
              <w:t>41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3">
            <w:r>
              <w:rPr/>
              <w:t>第八节 董事、监事、高级管理人员和员工情况</w:t>
            </w:r>
            <w:r>
              <w:rPr>
                <w:rFonts w:ascii="Times New Roman" w:hAnsi="Times New Roman" w:cs="Times New Roman" w:eastAsia="Times New Roman" w:hint="default"/>
              </w:rPr>
              <w:tab/>
              <w:t>42</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2">
            <w:r>
              <w:rPr/>
              <w:t>第九节 公司治理</w:t>
            </w:r>
            <w:r>
              <w:rPr>
                <w:rFonts w:ascii="Times New Roman" w:hAnsi="Times New Roman" w:cs="Times New Roman" w:eastAsia="Times New Roman" w:hint="default"/>
              </w:rPr>
              <w:tab/>
              <w:t>47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1">
            <w:r>
              <w:rPr/>
              <w:t>第十节 财务报告</w:t>
            </w:r>
            <w:r>
              <w:rPr>
                <w:rFonts w:ascii="Times New Roman" w:hAnsi="Times New Roman" w:cs="Times New Roman" w:eastAsia="Times New Roman" w:hint="default"/>
              </w:rPr>
              <w:tab/>
              <w:t>53</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0">
            <w:r>
              <w:rPr/>
              <w:t>第十一节 备查文件目录</w:t>
            </w:r>
            <w:r>
              <w:rPr>
                <w:rFonts w:ascii="Times New Roman" w:hAnsi="Times New Roman" w:cs="Times New Roman" w:eastAsia="Times New Roman" w:hint="default"/>
              </w:rPr>
              <w:tab/>
              <w:t>163</w:t>
            </w:r>
          </w:hyperlink>
        </w:p>
        <w:p>
          <w:pPr/>
          <w:r>
            <w:fldChar w:fldCharType="end"/>
          </w:r>
        </w:p>
      </w:sdtContent>
    </w:sdt>
    <w:p>
      <w:pPr>
        <w:spacing w:after="0"/>
        <w:sectPr>
          <w:pgSz w:w="11910" w:h="16840"/>
          <w:pgMar w:header="747" w:footer="982" w:top="1060" w:bottom="1180" w:left="980" w:right="980"/>
        </w:sectPr>
      </w:pPr>
    </w:p>
    <w:p>
      <w:pPr>
        <w:spacing w:before="946"/>
        <w:ind w:left="135" w:right="13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524"/>
        <w:gridCol w:w="622"/>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智度投资股份有限公司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思达高科</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河南正弘置业有限公司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正弘置业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北京智度德普股权投资中心（有限合伙）</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智度德普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上海英迈吉东影图像设备有限公司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上海英迈吉</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深圳市思达仪表有限公司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思达仪表</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河南思达软件工程有限公司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思达软件</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北京智度徳正投资有限公司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智度徳正</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西藏智度投资有限公司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西藏智度</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巨潮网</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139.740005pt;margin-top:272.760010pt;width:396.85pt;height:19.6pt;mso-position-horizontal-relative:page;mso-position-vertical-relative:page;z-index:-838048" type="#_x0000_t202" filled="false" stroked="false">
            <v:textbox inset="0,0,0,0">
              <w:txbxContent>
                <w:p>
                  <w:pPr>
                    <w:pStyle w:val="BodyText"/>
                    <w:spacing w:line="240" w:lineRule="auto" w:before="51"/>
                    <w:ind w:left="0" w:right="0"/>
                    <w:jc w:val="left"/>
                  </w:pPr>
                  <w:r>
                    <w:rPr/>
                    <w:t>（如有）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9"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2285"/>
        <w:gridCol w:w="2953"/>
        <w:gridCol w:w="2155"/>
        <w:gridCol w:w="2177"/>
      </w:tblGrid>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智度投资</w:t>
            </w:r>
          </w:p>
        </w:tc>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000676</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智度投资股份有限公司</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智度投资</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Genimous Investment</w:t>
            </w:r>
            <w:r>
              <w:rPr>
                <w:rFonts w:ascii="Times New Roman"/>
                <w:spacing w:val="4"/>
                <w:sz w:val="18"/>
              </w:rPr>
              <w:t> </w:t>
            </w:r>
            <w:r>
              <w:rPr>
                <w:rFonts w:ascii="Times New Roman"/>
                <w:spacing w:val="-3"/>
                <w:sz w:val="18"/>
              </w:rPr>
              <w:t>CO.,LTD</w:t>
            </w:r>
          </w:p>
        </w:tc>
      </w:tr>
      <w:tr>
        <w:trPr>
          <w:trHeight w:val="402" w:hRule="exact"/>
        </w:trPr>
        <w:tc>
          <w:tcPr>
            <w:tcW w:w="2285"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Genimous</w:t>
            </w:r>
            <w:r>
              <w:rPr>
                <w:rFonts w:ascii="Times New Roman"/>
                <w:spacing w:val="-6"/>
                <w:sz w:val="18"/>
              </w:rPr>
              <w:t> </w:t>
            </w:r>
            <w:r>
              <w:rPr>
                <w:rFonts w:ascii="Times New Roman"/>
                <w:sz w:val="18"/>
              </w:rPr>
              <w:t>Investment</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赵立仁</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中国河南郑州高新技术产业开发区玉兰街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450001</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中国河南省郑州市郑东新区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CBD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商务外环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号景峰国际</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450046</w:t>
            </w: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9">
              <w:r>
                <w:rPr>
                  <w:rFonts w:ascii="Times New Roman"/>
                  <w:sz w:val="18"/>
                </w:rPr>
                <w:t>http://www.hnstar.com/</w:t>
              </w:r>
            </w:hyperlink>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zdtz@genimous.com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王科芳</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薛俊霞</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河南省郑州市郑东新区 </w:t>
            </w:r>
            <w:r>
              <w:rPr>
                <w:rFonts w:ascii="Times New Roman" w:hAnsi="Times New Roman" w:cs="Times New Roman" w:eastAsia="Times New Roman" w:hint="default"/>
                <w:sz w:val="18"/>
                <w:szCs w:val="18"/>
              </w:rPr>
              <w:t>CBD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商务外环</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号景峰国际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河南省郑州市郑东新区 </w:t>
            </w:r>
            <w:r>
              <w:rPr>
                <w:rFonts w:ascii="Times New Roman" w:hAnsi="Times New Roman" w:cs="Times New Roman" w:eastAsia="Times New Roman" w:hint="default"/>
                <w:sz w:val="18"/>
                <w:szCs w:val="18"/>
              </w:rPr>
              <w:t>CBD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商务外环</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号景峰国际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1"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0371-55139520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0371-55139520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0371-55139521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0371-55139521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zdtz@genimous.com</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xjx9656@163.com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2">
              <w:r>
                <w:rPr>
                  <w:rFonts w:ascii="Times New Roman" w:hAnsi="Times New Roman" w:cs="Times New Roman" w:eastAsia="Times New Roman" w:hint="default"/>
                  <w:sz w:val="18"/>
                  <w:szCs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河南省郑州市郑东新区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CBD</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商务外环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号景峰国际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层</w:t>
            </w:r>
            <w:r>
              <w:rPr>
                <w:rFonts w:ascii="宋体" w:hAnsi="宋体" w:cs="宋体" w:eastAsia="宋体" w:hint="default"/>
                <w:spacing w:val="-4"/>
                <w:sz w:val="18"/>
                <w:szCs w:val="18"/>
              </w:rPr>
              <w:t> </w:t>
            </w: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BodyText"/>
        <w:spacing w:line="240" w:lineRule="auto"/>
        <w:ind w:left="0" w:right="122"/>
        <w:jc w:val="right"/>
      </w:pPr>
      <w:r>
        <w:rPr/>
        <w:pict>
          <v:shape style="position:absolute;margin-left:58.200001pt;margin-top:-214.848038pt;width:479.2pt;height:24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17000038-8</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公司上市以来主营业务未发生变化。</w:t>
                        </w:r>
                      </w:p>
                    </w:tc>
                  </w:tr>
                  <w:tr>
                    <w:trPr>
                      <w:trHeight w:val="383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年，公司控股股东为河南思达科技发展股份有限公司；</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307" w:lineRule="auto" w:before="63"/>
                          <w:ind w:left="23"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日，思达发展与正弘置业签订股权转让协议，将其持有的本公司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9200</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万股 股份转让给正弘置业，占公司总股本的比例为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29.24%</w:t>
                        </w: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日，该 股权转让事项在中国证券登记结算有限公司深圳分公司完成了交割和登记变更。 此次交易完成后，正弘置业成为公司的控股股东；</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日，公司第一</w:t>
                        </w:r>
                        <w:r>
                          <w:rPr>
                            <w:rFonts w:ascii="宋体" w:hAnsi="宋体" w:cs="宋体" w:eastAsia="宋体" w:hint="default"/>
                            <w:sz w:val="18"/>
                            <w:szCs w:val="18"/>
                          </w:rPr>
                          <w:t> 大股东正弘置业与智度德普签订股权转让协议，正弘置业将其持有的本公司股权 </w:t>
                        </w:r>
                        <w:r>
                          <w:rPr>
                            <w:rFonts w:ascii="Times New Roman" w:hAnsi="Times New Roman" w:cs="Times New Roman" w:eastAsia="Times New Roman" w:hint="default"/>
                            <w:sz w:val="18"/>
                            <w:szCs w:val="18"/>
                          </w:rPr>
                          <w:t>63,000,000 </w:t>
                        </w:r>
                        <w:r>
                          <w:rPr>
                            <w:rFonts w:ascii="宋体" w:hAnsi="宋体" w:cs="宋体" w:eastAsia="宋体" w:hint="default"/>
                            <w:sz w:val="18"/>
                            <w:szCs w:val="18"/>
                          </w:rPr>
                          <w:t>股转让给智度德普，占本公司总股本的比例为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20.03%</w:t>
                        </w:r>
                        <w:r>
                          <w:rPr>
                            <w:rFonts w:ascii="宋体" w:hAnsi="宋体" w:cs="宋体" w:eastAsia="宋体" w:hint="default"/>
                            <w:sz w:val="18"/>
                            <w:szCs w:val="18"/>
                          </w:rPr>
                          <w:t>，转让总价款为</w:t>
                        </w:r>
                      </w:p>
                      <w:p>
                        <w:pPr>
                          <w:pStyle w:val="TableParagraph"/>
                          <w:spacing w:line="240" w:lineRule="auto" w:before="7"/>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Times New Roman" w:hAnsi="Times New Roman" w:cs="Times New Roman" w:eastAsia="Times New Roman" w:hint="default"/>
                            <w:sz w:val="18"/>
                            <w:szCs w:val="18"/>
                          </w:rPr>
                          <w:t>(</w:t>
                        </w: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日公司披露的《河南思达高科技股份有限公司详</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式权益变动报告书》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日，公司收到交易双方的通知，上述所转</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让的股权已于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日在中国证券登记结算有限公司深圳分公司完成了</w:t>
                        </w:r>
                      </w:p>
                      <w:p>
                        <w:pPr>
                          <w:pStyle w:val="TableParagraph"/>
                          <w:spacing w:line="302" w:lineRule="auto" w:before="63"/>
                          <w:ind w:left="23" w:right="110"/>
                          <w:jc w:val="both"/>
                          <w:rPr>
                            <w:rFonts w:ascii="宋体" w:hAnsi="宋体" w:cs="宋体" w:eastAsia="宋体" w:hint="default"/>
                            <w:sz w:val="18"/>
                            <w:szCs w:val="18"/>
                          </w:rPr>
                        </w:pPr>
                        <w:r>
                          <w:rPr>
                            <w:rFonts w:ascii="宋体" w:hAnsi="宋体" w:cs="宋体" w:eastAsia="宋体" w:hint="default"/>
                            <w:spacing w:val="-3"/>
                            <w:sz w:val="18"/>
                            <w:szCs w:val="18"/>
                          </w:rPr>
                          <w:t>交割和登记变更。本次股权转让完成后，智度德普持有本公司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63,000,000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股股份 占本公司总股本的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20.03%</w:t>
                        </w:r>
                        <w:r>
                          <w:rPr>
                            <w:rFonts w:ascii="宋体" w:hAnsi="宋体" w:cs="宋体" w:eastAsia="宋体" w:hint="default"/>
                            <w:sz w:val="18"/>
                            <w:szCs w:val="18"/>
                          </w:rPr>
                          <w:t>，成为公司第一大股东。</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北京市西直门外大街</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号中糖大厦</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tabs>
                <w:tab w:pos="923" w:val="left" w:leader="none"/>
              </w:tabs>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张宏敏</w:t>
              <w:tab/>
              <w:t>陈铮</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2622"/>
        <w:gridCol w:w="1738"/>
        <w:gridCol w:w="1736"/>
        <w:gridCol w:w="1738"/>
        <w:gridCol w:w="1736"/>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317,583,186.73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373,075,635.01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4" w:right="0"/>
              <w:jc w:val="left"/>
              <w:rPr>
                <w:rFonts w:ascii="Times New Roman" w:hAnsi="Times New Roman" w:cs="Times New Roman" w:eastAsia="Times New Roman" w:hint="default"/>
                <w:sz w:val="18"/>
                <w:szCs w:val="18"/>
              </w:rPr>
            </w:pPr>
            <w:r>
              <w:rPr>
                <w:rFonts w:ascii="Times New Roman"/>
                <w:sz w:val="18"/>
              </w:rPr>
              <w:t>440,411,341.70</w:t>
            </w:r>
          </w:p>
        </w:tc>
      </w:tr>
      <w:tr>
        <w:trPr>
          <w:trHeight w:val="714"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3,503,549.39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-68,589,798.29</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21,043,027.87</w:t>
            </w:r>
          </w:p>
        </w:tc>
      </w:tr>
      <w:tr>
        <w:trPr>
          <w:trHeight w:val="714"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-39,751,864.10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-73,533,114.23</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-13,637,077.61</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31,336,390.35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69,812,435.47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-55.11%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8" w:right="0"/>
              <w:jc w:val="left"/>
              <w:rPr>
                <w:rFonts w:ascii="Times New Roman" w:hAnsi="Times New Roman" w:cs="Times New Roman" w:eastAsia="Times New Roman" w:hint="default"/>
                <w:sz w:val="18"/>
                <w:szCs w:val="18"/>
              </w:rPr>
            </w:pPr>
            <w:r>
              <w:rPr>
                <w:rFonts w:ascii="Times New Roman"/>
                <w:sz w:val="18"/>
              </w:rPr>
              <w:t>28,521,153.23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2622"/>
        <w:gridCol w:w="1738"/>
        <w:gridCol w:w="1736"/>
        <w:gridCol w:w="1738"/>
        <w:gridCol w:w="1736"/>
      </w:tblGrid>
      <w:tr>
        <w:trPr>
          <w:trHeight w:val="362"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0.0111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-0.2180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0.0669</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0.0111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-0.2180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0.0669</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-38.91%</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312,566,465.79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628,927,180.13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722,354,329.16</w:t>
            </w:r>
          </w:p>
        </w:tc>
      </w:tr>
      <w:tr>
        <w:trPr>
          <w:trHeight w:val="714"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144,613,481.97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141,981,108.65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210,570,906.94</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622"/>
        <w:gridCol w:w="1740"/>
        <w:gridCol w:w="1739"/>
        <w:gridCol w:w="1739"/>
        <w:gridCol w:w="1730"/>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93,680,623.13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72,024,626.39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81,633,648.54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70,244,288.67</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-5,105,342.72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-15,893,407.67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3,887,633.91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20,614,665.87</w:t>
            </w:r>
          </w:p>
        </w:tc>
      </w:tr>
      <w:tr>
        <w:trPr>
          <w:trHeight w:val="714"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-3,764,389.44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-17,141,066.19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4,045,723.25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-22,892,131.72</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40,899,656.19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-4,126,336.84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67,501,281.25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-72,938,210.25</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95" w:type="dxa"/>
        <w:tblLayout w:type="fixed"/>
        <w:tblCellMar>
          <w:top w:w="0" w:type="dxa"/>
          <w:left w:w="0" w:type="dxa"/>
          <w:bottom w:w="0" w:type="dxa"/>
          <w:right w:w="0" w:type="dxa"/>
        </w:tblCellMar>
        <w:tblLook w:val="01E0"/>
      </w:tblPr>
      <w:tblGrid>
        <w:gridCol w:w="3273"/>
        <w:gridCol w:w="1532"/>
        <w:gridCol w:w="1519"/>
        <w:gridCol w:w="1523"/>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42,854,354.55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8" w:right="0"/>
              <w:jc w:val="left"/>
              <w:rPr>
                <w:rFonts w:ascii="Times New Roman" w:hAnsi="Times New Roman" w:cs="Times New Roman" w:eastAsia="Times New Roman" w:hint="default"/>
                <w:sz w:val="18"/>
                <w:szCs w:val="18"/>
              </w:rPr>
            </w:pPr>
            <w:r>
              <w:rPr>
                <w:rFonts w:ascii="Times New Roman"/>
                <w:sz w:val="18"/>
              </w:rPr>
              <w:t>-1,118,885.52</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29,196,665.70</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3296"/>
        <w:gridCol w:w="1520"/>
        <w:gridCol w:w="1519"/>
        <w:gridCol w:w="1523"/>
        <w:gridCol w:w="1710"/>
      </w:tblGrid>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4,121,938.32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6,913,849.00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7,895,033.50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82,444.98</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645,841.21</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-5,426,746.19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-1,632,045.06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-276,297.54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5,143,605.35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399,666.19</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261,790.41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2,166,129.80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426,436.78</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683,650.36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650,990.71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548,579.41</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1,706,592.93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43,255,413.49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4,943,315.94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34,680,105.48</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3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34"/>
        <w:jc w:val="center"/>
        <w:rPr>
          <w:b w:val="0"/>
          <w:bCs w:val="0"/>
        </w:rPr>
      </w:pPr>
      <w:bookmarkStart w:name="_TOC_250008"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149" w:firstLine="360"/>
        <w:jc w:val="both"/>
      </w:pPr>
      <w:r>
        <w:rPr>
          <w:spacing w:val="-4"/>
        </w:rPr>
        <w:t>公司所从事的行业为仪器仪表行业，目前主要的产品为智能电表，公司的产品以外销为主。</w:t>
      </w:r>
      <w:r>
        <w:rPr>
          <w:rFonts w:ascii="Times New Roman" w:hAnsi="Times New Roman" w:cs="Times New Roman" w:eastAsia="Times New Roman" w:hint="default"/>
          <w:spacing w:val="-4"/>
        </w:rPr>
        <w:t>2015</w:t>
      </w:r>
      <w:r>
        <w:rPr>
          <w:spacing w:val="-4"/>
        </w:rPr>
        <w:t>年公司实现营业收入</w:t>
      </w:r>
      <w:r>
        <w:rPr>
          <w:rFonts w:ascii="Times New Roman" w:hAnsi="Times New Roman" w:cs="Times New Roman" w:eastAsia="Times New Roman" w:hint="default"/>
          <w:spacing w:val="-4"/>
        </w:rPr>
        <w:t>3.18</w:t>
      </w:r>
      <w:r>
        <w:rPr>
          <w:rFonts w:ascii="Times New Roman" w:hAnsi="Times New Roman" w:cs="Times New Roman" w:eastAsia="Times New Roman" w:hint="default"/>
          <w:spacing w:val="-1"/>
        </w:rPr>
        <w:t> </w:t>
      </w:r>
      <w:r>
        <w:rPr/>
        <w:t>亿元，其中出口</w:t>
      </w:r>
      <w:r>
        <w:rPr>
          <w:rFonts w:ascii="Times New Roman" w:hAnsi="Times New Roman" w:cs="Times New Roman" w:eastAsia="Times New Roman" w:hint="default"/>
        </w:rPr>
        <w:t>2.45</w:t>
      </w:r>
      <w:r>
        <w:rPr/>
        <w:t>亿元，出口占到公司全年营业收入的</w:t>
      </w:r>
      <w:r>
        <w:rPr>
          <w:rFonts w:ascii="Times New Roman" w:hAnsi="Times New Roman" w:cs="Times New Roman" w:eastAsia="Times New Roman" w:hint="default"/>
        </w:rPr>
        <w:t>77.04%</w:t>
      </w:r>
      <w:r>
        <w:rPr/>
        <w:t>，实现归属于上市公司股东的净利润为</w:t>
      </w:r>
      <w:r>
        <w:rPr>
          <w:rFonts w:ascii="Times New Roman" w:hAnsi="Times New Roman" w:cs="Times New Roman" w:eastAsia="Times New Roman" w:hint="default"/>
        </w:rPr>
        <w:t>350.35</w:t>
      </w:r>
      <w:r>
        <w:rPr/>
        <w:t>万元。</w:t>
      </w:r>
    </w:p>
    <w:p>
      <w:pPr>
        <w:pStyle w:val="BodyText"/>
        <w:spacing w:line="316" w:lineRule="auto" w:before="13"/>
        <w:ind w:left="153" w:right="150" w:firstLine="360"/>
        <w:jc w:val="both"/>
      </w:pPr>
      <w:r>
        <w:rPr>
          <w:spacing w:val="-2"/>
        </w:rPr>
        <w:t>考虑到国内经济增长的乏力以及行业竞争的日趋激烈，未来公司将会通过业务的转型来实现业绩的增长，在公司重组完</w:t>
      </w:r>
      <w:r>
        <w:rPr/>
        <w:t> </w:t>
      </w:r>
      <w:r>
        <w:rPr>
          <w:spacing w:val="-2"/>
        </w:rPr>
        <w:t>成后，公司将会转型成为一家拥有移动互联网流量入口、移动互联网流量经营平台和商业变现渠道的三位一体的移动互联网</w:t>
      </w:r>
      <w:r>
        <w:rPr>
          <w:spacing w:val="-64"/>
        </w:rPr>
        <w:t> </w:t>
      </w:r>
      <w:r>
        <w:rPr>
          <w:spacing w:val="-64"/>
        </w:rPr>
      </w:r>
      <w:r>
        <w:rPr/>
        <w:t>公司。</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3052"/>
        <w:gridCol w:w="6517"/>
      </w:tblGrid>
      <w:tr>
        <w:trPr>
          <w:trHeight w:val="187"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3" w:hRule="exact"/>
        </w:trPr>
        <w:tc>
          <w:tcPr>
            <w:tcW w:w="3052" w:type="dxa"/>
            <w:vMerge w:val="restart"/>
            <w:tcBorders>
              <w:top w:val="single" w:sz="4" w:space="0" w:color="000000"/>
              <w:left w:val="single" w:sz="4" w:space="0" w:color="000000"/>
              <w:right w:val="single" w:sz="4" w:space="0" w:color="000000"/>
            </w:tcBorders>
            <w:shd w:val="clear" w:color="auto" w:fill="D3D3D3"/>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日，智度投资股份有限公司召开了第七届董事会第十次会议，审议</w:t>
            </w:r>
          </w:p>
        </w:tc>
      </w:tr>
      <w:tr>
        <w:trPr>
          <w:trHeight w:val="307" w:hRule="exact"/>
        </w:trPr>
        <w:tc>
          <w:tcPr>
            <w:tcW w:w="3052" w:type="dxa"/>
            <w:vMerge/>
            <w:tcBorders>
              <w:left w:val="single" w:sz="4" w:space="0" w:color="000000"/>
              <w:right w:val="single" w:sz="4" w:space="0" w:color="000000"/>
            </w:tcBorders>
            <w:shd w:val="clear" w:color="auto" w:fill="D3D3D3"/>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通过</w:t>
            </w:r>
            <w:r>
              <w:rPr>
                <w:rFonts w:ascii="宋体" w:hAnsi="宋体" w:cs="宋体" w:eastAsia="宋体" w:hint="default"/>
                <w:spacing w:val="-10"/>
                <w:sz w:val="18"/>
                <w:szCs w:val="18"/>
              </w:rPr>
              <w:t>了</w:t>
            </w:r>
            <w:r>
              <w:rPr>
                <w:rFonts w:ascii="宋体" w:hAnsi="宋体" w:cs="宋体" w:eastAsia="宋体" w:hint="default"/>
                <w:sz w:val="18"/>
                <w:szCs w:val="18"/>
              </w:rPr>
              <w:t>《关于转让控股子公司股权暨关联交易的议案</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《关于转让全资子公司股权</w:t>
            </w:r>
          </w:p>
        </w:tc>
      </w:tr>
      <w:tr>
        <w:trPr>
          <w:trHeight w:val="317" w:hRule="exact"/>
        </w:trPr>
        <w:tc>
          <w:tcPr>
            <w:tcW w:w="3052" w:type="dxa"/>
            <w:vMerge/>
            <w:tcBorders>
              <w:left w:val="single" w:sz="4" w:space="0" w:color="000000"/>
              <w:right w:val="single" w:sz="4" w:space="0" w:color="000000"/>
            </w:tcBorders>
            <w:shd w:val="clear" w:color="auto" w:fill="D3D3D3"/>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暨关联交易的议案</w:t>
            </w:r>
            <w:r>
              <w:rPr>
                <w:rFonts w:ascii="宋体" w:hAnsi="宋体" w:cs="宋体" w:eastAsia="宋体" w:hint="default"/>
                <w:spacing w:val="-90"/>
                <w:sz w:val="18"/>
                <w:szCs w:val="18"/>
              </w:rPr>
              <w:t>》</w:t>
            </w:r>
            <w:r>
              <w:rPr>
                <w:rFonts w:ascii="宋体" w:hAnsi="宋体" w:cs="宋体" w:eastAsia="宋体" w:hint="default"/>
                <w:sz w:val="18"/>
                <w:szCs w:val="18"/>
              </w:rPr>
              <w:t>，同意将公司持有的上海英迈吉东影图像设备有限公司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w:t>
            </w:r>
          </w:p>
        </w:tc>
      </w:tr>
      <w:tr>
        <w:trPr>
          <w:trHeight w:val="312" w:hRule="exact"/>
        </w:trPr>
        <w:tc>
          <w:tcPr>
            <w:tcW w:w="3052" w:type="dxa"/>
            <w:vMerge/>
            <w:tcBorders>
              <w:left w:val="single" w:sz="4" w:space="0" w:color="000000"/>
              <w:right w:val="single" w:sz="4" w:space="0" w:color="000000"/>
            </w:tcBorders>
            <w:shd w:val="clear" w:color="auto" w:fill="D3D3D3"/>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股权、河南思达软件工程有限公司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股权，一并转让给公司的控股股东北京智</w:t>
            </w:r>
          </w:p>
        </w:tc>
      </w:tr>
      <w:tr>
        <w:trPr>
          <w:trHeight w:val="110" w:hRule="exact"/>
        </w:trPr>
        <w:tc>
          <w:tcPr>
            <w:tcW w:w="3052" w:type="dxa"/>
            <w:vMerge/>
            <w:tcBorders>
              <w:left w:val="single" w:sz="4" w:space="0" w:color="000000"/>
              <w:bottom w:val="nil" w:sz="6" w:space="0" w:color="auto"/>
              <w:right w:val="single" w:sz="4" w:space="0" w:color="000000"/>
            </w:tcBorders>
            <w:shd w:val="clear" w:color="auto" w:fill="D3D3D3"/>
          </w:tcPr>
          <w:p>
            <w:pPr/>
          </w:p>
        </w:tc>
        <w:tc>
          <w:tcPr>
            <w:tcW w:w="6517" w:type="dxa"/>
            <w:vMerge w:val="restart"/>
            <w:tcBorders>
              <w:top w:val="nil" w:sz="6" w:space="0" w:color="auto"/>
              <w:left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度德普股权投资中心（有限合伙）的全资子公司深圳市思达高科投资有限公司。中</w:t>
            </w:r>
          </w:p>
        </w:tc>
      </w:tr>
      <w:tr>
        <w:trPr>
          <w:trHeight w:val="197" w:hRule="exact"/>
        </w:trPr>
        <w:tc>
          <w:tcPr>
            <w:tcW w:w="30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4" w:space="0" w:color="000000"/>
              <w:bottom w:val="nil" w:sz="6" w:space="0" w:color="auto"/>
              <w:right w:val="single" w:sz="4" w:space="0" w:color="000000"/>
            </w:tcBorders>
          </w:tcPr>
          <w:p>
            <w:pPr/>
          </w:p>
        </w:tc>
      </w:tr>
      <w:tr>
        <w:trPr>
          <w:trHeight w:val="195" w:hRule="exact"/>
        </w:trPr>
        <w:tc>
          <w:tcPr>
            <w:tcW w:w="3052" w:type="dxa"/>
            <w:vMerge/>
            <w:tcBorders>
              <w:left w:val="single" w:sz="4" w:space="0" w:color="000000"/>
              <w:bottom w:val="nil" w:sz="6" w:space="0" w:color="auto"/>
              <w:right w:val="single" w:sz="4" w:space="0" w:color="000000"/>
            </w:tcBorders>
            <w:shd w:val="clear" w:color="auto" w:fill="D3D3D3"/>
          </w:tcPr>
          <w:p>
            <w:pPr/>
          </w:p>
        </w:tc>
        <w:tc>
          <w:tcPr>
            <w:tcW w:w="6517" w:type="dxa"/>
            <w:vMerge w:val="restart"/>
            <w:tcBorders>
              <w:top w:val="nil" w:sz="6" w:space="0" w:color="auto"/>
              <w:left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瑞国际资产评估（北京）有限公司出具了中瑞评报字【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1495</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p>
        </w:tc>
      </w:tr>
      <w:tr>
        <w:trPr>
          <w:trHeight w:val="121" w:hRule="exact"/>
        </w:trPr>
        <w:tc>
          <w:tcPr>
            <w:tcW w:w="3052" w:type="dxa"/>
            <w:vMerge w:val="restart"/>
            <w:tcBorders>
              <w:top w:val="nil" w:sz="6" w:space="0" w:color="auto"/>
              <w:left w:val="single" w:sz="4" w:space="0" w:color="000000"/>
              <w:right w:val="single" w:sz="4" w:space="0" w:color="000000"/>
            </w:tcBorders>
            <w:shd w:val="clear" w:color="auto" w:fill="D3D3D3"/>
          </w:tcPr>
          <w:p>
            <w:pPr/>
          </w:p>
        </w:tc>
        <w:tc>
          <w:tcPr>
            <w:tcW w:w="6517" w:type="dxa"/>
            <w:vMerge/>
            <w:tcBorders>
              <w:left w:val="single" w:sz="4" w:space="0" w:color="000000"/>
              <w:bottom w:val="nil" w:sz="6" w:space="0" w:color="auto"/>
              <w:right w:val="single" w:sz="4" w:space="0" w:color="000000"/>
            </w:tcBorders>
          </w:tcPr>
          <w:p>
            <w:pPr/>
          </w:p>
        </w:tc>
      </w:tr>
      <w:tr>
        <w:trPr>
          <w:trHeight w:val="312" w:hRule="exact"/>
        </w:trPr>
        <w:tc>
          <w:tcPr>
            <w:tcW w:w="3052" w:type="dxa"/>
            <w:vMerge/>
            <w:tcBorders>
              <w:left w:val="single" w:sz="4" w:space="0" w:color="000000"/>
              <w:right w:val="single" w:sz="4" w:space="0" w:color="000000"/>
            </w:tcBorders>
            <w:shd w:val="clear" w:color="auto" w:fill="D3D3D3"/>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120011496 </w:t>
            </w:r>
            <w:r>
              <w:rPr>
                <w:rFonts w:ascii="宋体" w:hAnsi="宋体" w:cs="宋体" w:eastAsia="宋体" w:hint="default"/>
                <w:sz w:val="18"/>
                <w:szCs w:val="18"/>
              </w:rPr>
              <w:t>报告，分别对上海英迈吉东影图像设备有限公司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的股权、河南思达</w:t>
            </w:r>
          </w:p>
        </w:tc>
      </w:tr>
      <w:tr>
        <w:trPr>
          <w:trHeight w:val="312" w:hRule="exact"/>
        </w:trPr>
        <w:tc>
          <w:tcPr>
            <w:tcW w:w="3052" w:type="dxa"/>
            <w:vMerge/>
            <w:tcBorders>
              <w:left w:val="single" w:sz="4" w:space="0" w:color="000000"/>
              <w:right w:val="single" w:sz="4" w:space="0" w:color="000000"/>
            </w:tcBorders>
            <w:shd w:val="clear" w:color="auto" w:fill="D3D3D3"/>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软件工程有限公司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股权进行了评估。上述议案已于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日经公司</w:t>
            </w:r>
          </w:p>
        </w:tc>
      </w:tr>
      <w:tr>
        <w:trPr>
          <w:trHeight w:val="313" w:hRule="exact"/>
        </w:trPr>
        <w:tc>
          <w:tcPr>
            <w:tcW w:w="3052" w:type="dxa"/>
            <w:vMerge/>
            <w:tcBorders>
              <w:left w:val="single" w:sz="4" w:space="0" w:color="000000"/>
              <w:right w:val="single" w:sz="4" w:space="0" w:color="000000"/>
            </w:tcBorders>
            <w:shd w:val="clear" w:color="auto" w:fill="D3D3D3"/>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日，上述股权转让的</w:t>
            </w:r>
          </w:p>
        </w:tc>
      </w:tr>
      <w:tr>
        <w:trPr>
          <w:trHeight w:val="351" w:hRule="exact"/>
        </w:trPr>
        <w:tc>
          <w:tcPr>
            <w:tcW w:w="3052" w:type="dxa"/>
            <w:vMerge/>
            <w:tcBorders>
              <w:left w:val="single" w:sz="4" w:space="0" w:color="000000"/>
              <w:bottom w:val="single" w:sz="4" w:space="0" w:color="000000"/>
              <w:right w:val="single" w:sz="4" w:space="0" w:color="000000"/>
            </w:tcBorders>
            <w:shd w:val="clear" w:color="auto" w:fill="D3D3D3"/>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工商变更登记手续已完成。</w:t>
            </w:r>
          </w:p>
        </w:tc>
      </w:tr>
      <w:tr>
        <w:trPr>
          <w:trHeight w:val="363" w:hRule="exact"/>
        </w:trPr>
        <w:tc>
          <w:tcPr>
            <w:tcW w:w="3052" w:type="dxa"/>
            <w:vMerge w:val="restart"/>
            <w:tcBorders>
              <w:top w:val="single" w:sz="4" w:space="0" w:color="000000"/>
              <w:left w:val="single" w:sz="4" w:space="0" w:color="000000"/>
              <w:right w:val="single" w:sz="4" w:space="0" w:color="000000"/>
            </w:tcBorders>
            <w:shd w:val="clear" w:color="auto" w:fill="D3D3D3"/>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日，智度投资股份有限公司召开了第七届董事会第十次会议，审议</w:t>
            </w:r>
          </w:p>
        </w:tc>
      </w:tr>
      <w:tr>
        <w:trPr>
          <w:trHeight w:val="307" w:hRule="exact"/>
        </w:trPr>
        <w:tc>
          <w:tcPr>
            <w:tcW w:w="3052" w:type="dxa"/>
            <w:vMerge/>
            <w:tcBorders>
              <w:left w:val="single" w:sz="4" w:space="0" w:color="000000"/>
              <w:right w:val="single" w:sz="4" w:space="0" w:color="000000"/>
            </w:tcBorders>
            <w:shd w:val="clear" w:color="auto" w:fill="D3D3D3"/>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通过了《关于子公司转让部分房产暨关联交易的议案</w:t>
            </w:r>
            <w:r>
              <w:rPr>
                <w:rFonts w:ascii="宋体" w:hAnsi="宋体" w:cs="宋体" w:eastAsia="宋体" w:hint="default"/>
                <w:spacing w:val="-90"/>
                <w:sz w:val="18"/>
                <w:szCs w:val="18"/>
              </w:rPr>
              <w:t>》</w:t>
            </w:r>
            <w:r>
              <w:rPr>
                <w:rFonts w:ascii="宋体" w:hAnsi="宋体" w:cs="宋体" w:eastAsia="宋体" w:hint="default"/>
                <w:sz w:val="18"/>
                <w:szCs w:val="18"/>
              </w:rPr>
              <w:t>，同意将全资子公司深圳市</w:t>
            </w:r>
          </w:p>
        </w:tc>
      </w:tr>
      <w:tr>
        <w:trPr>
          <w:trHeight w:val="317" w:hRule="exact"/>
        </w:trPr>
        <w:tc>
          <w:tcPr>
            <w:tcW w:w="3052" w:type="dxa"/>
            <w:vMerge/>
            <w:tcBorders>
              <w:left w:val="single" w:sz="4" w:space="0" w:color="000000"/>
              <w:right w:val="single" w:sz="4" w:space="0" w:color="000000"/>
            </w:tcBorders>
            <w:shd w:val="clear" w:color="auto" w:fill="D3D3D3"/>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思达仪表有限公司持有的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处房产，转让给公司的控股股东北京智度德普股权投资</w:t>
            </w:r>
          </w:p>
        </w:tc>
      </w:tr>
      <w:tr>
        <w:trPr>
          <w:trHeight w:val="110" w:hRule="exact"/>
        </w:trPr>
        <w:tc>
          <w:tcPr>
            <w:tcW w:w="3052" w:type="dxa"/>
            <w:vMerge/>
            <w:tcBorders>
              <w:left w:val="single" w:sz="4" w:space="0" w:color="000000"/>
              <w:bottom w:val="nil" w:sz="6" w:space="0" w:color="auto"/>
              <w:right w:val="single" w:sz="4" w:space="0" w:color="000000"/>
            </w:tcBorders>
            <w:shd w:val="clear" w:color="auto" w:fill="D3D3D3"/>
          </w:tcPr>
          <w:p>
            <w:pPr/>
          </w:p>
        </w:tc>
        <w:tc>
          <w:tcPr>
            <w:tcW w:w="6517" w:type="dxa"/>
            <w:vMerge w:val="restart"/>
            <w:tcBorders>
              <w:top w:val="nil" w:sz="6" w:space="0" w:color="auto"/>
              <w:left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中心（有限合伙）的全资子公司深圳市思达高科投资有限公司。中瑞国际资产评估</w:t>
            </w:r>
          </w:p>
        </w:tc>
      </w:tr>
      <w:tr>
        <w:trPr>
          <w:trHeight w:val="197" w:hRule="exact"/>
        </w:trPr>
        <w:tc>
          <w:tcPr>
            <w:tcW w:w="30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4" w:space="0" w:color="000000"/>
              <w:bottom w:val="nil" w:sz="6" w:space="0" w:color="auto"/>
              <w:right w:val="single" w:sz="4" w:space="0" w:color="000000"/>
            </w:tcBorders>
          </w:tcPr>
          <w:p>
            <w:pPr/>
          </w:p>
        </w:tc>
      </w:tr>
      <w:tr>
        <w:trPr>
          <w:trHeight w:val="195" w:hRule="exact"/>
        </w:trPr>
        <w:tc>
          <w:tcPr>
            <w:tcW w:w="3052" w:type="dxa"/>
            <w:vMerge/>
            <w:tcBorders>
              <w:left w:val="single" w:sz="4" w:space="0" w:color="000000"/>
              <w:bottom w:val="nil" w:sz="6" w:space="0" w:color="auto"/>
              <w:right w:val="single" w:sz="4" w:space="0" w:color="000000"/>
            </w:tcBorders>
            <w:shd w:val="clear" w:color="auto" w:fill="D3D3D3"/>
          </w:tcPr>
          <w:p>
            <w:pPr/>
          </w:p>
        </w:tc>
        <w:tc>
          <w:tcPr>
            <w:tcW w:w="6517" w:type="dxa"/>
            <w:vMerge w:val="restart"/>
            <w:tcBorders>
              <w:top w:val="nil" w:sz="6" w:space="0" w:color="auto"/>
              <w:left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（北京）有限公司出具了中瑞评报字【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120011494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报告，对公司全资子公司</w:t>
            </w:r>
          </w:p>
        </w:tc>
      </w:tr>
      <w:tr>
        <w:trPr>
          <w:trHeight w:val="121" w:hRule="exact"/>
        </w:trPr>
        <w:tc>
          <w:tcPr>
            <w:tcW w:w="3052" w:type="dxa"/>
            <w:vMerge w:val="restart"/>
            <w:tcBorders>
              <w:top w:val="nil" w:sz="6" w:space="0" w:color="auto"/>
              <w:left w:val="single" w:sz="4" w:space="0" w:color="000000"/>
              <w:right w:val="single" w:sz="4" w:space="0" w:color="000000"/>
            </w:tcBorders>
            <w:shd w:val="clear" w:color="auto" w:fill="D3D3D3"/>
          </w:tcPr>
          <w:p>
            <w:pPr/>
          </w:p>
        </w:tc>
        <w:tc>
          <w:tcPr>
            <w:tcW w:w="6517" w:type="dxa"/>
            <w:vMerge/>
            <w:tcBorders>
              <w:left w:val="single" w:sz="4" w:space="0" w:color="000000"/>
              <w:bottom w:val="nil" w:sz="6" w:space="0" w:color="auto"/>
              <w:right w:val="single" w:sz="4" w:space="0" w:color="000000"/>
            </w:tcBorders>
          </w:tcPr>
          <w:p>
            <w:pPr/>
          </w:p>
        </w:tc>
      </w:tr>
      <w:tr>
        <w:trPr>
          <w:trHeight w:val="312" w:hRule="exact"/>
        </w:trPr>
        <w:tc>
          <w:tcPr>
            <w:tcW w:w="3052" w:type="dxa"/>
            <w:vMerge/>
            <w:tcBorders>
              <w:left w:val="single" w:sz="4" w:space="0" w:color="000000"/>
              <w:right w:val="single" w:sz="4" w:space="0" w:color="000000"/>
            </w:tcBorders>
            <w:shd w:val="clear" w:color="auto" w:fill="D3D3D3"/>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深圳市思达仪表有限公司持有的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处房产进行了评估。上述议案已于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tc>
      </w:tr>
      <w:tr>
        <w:trPr>
          <w:trHeight w:val="313" w:hRule="exact"/>
        </w:trPr>
        <w:tc>
          <w:tcPr>
            <w:tcW w:w="3052" w:type="dxa"/>
            <w:vMerge/>
            <w:tcBorders>
              <w:left w:val="single" w:sz="4" w:space="0" w:color="000000"/>
              <w:right w:val="single" w:sz="4" w:space="0" w:color="000000"/>
            </w:tcBorders>
            <w:shd w:val="clear" w:color="auto" w:fill="D3D3D3"/>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年第四次临时股东大会审议通过，截止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日，上述</w:t>
            </w:r>
          </w:p>
        </w:tc>
      </w:tr>
      <w:tr>
        <w:trPr>
          <w:trHeight w:val="351" w:hRule="exact"/>
        </w:trPr>
        <w:tc>
          <w:tcPr>
            <w:tcW w:w="3052" w:type="dxa"/>
            <w:vMerge/>
            <w:tcBorders>
              <w:left w:val="single" w:sz="4" w:space="0" w:color="000000"/>
              <w:bottom w:val="single" w:sz="4" w:space="0" w:color="000000"/>
              <w:right w:val="single" w:sz="4" w:space="0" w:color="000000"/>
            </w:tcBorders>
            <w:shd w:val="clear" w:color="auto" w:fill="D3D3D3"/>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房产出售过户手续已完成。</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270"/>
        <w:jc w:val="both"/>
      </w:pPr>
      <w:r>
        <w:rPr/>
        <w:t>作为我国最早从事电测计量检测设备和电子式电能表产品的研发、制造、销售企业，公司经过多年的积淀和成长，采用 </w:t>
      </w:r>
      <w:r>
        <w:rPr>
          <w:spacing w:val="-2"/>
        </w:rPr>
        <w:t>先进的设计、生产和管理方式，不断优化产品结构，完善产业布局，引入专业化人才，成为市场认可和接受度较高的先进生</w:t>
      </w:r>
      <w:r>
        <w:rPr>
          <w:spacing w:val="-66"/>
        </w:rPr>
        <w:t> </w:t>
      </w:r>
      <w:r>
        <w:rPr>
          <w:spacing w:val="-66"/>
        </w:rPr>
      </w:r>
      <w:r>
        <w:rPr/>
        <w:t>产企业。公司核心竞争力主要表现在以下几个方面：</w:t>
      </w:r>
    </w:p>
    <w:p>
      <w:pPr>
        <w:pStyle w:val="BodyText"/>
        <w:spacing w:line="316" w:lineRule="auto" w:before="19"/>
        <w:ind w:left="497" w:right="0" w:firstLine="16"/>
        <w:jc w:val="left"/>
      </w:pPr>
      <w:r>
        <w:rPr/>
        <w:t>（一）优秀的研发团队 </w:t>
      </w:r>
      <w:r>
        <w:rPr>
          <w:spacing w:val="-2"/>
        </w:rPr>
        <w:t>公司拥有一支高素质、经验丰富、具有极高的研发、创新实力的研发团队，在行业里具有一定的技术权威，具备从方案</w:t>
      </w:r>
    </w:p>
    <w:p>
      <w:pPr>
        <w:pStyle w:val="BodyText"/>
        <w:spacing w:line="316" w:lineRule="auto" w:before="19"/>
        <w:ind w:left="153" w:right="191"/>
        <w:jc w:val="both"/>
      </w:pPr>
      <w:r>
        <w:rPr>
          <w:spacing w:val="-2"/>
        </w:rPr>
        <w:t>设计到终端产品的深厚研发经验。公司坚持以客户和市场需求为导向，充分整合内外部研发能力，保持适当合理的研发项目</w:t>
      </w:r>
      <w:r>
        <w:rPr>
          <w:spacing w:val="-66"/>
        </w:rPr>
        <w:t> </w:t>
      </w:r>
      <w:r>
        <w:rPr>
          <w:spacing w:val="-66"/>
        </w:rPr>
      </w:r>
      <w:r>
        <w:rPr/>
        <w:t>投入，确保公司的可持续发展。</w:t>
      </w:r>
    </w:p>
    <w:p>
      <w:pPr>
        <w:pStyle w:val="BodyText"/>
        <w:spacing w:line="316" w:lineRule="auto" w:before="19"/>
        <w:ind w:left="587" w:right="197" w:hanging="74"/>
        <w:jc w:val="left"/>
      </w:pPr>
      <w:r>
        <w:rPr/>
        <w:t>（二）先进的技术水平 公司积极参加了多项电测量领域国家标准、规程及行业标准的起草修订工作，先后参与起草或修订的国家标准、规程</w:t>
      </w:r>
    </w:p>
    <w:p>
      <w:pPr>
        <w:pStyle w:val="BodyText"/>
        <w:spacing w:line="300" w:lineRule="auto" w:before="19"/>
        <w:ind w:left="153" w:right="190"/>
        <w:jc w:val="both"/>
      </w:pPr>
      <w:r>
        <w:rPr>
          <w:spacing w:val="-3"/>
        </w:rPr>
        <w:t>有《</w:t>
      </w:r>
      <w:r>
        <w:rPr>
          <w:rFonts w:ascii="Times New Roman" w:hAnsi="Times New Roman" w:cs="Times New Roman" w:eastAsia="Times New Roman" w:hint="default"/>
          <w:spacing w:val="-3"/>
        </w:rPr>
        <w:t>GB/T11150-2001</w:t>
      </w:r>
      <w:r>
        <w:rPr>
          <w:spacing w:val="-3"/>
        </w:rPr>
        <w:t>电能表检定装置》、《</w:t>
      </w:r>
      <w:r>
        <w:rPr>
          <w:rFonts w:ascii="Times New Roman" w:hAnsi="Times New Roman" w:cs="Times New Roman" w:eastAsia="Times New Roman" w:hint="default"/>
          <w:spacing w:val="-3"/>
        </w:rPr>
        <w:t>JJG597-2005</w:t>
      </w:r>
      <w:r>
        <w:rPr>
          <w:spacing w:val="-3"/>
        </w:rPr>
        <w:t>交流电能表检定装置》、《标准电能表》、《自动抄表系统》、《三</w:t>
      </w:r>
      <w:r>
        <w:rPr>
          <w:spacing w:val="-62"/>
        </w:rPr>
        <w:t> </w:t>
      </w:r>
      <w:r>
        <w:rPr>
          <w:spacing w:val="-62"/>
        </w:rPr>
      </w:r>
      <w:r>
        <w:rPr/>
        <w:t>相电子式多功能电能表技术规范》等，参与起草的电力行业标准有《</w:t>
      </w:r>
      <w:r>
        <w:rPr>
          <w:rFonts w:ascii="Times New Roman" w:hAnsi="Times New Roman" w:cs="Times New Roman" w:eastAsia="Times New Roman" w:hint="default"/>
        </w:rPr>
        <w:t>DL/T826-2002</w:t>
      </w:r>
      <w:r>
        <w:rPr/>
        <w:t>交流电能表现场测试仪》等。</w:t>
      </w:r>
    </w:p>
    <w:p>
      <w:pPr>
        <w:pStyle w:val="BodyText"/>
        <w:spacing w:line="300" w:lineRule="auto" w:before="13"/>
        <w:ind w:right="189" w:firstLine="433"/>
        <w:jc w:val="both"/>
      </w:pPr>
      <w:r>
        <w:rPr>
          <w:spacing w:val="-1"/>
        </w:rPr>
        <w:t>公司是</w:t>
      </w:r>
      <w:r>
        <w:rPr>
          <w:rFonts w:ascii="Times New Roman" w:hAnsi="Times New Roman" w:cs="Times New Roman" w:eastAsia="Times New Roman" w:hint="default"/>
          <w:spacing w:val="-1"/>
        </w:rPr>
        <w:t>“</w:t>
      </w:r>
      <w:r>
        <w:rPr>
          <w:spacing w:val="-1"/>
        </w:rPr>
        <w:t>国家火炬计划重点高新技术企业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国家优秀高新技术企业</w:t>
      </w:r>
      <w:r>
        <w:rPr>
          <w:rFonts w:ascii="Times New Roman" w:hAnsi="Times New Roman" w:cs="Times New Roman" w:eastAsia="Times New Roman" w:hint="default"/>
          <w:spacing w:val="-1"/>
        </w:rPr>
        <w:t>”</w:t>
      </w:r>
      <w:r>
        <w:rPr>
          <w:spacing w:val="-1"/>
        </w:rPr>
        <w:t>、公司还承担了一项国家</w:t>
      </w:r>
      <w:r>
        <w:rPr>
          <w:rFonts w:ascii="Times New Roman" w:hAnsi="Times New Roman" w:cs="Times New Roman" w:eastAsia="Times New Roman" w:hint="default"/>
          <w:spacing w:val="-1"/>
        </w:rPr>
        <w:t>“</w:t>
      </w:r>
      <w:r>
        <w:rPr>
          <w:spacing w:val="-1"/>
        </w:rPr>
        <w:t>信息产业企业进步和产</w:t>
      </w:r>
      <w:r>
        <w:rPr/>
        <w:t> 业升级专项</w:t>
      </w:r>
      <w:r>
        <w:rPr>
          <w:rFonts w:ascii="Times New Roman" w:hAnsi="Times New Roman" w:cs="Times New Roman" w:eastAsia="Times New Roman" w:hint="default"/>
        </w:rPr>
        <w:t>”</w:t>
      </w:r>
      <w:r>
        <w:rPr/>
        <w:t>项目、一项国家</w:t>
      </w:r>
      <w:r>
        <w:rPr>
          <w:rFonts w:ascii="Times New Roman" w:hAnsi="Times New Roman" w:cs="Times New Roman" w:eastAsia="Times New Roman" w:hint="default"/>
        </w:rPr>
        <w:t>“</w:t>
      </w:r>
      <w:r>
        <w:rPr/>
        <w:t>科技兴贸</w:t>
      </w:r>
      <w:r>
        <w:rPr>
          <w:rFonts w:ascii="Times New Roman" w:hAnsi="Times New Roman" w:cs="Times New Roman" w:eastAsia="Times New Roman" w:hint="default"/>
        </w:rPr>
        <w:t>”</w:t>
      </w:r>
      <w:r>
        <w:rPr/>
        <w:t>项目、五项国家火炬计划项目；十几项省火炬计划项目。公司设有省级企业技术中 心，多项产品获省电子行业科技进步一、二、三等奖及河南省火炬计划奖。</w:t>
      </w:r>
    </w:p>
    <w:p>
      <w:pPr>
        <w:pStyle w:val="BodyText"/>
        <w:spacing w:line="300" w:lineRule="auto" w:before="31"/>
        <w:ind w:left="587" w:right="0" w:hanging="74"/>
        <w:jc w:val="left"/>
      </w:pPr>
      <w:r>
        <w:rPr/>
        <w:t>（三）</w:t>
      </w:r>
      <w:r>
        <w:rPr>
          <w:rFonts w:ascii="Times New Roman" w:hAnsi="Times New Roman" w:cs="Times New Roman" w:eastAsia="Times New Roman" w:hint="default"/>
        </w:rPr>
        <w:t>)</w:t>
      </w:r>
      <w:r>
        <w:rPr/>
        <w:t>完全的自主知识产权 </w:t>
      </w:r>
      <w:r>
        <w:rPr>
          <w:spacing w:val="-5"/>
        </w:rPr>
        <w:t>公司先后取得电子式电能表产品（单、三相电能表、三相多功能电能表、单相多功能电能表等）以及电能计量设备（单、</w:t>
      </w:r>
    </w:p>
    <w:p>
      <w:pPr>
        <w:pStyle w:val="BodyText"/>
        <w:spacing w:line="312" w:lineRule="auto" w:before="31"/>
        <w:ind w:right="108"/>
        <w:jc w:val="both"/>
      </w:pPr>
      <w:r>
        <w:rPr>
          <w:spacing w:val="-2"/>
        </w:rPr>
        <w:t>三相电能表现场校验仪、电能表检测试验车、电能计量检测车、电压信号骤降发生装置、电能计量资产管理及配送系统、电</w:t>
      </w:r>
      <w:r>
        <w:rPr>
          <w:spacing w:val="-66"/>
        </w:rPr>
        <w:t> </w:t>
      </w:r>
      <w:r>
        <w:rPr>
          <w:spacing w:val="-66"/>
        </w:rPr>
      </w:r>
      <w:r>
        <w:rPr>
          <w:spacing w:val="-2"/>
        </w:rPr>
        <w:t>能质量标准装置等）发明专利共计</w:t>
      </w:r>
      <w:r>
        <w:rPr>
          <w:rFonts w:ascii="Times New Roman" w:hAnsi="Times New Roman" w:cs="Times New Roman" w:eastAsia="Times New Roman" w:hint="default"/>
          <w:spacing w:val="-2"/>
        </w:rPr>
        <w:t>20</w:t>
      </w:r>
      <w:r>
        <w:rPr>
          <w:spacing w:val="-2"/>
        </w:rPr>
        <w:t>余项，对所有的产品均拥有完全的自主知识产权，并且能够自主的实现升级、维护、更</w:t>
      </w:r>
      <w:r>
        <w:rPr>
          <w:spacing w:val="-65"/>
        </w:rPr>
        <w:t> </w:t>
      </w:r>
      <w:r>
        <w:rPr>
          <w:spacing w:val="-65"/>
        </w:rPr>
      </w:r>
      <w:r>
        <w:rPr>
          <w:spacing w:val="-2"/>
        </w:rPr>
        <w:t>新，能依据市场需求及时完善产品，并能够及时采用新技术、新工艺，以保证产品的领先性和实用性。我公司自主研发了高</w:t>
      </w:r>
      <w:r>
        <w:rPr>
          <w:spacing w:val="-66"/>
        </w:rPr>
        <w:t> </w:t>
      </w:r>
      <w:r>
        <w:rPr>
          <w:spacing w:val="-66"/>
        </w:rPr>
      </w:r>
      <w:r>
        <w:rPr/>
        <w:t>准确度的标准电能表，填补了国内同类产品的空白，也打破了欧美产品的垄断地位，实现了经济效益和社会效益的双丰收。</w:t>
      </w:r>
    </w:p>
    <w:p>
      <w:pPr>
        <w:pStyle w:val="BodyText"/>
        <w:spacing w:line="316" w:lineRule="auto" w:before="22"/>
        <w:ind w:left="587" w:right="197" w:hanging="74"/>
        <w:jc w:val="left"/>
      </w:pPr>
      <w:r>
        <w:rPr/>
        <w:t>（四）不断提高的人力资源竞争力 报告期内，公司通过引进和培养，储备了一批在生产、销售、技术研发、企业管理方面具有丰富经验的专业性人才；</w:t>
      </w:r>
    </w:p>
    <w:p>
      <w:pPr>
        <w:pStyle w:val="BodyText"/>
        <w:spacing w:line="316" w:lineRule="auto" w:before="19"/>
        <w:ind w:right="191"/>
        <w:jc w:val="both"/>
      </w:pPr>
      <w:r>
        <w:rPr>
          <w:spacing w:val="-2"/>
        </w:rPr>
        <w:t>同时引入内部讲师机制，根据公司和各部门的日常工作开展针对性培训，提高中基层员工的专业技能，公司人力资源的整体</w:t>
      </w:r>
      <w:r>
        <w:rPr>
          <w:spacing w:val="-66"/>
        </w:rPr>
        <w:t> </w:t>
      </w:r>
      <w:r>
        <w:rPr>
          <w:spacing w:val="-66"/>
        </w:rPr>
      </w:r>
      <w:r>
        <w:rPr/>
        <w:t>竞争力有所提升。</w:t>
      </w:r>
    </w:p>
    <w:p>
      <w:pPr>
        <w:spacing w:after="0" w:line="316" w:lineRule="auto"/>
        <w:jc w:val="both"/>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_TOC_250007" w:id="4"/>
      <w:r>
        <w:rPr/>
        <w:t>第四节</w:t>
      </w:r>
      <w:r>
        <w:rPr>
          <w:spacing w:val="-9"/>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89" w:firstLine="360"/>
        <w:jc w:val="both"/>
      </w:pPr>
      <w:r>
        <w:rPr>
          <w:rFonts w:ascii="Times New Roman" w:hAnsi="Times New Roman" w:cs="Times New Roman" w:eastAsia="Times New Roman" w:hint="default"/>
          <w:spacing w:val="-2"/>
        </w:rPr>
        <w:t>2015</w:t>
      </w:r>
      <w:r>
        <w:rPr>
          <w:spacing w:val="-2"/>
        </w:rPr>
        <w:t>年，公司董事会认真履行《公司法》、《公司章程》等赋予的各项职责，规范运作、科学决策，坚决贯彻执行股东</w:t>
      </w:r>
      <w:r>
        <w:rPr/>
        <w:t> </w:t>
      </w:r>
      <w:r>
        <w:rPr>
          <w:spacing w:val="-2"/>
        </w:rPr>
        <w:t>大会的各项决议。面对复杂的政策环境和多变的市场形势，公司正在筹划重大资产重组工作，通过资产重组，改善和提升公</w:t>
      </w:r>
      <w:r>
        <w:rPr>
          <w:spacing w:val="-66"/>
        </w:rPr>
        <w:t> </w:t>
      </w:r>
      <w:r>
        <w:rPr>
          <w:spacing w:val="-66"/>
        </w:rPr>
      </w:r>
      <w:r>
        <w:rPr>
          <w:spacing w:val="-2"/>
        </w:rPr>
        <w:t>司的资产质量，提升公司的持续盈利能力。按照全年重点工作计划，全体董事恪尽职守、勤勉尽责，积极扎实的开展各项工</w:t>
      </w:r>
      <w:r>
        <w:rPr>
          <w:spacing w:val="-66"/>
        </w:rPr>
        <w:t> </w:t>
      </w:r>
      <w:r>
        <w:rPr>
          <w:spacing w:val="-66"/>
        </w:rPr>
      </w:r>
      <w:r>
        <w:rPr/>
        <w:t>作，有效地保障了公司和股东的利益。具体工作完成情况报告如下：</w:t>
      </w:r>
    </w:p>
    <w:p>
      <w:pPr>
        <w:pStyle w:val="BodyText"/>
        <w:spacing w:line="316" w:lineRule="auto" w:before="22"/>
        <w:ind w:left="513" w:right="0"/>
        <w:jc w:val="left"/>
      </w:pPr>
      <w:r>
        <w:rPr/>
        <w:t>一、报告期内公司经营情况 </w:t>
      </w:r>
      <w:r>
        <w:rPr>
          <w:spacing w:val="-2"/>
        </w:rPr>
        <w:t>报告期内，公司主营业务没有发生变化，仍为仪器仪表、安检设备、软件等的开发、生产、加工、销售，但由于整体经</w:t>
      </w:r>
    </w:p>
    <w:p>
      <w:pPr>
        <w:pStyle w:val="BodyText"/>
        <w:spacing w:line="316" w:lineRule="auto" w:before="19"/>
        <w:ind w:left="513" w:right="203" w:hanging="360"/>
        <w:jc w:val="left"/>
      </w:pPr>
      <w:r>
        <w:rPr/>
        <w:t>济环境景气度下降，市场需求萎缩，同时受到重大资产重组的费用影响，经营状况不够理想。 </w:t>
      </w:r>
      <w:r>
        <w:rPr>
          <w:spacing w:val="-1"/>
        </w:rPr>
        <w:t>报告期内，公司实现营业收入</w:t>
      </w:r>
      <w:r>
        <w:rPr>
          <w:rFonts w:ascii="Times New Roman" w:hAnsi="Times New Roman" w:cs="Times New Roman" w:eastAsia="Times New Roman" w:hint="default"/>
          <w:spacing w:val="-1"/>
        </w:rPr>
        <w:t>317,583,186.73</w:t>
      </w:r>
      <w:r>
        <w:rPr>
          <w:spacing w:val="-1"/>
        </w:rPr>
        <w:t>元，同比下降</w:t>
      </w:r>
      <w:r>
        <w:rPr>
          <w:rFonts w:ascii="Times New Roman" w:hAnsi="Times New Roman" w:cs="Times New Roman" w:eastAsia="Times New Roman" w:hint="default"/>
          <w:spacing w:val="-1"/>
        </w:rPr>
        <w:t>14.87%</w:t>
      </w:r>
      <w:r>
        <w:rPr>
          <w:spacing w:val="-1"/>
        </w:rPr>
        <w:t>，利润总额</w:t>
      </w:r>
      <w:r>
        <w:rPr>
          <w:rFonts w:ascii="Times New Roman" w:hAnsi="Times New Roman" w:cs="Times New Roman" w:eastAsia="Times New Roman" w:hint="default"/>
          <w:spacing w:val="-1"/>
        </w:rPr>
        <w:t>-2,185,728.60</w:t>
      </w:r>
      <w:r>
        <w:rPr>
          <w:spacing w:val="-1"/>
        </w:rPr>
        <w:t>元，净利润</w:t>
      </w:r>
      <w:r>
        <w:rPr>
          <w:rFonts w:ascii="Times New Roman" w:hAnsi="Times New Roman" w:cs="Times New Roman" w:eastAsia="Times New Roman" w:hint="default"/>
          <w:spacing w:val="-1"/>
        </w:rPr>
        <w:t>-4,220,479.44</w:t>
      </w:r>
      <w:r>
        <w:rPr>
          <w:spacing w:val="-1"/>
        </w:rPr>
        <w:t>元，</w:t>
      </w:r>
      <w:r>
        <w:rPr/>
      </w:r>
    </w:p>
    <w:p>
      <w:pPr>
        <w:pStyle w:val="BodyText"/>
        <w:spacing w:line="300" w:lineRule="auto"/>
        <w:ind w:left="514" w:right="4005" w:hanging="360"/>
        <w:jc w:val="left"/>
      </w:pPr>
      <w:r>
        <w:rPr/>
        <w:t>其中归属于上市公司股东的净利润</w:t>
      </w:r>
      <w:r>
        <w:rPr>
          <w:rFonts w:ascii="Times New Roman" w:hAnsi="Times New Roman" w:cs="Times New Roman" w:eastAsia="Times New Roman" w:hint="default"/>
        </w:rPr>
        <w:t>3,503,549.39</w:t>
      </w:r>
      <w:r>
        <w:rPr/>
        <w:t>元，公司实现了扭亏为盈。 二、</w:t>
      </w:r>
      <w:r>
        <w:rPr>
          <w:rFonts w:ascii="Times New Roman" w:hAnsi="Times New Roman" w:cs="Times New Roman" w:eastAsia="Times New Roman" w:hint="default"/>
        </w:rPr>
        <w:t>2015</w:t>
      </w:r>
      <w:r>
        <w:rPr/>
        <w:t>年公司董事会开展的主要工作</w:t>
      </w:r>
    </w:p>
    <w:p>
      <w:pPr>
        <w:pStyle w:val="BodyText"/>
        <w:spacing w:line="240" w:lineRule="auto" w:before="13"/>
        <w:ind w:left="514" w:right="0"/>
        <w:jc w:val="left"/>
      </w:pPr>
      <w:r>
        <w:rPr/>
        <w:t>（一）董事会召开情况</w:t>
      </w:r>
    </w:p>
    <w:p>
      <w:pPr>
        <w:pStyle w:val="BodyText"/>
        <w:spacing w:line="240" w:lineRule="auto" w:before="76"/>
        <w:ind w:left="514" w:right="0"/>
        <w:jc w:val="left"/>
      </w:pPr>
      <w:r>
        <w:rPr>
          <w:rFonts w:ascii="Times New Roman" w:hAnsi="Times New Roman" w:cs="Times New Roman" w:eastAsia="Times New Roman" w:hint="default"/>
        </w:rPr>
        <w:t>2015</w:t>
      </w:r>
      <w:r>
        <w:rPr/>
        <w:t>年公司董事会共召开现场会议</w:t>
      </w:r>
      <w:r>
        <w:rPr>
          <w:rFonts w:ascii="Times New Roman" w:hAnsi="Times New Roman" w:cs="Times New Roman" w:eastAsia="Times New Roman" w:hint="default"/>
        </w:rPr>
        <w:t>13</w:t>
      </w:r>
      <w:r>
        <w:rPr/>
        <w:t>次，全体董事均出席会议。具体情况如下：</w:t>
      </w:r>
    </w:p>
    <w:p>
      <w:pPr>
        <w:pStyle w:val="BodyText"/>
        <w:spacing w:line="309" w:lineRule="auto" w:before="63"/>
        <w:ind w:right="188"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11</w:t>
      </w:r>
      <w:r>
        <w:rPr>
          <w:spacing w:val="-2"/>
        </w:rPr>
        <w:t>日，公司董事会召开第六届第二十次会议，审议并通过了：《关于刘双河先生申请辞去公司董事长、董</w:t>
      </w:r>
      <w:r>
        <w:rPr/>
        <w:t> </w:t>
      </w:r>
      <w:r>
        <w:rPr>
          <w:spacing w:val="-2"/>
        </w:rPr>
        <w:t>事，及公司董事会下设的薪酬及绩效考核委员会、战略委员会、提名委员会，审计委员会成员职务的议案》、《关于李书剑</w:t>
      </w:r>
      <w:r>
        <w:rPr>
          <w:spacing w:val="-65"/>
        </w:rPr>
        <w:t> </w:t>
      </w:r>
      <w:r>
        <w:rPr>
          <w:spacing w:val="-65"/>
        </w:rPr>
      </w:r>
      <w:r>
        <w:rPr/>
        <w:t>先生申请辞去公司董事及公司董事会下设的战略委员会成员职务的议案》等议案。</w:t>
      </w:r>
    </w:p>
    <w:p>
      <w:pPr>
        <w:pStyle w:val="BodyText"/>
        <w:spacing w:line="300" w:lineRule="auto" w:before="24"/>
        <w:ind w:right="188"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14</w:t>
      </w:r>
      <w:r>
        <w:rPr>
          <w:spacing w:val="-2"/>
        </w:rPr>
        <w:t>日，公司董事会召开第六届第二十一次会议，审议并通过了：《关于变更公司名称、证券简称及经营范</w:t>
      </w:r>
      <w:r>
        <w:rPr/>
        <w:t> 围的临时提案》、《关于修改公司章程部分条款的临时提案》。</w:t>
      </w:r>
    </w:p>
    <w:p>
      <w:pPr>
        <w:pStyle w:val="BodyText"/>
        <w:spacing w:line="300" w:lineRule="auto" w:before="31"/>
        <w:ind w:right="191"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28</w:t>
      </w:r>
      <w:r>
        <w:rPr>
          <w:spacing w:val="-2"/>
        </w:rPr>
        <w:t>日，公司董事会召开第七届第一次会议，审议并通过了：《关于河南思达高科技股份有限公司部分资产</w:t>
      </w:r>
      <w:r>
        <w:rPr/>
        <w:t> 负债剥离至全资子公司的议案》、《关于修改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的议案》、关于修改</w:t>
      </w:r>
      <w:r>
        <w:rPr>
          <w:rFonts w:ascii="Times New Roman" w:hAnsi="Times New Roman" w:cs="Times New Roman" w:eastAsia="Times New Roman" w:hint="default"/>
        </w:rPr>
        <w:t>&lt;</w:t>
      </w:r>
      <w:r>
        <w:rPr/>
        <w:t>董事会议事规则</w:t>
      </w:r>
      <w:r>
        <w:rPr>
          <w:rFonts w:ascii="Times New Roman" w:hAnsi="Times New Roman" w:cs="Times New Roman" w:eastAsia="Times New Roman" w:hint="default"/>
        </w:rPr>
        <w:t>&gt;</w:t>
      </w:r>
      <w:r>
        <w:rPr/>
        <w:t>的议案》等议案。</w:t>
      </w:r>
    </w:p>
    <w:p>
      <w:pPr>
        <w:pStyle w:val="BodyText"/>
        <w:spacing w:line="300" w:lineRule="auto" w:before="13"/>
        <w:ind w:right="198"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日，公司董事会召开第七届第二次会议，审议通过了《撤销河南思达高科技股份有限公司郑州电表分公 司及河南思达高科技股份有限公司深圳电测分公司》的议案。</w:t>
      </w:r>
    </w:p>
    <w:p>
      <w:pPr>
        <w:pStyle w:val="BodyText"/>
        <w:spacing w:line="240" w:lineRule="auto" w:before="31"/>
        <w:ind w:left="514" w:right="0"/>
        <w:jc w:val="left"/>
      </w:pP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30</w:t>
      </w:r>
      <w:r>
        <w:rPr>
          <w:spacing w:val="-4"/>
        </w:rPr>
        <w:t>日，公司董事会召开第七届第三次会议，审议通过了：《关于</w:t>
      </w:r>
      <w:r>
        <w:rPr>
          <w:rFonts w:ascii="Times New Roman" w:hAnsi="Times New Roman" w:cs="Times New Roman" w:eastAsia="Times New Roman" w:hint="default"/>
          <w:spacing w:val="-4"/>
        </w:rPr>
        <w:t>&lt;</w:t>
      </w:r>
      <w:r>
        <w:rPr>
          <w:spacing w:val="-4"/>
        </w:rPr>
        <w:t>公司</w:t>
      </w:r>
      <w:r>
        <w:rPr>
          <w:rFonts w:ascii="Times New Roman" w:hAnsi="Times New Roman" w:cs="Times New Roman" w:eastAsia="Times New Roman" w:hint="default"/>
          <w:spacing w:val="-4"/>
        </w:rPr>
        <w:t>2014</w:t>
      </w:r>
      <w:r>
        <w:rPr>
          <w:spacing w:val="-4"/>
        </w:rPr>
        <w:t>年度董事会工作报告</w:t>
      </w:r>
      <w:r>
        <w:rPr>
          <w:rFonts w:ascii="Times New Roman" w:hAnsi="Times New Roman" w:cs="Times New Roman" w:eastAsia="Times New Roman" w:hint="default"/>
          <w:spacing w:val="-4"/>
        </w:rPr>
        <w:t>&gt;</w:t>
      </w:r>
      <w:r>
        <w:rPr>
          <w:spacing w:val="-4"/>
        </w:rPr>
        <w:t>的议案》、</w:t>
      </w:r>
    </w:p>
    <w:p>
      <w:pPr>
        <w:pStyle w:val="BodyText"/>
        <w:spacing w:line="240" w:lineRule="auto" w:before="63"/>
        <w:ind w:right="0"/>
        <w:jc w:val="left"/>
      </w:pPr>
      <w:r>
        <w:rPr/>
        <w:t>《关于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2014</w:t>
      </w:r>
      <w:r>
        <w:rPr/>
        <w:t>年度独立董事述职报告</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2014</w:t>
      </w:r>
      <w:r>
        <w:rPr/>
        <w:t>年度报告全文和年度报告摘要</w:t>
      </w:r>
      <w:r>
        <w:rPr>
          <w:rFonts w:ascii="Times New Roman" w:hAnsi="Times New Roman" w:cs="Times New Roman" w:eastAsia="Times New Roman" w:hint="default"/>
        </w:rPr>
        <w:t>&gt;</w:t>
      </w:r>
      <w:r>
        <w:rPr/>
        <w:t>的议案》等议案。</w:t>
      </w:r>
    </w:p>
    <w:p>
      <w:pPr>
        <w:pStyle w:val="BodyText"/>
        <w:spacing w:line="300" w:lineRule="auto" w:before="63"/>
        <w:ind w:left="153" w:right="190" w:firstLine="360"/>
        <w:jc w:val="both"/>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日，公司董事会召开第七届第四次会议，审议通过了：《公司</w:t>
      </w:r>
      <w:r>
        <w:rPr>
          <w:rFonts w:ascii="Times New Roman" w:hAnsi="Times New Roman" w:cs="Times New Roman" w:eastAsia="Times New Roman" w:hint="default"/>
          <w:spacing w:val="-2"/>
        </w:rPr>
        <w:t>2015</w:t>
      </w:r>
      <w:r>
        <w:rPr>
          <w:spacing w:val="-2"/>
        </w:rPr>
        <w:t>年第一季度报告》、《聘任王科芳女</w:t>
      </w:r>
      <w:r>
        <w:rPr/>
        <w:t> 士为公司董事会秘书》的议案。</w:t>
      </w:r>
    </w:p>
    <w:p>
      <w:pPr>
        <w:pStyle w:val="BodyText"/>
        <w:spacing w:line="240" w:lineRule="auto" w:before="31"/>
        <w:ind w:left="513" w:right="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日，公司董事会召开第七届第五次会议，审议通过了《公司</w:t>
      </w:r>
      <w:r>
        <w:rPr>
          <w:spacing w:val="-19"/>
        </w:rPr>
        <w:t> </w:t>
      </w:r>
      <w:r>
        <w:rPr>
          <w:rFonts w:ascii="Times New Roman" w:hAnsi="Times New Roman" w:cs="Times New Roman" w:eastAsia="Times New Roman" w:hint="default"/>
        </w:rPr>
        <w:t>2015</w:t>
      </w:r>
      <w:r>
        <w:rPr/>
        <w:t>年半年度报告及摘要》。</w:t>
      </w:r>
    </w:p>
    <w:p>
      <w:pPr>
        <w:pStyle w:val="BodyText"/>
        <w:spacing w:line="309" w:lineRule="auto" w:before="63"/>
        <w:ind w:right="191" w:firstLine="360"/>
        <w:jc w:val="both"/>
      </w:pP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23</w:t>
      </w:r>
      <w:r>
        <w:rPr>
          <w:spacing w:val="-2"/>
        </w:rPr>
        <w:t>日，公司董事会召开第七届第六次会议，审议通过了：《关于公司发行股份及支付现金购买资产并募集</w:t>
      </w:r>
      <w:r>
        <w:rPr/>
        <w:t> </w:t>
      </w:r>
      <w:r>
        <w:rPr>
          <w:spacing w:val="-2"/>
        </w:rPr>
        <w:t>配套资金符合相关法律、法规规定的议案》、《关于公司发行股份及支付现金购买资产并募集配套资金暨关联交易具体方案</w:t>
      </w:r>
      <w:r>
        <w:rPr>
          <w:spacing w:val="-65"/>
        </w:rPr>
        <w:t> </w:t>
      </w:r>
      <w:r>
        <w:rPr>
          <w:spacing w:val="-65"/>
        </w:rPr>
      </w:r>
      <w:r>
        <w:rPr/>
        <w:t>的议案》等议案</w:t>
      </w:r>
    </w:p>
    <w:p>
      <w:pPr>
        <w:pStyle w:val="BodyText"/>
        <w:spacing w:line="300" w:lineRule="auto" w:before="24"/>
        <w:ind w:right="191" w:firstLine="360"/>
        <w:jc w:val="both"/>
      </w:pP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日，公司董事会召开第七届第七次会议，审议通过了：《关于评估报告标的公司预测业绩与承诺业绩差</w:t>
      </w:r>
      <w:r>
        <w:rPr/>
        <w:t> 异原因及其合理性说明》、《关于本次重组交易对方履约能力》的议案。</w:t>
      </w:r>
    </w:p>
    <w:p>
      <w:pPr>
        <w:pStyle w:val="BodyText"/>
        <w:spacing w:line="240" w:lineRule="auto" w:before="31"/>
        <w:ind w:left="514" w:right="0"/>
        <w:jc w:val="left"/>
      </w:pPr>
      <w:r>
        <w:rPr>
          <w:rFonts w:ascii="Times New Roman" w:hAnsi="Times New Roman" w:cs="Times New Roman" w:eastAsia="Times New Roman" w:hint="default"/>
        </w:rPr>
        <w:t>10</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日，公司董事会召开第七届第八次会议，审议通过了《公司</w:t>
      </w:r>
      <w:r>
        <w:rPr>
          <w:rFonts w:ascii="Times New Roman" w:hAnsi="Times New Roman" w:cs="Times New Roman" w:eastAsia="Times New Roman" w:hint="default"/>
        </w:rPr>
        <w:t>2015</w:t>
      </w:r>
      <w:r>
        <w:rPr/>
        <w:t>年第三季度报告》。</w:t>
      </w:r>
    </w:p>
    <w:p>
      <w:pPr>
        <w:pStyle w:val="BodyText"/>
        <w:spacing w:line="300" w:lineRule="auto" w:before="63"/>
        <w:ind w:right="191" w:firstLine="360"/>
        <w:jc w:val="both"/>
      </w:pPr>
      <w:r>
        <w:rPr>
          <w:rFonts w:ascii="Times New Roman" w:hAnsi="Times New Roman" w:cs="Times New Roman" w:eastAsia="Times New Roman" w:hint="default"/>
          <w:spacing w:val="-1"/>
        </w:rPr>
        <w:t>11</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26</w:t>
      </w:r>
      <w:r>
        <w:rPr>
          <w:spacing w:val="-1"/>
        </w:rPr>
        <w:t>日，公司董事会召开第七届第九次会议，审议通过了《关于与相关交易对方签署</w:t>
      </w:r>
      <w:r>
        <w:rPr>
          <w:rFonts w:ascii="Times New Roman" w:hAnsi="Times New Roman" w:cs="Times New Roman" w:eastAsia="Times New Roman" w:hint="default"/>
          <w:spacing w:val="-1"/>
        </w:rPr>
        <w:t>&lt;</w:t>
      </w:r>
      <w:r>
        <w:rPr>
          <w:spacing w:val="-1"/>
        </w:rPr>
        <w:t>标的资产盈利预测</w:t>
      </w:r>
      <w:r>
        <w:rPr/>
        <w:t> 补偿协议的补充协议</w:t>
      </w:r>
      <w:r>
        <w:rPr>
          <w:rFonts w:ascii="Times New Roman" w:hAnsi="Times New Roman" w:cs="Times New Roman" w:eastAsia="Times New Roman" w:hint="default"/>
        </w:rPr>
        <w:t>&gt;</w:t>
      </w:r>
      <w:r>
        <w:rPr/>
        <w:t>的议案》。</w:t>
      </w:r>
    </w:p>
    <w:p>
      <w:pPr>
        <w:pStyle w:val="BodyText"/>
        <w:spacing w:line="240" w:lineRule="auto" w:before="13"/>
        <w:ind w:left="514" w:right="0"/>
        <w:jc w:val="left"/>
      </w:pPr>
      <w:r>
        <w:rPr>
          <w:rFonts w:ascii="Times New Roman" w:hAnsi="Times New Roman" w:cs="Times New Roman" w:eastAsia="Times New Roman" w:hint="default"/>
        </w:rPr>
        <w:t>12</w:t>
      </w:r>
      <w:r>
        <w:rPr>
          <w:spacing w:val="-59"/>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w:t>
      </w:r>
      <w:r>
        <w:rPr>
          <w:spacing w:val="-59"/>
        </w:rPr>
        <w:t>，</w:t>
      </w:r>
      <w:r>
        <w:rPr/>
        <w:t>公司董事会召开第七届第十次会议</w:t>
      </w:r>
      <w:r>
        <w:rPr>
          <w:spacing w:val="-59"/>
        </w:rPr>
        <w:t>，</w:t>
      </w:r>
      <w:r>
        <w:rPr/>
        <w:t>审议通过了</w:t>
      </w:r>
      <w:r>
        <w:rPr>
          <w:spacing w:val="-118"/>
        </w:rPr>
        <w:t>：</w:t>
      </w:r>
      <w:r>
        <w:rPr/>
        <w:t>《关于转让控股子公司股权暨关联交易的议案</w:t>
      </w:r>
      <w:r>
        <w:rPr>
          <w:spacing w:val="-59"/>
        </w:rPr>
        <w:t>》</w:t>
      </w:r>
      <w:r>
        <w:rPr/>
        <w:t>、</w:t>
      </w:r>
    </w:p>
    <w:p>
      <w:pPr>
        <w:pStyle w:val="BodyText"/>
        <w:spacing w:line="240" w:lineRule="auto" w:before="63"/>
        <w:ind w:left="153" w:right="0"/>
        <w:jc w:val="left"/>
      </w:pPr>
      <w:r>
        <w:rPr/>
        <w:t>《关于转让全资子公司股权暨关联交易的议案》、《关于债权转让暨关联交易的议案》等议案。</w:t>
      </w:r>
    </w:p>
    <w:p>
      <w:pPr>
        <w:pStyle w:val="BodyText"/>
        <w:spacing w:line="300" w:lineRule="auto" w:before="76"/>
        <w:ind w:left="153" w:right="191" w:firstLine="360"/>
        <w:jc w:val="both"/>
      </w:pPr>
      <w:r>
        <w:rPr>
          <w:rFonts w:ascii="Times New Roman" w:hAnsi="Times New Roman" w:cs="Times New Roman" w:eastAsia="Times New Roman" w:hint="default"/>
          <w:spacing w:val="-2"/>
        </w:rPr>
        <w:t>13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rFonts w:ascii="Times New Roman" w:hAnsi="Times New Roman" w:cs="Times New Roman" w:eastAsia="Times New Roman" w:hint="default"/>
          <w:spacing w:val="11"/>
        </w:rPr>
        <w:t> </w:t>
      </w:r>
      <w:r>
        <w:rPr>
          <w:spacing w:val="-2"/>
        </w:rPr>
        <w:t>日，公司董事会召开第七届第十一次会议，审议通过了：《关于与相关交易对方签署</w:t>
      </w:r>
      <w:r>
        <w:rPr>
          <w:rFonts w:ascii="Times New Roman" w:hAnsi="Times New Roman" w:cs="Times New Roman" w:eastAsia="Times New Roman" w:hint="default"/>
          <w:spacing w:val="-2"/>
        </w:rPr>
        <w:t>&lt;</w:t>
      </w:r>
      <w:r>
        <w:rPr>
          <w:spacing w:val="-2"/>
        </w:rPr>
        <w:t>标的资产盈利</w:t>
      </w:r>
      <w:r>
        <w:rPr/>
        <w:t> 预测补偿协议的补充协议二</w:t>
      </w:r>
      <w:r>
        <w:rPr>
          <w:rFonts w:ascii="Times New Roman" w:hAnsi="Times New Roman" w:cs="Times New Roman" w:eastAsia="Times New Roman" w:hint="default"/>
        </w:rPr>
        <w:t>&gt;</w:t>
      </w:r>
      <w:r>
        <w:rPr/>
        <w:t>的议案》、《关于与相关交易对方签署</w:t>
      </w:r>
      <w:r>
        <w:rPr>
          <w:rFonts w:ascii="Times New Roman" w:hAnsi="Times New Roman" w:cs="Times New Roman" w:eastAsia="Times New Roman" w:hint="default"/>
        </w:rPr>
        <w:t>&lt;</w:t>
      </w:r>
      <w:r>
        <w:rPr/>
        <w:t>发行股份购买资产协议的补充协议</w:t>
      </w:r>
      <w:r>
        <w:rPr>
          <w:rFonts w:ascii="Times New Roman" w:hAnsi="Times New Roman" w:cs="Times New Roman" w:eastAsia="Times New Roman" w:hint="default"/>
        </w:rPr>
        <w:t>&gt;</w:t>
      </w:r>
      <w:r>
        <w:rPr/>
        <w:t>的议案》。</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513" w:right="0"/>
        <w:jc w:val="left"/>
      </w:pPr>
      <w:r>
        <w:rPr/>
        <w:t>（二）董事会对股东大会的决议执行情况 </w:t>
      </w:r>
      <w:r>
        <w:rPr>
          <w:spacing w:val="-2"/>
        </w:rPr>
        <w:t>报告期内，公司董事会依照《公司法》、《公司章程》所赋予的职责及国家有关法律、法规的规定，本着对全体股东负</w:t>
      </w:r>
    </w:p>
    <w:p>
      <w:pPr>
        <w:pStyle w:val="BodyText"/>
        <w:spacing w:line="240" w:lineRule="auto" w:before="19"/>
        <w:ind w:left="153" w:right="0"/>
        <w:jc w:val="left"/>
      </w:pPr>
      <w:r>
        <w:rPr/>
        <w:t>责的宗旨，认真行使股东大会授予的权力，全面贯彻执行了股东大会的有关决议。具体情况如下：</w:t>
      </w:r>
    </w:p>
    <w:p>
      <w:pPr>
        <w:pStyle w:val="BodyText"/>
        <w:spacing w:line="300" w:lineRule="auto" w:before="76"/>
        <w:ind w:right="0"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28</w:t>
      </w:r>
      <w:r>
        <w:rPr>
          <w:spacing w:val="-2"/>
        </w:rPr>
        <w:t>日，公司召开了</w:t>
      </w:r>
      <w:r>
        <w:rPr>
          <w:rFonts w:ascii="Times New Roman" w:hAnsi="Times New Roman" w:cs="Times New Roman" w:eastAsia="Times New Roman" w:hint="default"/>
          <w:spacing w:val="-2"/>
        </w:rPr>
        <w:t>2015</w:t>
      </w:r>
      <w:r>
        <w:rPr>
          <w:spacing w:val="-2"/>
        </w:rPr>
        <w:t>年第一次临时股东大会，审议并通过了：《段东辉女士为公司第七届董事会独立董</w:t>
      </w:r>
      <w:r>
        <w:rPr/>
        <w:t> 事的议案》、《余应敏先生为公司第七届董事会独立董事的议案》等议案。</w:t>
      </w:r>
    </w:p>
    <w:p>
      <w:pPr>
        <w:pStyle w:val="BodyText"/>
        <w:spacing w:line="300" w:lineRule="auto" w:before="31"/>
        <w:ind w:right="0"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日，公司召开了</w:t>
      </w:r>
      <w:r>
        <w:rPr>
          <w:rFonts w:ascii="Times New Roman" w:hAnsi="Times New Roman" w:cs="Times New Roman" w:eastAsia="Times New Roman" w:hint="default"/>
          <w:spacing w:val="-2"/>
        </w:rPr>
        <w:t>2015</w:t>
      </w:r>
      <w:r>
        <w:rPr>
          <w:spacing w:val="-2"/>
        </w:rPr>
        <w:t>年第二次临时股东大会，审议并通过了：《关于河南思达高科技股份有限公司部分</w:t>
      </w:r>
      <w:r>
        <w:rPr/>
        <w:t> 资产负债剥离至全资子公司的议案》、《关于修改〈公司章程〉的议案》等议案。</w:t>
      </w:r>
    </w:p>
    <w:p>
      <w:pPr>
        <w:pStyle w:val="BodyText"/>
        <w:spacing w:line="240" w:lineRule="auto" w:before="31"/>
        <w:ind w:left="514" w:right="0"/>
        <w:jc w:val="left"/>
      </w:pP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24</w:t>
      </w:r>
      <w:r>
        <w:rPr>
          <w:spacing w:val="-4"/>
        </w:rPr>
        <w:t>日，公司召开了</w:t>
      </w:r>
      <w:r>
        <w:rPr>
          <w:rFonts w:ascii="Times New Roman" w:hAnsi="Times New Roman" w:cs="Times New Roman" w:eastAsia="Times New Roman" w:hint="default"/>
          <w:spacing w:val="-4"/>
        </w:rPr>
        <w:t>2014</w:t>
      </w:r>
      <w:r>
        <w:rPr>
          <w:spacing w:val="-4"/>
        </w:rPr>
        <w:t>年年度股东大会，审议并通过了：《关于</w:t>
      </w:r>
      <w:r>
        <w:rPr>
          <w:rFonts w:ascii="Times New Roman" w:hAnsi="Times New Roman" w:cs="Times New Roman" w:eastAsia="Times New Roman" w:hint="default"/>
          <w:spacing w:val="-4"/>
        </w:rPr>
        <w:t>&lt;</w:t>
      </w:r>
      <w:r>
        <w:rPr>
          <w:spacing w:val="-4"/>
        </w:rPr>
        <w:t>公司</w:t>
      </w:r>
      <w:r>
        <w:rPr>
          <w:rFonts w:ascii="Times New Roman" w:hAnsi="Times New Roman" w:cs="Times New Roman" w:eastAsia="Times New Roman" w:hint="default"/>
          <w:spacing w:val="-4"/>
        </w:rPr>
        <w:t>2014</w:t>
      </w:r>
      <w:r>
        <w:rPr>
          <w:spacing w:val="-4"/>
        </w:rPr>
        <w:t>年度董事会工作报告</w:t>
      </w:r>
      <w:r>
        <w:rPr>
          <w:rFonts w:ascii="Times New Roman" w:hAnsi="Times New Roman" w:cs="Times New Roman" w:eastAsia="Times New Roman" w:hint="default"/>
          <w:spacing w:val="-4"/>
        </w:rPr>
        <w:t>&gt;</w:t>
      </w:r>
      <w:r>
        <w:rPr>
          <w:spacing w:val="-4"/>
        </w:rPr>
        <w:t>的议案》、</w:t>
      </w:r>
    </w:p>
    <w:p>
      <w:pPr>
        <w:pStyle w:val="BodyText"/>
        <w:spacing w:line="240" w:lineRule="auto" w:before="63"/>
        <w:ind w:right="0"/>
        <w:jc w:val="left"/>
      </w:pPr>
      <w:r>
        <w:rPr/>
        <w:t>《关于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2014</w:t>
      </w:r>
      <w:r>
        <w:rPr/>
        <w:t>年度独立董事述职报告</w:t>
      </w:r>
      <w:r>
        <w:rPr>
          <w:rFonts w:ascii="Times New Roman" w:hAnsi="Times New Roman" w:cs="Times New Roman" w:eastAsia="Times New Roman" w:hint="default"/>
        </w:rPr>
        <w:t>&gt;</w:t>
      </w:r>
      <w:r>
        <w:rPr/>
        <w:t>的议案》等议案。</w:t>
      </w:r>
    </w:p>
    <w:p>
      <w:pPr>
        <w:pStyle w:val="BodyText"/>
        <w:spacing w:line="309" w:lineRule="auto" w:before="63"/>
        <w:ind w:right="189"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9</w:t>
      </w:r>
      <w:r>
        <w:rPr>
          <w:spacing w:val="-2"/>
        </w:rPr>
        <w:t>日，公司召开了</w:t>
      </w:r>
      <w:r>
        <w:rPr>
          <w:rFonts w:ascii="Times New Roman" w:hAnsi="Times New Roman" w:cs="Times New Roman" w:eastAsia="Times New Roman" w:hint="default"/>
          <w:spacing w:val="-2"/>
        </w:rPr>
        <w:t>2015</w:t>
      </w:r>
      <w:r>
        <w:rPr>
          <w:spacing w:val="-2"/>
        </w:rPr>
        <w:t>年第三次临时股东大会，审议并通过了：《关于公司发行股份及支付现金购买资产</w:t>
      </w:r>
      <w:r>
        <w:rPr/>
        <w:t> </w:t>
      </w:r>
      <w:r>
        <w:rPr>
          <w:spacing w:val="-2"/>
        </w:rPr>
        <w:t>并募集配套资金符合相关法律、法规规定的议案》、《关于公司发行股份及支付现金购买资产并募集配套资金暨关联交易具</w:t>
      </w:r>
      <w:r>
        <w:rPr>
          <w:spacing w:val="-65"/>
        </w:rPr>
        <w:t> </w:t>
      </w:r>
      <w:r>
        <w:rPr>
          <w:spacing w:val="-65"/>
        </w:rPr>
      </w:r>
      <w:r>
        <w:rPr/>
        <w:t>体方案的议案》等议案。</w:t>
      </w:r>
    </w:p>
    <w:p>
      <w:pPr>
        <w:pStyle w:val="BodyText"/>
        <w:spacing w:line="300" w:lineRule="auto" w:before="24"/>
        <w:ind w:right="180" w:firstLine="36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日，公司召开了</w:t>
      </w:r>
      <w:r>
        <w:rPr>
          <w:rFonts w:ascii="Times New Roman" w:hAnsi="Times New Roman" w:cs="Times New Roman" w:eastAsia="Times New Roman" w:hint="default"/>
        </w:rPr>
        <w:t>2015</w:t>
      </w:r>
      <w:r>
        <w:rPr/>
        <w:t>年第四次临时股东大会，审议并通过了：《关于转让控股子公司股权暨关联交易 的议案》、《关于转让全资子公司股权暨关联交易的议案》等议案。</w:t>
      </w:r>
    </w:p>
    <w:p>
      <w:pPr>
        <w:pStyle w:val="BodyText"/>
        <w:spacing w:line="316" w:lineRule="auto" w:before="31"/>
        <w:ind w:left="514" w:right="0"/>
        <w:jc w:val="left"/>
      </w:pPr>
      <w:r>
        <w:rPr/>
        <w:t>（三）专门委员会工作情况 </w:t>
      </w:r>
      <w:r>
        <w:rPr>
          <w:spacing w:val="-2"/>
        </w:rPr>
        <w:t>报告期内，董事会发挥各专门委员会的作用，尊重专门委员会提出的各项建议和意见，在财务信息披露、内部审计、外</w:t>
      </w:r>
    </w:p>
    <w:p>
      <w:pPr>
        <w:pStyle w:val="BodyText"/>
        <w:spacing w:line="316" w:lineRule="auto" w:before="19"/>
        <w:ind w:right="0"/>
        <w:jc w:val="left"/>
      </w:pPr>
      <w:r>
        <w:rPr>
          <w:spacing w:val="-2"/>
        </w:rPr>
        <w:t>部审计和重大事项决策方面，提请专门委员会事先审议，使专门委员会能够了解相关议案内容，为公司规范化治理和信息披</w:t>
      </w:r>
      <w:r>
        <w:rPr>
          <w:spacing w:val="-66"/>
        </w:rPr>
        <w:t> </w:t>
      </w:r>
      <w:r>
        <w:rPr>
          <w:spacing w:val="-66"/>
        </w:rPr>
      </w:r>
      <w:r>
        <w:rPr/>
        <w:t>露质量的提高，起到了积极地推动作用。</w:t>
      </w:r>
    </w:p>
    <w:p>
      <w:pPr>
        <w:pStyle w:val="BodyText"/>
        <w:spacing w:line="240" w:lineRule="auto" w:before="19"/>
        <w:ind w:left="514" w:right="0"/>
        <w:jc w:val="left"/>
      </w:pPr>
      <w:r>
        <w:rPr>
          <w:rFonts w:ascii="Times New Roman" w:hAnsi="Times New Roman" w:cs="Times New Roman" w:eastAsia="Times New Roman" w:hint="default"/>
        </w:rPr>
        <w:t>1</w:t>
      </w:r>
      <w:r>
        <w:rPr/>
        <w:t>、提名委员会履职情况</w:t>
      </w:r>
    </w:p>
    <w:p>
      <w:pPr>
        <w:pStyle w:val="BodyText"/>
        <w:spacing w:line="300" w:lineRule="auto" w:before="63"/>
        <w:ind w:right="0"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11</w:t>
      </w:r>
      <w:r>
        <w:rPr>
          <w:spacing w:val="-2"/>
        </w:rPr>
        <w:t>日，公司提名委员会召开会议，审议了公司第七届董事会董事候选人名单：同意段东辉、余应敏、赵立仁、</w:t>
      </w:r>
      <w:r>
        <w:rPr/>
        <w:t> 孙静、孙谦为公司第七届董事会董事候选人，其中段东辉、余应敏为独立董事候选人，并发表意见。</w:t>
      </w:r>
    </w:p>
    <w:p>
      <w:pPr>
        <w:pStyle w:val="BodyText"/>
        <w:spacing w:line="300" w:lineRule="auto" w:before="31"/>
        <w:ind w:right="180"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日，公司提名委员会召开会议，提名赵立仁先生为总经理候选人；刘韡先生为财务总监候选人；以上人员 聘期三年。同时指定刘韡先生代行董事会秘书职责，期限不超过三个月。</w:t>
      </w:r>
    </w:p>
    <w:p>
      <w:pPr>
        <w:pStyle w:val="BodyText"/>
        <w:spacing w:line="240" w:lineRule="auto" w:before="31"/>
        <w:ind w:left="51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日，公司提名委员会召开会议，提名王科芳女士为董事会秘书候选人，聘期与本届董事会一致。</w:t>
      </w:r>
    </w:p>
    <w:p>
      <w:pPr>
        <w:pStyle w:val="BodyText"/>
        <w:spacing w:line="300" w:lineRule="auto" w:before="63"/>
        <w:ind w:left="513" w:right="0"/>
        <w:jc w:val="left"/>
      </w:pPr>
      <w:r>
        <w:rPr>
          <w:rFonts w:ascii="Times New Roman" w:hAnsi="Times New Roman" w:cs="Times New Roman" w:eastAsia="Times New Roman" w:hint="default"/>
        </w:rPr>
        <w:t>2</w:t>
      </w:r>
      <w:r>
        <w:rPr/>
        <w:t>、战略委员会履职情况 </w:t>
      </w:r>
      <w:r>
        <w:rPr>
          <w:spacing w:val="-2"/>
        </w:rPr>
        <w:t>公司董事会战略委员会按照相关规定切实履行职责。审议了公司</w:t>
      </w:r>
      <w:r>
        <w:rPr>
          <w:rFonts w:ascii="Times New Roman" w:hAnsi="Times New Roman" w:cs="Times New Roman" w:eastAsia="Times New Roman" w:hint="default"/>
          <w:spacing w:val="-2"/>
        </w:rPr>
        <w:t>2015</w:t>
      </w:r>
      <w:r>
        <w:rPr>
          <w:spacing w:val="-2"/>
        </w:rPr>
        <w:t>年度董事会工作报告，并对公司</w:t>
      </w:r>
      <w:r>
        <w:rPr>
          <w:rFonts w:ascii="Times New Roman" w:hAnsi="Times New Roman" w:cs="Times New Roman" w:eastAsia="Times New Roman" w:hint="default"/>
          <w:spacing w:val="-2"/>
        </w:rPr>
        <w:t>2016</w:t>
      </w:r>
      <w:r>
        <w:rPr>
          <w:spacing w:val="-2"/>
        </w:rPr>
        <w:t>年年度发展计</w:t>
      </w:r>
    </w:p>
    <w:p>
      <w:pPr>
        <w:pStyle w:val="BodyText"/>
        <w:spacing w:line="240" w:lineRule="auto" w:before="13"/>
        <w:ind w:left="153" w:right="0"/>
        <w:jc w:val="left"/>
      </w:pPr>
      <w:r>
        <w:rPr/>
        <w:t>划、技术研发、市场推广等经营战略进行讨论并提出建议。</w:t>
      </w:r>
    </w:p>
    <w:p>
      <w:pPr>
        <w:pStyle w:val="BodyText"/>
        <w:spacing w:line="240" w:lineRule="auto" w:before="76"/>
        <w:ind w:left="513" w:right="0"/>
        <w:jc w:val="left"/>
      </w:pPr>
      <w:r>
        <w:rPr>
          <w:rFonts w:ascii="Times New Roman" w:hAnsi="Times New Roman" w:cs="Times New Roman" w:eastAsia="Times New Roman" w:hint="default"/>
        </w:rPr>
        <w:t>3</w:t>
      </w:r>
      <w:r>
        <w:rPr/>
        <w:t>、薪酬及绩效考核委员会履职情况</w:t>
      </w:r>
    </w:p>
    <w:p>
      <w:pPr>
        <w:pStyle w:val="BodyText"/>
        <w:spacing w:line="300" w:lineRule="auto" w:before="63"/>
        <w:ind w:left="153" w:right="91" w:firstLine="360"/>
        <w:jc w:val="left"/>
      </w:pPr>
      <w:r>
        <w:rPr>
          <w:rFonts w:ascii="Times New Roman" w:hAnsi="Times New Roman" w:cs="Times New Roman" w:eastAsia="Times New Roman" w:hint="default"/>
          <w:spacing w:val="-2"/>
        </w:rPr>
        <w:t>2015</w:t>
      </w:r>
      <w:r>
        <w:rPr>
          <w:spacing w:val="-2"/>
        </w:rPr>
        <w:t>年，公司薪酬及绩效考核委员会在公司董事会领导下，积极开展各项工作，根据《公司高管人员薪酬方案》的有关</w:t>
      </w:r>
      <w:r>
        <w:rPr/>
        <w:t> 规定，薪酬与考核委员会对公司</w:t>
      </w:r>
      <w:r>
        <w:rPr>
          <w:rFonts w:ascii="Times New Roman" w:hAnsi="Times New Roman" w:cs="Times New Roman" w:eastAsia="Times New Roman" w:hint="default"/>
        </w:rPr>
        <w:t>2015</w:t>
      </w:r>
      <w:r>
        <w:rPr/>
        <w:t>年度的各项经营指标完成情况以及各位高级管理人员履行职务情况进行了考察和评价， 提议公司应着眼于长远发展，在适当的时候提出激励计划。</w:t>
      </w:r>
    </w:p>
    <w:p>
      <w:pPr>
        <w:pStyle w:val="BodyText"/>
        <w:spacing w:line="240" w:lineRule="auto" w:before="31"/>
        <w:ind w:left="513" w:right="0"/>
        <w:jc w:val="left"/>
      </w:pPr>
      <w:r>
        <w:rPr>
          <w:rFonts w:ascii="Times New Roman" w:hAnsi="Times New Roman" w:cs="Times New Roman" w:eastAsia="Times New Roman" w:hint="default"/>
        </w:rPr>
        <w:t>4</w:t>
      </w:r>
      <w:r>
        <w:rPr/>
        <w:t>、审计委员会履职情况</w:t>
      </w:r>
    </w:p>
    <w:p>
      <w:pPr>
        <w:pStyle w:val="BodyText"/>
        <w:spacing w:line="300" w:lineRule="auto" w:before="63"/>
        <w:ind w:left="153" w:right="181"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日，公司审计委员会</w:t>
      </w:r>
      <w:r>
        <w:rPr>
          <w:rFonts w:ascii="Times New Roman" w:hAnsi="Times New Roman" w:cs="Times New Roman" w:eastAsia="Times New Roman" w:hint="default"/>
        </w:rPr>
        <w:t>2014</w:t>
      </w:r>
      <w:r>
        <w:rPr/>
        <w:t>年年度工作会议在公司会议室召开，会议审议通过了《公司</w:t>
      </w:r>
      <w:r>
        <w:rPr>
          <w:rFonts w:ascii="Times New Roman" w:hAnsi="Times New Roman" w:cs="Times New Roman" w:eastAsia="Times New Roman" w:hint="default"/>
        </w:rPr>
        <w:t>2014</w:t>
      </w:r>
      <w:r>
        <w:rPr/>
        <w:t>年年度财务会计 报告》、《公司对会计师事务所</w:t>
      </w:r>
      <w:r>
        <w:rPr>
          <w:rFonts w:ascii="Times New Roman" w:hAnsi="Times New Roman" w:cs="Times New Roman" w:eastAsia="Times New Roman" w:hint="default"/>
        </w:rPr>
        <w:t>2014</w:t>
      </w:r>
      <w:r>
        <w:rPr/>
        <w:t>年度执业情况的评价报告》的议案，并同意提交董事会审议。</w:t>
      </w:r>
    </w:p>
    <w:p>
      <w:pPr>
        <w:pStyle w:val="BodyText"/>
        <w:spacing w:line="240" w:lineRule="auto" w:before="13"/>
        <w:ind w:left="513" w:right="0"/>
        <w:jc w:val="left"/>
      </w:pPr>
      <w:r>
        <w:rPr/>
        <w:t>（四）积极推动重大资产重组工作</w:t>
      </w:r>
    </w:p>
    <w:p>
      <w:pPr>
        <w:pStyle w:val="BodyText"/>
        <w:spacing w:line="309" w:lineRule="auto" w:before="76"/>
        <w:ind w:left="153" w:right="190" w:firstLine="360"/>
        <w:jc w:val="both"/>
      </w:pPr>
      <w:r>
        <w:rPr>
          <w:rFonts w:ascii="Times New Roman" w:hAnsi="Times New Roman" w:cs="Times New Roman" w:eastAsia="Times New Roman" w:hint="default"/>
          <w:spacing w:val="-2"/>
        </w:rPr>
        <w:t>2014</w:t>
      </w:r>
      <w:r>
        <w:rPr>
          <w:spacing w:val="-2"/>
        </w:rPr>
        <w:t>年，公司第一大股东由正弘置业变更为智度德普，并随之筹划与之相关的重大资产重组事项。</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w:t>
      </w:r>
      <w:r>
        <w:rPr/>
        <w:t> 司重大资产重组方案经中国证监会并购重组委员会讨论作出了予以不通过的决定。鉴于本次重组方案的实施</w:t>
      </w:r>
      <w:r>
        <w:rPr>
          <w:rFonts w:ascii="Times New Roman" w:hAnsi="Times New Roman" w:cs="Times New Roman" w:eastAsia="Times New Roman" w:hint="default"/>
        </w:rPr>
        <w:t>,</w:t>
      </w:r>
      <w:r>
        <w:rPr/>
        <w:t>公司将有效推 </w:t>
      </w:r>
      <w:r>
        <w:rPr>
          <w:spacing w:val="-2"/>
        </w:rPr>
        <w:t>进移动互联网的流量聚合和经营业务，成为一家拥有移动互联网流量入口、移动互联网流量经营平台和商业变现渠道的三位</w:t>
      </w:r>
      <w:r>
        <w:rPr>
          <w:spacing w:val="-64"/>
        </w:rPr>
        <w:t> </w:t>
      </w:r>
      <w:r>
        <w:rPr>
          <w:spacing w:val="-64"/>
        </w:rPr>
      </w:r>
      <w:r>
        <w:rPr>
          <w:spacing w:val="-2"/>
        </w:rPr>
        <w:t>一体的移动互联网公司。公司主营业务向移动互联网方向的转变，将实现公司经营状况的实质性提升，公司对此具有充分的</w:t>
      </w:r>
      <w:r>
        <w:rPr>
          <w:spacing w:val="-66"/>
        </w:rPr>
        <w:t> </w:t>
      </w:r>
      <w:r>
        <w:rPr>
          <w:spacing w:val="-66"/>
        </w:rPr>
      </w:r>
      <w:r>
        <w:rPr/>
        <w:t>信心及实施能力。</w:t>
      </w:r>
    </w:p>
    <w:p>
      <w:pPr>
        <w:pStyle w:val="BodyText"/>
        <w:spacing w:line="316" w:lineRule="auto" w:before="24"/>
        <w:ind w:left="513" w:right="451"/>
        <w:jc w:val="left"/>
      </w:pPr>
      <w:r>
        <w:rPr/>
        <w:t>本次重大资产重组事项的实施有利于提升公司核心竞争力，保障公司长期可持续发展，符合公司和全体股东利益。 公司正全力以赴，根据并购重组委的会后意见调整修改重组方案。</w:t>
      </w:r>
    </w:p>
    <w:p>
      <w:pPr>
        <w:pStyle w:val="BodyText"/>
        <w:spacing w:line="316" w:lineRule="auto" w:before="19"/>
        <w:ind w:left="513" w:right="0"/>
        <w:jc w:val="left"/>
      </w:pPr>
      <w:r>
        <w:rPr/>
        <w:t>（五）内幕信息知情人登记管理制度的执行情况 </w:t>
      </w:r>
      <w:r>
        <w:rPr>
          <w:spacing w:val="-2"/>
        </w:rPr>
        <w:t>为规范公司的内幕信息管理，加强内幕信息保密工作，以维护信息披露的公平原则，公司根据《内幕信息知情人登记备</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r>
        <w:rPr>
          <w:spacing w:val="-2"/>
        </w:rPr>
        <w:t>案管理制度》，严格规定了内幕信息以及内幕信息知情人的范围，明确了相关责任人的权利和义务，以及内幕信息知情人的</w:t>
      </w:r>
      <w:r>
        <w:rPr>
          <w:spacing w:val="-66"/>
        </w:rPr>
        <w:t> </w:t>
      </w:r>
      <w:r>
        <w:rPr>
          <w:spacing w:val="-66"/>
        </w:rPr>
      </w:r>
      <w:r>
        <w:rPr/>
        <w:t>登记备案管理。</w:t>
      </w:r>
    </w:p>
    <w:p>
      <w:pPr>
        <w:pStyle w:val="BodyText"/>
        <w:spacing w:line="309" w:lineRule="auto" w:before="19"/>
        <w:ind w:left="153" w:right="151" w:firstLine="360"/>
        <w:jc w:val="both"/>
      </w:pPr>
      <w:r>
        <w:rPr>
          <w:spacing w:val="-2"/>
        </w:rPr>
        <w:t>报告期内，公司严格按照深圳证券交易所的要求以及《内幕信息知情人登记备案管理制度》的规定，在年度报告、半年</w:t>
      </w:r>
      <w:r>
        <w:rPr/>
        <w:t> 度报告以及季度报告的制作和重大资产重组的推进过程中，对所涉及的内幕信息知情人逐一登记，未出现敏感期内以及</w:t>
      </w:r>
      <w:r>
        <w:rPr>
          <w:rFonts w:ascii="Times New Roman" w:hAnsi="Times New Roman" w:cs="Times New Roman" w:eastAsia="Times New Roman" w:hint="default"/>
        </w:rPr>
        <w:t>6</w:t>
      </w:r>
      <w:r>
        <w:rPr/>
        <w:t>个 月内短线买卖公司股票的行为。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18"/>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874"/>
        <w:jc w:val="right"/>
      </w:pPr>
      <w:r>
        <w:rPr/>
        <w:t>单位：元</w:t>
      </w:r>
    </w:p>
    <w:p>
      <w:pPr>
        <w:spacing w:line="240" w:lineRule="auto" w:before="13"/>
        <w:rPr>
          <w:rFonts w:ascii="宋体" w:hAnsi="宋体" w:cs="宋体" w:eastAsia="宋体" w:hint="default"/>
          <w:sz w:val="7"/>
          <w:szCs w:val="7"/>
        </w:rPr>
      </w:pPr>
    </w:p>
    <w:tbl>
      <w:tblPr>
        <w:tblW w:w="0" w:type="auto"/>
        <w:jc w:val="left"/>
        <w:tblInd w:w="805" w:type="dxa"/>
        <w:tblLayout w:type="fixed"/>
        <w:tblCellMar>
          <w:top w:w="0" w:type="dxa"/>
          <w:left w:w="0" w:type="dxa"/>
          <w:bottom w:w="0" w:type="dxa"/>
          <w:right w:w="0" w:type="dxa"/>
        </w:tblCellMar>
        <w:tblLook w:val="01E0"/>
      </w:tblPr>
      <w:tblGrid>
        <w:gridCol w:w="3302"/>
        <w:gridCol w:w="1848"/>
        <w:gridCol w:w="1702"/>
        <w:gridCol w:w="1464"/>
      </w:tblGrid>
      <w:tr>
        <w:trPr>
          <w:trHeight w:val="353" w:hRule="exact"/>
        </w:trPr>
        <w:tc>
          <w:tcPr>
            <w:tcW w:w="3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w:t>
            </w:r>
            <w:r>
              <w:rPr>
                <w:rFonts w:ascii="宋体" w:hAnsi="宋体" w:cs="宋体" w:eastAsia="宋体" w:hint="default"/>
                <w:sz w:val="18"/>
                <w:szCs w:val="18"/>
              </w:rPr>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sz w:val="18"/>
                <w:szCs w:val="18"/>
              </w:rPr>
            </w:r>
          </w:p>
        </w:tc>
      </w:tr>
      <w:tr>
        <w:trPr>
          <w:trHeight w:val="352" w:hRule="exact"/>
        </w:trPr>
        <w:tc>
          <w:tcPr>
            <w:tcW w:w="3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317,583,186.73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373,075,635.01</w:t>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-14.87%</w:t>
            </w:r>
          </w:p>
        </w:tc>
      </w:tr>
      <w:tr>
        <w:trPr>
          <w:trHeight w:val="352" w:hRule="exact"/>
        </w:trPr>
        <w:tc>
          <w:tcPr>
            <w:tcW w:w="3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207,855,009.41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248,017,785.13</w:t>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-16.19%</w:t>
            </w:r>
          </w:p>
        </w:tc>
      </w:tr>
      <w:tr>
        <w:trPr>
          <w:trHeight w:val="353" w:hRule="exact"/>
        </w:trPr>
        <w:tc>
          <w:tcPr>
            <w:tcW w:w="3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3,974,690.35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4,970,647.81</w:t>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-20.04%</w:t>
            </w:r>
          </w:p>
        </w:tc>
      </w:tr>
      <w:tr>
        <w:trPr>
          <w:trHeight w:val="352" w:hRule="exact"/>
        </w:trPr>
        <w:tc>
          <w:tcPr>
            <w:tcW w:w="3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54,002,670.90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62,898,535.98</w:t>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-14.14%</w:t>
            </w:r>
          </w:p>
        </w:tc>
      </w:tr>
      <w:tr>
        <w:trPr>
          <w:trHeight w:val="352" w:hRule="exact"/>
        </w:trPr>
        <w:tc>
          <w:tcPr>
            <w:tcW w:w="3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87,049,295.05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84,030,384.79</w:t>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3.59%</w:t>
            </w:r>
          </w:p>
        </w:tc>
      </w:tr>
      <w:tr>
        <w:trPr>
          <w:trHeight w:val="353" w:hRule="exact"/>
        </w:trPr>
        <w:tc>
          <w:tcPr>
            <w:tcW w:w="3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6,757,855.02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20,083,172.70</w:t>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-66.35%</w:t>
            </w:r>
          </w:p>
        </w:tc>
      </w:tr>
      <w:tr>
        <w:trPr>
          <w:trHeight w:val="352" w:hRule="exact"/>
        </w:trPr>
        <w:tc>
          <w:tcPr>
            <w:tcW w:w="3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研发投入</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28,498,645.37</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31,619,140.75</w:t>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-9.87%</w:t>
            </w:r>
          </w:p>
        </w:tc>
      </w:tr>
      <w:tr>
        <w:trPr>
          <w:trHeight w:val="352" w:hRule="exact"/>
        </w:trPr>
        <w:tc>
          <w:tcPr>
            <w:tcW w:w="3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-2,185,728.60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-76,605,558.28</w:t>
            </w:r>
          </w:p>
        </w:tc>
        <w:tc>
          <w:tcPr>
            <w:tcW w:w="1464"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3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归属于上市公司股东净利润</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3,503,549.39</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-68,589,798.29</w:t>
            </w:r>
          </w:p>
        </w:tc>
        <w:tc>
          <w:tcPr>
            <w:tcW w:w="1464"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3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31,336,390.35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69,812,435.47</w:t>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-55.11%</w:t>
            </w:r>
          </w:p>
        </w:tc>
      </w:tr>
      <w:tr>
        <w:trPr>
          <w:trHeight w:val="352" w:hRule="exact"/>
        </w:trPr>
        <w:tc>
          <w:tcPr>
            <w:tcW w:w="3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53,915,466.88</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-7,021,724.89</w:t>
            </w:r>
          </w:p>
        </w:tc>
        <w:tc>
          <w:tcPr>
            <w:tcW w:w="1464"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3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-58,961,716.20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-150,048,021.24</w:t>
            </w:r>
          </w:p>
        </w:tc>
        <w:tc>
          <w:tcPr>
            <w:tcW w:w="1464" w:type="dxa"/>
            <w:tcBorders>
              <w:top w:val="single" w:sz="8" w:space="0" w:color="000000"/>
              <w:left w:val="single" w:sz="8" w:space="0" w:color="000000"/>
              <w:bottom w:val="single" w:sz="8" w:space="0" w:color="000000"/>
              <w:right w:val="single" w:sz="8" w:space="0" w:color="000000"/>
            </w:tcBorders>
          </w:tcPr>
          <w:p>
            <w:pPr/>
          </w:p>
        </w:tc>
      </w:tr>
    </w:tbl>
    <w:p>
      <w:pPr>
        <w:pStyle w:val="BodyText"/>
        <w:spacing w:line="300" w:lineRule="auto" w:before="10"/>
        <w:ind w:left="513" w:right="156"/>
        <w:jc w:val="left"/>
      </w:pPr>
      <w:r>
        <w:rPr/>
        <w:t>营业税金及附加同比减少</w:t>
      </w:r>
      <w:r>
        <w:rPr>
          <w:rFonts w:ascii="Times New Roman" w:hAnsi="Times New Roman" w:cs="Times New Roman" w:eastAsia="Times New Roman" w:hint="default"/>
        </w:rPr>
        <w:t>20.04%</w:t>
      </w:r>
      <w:r>
        <w:rPr/>
        <w:t>，主要原因系</w:t>
      </w:r>
      <w:r>
        <w:rPr>
          <w:rFonts w:ascii="Times New Roman" w:hAnsi="Times New Roman" w:cs="Times New Roman" w:eastAsia="Times New Roman" w:hint="default"/>
        </w:rPr>
        <w:t>2015</w:t>
      </w:r>
      <w:r>
        <w:rPr/>
        <w:t>年佣金费用营业税改增值税，导致相应的营业税下降所致。 财务费用同比减少</w:t>
      </w:r>
      <w:r>
        <w:rPr>
          <w:rFonts w:ascii="Times New Roman" w:hAnsi="Times New Roman" w:cs="Times New Roman" w:eastAsia="Times New Roman" w:hint="default"/>
        </w:rPr>
        <w:t>66.35%</w:t>
      </w:r>
      <w:r>
        <w:rPr/>
        <w:t>，主要原因系</w:t>
      </w:r>
      <w:r>
        <w:rPr>
          <w:rFonts w:ascii="Times New Roman" w:hAnsi="Times New Roman" w:cs="Times New Roman" w:eastAsia="Times New Roman" w:hint="default"/>
        </w:rPr>
        <w:t>2015</w:t>
      </w:r>
      <w:r>
        <w:rPr/>
        <w:t>年人民币对美元汇率年度贬值约</w:t>
      </w:r>
      <w:r>
        <w:rPr>
          <w:rFonts w:ascii="Times New Roman" w:hAnsi="Times New Roman" w:cs="Times New Roman" w:eastAsia="Times New Roman" w:hint="default"/>
        </w:rPr>
        <w:t>5%</w:t>
      </w:r>
      <w:r>
        <w:rPr/>
        <w:t>，汇兑收益同比大幅增长；其次是银行</w:t>
      </w:r>
    </w:p>
    <w:p>
      <w:pPr>
        <w:pStyle w:val="BodyText"/>
        <w:spacing w:line="300" w:lineRule="auto" w:before="13"/>
        <w:ind w:left="513" w:right="0" w:hanging="360"/>
        <w:jc w:val="left"/>
      </w:pPr>
      <w:r>
        <w:rPr/>
        <w:t>贷款从</w:t>
      </w:r>
      <w:r>
        <w:rPr>
          <w:rFonts w:ascii="Times New Roman" w:hAnsi="Times New Roman" w:cs="Times New Roman" w:eastAsia="Times New Roman" w:hint="default"/>
        </w:rPr>
        <w:t>3</w:t>
      </w:r>
      <w:r>
        <w:rPr/>
        <w:t>月份后开始大量减少，贷款利率也随着降低，降低了银行利息负担，导致总体上财务费用的大幅减少。 </w:t>
      </w:r>
      <w:r>
        <w:rPr>
          <w:spacing w:val="-2"/>
        </w:rPr>
        <w:t>归属于上市公司股东的净利润同比大幅增加，主要原因系公司将持有的子公司股权及子公司自有房产，对外出售增加了</w:t>
      </w:r>
    </w:p>
    <w:p>
      <w:pPr>
        <w:pStyle w:val="BodyText"/>
        <w:spacing w:line="300" w:lineRule="auto" w:before="31"/>
        <w:ind w:left="514" w:right="215" w:hanging="360"/>
        <w:jc w:val="left"/>
      </w:pPr>
      <w:r>
        <w:rPr>
          <w:rFonts w:ascii="Times New Roman" w:hAnsi="Times New Roman" w:cs="Times New Roman" w:eastAsia="Times New Roman" w:hint="default"/>
        </w:rPr>
        <w:t>2015</w:t>
      </w:r>
      <w:r>
        <w:rPr/>
        <w:t>年年度利润。及公司开展了各项措施，严控各项成本支出，完善公司运营体系建设，致</w:t>
      </w:r>
      <w:r>
        <w:rPr>
          <w:rFonts w:ascii="Times New Roman" w:hAnsi="Times New Roman" w:cs="Times New Roman" w:eastAsia="Times New Roman" w:hint="default"/>
        </w:rPr>
        <w:t>2015</w:t>
      </w:r>
      <w:r>
        <w:rPr/>
        <w:t>年年度业绩扭亏为盈。 经营活动产生的现金流净额同比减少</w:t>
      </w:r>
      <w:r>
        <w:rPr>
          <w:rFonts w:ascii="Times New Roman" w:hAnsi="Times New Roman" w:cs="Times New Roman" w:eastAsia="Times New Roman" w:hint="default"/>
        </w:rPr>
        <w:t>55.11%</w:t>
      </w:r>
      <w:r>
        <w:rPr/>
        <w:t>，主要原因系本期材料采购、资产构建额两类指标同比上期有较大程度的</w:t>
      </w:r>
    </w:p>
    <w:p>
      <w:pPr>
        <w:pStyle w:val="BodyText"/>
        <w:spacing w:line="316" w:lineRule="auto" w:before="13"/>
        <w:ind w:left="514" w:right="0" w:hanging="360"/>
        <w:jc w:val="left"/>
      </w:pPr>
      <w:r>
        <w:rPr/>
        <w:t>回落，使进项税额大幅减少，最终导致收到出口退税金额减少，及支付关联单位大额资金还款，收到政府补助减少所致。 </w:t>
      </w:r>
      <w:r>
        <w:rPr>
          <w:spacing w:val="-2"/>
        </w:rPr>
        <w:t>投资活动产生的现金流量净额同比大幅增加，主要原因系</w:t>
      </w:r>
      <w:r>
        <w:rPr>
          <w:rFonts w:ascii="Times New Roman" w:hAnsi="Times New Roman" w:cs="Times New Roman" w:eastAsia="Times New Roman" w:hint="default"/>
          <w:spacing w:val="-2"/>
        </w:rPr>
        <w:t>2015</w:t>
      </w:r>
      <w:r>
        <w:rPr>
          <w:spacing w:val="-2"/>
        </w:rPr>
        <w:t>年度较上期，处置子公司上海英迈吉东影图像设备有限公</w:t>
      </w:r>
    </w:p>
    <w:p>
      <w:pPr>
        <w:pStyle w:val="BodyText"/>
        <w:spacing w:line="300" w:lineRule="auto"/>
        <w:ind w:left="153" w:right="0"/>
        <w:jc w:val="left"/>
      </w:pPr>
      <w:r>
        <w:rPr>
          <w:spacing w:val="-1"/>
        </w:rPr>
        <w:t>司</w:t>
      </w:r>
      <w:r>
        <w:rPr>
          <w:rFonts w:ascii="Times New Roman" w:hAnsi="Times New Roman" w:cs="Times New Roman" w:eastAsia="Times New Roman" w:hint="default"/>
          <w:spacing w:val="-1"/>
        </w:rPr>
        <w:t>70%</w:t>
      </w:r>
      <w:r>
        <w:rPr>
          <w:spacing w:val="-1"/>
        </w:rPr>
        <w:t>股权、河南思达软件工程有限公司</w:t>
      </w:r>
      <w:r>
        <w:rPr>
          <w:rFonts w:ascii="Times New Roman" w:hAnsi="Times New Roman" w:cs="Times New Roman" w:eastAsia="Times New Roman" w:hint="default"/>
          <w:spacing w:val="-1"/>
        </w:rPr>
        <w:t>100%</w:t>
      </w:r>
      <w:r>
        <w:rPr>
          <w:spacing w:val="-1"/>
        </w:rPr>
        <w:t>股权，深圳市思达仪表有限公司处置其持有的</w:t>
      </w:r>
      <w:r>
        <w:rPr>
          <w:rFonts w:ascii="Times New Roman" w:hAnsi="Times New Roman" w:cs="Times New Roman" w:eastAsia="Times New Roman" w:hint="default"/>
          <w:spacing w:val="-1"/>
        </w:rPr>
        <w:t>5</w:t>
      </w:r>
      <w:r>
        <w:rPr>
          <w:spacing w:val="-1"/>
        </w:rPr>
        <w:t>处房产，共产生收益约</w:t>
      </w:r>
      <w:r>
        <w:rPr>
          <w:rFonts w:ascii="Times New Roman" w:hAnsi="Times New Roman" w:cs="Times New Roman" w:eastAsia="Times New Roman" w:hint="default"/>
          <w:spacing w:val="-1"/>
        </w:rPr>
        <w:t>5700</w:t>
      </w:r>
      <w:r>
        <w:rPr>
          <w:spacing w:val="-1"/>
        </w:rPr>
        <w:t>万</w:t>
      </w:r>
      <w:r>
        <w:rPr>
          <w:spacing w:val="-55"/>
        </w:rPr>
        <w:t> </w:t>
      </w:r>
      <w:r>
        <w:rPr/>
        <w:t>元，导致该指标大幅增加。</w:t>
      </w:r>
    </w:p>
    <w:p>
      <w:pPr>
        <w:pStyle w:val="BodyText"/>
        <w:spacing w:line="316" w:lineRule="auto" w:before="31"/>
        <w:ind w:left="153" w:right="0" w:firstLine="360"/>
        <w:jc w:val="left"/>
      </w:pPr>
      <w:r>
        <w:rPr>
          <w:spacing w:val="-2"/>
        </w:rPr>
        <w:t>筹资活动产生的现金流量净额同比大幅增加，主要原因系筹资活动的借款、偿还债务金额较上年均大幅减少，导致该指</w:t>
      </w:r>
      <w:r>
        <w:rPr/>
        <w:t> 标同比大幅变动。</w:t>
      </w:r>
    </w:p>
    <w:p>
      <w:pPr>
        <w:spacing w:after="0" w:line="316"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85"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317,583,186.73</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373,075,635.01</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-14.87%</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电子产品制造业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317,583,186.73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373,075,635.01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-14.87%</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电力设备及仪器仪 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262,157,577.40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290,470,400.11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37,101,716.79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57,467,942.11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7,606,259.50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14,553,680.90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-47.74%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10,717,633.04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10,583,611.89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72,908,414.26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113,908,146.44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-35.99%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244,674,772.47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259,167,488.57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7"/>
        <w:gridCol w:w="1366"/>
        <w:gridCol w:w="1366"/>
        <w:gridCol w:w="1368"/>
        <w:gridCol w:w="1367"/>
        <w:gridCol w:w="1367"/>
        <w:gridCol w:w="1370"/>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电子产品制造业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317,583,186.73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207,855,009.41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电力设备及仪器 仪表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262,157,577.40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169,430,187.52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37,101,716.79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22,191,044.31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7,606,259.50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6,565,877.44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10,717,633.04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9,667,900.14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-74.16%</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72,908,414.26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52,952,977.95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244,674,772.47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154,902,031.46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21"/>
              <w:jc w:val="left"/>
              <w:rPr>
                <w:rFonts w:ascii="宋体" w:hAnsi="宋体" w:cs="宋体" w:eastAsia="宋体" w:hint="default"/>
                <w:sz w:val="18"/>
                <w:szCs w:val="18"/>
              </w:rPr>
            </w:pPr>
            <w:r>
              <w:rPr>
                <w:rFonts w:ascii="宋体" w:hAnsi="宋体" w:cs="宋体" w:eastAsia="宋体" w:hint="default"/>
                <w:sz w:val="18"/>
                <w:szCs w:val="18"/>
              </w:rPr>
              <w:t>电力设备及仪器仪 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2,057,395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1,919,499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1,923,103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1,938,149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299,758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-72.64%</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-27.49%</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169,919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-53.56%</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154,112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-53.14%</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-32.89%</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21"/>
              <w:jc w:val="left"/>
              <w:rPr>
                <w:rFonts w:ascii="宋体" w:hAnsi="宋体" w:cs="宋体" w:eastAsia="宋体" w:hint="default"/>
                <w:sz w:val="18"/>
                <w:szCs w:val="18"/>
              </w:rPr>
            </w:pPr>
            <w:r>
              <w:rPr>
                <w:rFonts w:ascii="宋体" w:hAnsi="宋体" w:cs="宋体" w:eastAsia="宋体" w:hint="default"/>
                <w:sz w:val="18"/>
                <w:szCs w:val="18"/>
              </w:rPr>
              <w:t>软件开发及技术转 让</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经济增长乏力，需求减少，订单下降。</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60" w:lineRule="auto" w:before="44"/>
        <w:ind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875" w:space="8044"/>
            <w:col w:w="1031"/>
          </w:cols>
        </w:sectPr>
      </w:pP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电力设备及仪器 仪表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127,506,906.69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139,650,137.36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电力设备及仪器 仪表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31,520,354.09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33,204,144.18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电力设备及仪器 仪表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12,992.59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189,191.18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-93.13%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电力设备及仪器 仪表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1,495,152.14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1,378,149.97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8.49%</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电力设备及仪器 仪表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4,305,380.77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4,195,670.35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电力设备及仪器 仪表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4,589,401.24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6,305,648.78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18,202,018.55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38,384,280.71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2,503,191.39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2,618,179.15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145,485.09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33,639.30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332.49%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545,734.88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542,177.77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140,303.36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617,863.81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654,311.04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332,507.57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4,304,472.78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9,370,857.76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1,350,697.38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1,940,019.21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59,798.89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59,738.09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288,003.74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305,009.62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562,904.65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956,539.43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-41.15%</w:t>
            </w: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0" w:lineRule="auto" w:before="101"/>
        <w:ind w:right="150"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日，智度投资股份有限公司召开了第七届董事会第十次会议，审议通过了《关于转让控股子公司股权暨关</w:t>
      </w:r>
      <w:r>
        <w:rPr/>
        <w:t> </w:t>
      </w:r>
      <w:r>
        <w:rPr>
          <w:spacing w:val="-2"/>
        </w:rPr>
        <w:t>联交易的议案》、《关于转让全资子公司股权暨关联交易的议案》，同意将公司持有的上海东影</w:t>
      </w:r>
      <w:r>
        <w:rPr>
          <w:rFonts w:ascii="Times New Roman" w:hAnsi="Times New Roman" w:cs="Times New Roman" w:eastAsia="Times New Roman" w:hint="default"/>
          <w:spacing w:val="-2"/>
        </w:rPr>
        <w:t>70%</w:t>
      </w:r>
      <w:r>
        <w:rPr>
          <w:spacing w:val="-2"/>
        </w:rPr>
        <w:t>的股权和思达软件</w:t>
      </w:r>
      <w:r>
        <w:rPr>
          <w:rFonts w:ascii="Times New Roman" w:hAnsi="Times New Roman" w:cs="Times New Roman" w:eastAsia="Times New Roman" w:hint="default"/>
          <w:spacing w:val="-2"/>
        </w:rPr>
        <w:t>100%</w:t>
      </w:r>
      <w:r>
        <w:rPr>
          <w:rFonts w:ascii="Times New Roman" w:hAnsi="Times New Roman" w:cs="Times New Roman" w:eastAsia="Times New Roman" w:hint="default"/>
        </w:rPr>
        <w:t> </w:t>
      </w:r>
      <w:r>
        <w:rPr/>
        <w:t>股权一并转让给公司的控股股东智度德普的全资子公司思达投资。中瑞国际资产评估（北京）有限公司出具了中瑞评报字</w:t>
      </w:r>
    </w:p>
    <w:p>
      <w:pPr>
        <w:pStyle w:val="BodyText"/>
        <w:spacing w:line="300" w:lineRule="auto" w:before="31"/>
        <w:ind w:right="0"/>
        <w:jc w:val="left"/>
      </w:pPr>
      <w:r>
        <w:rPr/>
        <w:t>【</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120011495</w:t>
      </w:r>
      <w:r>
        <w:rPr/>
        <w:t>、【</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120011496</w:t>
      </w:r>
      <w:r>
        <w:rPr/>
        <w:t>报告，分别对上海东影</w:t>
      </w:r>
      <w:r>
        <w:rPr>
          <w:rFonts w:ascii="Times New Roman" w:hAnsi="Times New Roman" w:cs="Times New Roman" w:eastAsia="Times New Roman" w:hint="default"/>
        </w:rPr>
        <w:t>70%</w:t>
      </w:r>
      <w:r>
        <w:rPr/>
        <w:t>的股权和思达软件</w:t>
      </w:r>
      <w:r>
        <w:rPr>
          <w:rFonts w:ascii="Times New Roman" w:hAnsi="Times New Roman" w:cs="Times New Roman" w:eastAsia="Times New Roman" w:hint="default"/>
        </w:rPr>
        <w:t>100%</w:t>
      </w:r>
      <w:r>
        <w:rPr/>
        <w:t>股权进行了评估。上述议案已 </w:t>
      </w:r>
      <w:r>
        <w:rPr>
          <w:spacing w:val="-2"/>
        </w:rPr>
        <w:t>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日经公司</w:t>
      </w:r>
      <w:r>
        <w:rPr>
          <w:rFonts w:ascii="Times New Roman" w:hAnsi="Times New Roman" w:cs="Times New Roman" w:eastAsia="Times New Roman" w:hint="default"/>
          <w:spacing w:val="-2"/>
        </w:rPr>
        <w:t>2015</w:t>
      </w:r>
      <w:r>
        <w:rPr>
          <w:spacing w:val="-2"/>
        </w:rPr>
        <w:t>年第四次临时股东大会审议通过，截止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日，上述股权转让的工商变更登记手续已</w:t>
      </w:r>
      <w:r>
        <w:rPr>
          <w:spacing w:val="-44"/>
        </w:rPr>
        <w:t> </w:t>
      </w:r>
      <w:r>
        <w:rPr>
          <w:spacing w:val="-44"/>
        </w:rPr>
      </w:r>
      <w:r>
        <w:rPr/>
        <w:t>完成。</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after="0" w:line="240" w:lineRule="auto"/>
        <w:jc w:val="lef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212,252,925.90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66.83%</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803"/>
        <w:gridCol w:w="3300"/>
        <w:gridCol w:w="2322"/>
        <w:gridCol w:w="3144"/>
      </w:tblGrid>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HUUHONGMachineryJointStockCompany</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107,840,004.06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33.96%</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庆豪兴业有限公司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32,243,559.67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10.15%</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ELECTROCABLEALUCONSA,S.A.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28,831,703.54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6"/>
                <w:sz w:val="18"/>
              </w:rPr>
              <w:t>ALTATENSIONALTATENS.A.</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28,108,107.92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8.85%</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NorthernPowerCorporationNPC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15,229,550.71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212,252,925.90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66.83%</w:t>
            </w:r>
          </w:p>
        </w:tc>
      </w:tr>
    </w:tbl>
    <w:p>
      <w:pPr>
        <w:pStyle w:val="BodyText"/>
        <w:spacing w:line="240" w:lineRule="auto" w:before="51"/>
        <w:ind w:right="0"/>
        <w:jc w:val="left"/>
      </w:pPr>
      <w:r>
        <w:rPr/>
        <w:t>主要客户其他情况说明</w:t>
      </w:r>
    </w:p>
    <w:p>
      <w:pPr>
        <w:pStyle w:val="BodyText"/>
        <w:spacing w:line="319" w:lineRule="auto" w:before="117"/>
        <w:ind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报告期内，公司前五大客户与公司不存在关联关系。公司董事、监事、高级管理人员、核心技术人员、持股</w:t>
      </w:r>
      <w:r>
        <w:rPr>
          <w:spacing w:val="-19"/>
        </w:rPr>
        <w:t> </w:t>
      </w:r>
      <w:r>
        <w:rPr>
          <w:rFonts w:ascii="Times New Roman" w:hAnsi="Times New Roman" w:cs="Times New Roman" w:eastAsia="Times New Roman" w:hint="default"/>
        </w:rPr>
        <w:t>5%</w:t>
      </w:r>
      <w:r>
        <w:rPr/>
        <w:t>以上股东、 实际控制人和其他关联方在公司前五大客户中未拥有权益。</w:t>
      </w:r>
    </w:p>
    <w:p>
      <w:pPr>
        <w:pStyle w:val="BodyText"/>
        <w:spacing w:line="240" w:lineRule="auto" w:before="58"/>
        <w:ind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28,269,652.07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22.41%</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935"/>
        <w:gridCol w:w="3168"/>
        <w:gridCol w:w="2322"/>
        <w:gridCol w:w="3144"/>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深圳市利尔达科技有限公司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7,366,857.07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宁波博青铜业有限公司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5,663,860.64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山东裕兴电工器材有限公司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5,378,356.50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东莞市樟木头金浩塑胶原料经营部</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4,980,931.40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深圳市铁发科技有限公司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4,879,646.46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28,269,652.07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22.41%</w:t>
            </w:r>
          </w:p>
        </w:tc>
      </w:tr>
    </w:tbl>
    <w:p>
      <w:pPr>
        <w:pStyle w:val="BodyText"/>
        <w:spacing w:line="240" w:lineRule="auto" w:before="51"/>
        <w:ind w:right="0"/>
        <w:jc w:val="left"/>
      </w:pPr>
      <w:r>
        <w:rPr/>
        <w:t>主要供应商其他情况说明</w:t>
      </w:r>
    </w:p>
    <w:p>
      <w:pPr>
        <w:pStyle w:val="BodyText"/>
        <w:spacing w:line="319" w:lineRule="auto" w:before="117"/>
        <w:ind w:right="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3"/>
        </w:rPr>
        <w:t>报告期内，公司前五名供应商与公司不存在关联关系。公司董事、监事、高级管理人员、核心技术人员、持股 </w:t>
      </w:r>
      <w:r>
        <w:rPr>
          <w:rFonts w:ascii="Times New Roman" w:hAnsi="Times New Roman" w:cs="Times New Roman" w:eastAsia="Times New Roman" w:hint="default"/>
        </w:rPr>
        <w:t>5%</w:t>
      </w:r>
      <w:r>
        <w:rPr/>
        <w:t>以上股东、</w:t>
      </w:r>
      <w:r>
        <w:rPr>
          <w:spacing w:val="-88"/>
        </w:rPr>
        <w:t> </w:t>
      </w:r>
      <w:r>
        <w:rPr/>
        <w:t>实际控制人和其他关联方在公司前五名供应商中未拥有权益。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1915"/>
        <w:gridCol w:w="1637"/>
        <w:gridCol w:w="1637"/>
        <w:gridCol w:w="1462"/>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54,002,670.90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62,898,535.98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4" w:right="0"/>
              <w:jc w:val="left"/>
              <w:rPr>
                <w:rFonts w:ascii="Times New Roman" w:hAnsi="Times New Roman" w:cs="Times New Roman" w:eastAsia="Times New Roman" w:hint="default"/>
                <w:sz w:val="18"/>
                <w:szCs w:val="18"/>
              </w:rPr>
            </w:pPr>
            <w:r>
              <w:rPr>
                <w:rFonts w:ascii="Times New Roman"/>
                <w:sz w:val="18"/>
              </w:rPr>
              <w:t>-14.14%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营业额下降，子公司的运杂费、佣金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费用以及代理费用下降所致。</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1915"/>
        <w:gridCol w:w="1637"/>
        <w:gridCol w:w="1637"/>
        <w:gridCol w:w="1462"/>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87,049,295.05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84,030,384.79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9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主要原因系：</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年人民币对美元汇</w:t>
            </w:r>
          </w:p>
        </w:tc>
      </w:tr>
      <w:tr>
        <w:trPr>
          <w:trHeight w:val="312" w:hRule="exact"/>
        </w:trPr>
        <w:tc>
          <w:tcPr>
            <w:tcW w:w="1915" w:type="dxa"/>
            <w:tcBorders>
              <w:top w:val="nil" w:sz="6" w:space="0" w:color="auto"/>
              <w:left w:val="single" w:sz="4" w:space="0" w:color="000000"/>
              <w:bottom w:val="nil" w:sz="6" w:space="0" w:color="auto"/>
              <w:right w:val="single" w:sz="4" w:space="0" w:color="000000"/>
            </w:tcBorders>
            <w:shd w:val="clear" w:color="auto" w:fill="D3D3D3"/>
          </w:tcPr>
          <w:p>
            <w:pPr/>
          </w:p>
        </w:tc>
        <w:tc>
          <w:tcPr>
            <w:tcW w:w="1637" w:type="dxa"/>
            <w:tcBorders>
              <w:top w:val="nil" w:sz="6" w:space="0" w:color="auto"/>
              <w:left w:val="single" w:sz="4" w:space="0" w:color="000000"/>
              <w:bottom w:val="nil" w:sz="6" w:space="0" w:color="auto"/>
              <w:right w:val="single" w:sz="4" w:space="0" w:color="000000"/>
            </w:tcBorders>
          </w:tcPr>
          <w:p>
            <w:pPr/>
          </w:p>
        </w:tc>
        <w:tc>
          <w:tcPr>
            <w:tcW w:w="1637"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率年度贬值约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，汇兑收益同比大</w:t>
            </w:r>
          </w:p>
        </w:tc>
      </w:tr>
      <w:tr>
        <w:trPr>
          <w:trHeight w:val="619" w:hRule="exact"/>
        </w:trPr>
        <w:tc>
          <w:tcPr>
            <w:tcW w:w="19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6,757,855.02</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20,083,172.70</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-66.35%</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23"/>
              <w:jc w:val="left"/>
              <w:rPr>
                <w:rFonts w:ascii="宋体" w:hAnsi="宋体" w:cs="宋体" w:eastAsia="宋体" w:hint="default"/>
                <w:sz w:val="18"/>
                <w:szCs w:val="18"/>
              </w:rPr>
            </w:pPr>
            <w:r>
              <w:rPr>
                <w:rFonts w:ascii="宋体" w:hAnsi="宋体" w:cs="宋体" w:eastAsia="宋体" w:hint="default"/>
                <w:sz w:val="18"/>
                <w:szCs w:val="18"/>
              </w:rPr>
              <w:t>幅增长；其次是银行贷款从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月份后 开始大量减少，贷款利率也随着降</w:t>
            </w:r>
          </w:p>
        </w:tc>
      </w:tr>
      <w:tr>
        <w:trPr>
          <w:trHeight w:val="313" w:hRule="exact"/>
        </w:trPr>
        <w:tc>
          <w:tcPr>
            <w:tcW w:w="1915" w:type="dxa"/>
            <w:tcBorders>
              <w:top w:val="nil" w:sz="6" w:space="0" w:color="auto"/>
              <w:left w:val="single" w:sz="4" w:space="0" w:color="000000"/>
              <w:bottom w:val="nil" w:sz="6" w:space="0" w:color="auto"/>
              <w:right w:val="single" w:sz="4" w:space="0" w:color="000000"/>
            </w:tcBorders>
            <w:shd w:val="clear" w:color="auto" w:fill="D3D3D3"/>
          </w:tcPr>
          <w:p>
            <w:pPr/>
          </w:p>
        </w:tc>
        <w:tc>
          <w:tcPr>
            <w:tcW w:w="1637" w:type="dxa"/>
            <w:tcBorders>
              <w:top w:val="nil" w:sz="6" w:space="0" w:color="auto"/>
              <w:left w:val="single" w:sz="4" w:space="0" w:color="000000"/>
              <w:bottom w:val="nil" w:sz="6" w:space="0" w:color="auto"/>
              <w:right w:val="single" w:sz="4" w:space="0" w:color="000000"/>
            </w:tcBorders>
          </w:tcPr>
          <w:p>
            <w:pPr/>
          </w:p>
        </w:tc>
        <w:tc>
          <w:tcPr>
            <w:tcW w:w="1637"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低，降低了银行利息负担，导致总体</w:t>
            </w:r>
          </w:p>
        </w:tc>
      </w:tr>
      <w:tr>
        <w:trPr>
          <w:trHeight w:val="356" w:hRule="exact"/>
        </w:trPr>
        <w:tc>
          <w:tcPr>
            <w:tcW w:w="19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上财务费用的大幅减少。</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年，公司继续加大原有研发项目的支持力度，研发主要产品方向如下</w:t>
      </w:r>
      <w:r>
        <w:rPr>
          <w:rFonts w:ascii="Times New Roman" w:hAnsi="Times New Roman" w:cs="Times New Roman" w:eastAsia="Times New Roman" w:hint="default"/>
        </w:rPr>
        <w:t>:</w:t>
      </w:r>
    </w:p>
    <w:p>
      <w:pPr>
        <w:pStyle w:val="BodyText"/>
        <w:spacing w:line="316" w:lineRule="auto" w:before="63"/>
        <w:ind w:right="90" w:firstLine="360"/>
        <w:jc w:val="left"/>
      </w:pPr>
      <w:r>
        <w:rPr/>
        <w:t>一、国内电能表产品：主要研发了符合国家电网及南方电网新技术要求的系列电能表产品，优化工艺设计，持续送检， 提高了产品技术指标。</w:t>
      </w:r>
    </w:p>
    <w:p>
      <w:pPr>
        <w:pStyle w:val="BodyText"/>
        <w:spacing w:line="300" w:lineRule="auto" w:before="19"/>
        <w:ind w:right="237" w:firstLine="343"/>
        <w:jc w:val="left"/>
      </w:pPr>
      <w:r>
        <w:rPr/>
        <w:t>二、国外电能表产品：主要研发了新平台</w:t>
      </w:r>
      <w:r>
        <w:rPr>
          <w:rFonts w:ascii="Times New Roman" w:hAnsi="Times New Roman" w:cs="Times New Roman" w:eastAsia="Times New Roman" w:hint="default"/>
        </w:rPr>
        <w:t>AMI</w:t>
      </w:r>
      <w:r>
        <w:rPr/>
        <w:t>系统软件，新型智能终端产品，新款三相</w:t>
      </w:r>
      <w:r>
        <w:rPr>
          <w:rFonts w:ascii="Times New Roman" w:hAnsi="Times New Roman" w:cs="Times New Roman" w:eastAsia="Times New Roman" w:hint="default"/>
        </w:rPr>
        <w:t>ANSI</w:t>
      </w:r>
      <w:r>
        <w:rPr/>
        <w:t>标准的电能表，新型导轨 式电能表产品。</w:t>
      </w:r>
    </w:p>
    <w:p>
      <w:pPr>
        <w:pStyle w:val="BodyText"/>
        <w:spacing w:line="316" w:lineRule="auto" w:before="31"/>
        <w:ind w:left="514" w:right="0"/>
        <w:jc w:val="left"/>
      </w:pPr>
      <w:r>
        <w:rPr/>
        <w:t>三、电测产品：主要研发了符合电力公司自动化检表的相关检测装置。 </w:t>
      </w:r>
      <w:r>
        <w:rPr>
          <w:spacing w:val="-2"/>
        </w:rPr>
        <w:t>相关新产品的研发保持了公司在相关市场的领先优势，进一步巩固和扩大了市场份额。在国内市场，符合国家电网公司</w:t>
      </w:r>
    </w:p>
    <w:p>
      <w:pPr>
        <w:pStyle w:val="BodyText"/>
        <w:spacing w:line="316" w:lineRule="auto" w:before="19"/>
        <w:ind w:right="0"/>
        <w:jc w:val="left"/>
      </w:pPr>
      <w:r>
        <w:rPr>
          <w:spacing w:val="-4"/>
        </w:rPr>
        <w:t>的产品技术指标得到了显著提高，必将为我司在国网统一招标中取得更大份额起到积极的作用。在国外市场，新型系统软件，</w:t>
      </w:r>
      <w:r>
        <w:rPr>
          <w:spacing w:val="-44"/>
        </w:rPr>
        <w:t> </w:t>
      </w:r>
      <w:r>
        <w:rPr>
          <w:spacing w:val="-44"/>
        </w:rPr>
      </w:r>
      <w:r>
        <w:rPr/>
        <w:t>终端产品及电能表的研发，与时俱进，满足了国外客户的新要求，进一步巩固和扩大了市场份额。</w:t>
      </w:r>
    </w:p>
    <w:p>
      <w:pPr>
        <w:pStyle w:val="BodyText"/>
        <w:spacing w:line="340" w:lineRule="auto" w:before="19"/>
        <w:ind w:left="153" w:right="1291" w:firstLine="360"/>
        <w:jc w:val="left"/>
      </w:pPr>
      <w:r>
        <w:rPr>
          <w:rFonts w:ascii="Times New Roman" w:hAnsi="Times New Roman" w:cs="Times New Roman" w:eastAsia="Times New Roman" w:hint="default"/>
        </w:rPr>
        <w:t>2015</w:t>
      </w:r>
      <w:r>
        <w:rPr/>
        <w:t>年研发投入</w:t>
      </w:r>
      <w:r>
        <w:rPr>
          <w:rFonts w:ascii="Times New Roman" w:hAnsi="Times New Roman" w:cs="Times New Roman" w:eastAsia="Times New Roman" w:hint="default"/>
        </w:rPr>
        <w:t>22,666,130.05</w:t>
      </w:r>
      <w:r>
        <w:rPr/>
        <w:t>元，占营业收入</w:t>
      </w:r>
      <w:r>
        <w:rPr>
          <w:rFonts w:ascii="Times New Roman" w:hAnsi="Times New Roman" w:cs="Times New Roman" w:eastAsia="Times New Roman" w:hint="default"/>
        </w:rPr>
        <w:t>8.54%</w:t>
      </w:r>
      <w:r>
        <w:rPr/>
        <w:t>，主要用于公司新产品研发，保持公司市场竞争力。 公司研发投入情况：</w:t>
      </w:r>
    </w:p>
    <w:p>
      <w:pPr>
        <w:spacing w:line="240" w:lineRule="auto" w:before="3"/>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393"/>
        <w:gridCol w:w="2392"/>
        <w:gridCol w:w="2392"/>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12.03%</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28,498,645.37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31,619,140.75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-9.87%</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研发投入总额占营业收入的比重较上年发生显著变化的原因</w:t>
      </w:r>
    </w:p>
    <w:p>
      <w:pPr>
        <w:pStyle w:val="BodyText"/>
        <w:spacing w:line="340" w:lineRule="auto" w:before="116"/>
        <w:ind w:right="58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338" w:lineRule="auto" w:before="40"/>
        <w:ind w:right="83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近两年专利数情况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220"/>
        <w:gridCol w:w="2101"/>
        <w:gridCol w:w="2225"/>
        <w:gridCol w:w="2023"/>
      </w:tblGrid>
      <w:tr>
        <w:trPr>
          <w:trHeight w:val="402" w:hRule="exact"/>
        </w:trPr>
        <w:tc>
          <w:tcPr>
            <w:tcW w:w="32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已申请</w:t>
            </w:r>
          </w:p>
        </w:tc>
        <w:tc>
          <w:tcPr>
            <w:tcW w:w="2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已获得</w:t>
            </w:r>
          </w:p>
        </w:tc>
        <w:tc>
          <w:tcPr>
            <w:tcW w:w="20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截至报告期末累计获得</w:t>
            </w:r>
          </w:p>
        </w:tc>
      </w:tr>
      <w:tr>
        <w:trPr>
          <w:trHeight w:val="402" w:hRule="exact"/>
        </w:trPr>
        <w:tc>
          <w:tcPr>
            <w:tcW w:w="3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3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19"/>
        <w:gridCol w:w="2102"/>
        <w:gridCol w:w="2225"/>
        <w:gridCol w:w="2023"/>
      </w:tblGrid>
      <w:tr>
        <w:trPr>
          <w:trHeight w:val="402" w:hRule="exact"/>
        </w:trPr>
        <w:tc>
          <w:tcPr>
            <w:tcW w:w="3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w:t>
            </w:r>
          </w:p>
        </w:tc>
      </w:tr>
      <w:tr>
        <w:trPr>
          <w:trHeight w:val="714" w:hRule="exact"/>
        </w:trPr>
        <w:tc>
          <w:tcPr>
            <w:tcW w:w="3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本年度核心技术团队或关键技术人员变 动情况</w:t>
            </w:r>
          </w:p>
        </w:tc>
        <w:tc>
          <w:tcPr>
            <w:tcW w:w="6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是否属于科技部认定高新企业</w:t>
            </w:r>
          </w:p>
        </w:tc>
        <w:tc>
          <w:tcPr>
            <w:tcW w:w="6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2393"/>
        <w:gridCol w:w="2392"/>
        <w:gridCol w:w="2392"/>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459,970,420.34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507,115,080.74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428,634,029.99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437,302,645.27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31,336,390.35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69,812,435.47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-55.11%</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141,261,731.65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235,327,052.72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-39.97%</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87,346,264.77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242,348,777.61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-63.96%</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53,915,466.88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-7,021,724.89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209,019,063.48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352,743,563.48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-40.74%</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267,980,779.68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502,791,584.72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-46.70%</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-58,961,716.20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-150,048,021.24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28,859,427.99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-86,400,835.21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相关数据同比发生重大变动的主要影响因素说明</w:t>
      </w:r>
    </w:p>
    <w:p>
      <w:pPr>
        <w:pStyle w:val="BodyText"/>
        <w:spacing w:line="319"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经营活动产生的现金流净额同比减少</w:t>
      </w:r>
      <w:r>
        <w:rPr>
          <w:rFonts w:ascii="Times New Roman" w:hAnsi="Times New Roman" w:cs="Times New Roman" w:eastAsia="Times New Roman" w:hint="default"/>
          <w:spacing w:val="-1"/>
        </w:rPr>
        <w:t>55.11%</w:t>
      </w:r>
      <w:r>
        <w:rPr>
          <w:spacing w:val="-1"/>
        </w:rPr>
        <w:t>，主要原因系本期材料采购、资产构建额两类指标同比上期有较大程度的回落，</w:t>
      </w:r>
      <w:r>
        <w:rPr>
          <w:spacing w:val="-43"/>
        </w:rPr>
        <w:t> </w:t>
      </w:r>
      <w:r>
        <w:rPr>
          <w:spacing w:val="-43"/>
        </w:rPr>
      </w:r>
      <w:r>
        <w:rPr/>
        <w:t>使进项税额大幅减少，最终导致收到出口退税金额减少，及支付关联单位大额资金还款，收到政府补助减少所致。 投资活动产生的现金流量净额同比大幅增加，主要原因系</w:t>
      </w:r>
      <w:r>
        <w:rPr>
          <w:rFonts w:ascii="Times New Roman" w:hAnsi="Times New Roman" w:cs="Times New Roman" w:eastAsia="Times New Roman" w:hint="default"/>
        </w:rPr>
        <w:t>2015</w:t>
      </w:r>
      <w:r>
        <w:rPr/>
        <w:t>年度较上期，处置子公司上海英迈吉东影图像设备有限公司</w:t>
      </w:r>
    </w:p>
    <w:p>
      <w:pPr>
        <w:pStyle w:val="BodyText"/>
        <w:spacing w:line="314" w:lineRule="auto"/>
        <w:ind w:left="153" w:right="91"/>
        <w:jc w:val="left"/>
      </w:pPr>
      <w:r>
        <w:rPr>
          <w:rFonts w:ascii="Times New Roman" w:hAnsi="Times New Roman" w:cs="Times New Roman" w:eastAsia="Times New Roman" w:hint="default"/>
          <w:spacing w:val="-2"/>
        </w:rPr>
        <w:t>70%</w:t>
      </w:r>
      <w:r>
        <w:rPr>
          <w:spacing w:val="-2"/>
        </w:rPr>
        <w:t>股权、河南思达软件工程有限公司</w:t>
      </w:r>
      <w:r>
        <w:rPr>
          <w:rFonts w:ascii="Times New Roman" w:hAnsi="Times New Roman" w:cs="Times New Roman" w:eastAsia="Times New Roman" w:hint="default"/>
          <w:spacing w:val="-2"/>
        </w:rPr>
        <w:t>100%</w:t>
      </w:r>
      <w:r>
        <w:rPr>
          <w:spacing w:val="-2"/>
        </w:rPr>
        <w:t>股权，深圳市思达仪表有限公司处置其持有的</w:t>
      </w:r>
      <w:r>
        <w:rPr>
          <w:rFonts w:ascii="Times New Roman" w:hAnsi="Times New Roman" w:cs="Times New Roman" w:eastAsia="Times New Roman" w:hint="default"/>
          <w:spacing w:val="-2"/>
        </w:rPr>
        <w:t>5</w:t>
      </w:r>
      <w:r>
        <w:rPr>
          <w:spacing w:val="-2"/>
        </w:rPr>
        <w:t>处房产，共产生收益约</w:t>
      </w:r>
      <w:r>
        <w:rPr>
          <w:rFonts w:ascii="Times New Roman" w:hAnsi="Times New Roman" w:cs="Times New Roman" w:eastAsia="Times New Roman" w:hint="default"/>
          <w:spacing w:val="-2"/>
        </w:rPr>
        <w:t>5700</w:t>
      </w:r>
      <w:r>
        <w:rPr>
          <w:spacing w:val="-2"/>
        </w:rPr>
        <w:t>万元，</w:t>
      </w:r>
      <w:r>
        <w:rPr>
          <w:spacing w:val="-84"/>
        </w:rPr>
        <w:t> </w:t>
      </w:r>
      <w:r>
        <w:rPr/>
        <w:t>导致该指标大幅增加。 </w:t>
      </w:r>
      <w:r>
        <w:rPr>
          <w:spacing w:val="-2"/>
        </w:rPr>
        <w:t>筹资活动产生的现金流量净额同比大幅增加，主要原因系筹资活动的借款、偿还债务金额较上年均大幅减少，导致该指标同</w:t>
      </w:r>
      <w:r>
        <w:rPr>
          <w:spacing w:val="-66"/>
        </w:rPr>
        <w:t> </w:t>
      </w:r>
      <w:r>
        <w:rPr>
          <w:spacing w:val="-66"/>
        </w:rPr>
      </w:r>
      <w:r>
        <w:rPr/>
        <w:t>比大幅变动。 </w:t>
      </w:r>
      <w:r>
        <w:rPr>
          <w:spacing w:val="-4"/>
        </w:rPr>
        <w:t>现金及现金等价物净增加额同比大幅增加，主要原因系综上经营、投资、筹资活动，本期受处置子公司、房产所得增加较大，</w:t>
      </w:r>
      <w:r>
        <w:rPr>
          <w:spacing w:val="-44"/>
        </w:rPr>
        <w:t> </w:t>
      </w:r>
      <w:r>
        <w:rPr>
          <w:spacing w:val="-44"/>
        </w:rPr>
      </w:r>
      <w:r>
        <w:rPr/>
        <w:t>及整体筹资规模减小等原因，致现金净增加额增长。</w:t>
      </w:r>
    </w:p>
    <w:p>
      <w:pPr>
        <w:pStyle w:val="BodyText"/>
        <w:spacing w:line="240" w:lineRule="auto" w:before="61"/>
        <w:ind w:left="153" w:right="0"/>
        <w:jc w:val="left"/>
      </w:pPr>
      <w:r>
        <w:rPr/>
        <w:t>报告期内公司经营活动产生的现金净流量与本年度净利润存在重大差异的原因说明</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三、非主营业务分析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0" w:right="330"/>
        <w:jc w:val="right"/>
      </w:pPr>
      <w:r>
        <w:rPr/>
        <w:t>单位：元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523"/>
        <w:gridCol w:w="1454"/>
        <w:gridCol w:w="1559"/>
        <w:gridCol w:w="3544"/>
        <w:gridCol w:w="1985"/>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52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33,199,656.57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1,518.93%</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智度投资股份有限公司将公司持有的 上海英迈吉东影图像设备有限公司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 权、河南思达软件工程有限公司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一并出售，转让给深圳市思达高科投资有限 </w:t>
            </w:r>
            <w:r>
              <w:rPr>
                <w:rFonts w:ascii="宋体" w:hAnsi="宋体" w:cs="宋体" w:eastAsia="宋体" w:hint="default"/>
                <w:spacing w:val="-6"/>
                <w:sz w:val="18"/>
                <w:szCs w:val="18"/>
              </w:rPr>
              <w:t>公司。转让作价依据为中瑞国际资产评估（北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京）有限公司出具的中瑞评报字【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 </w:t>
            </w:r>
            <w:r>
              <w:rPr>
                <w:rFonts w:ascii="Times New Roman" w:hAnsi="Times New Roman" w:cs="Times New Roman" w:eastAsia="Times New Roman" w:hint="default"/>
                <w:spacing w:val="-6"/>
                <w:sz w:val="18"/>
                <w:szCs w:val="18"/>
              </w:rPr>
              <w:t>120011495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120011496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报告。上述事</w:t>
            </w:r>
          </w:p>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项已于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四次临时股东大会审议通过，截止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30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日，上述股权转让的工商变更登记手续 已完成。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5,556,087.39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254.20%</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计提坏账及存货减值准备形成。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98"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18,003,017.83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823.66%</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年，智度投资股份有限公司将全资子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公司深圳市思达仪表有限公司持有的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处房</w:t>
            </w:r>
            <w:r>
              <w:rPr>
                <w:rFonts w:ascii="宋体" w:hAnsi="宋体" w:cs="宋体" w:eastAsia="宋体" w:hint="default"/>
                <w:spacing w:val="1"/>
                <w:sz w:val="18"/>
                <w:szCs w:val="18"/>
              </w:rPr>
              <w:t> </w:t>
            </w:r>
            <w:r>
              <w:rPr>
                <w:rFonts w:ascii="宋体" w:hAnsi="宋体" w:cs="宋体" w:eastAsia="宋体" w:hint="default"/>
                <w:sz w:val="18"/>
                <w:szCs w:val="18"/>
              </w:rPr>
              <w:t>产，转让给深圳市思达高科投资有限公司。</w:t>
            </w:r>
            <w:r>
              <w:rPr>
                <w:rFonts w:ascii="宋体" w:hAnsi="宋体" w:cs="宋体" w:eastAsia="宋体" w:hint="default"/>
                <w:sz w:val="18"/>
                <w:szCs w:val="18"/>
              </w:rPr>
              <w:t> 转让作价依据为中瑞国际资产评估（北京） 有限公司出具的中瑞评报字【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 </w:t>
            </w:r>
            <w:r>
              <w:rPr>
                <w:rFonts w:ascii="Times New Roman" w:hAnsi="Times New Roman" w:cs="Times New Roman" w:eastAsia="Times New Roman" w:hint="default"/>
                <w:sz w:val="18"/>
                <w:szCs w:val="18"/>
              </w:rPr>
              <w:t>120011494</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报告。上述事项已于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日经公司</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年第四次临时股东大会审议</w:t>
            </w:r>
          </w:p>
          <w:p>
            <w:pPr>
              <w:pStyle w:val="TableParagraph"/>
              <w:spacing w:line="302" w:lineRule="auto" w:before="63"/>
              <w:ind w:left="22" w:right="21"/>
              <w:jc w:val="left"/>
              <w:rPr>
                <w:rFonts w:ascii="宋体" w:hAnsi="宋体" w:cs="宋体" w:eastAsia="宋体" w:hint="default"/>
                <w:sz w:val="18"/>
                <w:szCs w:val="18"/>
              </w:rPr>
            </w:pPr>
            <w:r>
              <w:rPr>
                <w:rFonts w:ascii="宋体" w:hAnsi="宋体" w:cs="宋体" w:eastAsia="宋体" w:hint="default"/>
                <w:spacing w:val="-3"/>
                <w:sz w:val="18"/>
                <w:szCs w:val="18"/>
              </w:rPr>
              <w:t>通过，截止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日，上述房产出 售过户手续已完成。 </w:t>
            </w:r>
            <w:r>
              <w:rPr>
                <w:rFonts w:ascii="Times New Roman" w:hAnsi="Times New Roman" w:cs="Times New Roman" w:eastAsia="Times New Roman" w:hint="default"/>
                <w:sz w:val="18"/>
                <w:szCs w:val="18"/>
              </w:rPr>
              <w:t>2</w:t>
            </w:r>
            <w:r>
              <w:rPr>
                <w:rFonts w:ascii="宋体" w:hAnsi="宋体" w:cs="宋体" w:eastAsia="宋体" w:hint="default"/>
                <w:sz w:val="18"/>
                <w:szCs w:val="18"/>
              </w:rPr>
              <w:t>、政府补助。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5,775,981.61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264.26%</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9"/>
              <w:jc w:val="left"/>
              <w:rPr>
                <w:rFonts w:ascii="宋体" w:hAnsi="宋体" w:cs="宋体" w:eastAsia="宋体" w:hint="default"/>
                <w:sz w:val="18"/>
                <w:szCs w:val="18"/>
              </w:rPr>
            </w:pPr>
            <w:r>
              <w:rPr>
                <w:rFonts w:ascii="宋体" w:hAnsi="宋体" w:cs="宋体" w:eastAsia="宋体" w:hint="default"/>
                <w:sz w:val="18"/>
                <w:szCs w:val="18"/>
              </w:rPr>
              <w:t>处置公司车辆资产增加及厄瓜多尔订单出现 质量问题导致的赔款所致。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334" w:right="248"/>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34" w:right="248"/>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30"/>
        <w:jc w:val="right"/>
      </w:pPr>
      <w:r>
        <w:rPr/>
        <w:t>单位：元</w:t>
      </w:r>
    </w:p>
    <w:p>
      <w:pPr>
        <w:spacing w:line="240" w:lineRule="auto" w:before="13"/>
        <w:rPr>
          <w:rFonts w:ascii="宋体" w:hAnsi="宋体" w:cs="宋体" w:eastAsia="宋体" w:hint="default"/>
          <w:sz w:val="7"/>
          <w:szCs w:val="7"/>
        </w:rPr>
      </w:pPr>
    </w:p>
    <w:tbl>
      <w:tblPr>
        <w:tblW w:w="0" w:type="auto"/>
        <w:jc w:val="left"/>
        <w:tblInd w:w="186" w:type="dxa"/>
        <w:tblLayout w:type="fixed"/>
        <w:tblCellMar>
          <w:top w:w="0" w:type="dxa"/>
          <w:left w:w="0" w:type="dxa"/>
          <w:bottom w:w="0" w:type="dxa"/>
          <w:right w:w="0" w:type="dxa"/>
        </w:tblCellMar>
        <w:tblLook w:val="01E0"/>
      </w:tblPr>
      <w:tblGrid>
        <w:gridCol w:w="1368"/>
        <w:gridCol w:w="1164"/>
        <w:gridCol w:w="1063"/>
        <w:gridCol w:w="1195"/>
        <w:gridCol w:w="1062"/>
        <w:gridCol w:w="798"/>
        <w:gridCol w:w="3272"/>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27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3" w:hRule="exact"/>
        </w:trPr>
        <w:tc>
          <w:tcPr>
            <w:tcW w:w="1368"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435"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right w:val="single" w:sz="4" w:space="0" w:color="000000"/>
            </w:tcBorders>
            <w:shd w:val="clear" w:color="auto" w:fill="D3D3D3"/>
          </w:tcPr>
          <w:p>
            <w:pPr/>
          </w:p>
        </w:tc>
        <w:tc>
          <w:tcPr>
            <w:tcW w:w="32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327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97,670,292.47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94,202,469.88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16.27%</w:t>
            </w:r>
          </w:p>
        </w:tc>
        <w:tc>
          <w:tcPr>
            <w:tcW w:w="3272"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3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2"/>
                <w:sz w:val="18"/>
                <w:szCs w:val="18"/>
              </w:rPr>
              <w:t>主要原因系：处置子公司，相应该子公司</w:t>
            </w:r>
          </w:p>
        </w:tc>
      </w:tr>
      <w:tr>
        <w:trPr>
          <w:trHeight w:val="316"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47,705,828.01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15.26%</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126,317,679.06</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20.08%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-4.82%</w:t>
            </w:r>
          </w:p>
        </w:tc>
        <w:tc>
          <w:tcPr>
            <w:tcW w:w="3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的资产连同转让；及本期的销售回款率同</w:t>
            </w:r>
          </w:p>
        </w:tc>
      </w:tr>
      <w:tr>
        <w:trPr>
          <w:trHeight w:val="352"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32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比提高所致。</w:t>
            </w:r>
          </w:p>
        </w:tc>
      </w:tr>
      <w:tr>
        <w:trPr>
          <w:trHeight w:val="348"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3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2"/>
                <w:sz w:val="18"/>
                <w:szCs w:val="18"/>
              </w:rPr>
              <w:t>主要原因系：处置子公司，相应该子公司</w:t>
            </w:r>
          </w:p>
        </w:tc>
      </w:tr>
      <w:tr>
        <w:trPr>
          <w:trHeight w:val="327"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36,351,043.04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spacing w:val="-2"/>
                <w:sz w:val="18"/>
              </w:rPr>
              <w:t>11.63%</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103,740,894.47</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z w:val="18"/>
              </w:rPr>
              <w:t>16.49%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z w:val="18"/>
              </w:rPr>
              <w:t>-4.86%</w:t>
            </w:r>
          </w:p>
        </w:tc>
        <w:tc>
          <w:tcPr>
            <w:tcW w:w="327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的资产连同转让；子公司深圳仪表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季度</w:t>
            </w:r>
          </w:p>
        </w:tc>
      </w:tr>
      <w:tr>
        <w:trPr>
          <w:trHeight w:val="312"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32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2"/>
              <w:jc w:val="left"/>
              <w:rPr>
                <w:rFonts w:ascii="宋体" w:hAnsi="宋体" w:cs="宋体" w:eastAsia="宋体" w:hint="default"/>
                <w:sz w:val="18"/>
                <w:szCs w:val="18"/>
              </w:rPr>
            </w:pPr>
            <w:r>
              <w:rPr>
                <w:rFonts w:ascii="宋体" w:hAnsi="宋体" w:cs="宋体" w:eastAsia="宋体" w:hint="default"/>
                <w:sz w:val="18"/>
                <w:szCs w:val="18"/>
              </w:rPr>
              <w:t>同比上期订单有所减少，占用的原材料、</w:t>
            </w:r>
          </w:p>
        </w:tc>
      </w:tr>
    </w:tbl>
    <w:p>
      <w:pPr>
        <w:spacing w:after="0" w:line="240" w:lineRule="auto"/>
        <w:jc w:val="left"/>
        <w:rPr>
          <w:rFonts w:ascii="宋体" w:hAnsi="宋体" w:cs="宋体" w:eastAsia="宋体" w:hint="default"/>
          <w:sz w:val="18"/>
          <w:szCs w:val="18"/>
        </w:rPr>
        <w:sectPr>
          <w:pgSz w:w="11910" w:h="16840"/>
          <w:pgMar w:header="747" w:footer="982" w:top="1060" w:bottom="1180" w:left="800" w:right="80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368"/>
        <w:gridCol w:w="1164"/>
        <w:gridCol w:w="1063"/>
        <w:gridCol w:w="1195"/>
        <w:gridCol w:w="1062"/>
        <w:gridCol w:w="798"/>
        <w:gridCol w:w="3272"/>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成品金额相应有下降所致。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5,031,029.50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63,001,423.34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-8.41%</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主要原因系：处置子公司，相应该子公司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的资产连同转让；及子公司深圳仪表的投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资性房地产自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月份起转为自用 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97,179,981.92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153,535,496.16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6.68%</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主要原因系：处置子公司，相应该子公司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的资产连同转让所致；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179,300,000.00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-2.28%</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主要原因系：处置子公司，相应该子公司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负债连同转让，及归还部分银行贷款所 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1,090,910.00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15,090,910.00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主要原因系：处置子公司，相应该子公司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负债连同转让所致。</w:t>
            </w:r>
          </w:p>
        </w:tc>
      </w:tr>
    </w:tbl>
    <w:p>
      <w:pPr>
        <w:spacing w:line="240" w:lineRule="auto" w:before="2"/>
        <w:rPr>
          <w:rFonts w:ascii="宋体" w:hAnsi="宋体" w:cs="宋体" w:eastAsia="宋体" w:hint="default"/>
          <w:sz w:val="19"/>
          <w:szCs w:val="19"/>
        </w:rPr>
      </w:pPr>
    </w:p>
    <w:p>
      <w:pPr>
        <w:pStyle w:val="Heading3"/>
        <w:spacing w:line="240" w:lineRule="auto" w:before="35"/>
        <w:ind w:left="254"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54" w:right="0"/>
        <w:jc w:val="left"/>
        <w:rPr>
          <w:b w:val="0"/>
          <w:bCs w:val="0"/>
        </w:rPr>
      </w:pPr>
      <w:r>
        <w:rPr/>
        <w:t>五、投资状况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54"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254"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254"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254" w:right="0"/>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54" w:right="0"/>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54" w:right="75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1"/>
        <w:rPr>
          <w:rFonts w:ascii="宋体" w:hAnsi="宋体" w:cs="宋体" w:eastAsia="宋体" w:hint="default"/>
          <w:sz w:val="21"/>
          <w:szCs w:val="21"/>
        </w:rPr>
      </w:pPr>
    </w:p>
    <w:p>
      <w:pPr>
        <w:pStyle w:val="Heading3"/>
        <w:spacing w:line="240" w:lineRule="auto"/>
        <w:ind w:left="254"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54" w:right="73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after="0" w:line="338" w:lineRule="auto"/>
        <w:jc w:val="left"/>
        <w:sectPr>
          <w:pgSz w:w="11910" w:h="16840"/>
          <w:pgMar w:header="747" w:footer="982" w:top="1060" w:bottom="1180" w:left="880" w:right="8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pict>
          <v:shape style="position:absolute;margin-left:243.659698pt;margin-top:17.472017pt;width:37.6pt;height:191.25pt;mso-position-horizontal-relative:page;mso-position-vertical-relative:paragraph;z-index:-8380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BodyText"/>
                    <w:spacing w:line="240" w:lineRule="auto"/>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635"/>
        <w:gridCol w:w="636"/>
        <w:gridCol w:w="638"/>
        <w:gridCol w:w="636"/>
        <w:gridCol w:w="641"/>
        <w:gridCol w:w="637"/>
        <w:gridCol w:w="638"/>
        <w:gridCol w:w="640"/>
        <w:gridCol w:w="638"/>
        <w:gridCol w:w="640"/>
        <w:gridCol w:w="638"/>
        <w:gridCol w:w="638"/>
        <w:gridCol w:w="640"/>
        <w:gridCol w:w="638"/>
        <w:gridCol w:w="637"/>
      </w:tblGrid>
      <w:tr>
        <w:trPr>
          <w:trHeight w:val="358" w:hRule="exact"/>
        </w:trPr>
        <w:tc>
          <w:tcPr>
            <w:tcW w:w="635" w:type="dxa"/>
            <w:tcBorders>
              <w:top w:val="single" w:sz="4" w:space="0" w:color="000000"/>
              <w:left w:val="single" w:sz="4" w:space="0" w:color="000000"/>
              <w:bottom w:val="nil" w:sz="6" w:space="0" w:color="auto"/>
              <w:right w:val="single" w:sz="4" w:space="0" w:color="000000"/>
            </w:tcBorders>
            <w:shd w:val="clear" w:color="auto" w:fill="D3D3D3"/>
          </w:tcPr>
          <w:p>
            <w:pPr/>
          </w:p>
        </w:tc>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41"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是否按</w:t>
            </w: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1" w:hRule="exact"/>
        </w:trPr>
        <w:tc>
          <w:tcPr>
            <w:tcW w:w="6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9" w:lineRule="auto"/>
              <w:ind w:left="222" w:right="41"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9" w:lineRule="auto"/>
              <w:ind w:left="131" w:right="42"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60"/>
              <w:ind w:left="42" w:right="4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44" w:right="44"/>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43" w:right="43"/>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60"/>
              <w:ind w:left="44" w:right="43"/>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60"/>
              <w:ind w:left="43" w:right="43"/>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9" w:lineRule="auto"/>
              <w:ind w:left="44" w:right="43"/>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9" w:lineRule="auto"/>
              <w:ind w:left="43" w:right="43"/>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9" w:lineRule="auto"/>
              <w:ind w:left="43" w:right="43"/>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44" w:right="43"/>
              <w:jc w:val="center"/>
              <w:rPr>
                <w:rFonts w:ascii="宋体" w:hAnsi="宋体" w:cs="宋体" w:eastAsia="宋体" w:hint="default"/>
                <w:sz w:val="18"/>
                <w:szCs w:val="18"/>
              </w:rPr>
            </w:pPr>
            <w:r>
              <w:rPr>
                <w:rFonts w:ascii="宋体" w:hAnsi="宋体" w:cs="宋体" w:eastAsia="宋体" w:hint="default"/>
                <w:sz w:val="18"/>
                <w:szCs w:val="18"/>
              </w:rPr>
              <w:t>计划如 期实 施，如 未按计 划实 施，应 当说明 原因及 公司已 采取的</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9"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9"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6" w:hRule="exact"/>
        </w:trPr>
        <w:tc>
          <w:tcPr>
            <w:tcW w:w="635" w:type="dxa"/>
            <w:tcBorders>
              <w:top w:val="nil" w:sz="6" w:space="0" w:color="auto"/>
              <w:left w:val="single" w:sz="4" w:space="0" w:color="000000"/>
              <w:bottom w:val="single" w:sz="4" w:space="0" w:color="000000"/>
              <w:right w:val="single" w:sz="4" w:space="0" w:color="000000"/>
            </w:tcBorders>
            <w:shd w:val="clear" w:color="auto" w:fill="D3D3D3"/>
          </w:tcPr>
          <w:p>
            <w:pPr/>
          </w:p>
        </w:tc>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41"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34" w:right="0"/>
              <w:jc w:val="left"/>
              <w:rPr>
                <w:rFonts w:ascii="宋体" w:hAnsi="宋体" w:cs="宋体" w:eastAsia="宋体" w:hint="default"/>
                <w:sz w:val="18"/>
                <w:szCs w:val="18"/>
              </w:rPr>
            </w:pPr>
            <w:r>
              <w:rPr>
                <w:rFonts w:ascii="宋体" w:hAnsi="宋体" w:cs="宋体" w:eastAsia="宋体" w:hint="default"/>
                <w:sz w:val="18"/>
                <w:szCs w:val="18"/>
              </w:rPr>
              <w:t>措施</w:t>
            </w: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338"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60"/>
              <w:jc w:val="left"/>
              <w:rPr>
                <w:rFonts w:ascii="宋体" w:hAnsi="宋体" w:cs="宋体" w:eastAsia="宋体" w:hint="default"/>
                <w:sz w:val="18"/>
                <w:szCs w:val="18"/>
              </w:rPr>
            </w:pPr>
            <w:r>
              <w:rPr>
                <w:rFonts w:ascii="宋体" w:hAnsi="宋体" w:cs="宋体" w:eastAsia="宋体" w:hint="default"/>
                <w:sz w:val="18"/>
                <w:szCs w:val="18"/>
              </w:rPr>
              <w:t>思达投 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151"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处 房产</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62"/>
              <w:jc w:val="left"/>
              <w:rPr>
                <w:rFonts w:ascii="宋体" w:hAnsi="宋体" w:cs="宋体" w:eastAsia="宋体" w:hint="default"/>
                <w:sz w:val="18"/>
                <w:szCs w:val="18"/>
              </w:rPr>
            </w:pPr>
            <w:r>
              <w:rPr>
                <w:rFonts w:ascii="宋体" w:hAnsi="宋体" w:cs="宋体" w:eastAsia="宋体" w:hint="default"/>
                <w:sz w:val="18"/>
                <w:szCs w:val="18"/>
              </w:rPr>
              <w:t>增加利 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327.66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65"/>
              <w:jc w:val="left"/>
              <w:rPr>
                <w:rFonts w:ascii="宋体" w:hAnsi="宋体" w:cs="宋体" w:eastAsia="宋体" w:hint="default"/>
                <w:sz w:val="18"/>
                <w:szCs w:val="18"/>
              </w:rPr>
            </w:pPr>
            <w:r>
              <w:rPr>
                <w:rFonts w:ascii="宋体" w:hAnsi="宋体" w:cs="宋体" w:eastAsia="宋体" w:hint="default"/>
                <w:sz w:val="18"/>
                <w:szCs w:val="18"/>
              </w:rPr>
              <w:t>资产评 估</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65"/>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1"/>
              <w:jc w:val="left"/>
              <w:rPr>
                <w:rFonts w:ascii="Times New Roman" w:hAnsi="Times New Roman" w:cs="Times New Roman" w:eastAsia="Times New Roman" w:hint="default"/>
                <w:sz w:val="18"/>
                <w:szCs w:val="18"/>
              </w:rPr>
            </w:pPr>
            <w:hyperlink r:id="rId13">
              <w:r>
                <w:rPr>
                  <w:rFonts w:ascii="Times New Roman"/>
                  <w:sz w:val="18"/>
                </w:rPr>
                <w:t>http://w</w:t>
              </w:r>
            </w:hyperlink>
            <w:r>
              <w:rPr>
                <w:rFonts w:ascii="Times New Roman"/>
                <w:sz w:val="18"/>
              </w:rPr>
              <w:t> </w:t>
            </w:r>
            <w:r>
              <w:rPr>
                <w:rFonts w:ascii="Times New Roman"/>
                <w:spacing w:val="-3"/>
                <w:sz w:val="18"/>
              </w:rPr>
              <w:t>ww.cni</w:t>
            </w:r>
            <w:r>
              <w:rPr>
                <w:rFonts w:ascii="Times New Roman"/>
                <w:spacing w:val="-43"/>
                <w:sz w:val="18"/>
              </w:rPr>
              <w:t> </w:t>
            </w:r>
            <w:r>
              <w:rPr>
                <w:rFonts w:ascii="Times New Roman"/>
                <w:spacing w:val="-43"/>
                <w:sz w:val="18"/>
              </w:rPr>
            </w:r>
            <w:r>
              <w:rPr>
                <w:rFonts w:ascii="Times New Roman"/>
                <w:sz w:val="18"/>
              </w:rPr>
              <w:t>nfo.co</w:t>
            </w:r>
            <w:r>
              <w:rPr>
                <w:rFonts w:ascii="Times New Roman"/>
                <w:sz w:val="18"/>
              </w:rPr>
              <w:t> m.cn</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86" w:type="dxa"/>
        <w:tblLayout w:type="fixed"/>
        <w:tblCellMar>
          <w:top w:w="0" w:type="dxa"/>
          <w:left w:w="0" w:type="dxa"/>
          <w:bottom w:w="0" w:type="dxa"/>
          <w:right w:w="0" w:type="dxa"/>
        </w:tblCellMar>
        <w:tblLook w:val="01E0"/>
      </w:tblPr>
      <w:tblGrid>
        <w:gridCol w:w="685"/>
        <w:gridCol w:w="683"/>
        <w:gridCol w:w="683"/>
        <w:gridCol w:w="683"/>
        <w:gridCol w:w="683"/>
        <w:gridCol w:w="684"/>
        <w:gridCol w:w="683"/>
        <w:gridCol w:w="683"/>
        <w:gridCol w:w="683"/>
        <w:gridCol w:w="683"/>
        <w:gridCol w:w="683"/>
        <w:gridCol w:w="684"/>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是否按</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0"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65"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67"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65"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66"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7" w:right="65"/>
              <w:jc w:val="center"/>
              <w:rPr>
                <w:rFonts w:ascii="宋体" w:hAnsi="宋体" w:cs="宋体" w:eastAsia="宋体" w:hint="default"/>
                <w:sz w:val="18"/>
                <w:szCs w:val="18"/>
              </w:rPr>
            </w:pPr>
            <w:r>
              <w:rPr>
                <w:rFonts w:ascii="宋体" w:hAnsi="宋体" w:cs="宋体" w:eastAsia="宋体" w:hint="default"/>
                <w:sz w:val="18"/>
                <w:szCs w:val="18"/>
              </w:rPr>
              <w:t>计划如 期实 施，如 未按计 划实 施，应 当说明 原因及 公司已 采取的</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57" w:right="0"/>
              <w:jc w:val="left"/>
              <w:rPr>
                <w:rFonts w:ascii="宋体" w:hAnsi="宋体" w:cs="宋体" w:eastAsia="宋体" w:hint="default"/>
                <w:sz w:val="18"/>
                <w:szCs w:val="18"/>
              </w:rPr>
            </w:pPr>
            <w:r>
              <w:rPr>
                <w:rFonts w:ascii="宋体" w:hAnsi="宋体" w:cs="宋体" w:eastAsia="宋体" w:hint="default"/>
                <w:sz w:val="18"/>
                <w:szCs w:val="18"/>
              </w:rPr>
              <w:t>措施</w:t>
            </w: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思达投</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思达软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781.55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-1,689.5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增加公</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5" w:right="0"/>
              <w:jc w:val="left"/>
              <w:rPr>
                <w:rFonts w:ascii="Times New Roman" w:hAnsi="Times New Roman" w:cs="Times New Roman" w:eastAsia="Times New Roman" w:hint="default"/>
                <w:sz w:val="18"/>
                <w:szCs w:val="18"/>
              </w:rPr>
            </w:pPr>
            <w:r>
              <w:rPr>
                <w:rFonts w:ascii="Times New Roman"/>
                <w:sz w:val="18"/>
              </w:rPr>
              <w:t>106.07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资产评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同一母</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hyperlink r:id="rId13">
              <w:r>
                <w:rPr>
                  <w:rFonts w:ascii="Times New Roman"/>
                  <w:sz w:val="18"/>
                </w:rPr>
                <w:t>http://w</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6" w:type="dxa"/>
        <w:tblLayout w:type="fixed"/>
        <w:tblCellMar>
          <w:top w:w="0" w:type="dxa"/>
          <w:left w:w="0" w:type="dxa"/>
          <w:bottom w:w="0" w:type="dxa"/>
          <w:right w:w="0" w:type="dxa"/>
        </w:tblCellMar>
        <w:tblLook w:val="01E0"/>
      </w:tblPr>
      <w:tblGrid>
        <w:gridCol w:w="685"/>
        <w:gridCol w:w="683"/>
        <w:gridCol w:w="683"/>
        <w:gridCol w:w="683"/>
        <w:gridCol w:w="683"/>
        <w:gridCol w:w="684"/>
        <w:gridCol w:w="683"/>
        <w:gridCol w:w="683"/>
        <w:gridCol w:w="683"/>
        <w:gridCol w:w="683"/>
        <w:gridCol w:w="683"/>
        <w:gridCol w:w="684"/>
        <w:gridCol w:w="683"/>
        <w:gridCol w:w="683"/>
      </w:tblGrid>
      <w:tr>
        <w:trPr>
          <w:trHeight w:val="986"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8"/>
              <w:jc w:val="left"/>
              <w:rPr>
                <w:rFonts w:ascii="宋体" w:hAnsi="宋体" w:cs="宋体" w:eastAsia="宋体" w:hint="default"/>
                <w:sz w:val="18"/>
                <w:szCs w:val="18"/>
              </w:rPr>
            </w:pPr>
            <w:r>
              <w:rPr>
                <w:rFonts w:ascii="宋体" w:hAnsi="宋体" w:cs="宋体" w:eastAsia="宋体" w:hint="default"/>
                <w:sz w:val="18"/>
                <w:szCs w:val="18"/>
              </w:rPr>
              <w:t>司投资 收益</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估</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45"/>
              <w:jc w:val="left"/>
              <w:rPr>
                <w:rFonts w:ascii="Times New Roman" w:hAnsi="Times New Roman" w:cs="Times New Roman" w:eastAsia="Times New Roman" w:hint="default"/>
                <w:sz w:val="18"/>
                <w:szCs w:val="18"/>
              </w:rPr>
            </w:pPr>
            <w:r>
              <w:rPr>
                <w:rFonts w:ascii="Times New Roman"/>
                <w:spacing w:val="-2"/>
                <w:sz w:val="18"/>
              </w:rPr>
              <w:t>ww.cnin</w:t>
            </w:r>
            <w:r>
              <w:rPr>
                <w:rFonts w:ascii="Times New Roman"/>
                <w:sz w:val="18"/>
              </w:rPr>
              <w:t> fo.com. cn</w:t>
            </w:r>
          </w:p>
        </w:tc>
      </w:tr>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0"/>
              <w:jc w:val="left"/>
              <w:rPr>
                <w:rFonts w:ascii="宋体" w:hAnsi="宋体" w:cs="宋体" w:eastAsia="宋体" w:hint="default"/>
                <w:sz w:val="18"/>
                <w:szCs w:val="18"/>
              </w:rPr>
            </w:pPr>
            <w:r>
              <w:rPr>
                <w:rFonts w:ascii="宋体" w:hAnsi="宋体" w:cs="宋体" w:eastAsia="宋体" w:hint="default"/>
                <w:sz w:val="18"/>
                <w:szCs w:val="18"/>
              </w:rPr>
              <w:t>思达投 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上海东 影</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-1,682.1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增加公 司投资 收益</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839.18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资产评 估</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5"/>
              <w:jc w:val="left"/>
              <w:rPr>
                <w:rFonts w:ascii="Times New Roman" w:hAnsi="Times New Roman" w:cs="Times New Roman" w:eastAsia="Times New Roman" w:hint="default"/>
                <w:sz w:val="18"/>
                <w:szCs w:val="18"/>
              </w:rPr>
            </w:pPr>
            <w:hyperlink r:id="rId13">
              <w:r>
                <w:rPr>
                  <w:rFonts w:ascii="Times New Roman"/>
                  <w:sz w:val="18"/>
                </w:rPr>
                <w:t>http://w</w:t>
              </w:r>
            </w:hyperlink>
            <w:r>
              <w:rPr>
                <w:rFonts w:ascii="Times New Roman"/>
                <w:sz w:val="18"/>
              </w:rPr>
              <w:t> </w:t>
            </w:r>
            <w:r>
              <w:rPr>
                <w:rFonts w:ascii="Times New Roman"/>
                <w:spacing w:val="-2"/>
                <w:sz w:val="18"/>
              </w:rPr>
              <w:t>ww.cnin</w:t>
            </w:r>
            <w:r>
              <w:rPr>
                <w:rFonts w:ascii="Times New Roman"/>
                <w:sz w:val="18"/>
              </w:rPr>
              <w:t> fo.com. cn</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4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40"/>
          <w:cols w:num="2" w:equalWidth="0">
            <w:col w:w="4849" w:space="4070"/>
            <w:col w:w="1071"/>
          </w:cols>
        </w:sectPr>
      </w:pP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1055"/>
        <w:gridCol w:w="1195"/>
        <w:gridCol w:w="1045"/>
        <w:gridCol w:w="1045"/>
        <w:gridCol w:w="1046"/>
        <w:gridCol w:w="1044"/>
        <w:gridCol w:w="1045"/>
        <w:gridCol w:w="1045"/>
        <w:gridCol w:w="1046"/>
      </w:tblGrid>
      <w:tr>
        <w:trPr>
          <w:trHeight w:val="402" w:hRule="exact"/>
        </w:trPr>
        <w:tc>
          <w:tcPr>
            <w:tcW w:w="1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思达仪表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sz w:val="18"/>
              </w:rPr>
              <w:t>80,000,000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365,840,177.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200,298,016.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265,372,929.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8,530,335.99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21,409,089.7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上海东影</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图像设备制 造</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sz w:val="18"/>
              </w:rPr>
              <w:t>35,200,000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188,359,728.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-2,751,624.6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45,914,789.7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-25,751,027.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-24,030,056.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74</w:t>
            </w:r>
          </w:p>
        </w:tc>
      </w:tr>
      <w:tr>
        <w:trPr>
          <w:trHeight w:val="714"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思达软件</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sz w:val="18"/>
              </w:rPr>
              <w:t>10,000,000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47,128,501.1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4,970,426.39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16,929,912.0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-15,901,197.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-16,895,004.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68</w:t>
            </w:r>
          </w:p>
        </w:tc>
      </w:tr>
    </w:tbl>
    <w:p>
      <w:pPr>
        <w:pStyle w:val="BodyText"/>
        <w:spacing w:line="240" w:lineRule="auto" w:before="51"/>
        <w:ind w:right="0"/>
        <w:jc w:val="left"/>
      </w:pPr>
      <w:r>
        <w:rPr/>
        <w:t>报告期内取得和处置子公司的情况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2"/>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1"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上海东影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减少亏损，提升业绩</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思达软件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减少亏损，提升业绩</w:t>
            </w:r>
          </w:p>
        </w:tc>
      </w:tr>
    </w:tbl>
    <w:p>
      <w:pPr>
        <w:pStyle w:val="BodyText"/>
        <w:spacing w:line="240" w:lineRule="auto" w:before="51"/>
        <w:ind w:right="0"/>
        <w:jc w:val="left"/>
      </w:pPr>
      <w:r>
        <w:rPr/>
        <w:t>主要控股参股公司情况说明</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firstLine="426"/>
        <w:jc w:val="left"/>
      </w:pPr>
      <w:r>
        <w:rPr>
          <w:spacing w:val="-2"/>
        </w:rPr>
        <w:t>近年来，受宏观经济景气度下降和国内经济结构调整的影响，公司主要产品的市场需求持续萎缩，客户订单大幅下滑，</w:t>
      </w:r>
      <w:r>
        <w:rPr/>
        <w:t> 从而导致公司的经营业绩较长时期内很不理想，2011 年-2014 年，公司历年的营业利润均为负数，除了 2013 年因收到拆 </w:t>
      </w:r>
      <w:r>
        <w:rPr>
          <w:spacing w:val="-4"/>
        </w:rPr>
        <w:t>迁款使得净利润转正外，其他年度的净利润也均为亏损。为了保护上市公司中小股东的利益，公司业务转型的需求迫在眉睫。</w:t>
      </w:r>
    </w:p>
    <w:p>
      <w:pPr>
        <w:pStyle w:val="BodyText"/>
        <w:spacing w:line="316" w:lineRule="auto" w:before="59"/>
        <w:ind w:left="153" w:right="188" w:firstLine="360"/>
        <w:jc w:val="both"/>
      </w:pPr>
      <w:r>
        <w:rPr/>
        <w:t>2014年12月31日，公司发布了关于重大资产重组事项的停牌公告，以此开启了公司重大资产重组的大幕，经过9个多月 的努力，公司于2015年9月24日公告了发行股份及支付现金购买资产并募集配套资金暨关联交易报告书（草案），根据该草</w:t>
      </w:r>
      <w:r>
        <w:rPr>
          <w:spacing w:val="-83"/>
        </w:rPr>
        <w:t> </w:t>
      </w:r>
      <w:r>
        <w:rPr>
          <w:spacing w:val="-83"/>
        </w:rPr>
      </w:r>
      <w:r>
        <w:rPr>
          <w:spacing w:val="-2"/>
        </w:rPr>
        <w:t>案及公司未来的发展战略，公司将会逐步收缩原有业务，进而通过本次重组，转型成为一家拥有移动互联网流量入口、移动</w:t>
      </w:r>
      <w:r>
        <w:rPr>
          <w:spacing w:val="-66"/>
        </w:rPr>
        <w:t> </w:t>
      </w:r>
      <w:r>
        <w:rPr>
          <w:spacing w:val="-66"/>
        </w:rPr>
      </w:r>
      <w:r>
        <w:rPr>
          <w:spacing w:val="-1"/>
        </w:rPr>
        <w:t>互联网流量经营平台和商业变现渠道的三位一体的移动互联网公司，大幅提升公司的经营业绩。</w:t>
      </w:r>
      <w:r>
        <w:rPr>
          <w:spacing w:val="-41"/>
        </w:rPr>
        <w:t> </w:t>
      </w:r>
      <w:r>
        <w:rPr/>
        <w:t>重组成功后,上市公司将一</w:t>
      </w:r>
      <w:r>
        <w:rPr/>
        <w:t> </w:t>
      </w:r>
      <w:r>
        <w:rPr>
          <w:spacing w:val="-2"/>
        </w:rPr>
        <w:t>方面将利用所收购移动互联网流量入口资产，广泛与第三方网盟开展合作，聚合移动互联网行业内规模级的碎片化、情景化</w:t>
      </w:r>
    </w:p>
    <w:p>
      <w:pPr>
        <w:spacing w:after="0" w:line="316" w:lineRule="auto"/>
        <w:jc w:val="both"/>
        <w:sectPr>
          <w:type w:val="continuous"/>
          <w:pgSz w:w="11910" w:h="16840"/>
          <w:pgMar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left="153" w:right="83"/>
        <w:jc w:val="left"/>
      </w:pPr>
      <w:r>
        <w:rPr/>
        <w:t>的流量；另一方面，通过整合、升级境内以猎鹰网络下属胜效通平台为代表的境内流量经营平台和以 SPIGOT</w:t>
      </w:r>
      <w:r>
        <w:rPr>
          <w:spacing w:val="-54"/>
        </w:rPr>
        <w:t> </w:t>
      </w:r>
      <w:r>
        <w:rPr/>
        <w:t>流量经营平台</w:t>
      </w:r>
      <w:r>
        <w:rPr/>
        <w:t> </w:t>
      </w:r>
      <w:r>
        <w:rPr>
          <w:spacing w:val="-5"/>
        </w:rPr>
        <w:t>为代表的境外经营平台，得以高效、系统地管理其自然流量，使之转化为具有较高商业价值的流量，输出给包括猎鹰网络（包</w:t>
      </w:r>
      <w:r>
        <w:rPr>
          <w:spacing w:val="-78"/>
        </w:rPr>
        <w:t> </w:t>
      </w:r>
      <w:r>
        <w:rPr>
          <w:spacing w:val="-78"/>
        </w:rPr>
      </w:r>
      <w:r>
        <w:rPr>
          <w:spacing w:val="-3"/>
        </w:rPr>
        <w:t>括下属公司范特西、优美动听）、亦复信息以及</w:t>
      </w:r>
      <w:r>
        <w:rPr>
          <w:spacing w:val="-19"/>
        </w:rPr>
        <w:t> </w:t>
      </w:r>
      <w:r>
        <w:rPr/>
        <w:t>SPIGOT等境内外具有较强商业变现渠道的公司，再精准分发给广告、游戏、</w:t>
      </w:r>
      <w:r>
        <w:rPr/>
        <w:t> 电商、阅读、彩票等各行业有变现需求的广告主或开发者，为其创造较高的商业价值，上市公司最终也得以实现流量变现。</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公司报告期期末至披露日期间未发生接待调研、沟通、采访等活动。</w:t>
      </w:r>
    </w:p>
    <w:p>
      <w:pPr>
        <w:spacing w:after="0" w:line="338"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34"/>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2"/>
        <w:ind w:right="148"/>
        <w:jc w:val="left"/>
        <w:rPr>
          <w:rFonts w:ascii="Times New Roman" w:hAnsi="Times New Roman" w:cs="Times New Roman" w:eastAsia="Times New Roman" w:hint="default"/>
        </w:rPr>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spacing w:val="-4"/>
        </w:rPr>
        <w:t>1</w:t>
      </w:r>
      <w:r>
        <w:rPr>
          <w:spacing w:val="-4"/>
        </w:rPr>
        <w:t>、本公司</w:t>
      </w:r>
      <w:r>
        <w:rPr>
          <w:rFonts w:ascii="Times New Roman" w:hAnsi="Times New Roman" w:cs="Times New Roman" w:eastAsia="Times New Roman" w:hint="default"/>
          <w:spacing w:val="-4"/>
        </w:rPr>
        <w:t>2013</w:t>
      </w:r>
      <w:r>
        <w:rPr>
          <w:spacing w:val="-4"/>
        </w:rPr>
        <w:t>年财务报告经中勤万信会计师事务所（特殊普通合伙）审计确认，全年实现可供股东分配的利润为</w:t>
      </w:r>
      <w:r>
        <w:rPr>
          <w:rFonts w:ascii="Times New Roman" w:hAnsi="Times New Roman" w:cs="Times New Roman" w:eastAsia="Times New Roman" w:hint="default"/>
          <w:spacing w:val="-4"/>
        </w:rPr>
        <w:t>7,366,754.59</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加上</w:t>
      </w:r>
      <w:r>
        <w:rPr>
          <w:rFonts w:ascii="Times New Roman" w:hAnsi="Times New Roman" w:cs="Times New Roman" w:eastAsia="Times New Roman" w:hint="default"/>
        </w:rPr>
        <w:t>2012</w:t>
      </w:r>
      <w:r>
        <w:rPr/>
        <w:t>年度未分配利</w:t>
      </w:r>
      <w:r>
        <w:rPr>
          <w:rFonts w:ascii="Times New Roman" w:hAnsi="Times New Roman" w:cs="Times New Roman" w:eastAsia="Times New Roman" w:hint="default"/>
        </w:rPr>
        <w:t>-355,958,309.24</w:t>
      </w:r>
      <w:r>
        <w:rPr/>
        <w:t>元，公司</w:t>
      </w:r>
      <w:r>
        <w:rPr>
          <w:rFonts w:ascii="Times New Roman" w:hAnsi="Times New Roman" w:cs="Times New Roman" w:eastAsia="Times New Roman" w:hint="default"/>
        </w:rPr>
        <w:t>2013</w:t>
      </w:r>
      <w:r>
        <w:rPr/>
        <w:t>年末可供股东分配的利润为</w:t>
      </w:r>
      <w:r>
        <w:rPr>
          <w:rFonts w:ascii="Times New Roman" w:hAnsi="Times New Roman" w:cs="Times New Roman" w:eastAsia="Times New Roman" w:hint="default"/>
        </w:rPr>
        <w:t>-348,591,554.65</w:t>
      </w:r>
      <w:r>
        <w:rPr/>
        <w:t>元，公司董事会决定</w:t>
      </w:r>
      <w:r>
        <w:rPr>
          <w:rFonts w:ascii="Times New Roman" w:hAnsi="Times New Roman" w:cs="Times New Roman" w:eastAsia="Times New Roman" w:hint="default"/>
        </w:rPr>
        <w:t>2013</w:t>
      </w:r>
    </w:p>
    <w:p>
      <w:pPr>
        <w:pStyle w:val="BodyText"/>
        <w:spacing w:line="233" w:lineRule="exact"/>
        <w:ind w:right="0"/>
        <w:jc w:val="left"/>
      </w:pPr>
      <w:r>
        <w:rPr/>
        <w:t>年年度不对公司股东进行利润分配，也不以资本公积金转增股本。</w:t>
      </w:r>
    </w:p>
    <w:p>
      <w:pPr>
        <w:pStyle w:val="BodyText"/>
        <w:spacing w:line="240" w:lineRule="auto" w:before="76"/>
        <w:ind w:left="227" w:right="0"/>
        <w:jc w:val="left"/>
      </w:pPr>
      <w:r>
        <w:rPr>
          <w:rFonts w:ascii="Times New Roman" w:hAnsi="Times New Roman" w:cs="Times New Roman" w:eastAsia="Times New Roman" w:hint="default"/>
        </w:rPr>
        <w:t>2</w:t>
      </w:r>
      <w:r>
        <w:rPr/>
        <w:t>、本公司</w:t>
      </w:r>
      <w:r>
        <w:rPr>
          <w:rFonts w:ascii="Times New Roman" w:hAnsi="Times New Roman" w:cs="Times New Roman" w:eastAsia="Times New Roman" w:hint="default"/>
        </w:rPr>
        <w:t>2014</w:t>
      </w:r>
      <w:r>
        <w:rPr/>
        <w:t>年财务报告经中勤万信会计师事务所（特殊普通合伙）审计确认，全年实现可供股东分配的利润为</w:t>
      </w:r>
    </w:p>
    <w:p>
      <w:pPr>
        <w:pStyle w:val="BodyText"/>
        <w:spacing w:line="300" w:lineRule="auto" w:before="63"/>
        <w:ind w:right="140"/>
        <w:jc w:val="left"/>
      </w:pPr>
      <w:r>
        <w:rPr>
          <w:rFonts w:ascii="Times New Roman" w:hAnsi="Times New Roman" w:cs="Times New Roman" w:eastAsia="Times New Roman" w:hint="default"/>
        </w:rPr>
        <w:t>-48,815,279.07</w:t>
      </w:r>
      <w:r>
        <w:rPr/>
        <w:t>元</w:t>
      </w:r>
      <w:r>
        <w:rPr>
          <w:rFonts w:ascii="Times New Roman" w:hAnsi="Times New Roman" w:cs="Times New Roman" w:eastAsia="Times New Roman" w:hint="default"/>
        </w:rPr>
        <w:t>,</w:t>
      </w:r>
      <w:r>
        <w:rPr/>
        <w:t>加上</w:t>
      </w:r>
      <w:r>
        <w:rPr>
          <w:rFonts w:ascii="Times New Roman" w:hAnsi="Times New Roman" w:cs="Times New Roman" w:eastAsia="Times New Roman" w:hint="default"/>
        </w:rPr>
        <w:t>2013</w:t>
      </w:r>
      <w:r>
        <w:rPr/>
        <w:t>年度未分配利润</w:t>
      </w:r>
      <w:r>
        <w:rPr>
          <w:rFonts w:ascii="Times New Roman" w:hAnsi="Times New Roman" w:cs="Times New Roman" w:eastAsia="Times New Roman" w:hint="default"/>
        </w:rPr>
        <w:t>-348,591,554.65</w:t>
      </w:r>
      <w:r>
        <w:rPr/>
        <w:t>元，公司</w:t>
      </w:r>
      <w:r>
        <w:rPr>
          <w:rFonts w:ascii="Times New Roman" w:hAnsi="Times New Roman" w:cs="Times New Roman" w:eastAsia="Times New Roman" w:hint="default"/>
        </w:rPr>
        <w:t>2013</w:t>
      </w:r>
      <w:r>
        <w:rPr/>
        <w:t>年末可供股东分配的利润为</w:t>
      </w:r>
      <w:r>
        <w:rPr>
          <w:rFonts w:ascii="Times New Roman" w:hAnsi="Times New Roman" w:cs="Times New Roman" w:eastAsia="Times New Roman" w:hint="default"/>
        </w:rPr>
        <w:t>-397,406,833.72</w:t>
      </w:r>
      <w:r>
        <w:rPr/>
        <w:t>元，公司 董事会决定</w:t>
      </w:r>
      <w:r>
        <w:rPr>
          <w:rFonts w:ascii="Times New Roman" w:hAnsi="Times New Roman" w:cs="Times New Roman" w:eastAsia="Times New Roman" w:hint="default"/>
        </w:rPr>
        <w:t>2014</w:t>
      </w:r>
      <w:r>
        <w:rPr/>
        <w:t>年年度不对公司股东进行利润分配，也不以资本公积金转增股本。 </w:t>
      </w:r>
      <w:r>
        <w:rPr>
          <w:rFonts w:ascii="Times New Roman" w:hAnsi="Times New Roman" w:cs="Times New Roman" w:eastAsia="Times New Roman" w:hint="default"/>
        </w:rPr>
        <w:t>3</w:t>
      </w:r>
      <w:r>
        <w:rPr/>
        <w:t>、本公司</w:t>
      </w:r>
      <w:r>
        <w:rPr>
          <w:rFonts w:ascii="Times New Roman" w:hAnsi="Times New Roman" w:cs="Times New Roman" w:eastAsia="Times New Roman" w:hint="default"/>
        </w:rPr>
        <w:t>2015</w:t>
      </w:r>
      <w:r>
        <w:rPr/>
        <w:t>年财务报告经中勤万信会计师事务所（特殊普通合伙）审计确认，全年实现可供股东分配的利润为</w:t>
      </w:r>
    </w:p>
    <w:p>
      <w:pPr>
        <w:pStyle w:val="BodyText"/>
        <w:spacing w:line="319" w:lineRule="auto" w:before="13"/>
        <w:ind w:left="153" w:right="141"/>
        <w:jc w:val="left"/>
      </w:pPr>
      <w:r>
        <w:rPr>
          <w:rFonts w:ascii="Times New Roman" w:hAnsi="Times New Roman" w:cs="Times New Roman" w:eastAsia="Times New Roman" w:hint="default"/>
        </w:rPr>
        <w:t>-15,812,741.06</w:t>
      </w:r>
      <w:r>
        <w:rPr/>
        <w:t>元</w:t>
      </w:r>
      <w:r>
        <w:rPr>
          <w:rFonts w:ascii="Times New Roman" w:hAnsi="Times New Roman" w:cs="Times New Roman" w:eastAsia="Times New Roman" w:hint="default"/>
        </w:rPr>
        <w:t>,</w:t>
      </w:r>
      <w:r>
        <w:rPr/>
        <w:t>加上</w:t>
      </w:r>
      <w:r>
        <w:rPr>
          <w:rFonts w:ascii="Times New Roman" w:hAnsi="Times New Roman" w:cs="Times New Roman" w:eastAsia="Times New Roman" w:hint="default"/>
        </w:rPr>
        <w:t>2014</w:t>
      </w:r>
      <w:r>
        <w:rPr/>
        <w:t>年度未分配利润</w:t>
      </w:r>
      <w:r>
        <w:rPr>
          <w:rFonts w:ascii="Times New Roman" w:hAnsi="Times New Roman" w:cs="Times New Roman" w:eastAsia="Times New Roman" w:hint="default"/>
        </w:rPr>
        <w:t>-397,406,833.72</w:t>
      </w:r>
      <w:r>
        <w:rPr/>
        <w:t>元，公司</w:t>
      </w:r>
      <w:r>
        <w:rPr>
          <w:rFonts w:ascii="Times New Roman" w:hAnsi="Times New Roman" w:cs="Times New Roman" w:eastAsia="Times New Roman" w:hint="default"/>
        </w:rPr>
        <w:t>2015</w:t>
      </w:r>
      <w:r>
        <w:rPr/>
        <w:t>年末可供股东分配的利润为</w:t>
      </w:r>
      <w:r>
        <w:rPr>
          <w:rFonts w:ascii="Times New Roman" w:hAnsi="Times New Roman" w:cs="Times New Roman" w:eastAsia="Times New Roman" w:hint="default"/>
        </w:rPr>
        <w:t>-413,219,574.78</w:t>
      </w:r>
      <w:r>
        <w:rPr/>
        <w:t>元，公司 董事会决定</w:t>
      </w:r>
      <w:r>
        <w:rPr>
          <w:rFonts w:ascii="Times New Roman" w:hAnsi="Times New Roman" w:cs="Times New Roman" w:eastAsia="Times New Roman" w:hint="default"/>
        </w:rPr>
        <w:t>2015</w:t>
      </w:r>
      <w:r>
        <w:rPr/>
        <w:t>年年度不对公司股东进行利润分配，也不以资本公积金转增股本。 公司近三年（包括本报告期）普通股现金分红情况表</w:t>
      </w:r>
    </w:p>
    <w:p>
      <w:pPr>
        <w:pStyle w:val="BodyText"/>
        <w:spacing w:line="240" w:lineRule="auto" w:before="58"/>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85"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58"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73" w:right="0"/>
              <w:jc w:val="lef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71"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3" w:right="71"/>
              <w:jc w:val="left"/>
              <w:rPr>
                <w:rFonts w:ascii="宋体" w:hAnsi="宋体" w:cs="宋体" w:eastAsia="宋体" w:hint="default"/>
                <w:sz w:val="18"/>
                <w:szCs w:val="18"/>
              </w:rPr>
            </w:pPr>
            <w:r>
              <w:rPr>
                <w:rFonts w:ascii="宋体" w:hAnsi="宋体" w:cs="宋体" w:eastAsia="宋体" w:hint="default"/>
                <w:sz w:val="18"/>
                <w:szCs w:val="18"/>
              </w:rPr>
              <w:t>中归属于上市公司 普通股股东的净利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1" w:right="71"/>
              <w:jc w:val="left"/>
              <w:rPr>
                <w:rFonts w:ascii="宋体" w:hAnsi="宋体" w:cs="宋体" w:eastAsia="宋体" w:hint="default"/>
                <w:sz w:val="18"/>
                <w:szCs w:val="18"/>
              </w:rPr>
            </w:pPr>
            <w:r>
              <w:rPr>
                <w:rFonts w:ascii="宋体" w:hAnsi="宋体" w:cs="宋体" w:eastAsia="宋体" w:hint="default"/>
                <w:sz w:val="18"/>
                <w:szCs w:val="18"/>
              </w:rPr>
              <w:t>于上市公司普通股 股东的净利润的比</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3,503,549.39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-68,589,798.29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21,043,027.87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5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10"/>
        <w:gridCol w:w="1552"/>
        <w:gridCol w:w="1126"/>
        <w:gridCol w:w="1292"/>
        <w:gridCol w:w="1134"/>
        <w:gridCol w:w="947"/>
        <w:gridCol w:w="1108"/>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5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114" w:hRule="exact"/>
        </w:trPr>
        <w:tc>
          <w:tcPr>
            <w:tcW w:w="24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5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吴红心</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292"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鉴于北京智度 德普股权投资 中心（有限合 </w:t>
            </w:r>
            <w:r>
              <w:rPr>
                <w:rFonts w:ascii="宋体" w:hAnsi="宋体" w:cs="宋体" w:eastAsia="宋体" w:hint="default"/>
                <w:spacing w:val="-4"/>
                <w:sz w:val="18"/>
                <w:szCs w:val="18"/>
              </w:rPr>
              <w:t>伙）拟受让河南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正弘置业有限 公司持有的河 南思达高科技 股份有限公司</w:t>
            </w:r>
          </w:p>
          <w:p>
            <w:pPr>
              <w:pStyle w:val="TableParagraph"/>
              <w:spacing w:line="304" w:lineRule="auto" w:before="19"/>
              <w:ind w:left="22" w:right="-15"/>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思 达高科</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上 市公司</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20.03%</w:t>
            </w:r>
            <w:r>
              <w:rPr>
                <w:rFonts w:ascii="宋体" w:hAnsi="宋体" w:cs="宋体" w:eastAsia="宋体" w:hint="default"/>
                <w:sz w:val="18"/>
                <w:szCs w:val="18"/>
              </w:rPr>
              <w:t>的股权， 持股数量 </w:t>
            </w:r>
            <w:r>
              <w:rPr>
                <w:rFonts w:ascii="Times New Roman" w:hAnsi="Times New Roman" w:cs="Times New Roman" w:eastAsia="Times New Roman" w:hint="default"/>
                <w:sz w:val="18"/>
                <w:szCs w:val="18"/>
              </w:rPr>
              <w:t>63,000,000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6" w:lineRule="auto" w:before="9"/>
              <w:ind w:left="22" w:right="-1"/>
              <w:jc w:val="left"/>
              <w:rPr>
                <w:rFonts w:ascii="宋体" w:hAnsi="宋体" w:cs="宋体" w:eastAsia="宋体" w:hint="default"/>
                <w:sz w:val="18"/>
                <w:szCs w:val="18"/>
              </w:rPr>
            </w:pPr>
            <w:r>
              <w:rPr>
                <w:rFonts w:ascii="宋体" w:hAnsi="宋体" w:cs="宋体" w:eastAsia="宋体" w:hint="default"/>
                <w:sz w:val="18"/>
                <w:szCs w:val="18"/>
              </w:rPr>
              <w:t>本次交易完成 </w:t>
            </w:r>
            <w:r>
              <w:rPr>
                <w:rFonts w:ascii="宋体" w:hAnsi="宋体" w:cs="宋体" w:eastAsia="宋体" w:hint="default"/>
                <w:spacing w:val="-4"/>
                <w:sz w:val="18"/>
                <w:szCs w:val="18"/>
              </w:rPr>
              <w:t>后，北京智度德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普股权投资中 心（有限合伙） 将成为思达高 科的控股股东。 实际控制人吴 红心承诺本次 股权过户完成 之日起三年内 不让渡对上市 公司的控制权， 且控制的股份 不低于上市公 司总股本的 </w:t>
            </w:r>
            <w:r>
              <w:rPr>
                <w:rFonts w:ascii="Times New Roman" w:hAnsi="Times New Roman" w:cs="Times New Roman" w:eastAsia="Times New Roman" w:hint="default"/>
                <w:sz w:val="18"/>
                <w:szCs w:val="18"/>
              </w:rPr>
              <w:t>20.03%</w:t>
            </w:r>
            <w:r>
              <w:rPr>
                <w:rFonts w:ascii="宋体" w:hAnsi="宋体" w:cs="宋体" w:eastAsia="宋体" w:hint="default"/>
                <w:sz w:val="18"/>
                <w:szCs w:val="18"/>
              </w:rPr>
              <w:t>。</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尚在履行中</w:t>
            </w:r>
          </w:p>
        </w:tc>
      </w:tr>
      <w:tr>
        <w:trPr>
          <w:trHeight w:val="704" w:hRule="exact"/>
        </w:trPr>
        <w:tc>
          <w:tcPr>
            <w:tcW w:w="24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收购报告书或权益变动报告书 中所作承诺</w:t>
            </w: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2632" w:hRule="exact"/>
        </w:trPr>
        <w:tc>
          <w:tcPr>
            <w:tcW w:w="2410" w:type="dxa"/>
            <w:vMerge w:val="restart"/>
            <w:tcBorders>
              <w:top w:val="nil" w:sz="6" w:space="0" w:color="auto"/>
              <w:left w:val="single" w:sz="4" w:space="0" w:color="000000"/>
              <w:right w:val="single" w:sz="4" w:space="0" w:color="000000"/>
            </w:tcBorders>
            <w:shd w:val="clear" w:color="auto" w:fill="D3D3D3"/>
          </w:tcPr>
          <w:p>
            <w:pPr/>
          </w:p>
        </w:tc>
        <w:tc>
          <w:tcPr>
            <w:tcW w:w="1552"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482" w:hRule="exact"/>
        </w:trPr>
        <w:tc>
          <w:tcPr>
            <w:tcW w:w="2410" w:type="dxa"/>
            <w:vMerge/>
            <w:tcBorders>
              <w:left w:val="single" w:sz="4" w:space="0" w:color="000000"/>
              <w:bottom w:val="single" w:sz="4" w:space="0" w:color="000000"/>
              <w:right w:val="single" w:sz="4" w:space="0" w:color="000000"/>
            </w:tcBorders>
            <w:shd w:val="clear" w:color="auto" w:fill="D3D3D3"/>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西藏智度投资有限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鉴于北京智度 德普股权投资 中心（有限合 </w:t>
            </w:r>
            <w:r>
              <w:rPr>
                <w:rFonts w:ascii="宋体" w:hAnsi="宋体" w:cs="宋体" w:eastAsia="宋体" w:hint="default"/>
                <w:spacing w:val="-4"/>
                <w:sz w:val="18"/>
                <w:szCs w:val="18"/>
              </w:rPr>
              <w:t>伙）拟受让河南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正弘置业有限 公司持有的河 南思达高科技 股份有限公司</w:t>
            </w:r>
          </w:p>
          <w:p>
            <w:pPr>
              <w:pStyle w:val="TableParagraph"/>
              <w:spacing w:line="300" w:lineRule="auto" w:before="19"/>
              <w:ind w:left="22" w:right="98"/>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思 达高科</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上 市公司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73"/>
              <w:jc w:val="right"/>
              <w:rPr>
                <w:rFonts w:ascii="宋体" w:hAnsi="宋体" w:cs="宋体" w:eastAsia="宋体" w:hint="default"/>
                <w:sz w:val="18"/>
                <w:szCs w:val="18"/>
              </w:rPr>
            </w:pPr>
            <w:r>
              <w:rPr>
                <w:rFonts w:ascii="宋体" w:hAnsi="宋体" w:cs="宋体" w:eastAsia="宋体" w:hint="default"/>
                <w:sz w:val="18"/>
                <w:szCs w:val="18"/>
              </w:rPr>
              <w:t>尚在履行中</w:t>
            </w:r>
          </w:p>
        </w:tc>
      </w:tr>
    </w:tbl>
    <w:p>
      <w:pPr>
        <w:spacing w:after="0" w:line="240" w:lineRule="auto"/>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75.899994pt;margin-top:72.480003pt;width:56.25pt;height:298.45pt;mso-position-horizontal-relative:page;mso-position-vertical-relative:page;z-index:-837976" coordorigin="7518,1450" coordsize="1125,5969">
            <v:shape style="position:absolute;left:7518;top:1450;width:1125;height:5969" coordorigin="7518,1450" coordsize="1125,5969" path="m7518,7418l8642,7418,8642,1450,7518,1450,7518,741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10"/>
        <w:gridCol w:w="1552"/>
        <w:gridCol w:w="1126"/>
        <w:gridCol w:w="1292"/>
        <w:gridCol w:w="1134"/>
        <w:gridCol w:w="947"/>
        <w:gridCol w:w="1108"/>
      </w:tblGrid>
      <w:tr>
        <w:trPr>
          <w:trHeight w:val="5978" w:hRule="exact"/>
        </w:trPr>
        <w:tc>
          <w:tcPr>
            <w:tcW w:w="2410" w:type="dxa"/>
            <w:vMerge w:val="restart"/>
            <w:tcBorders>
              <w:top w:val="single" w:sz="4" w:space="0" w:color="000000"/>
              <w:left w:val="single" w:sz="4" w:space="0" w:color="000000"/>
              <w:right w:val="single" w:sz="4" w:space="0" w:color="000000"/>
            </w:tcBorders>
            <w:shd w:val="clear" w:color="auto" w:fill="D3D3D3"/>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宋体" w:hAnsi="宋体" w:cs="宋体" w:eastAsia="宋体" w:hint="default"/>
                <w:sz w:val="18"/>
                <w:szCs w:val="18"/>
              </w:rPr>
              <w:t>的股权， 持股数量 </w:t>
            </w:r>
            <w:r>
              <w:rPr>
                <w:rFonts w:ascii="Times New Roman" w:hAnsi="Times New Roman" w:cs="Times New Roman" w:eastAsia="Times New Roman" w:hint="default"/>
                <w:sz w:val="18"/>
                <w:szCs w:val="18"/>
              </w:rPr>
              <w:t>63,000,000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6" w:lineRule="auto" w:before="5"/>
              <w:ind w:left="22"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本次交易完成 </w:t>
            </w:r>
            <w:r>
              <w:rPr>
                <w:rFonts w:ascii="宋体" w:hAnsi="宋体" w:cs="宋体" w:eastAsia="宋体" w:hint="default"/>
                <w:spacing w:val="-4"/>
                <w:sz w:val="18"/>
                <w:szCs w:val="18"/>
              </w:rPr>
              <w:t>后，北京智度德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普股权投资中 心（有限合伙） 将成为思达高 科的控股股东。 西藏智度投资 有限公司承诺， 本次股权过户 完成之日起三 年内不让渡对 上市公司的控 </w:t>
            </w:r>
            <w:r>
              <w:rPr>
                <w:rFonts w:ascii="宋体" w:hAnsi="宋体" w:cs="宋体" w:eastAsia="宋体" w:hint="default"/>
                <w:spacing w:val="-4"/>
                <w:sz w:val="18"/>
                <w:szCs w:val="18"/>
              </w:rPr>
              <w:t>制权，且共同控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制的股份不低 于上市公司总 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947"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410" w:type="dxa"/>
            <w:vMerge/>
            <w:tcBorders>
              <w:left w:val="single" w:sz="4" w:space="0" w:color="000000"/>
              <w:bottom w:val="single" w:sz="4" w:space="0" w:color="000000"/>
              <w:right w:val="single" w:sz="4" w:space="0" w:color="000000"/>
            </w:tcBorders>
            <w:shd w:val="clear" w:color="auto" w:fill="D3D3D3"/>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77"/>
              <w:jc w:val="both"/>
              <w:rPr>
                <w:rFonts w:ascii="宋体" w:hAnsi="宋体" w:cs="宋体" w:eastAsia="宋体" w:hint="default"/>
                <w:sz w:val="18"/>
                <w:szCs w:val="18"/>
              </w:rPr>
            </w:pPr>
            <w:r>
              <w:rPr>
                <w:rFonts w:ascii="宋体" w:hAnsi="宋体" w:cs="宋体" w:eastAsia="宋体" w:hint="default"/>
                <w:sz w:val="18"/>
                <w:szCs w:val="18"/>
              </w:rPr>
              <w:t>北京智度德普股权 投资中心（有限合 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本次协议收购 股份过户完成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内不转让其持 有的上市公司 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55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首次公开发行或再融资时所作 承诺</w:t>
            </w:r>
          </w:p>
        </w:tc>
        <w:tc>
          <w:tcPr>
            <w:tcW w:w="155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55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4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北京智度德普股权 投资中心（有限合 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上股东北京智 度德普股权投 </w:t>
            </w:r>
            <w:r>
              <w:rPr>
                <w:rFonts w:ascii="宋体" w:hAnsi="宋体" w:cs="宋体" w:eastAsia="宋体" w:hint="default"/>
                <w:spacing w:val="-4"/>
                <w:sz w:val="18"/>
                <w:szCs w:val="18"/>
              </w:rPr>
              <w:t>资中心（有限合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伙）承诺：自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14" w:lineRule="auto" w:before="1"/>
              <w:ind w:left="22" w:right="-1"/>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不通过二级市 场减持所持有 的智度投资股 份有限公司股 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尚在履行中</w:t>
            </w:r>
          </w:p>
        </w:tc>
      </w:tr>
      <w:tr>
        <w:trPr>
          <w:trHeight w:val="402" w:hRule="exact"/>
        </w:trPr>
        <w:tc>
          <w:tcPr>
            <w:tcW w:w="2410" w:type="dxa"/>
            <w:vMerge/>
            <w:tcBorders>
              <w:left w:val="single" w:sz="4" w:space="0" w:color="000000"/>
              <w:bottom w:val="single" w:sz="4" w:space="0" w:color="000000"/>
              <w:right w:val="single" w:sz="4" w:space="0" w:color="000000"/>
            </w:tcBorders>
            <w:shd w:val="clear" w:color="auto" w:fill="D3D3D3"/>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河南正弘置业有限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股份减持承</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10"/>
        <w:gridCol w:w="1552"/>
        <w:gridCol w:w="1126"/>
        <w:gridCol w:w="1292"/>
        <w:gridCol w:w="1134"/>
        <w:gridCol w:w="947"/>
        <w:gridCol w:w="1108"/>
      </w:tblGrid>
      <w:tr>
        <w:trPr>
          <w:trHeight w:val="3170" w:hRule="exact"/>
        </w:trPr>
        <w:tc>
          <w:tcPr>
            <w:tcW w:w="2410" w:type="dxa"/>
            <w:vMerge w:val="restart"/>
            <w:tcBorders>
              <w:top w:val="single" w:sz="4" w:space="0" w:color="000000"/>
              <w:left w:val="single" w:sz="4" w:space="0" w:color="000000"/>
              <w:right w:val="single" w:sz="4" w:space="0" w:color="000000"/>
            </w:tcBorders>
            <w:shd w:val="clear" w:color="auto" w:fill="D3D3D3"/>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上股东河南正 弘置业有限公 </w:t>
            </w:r>
            <w:r>
              <w:rPr>
                <w:rFonts w:ascii="宋体" w:hAnsi="宋体" w:cs="宋体" w:eastAsia="宋体" w:hint="default"/>
                <w:spacing w:val="-4"/>
                <w:sz w:val="18"/>
                <w:szCs w:val="18"/>
              </w:rPr>
              <w:t>司共同承诺：自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14" w:lineRule="auto"/>
              <w:ind w:left="22" w:right="-1"/>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不通过二级市 场减持所持有 的智度投资股 份有限公司股 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074" w:hRule="exact"/>
        </w:trPr>
        <w:tc>
          <w:tcPr>
            <w:tcW w:w="2410" w:type="dxa"/>
            <w:vMerge/>
            <w:tcBorders>
              <w:left w:val="single" w:sz="4" w:space="0" w:color="000000"/>
              <w:right w:val="single" w:sz="4" w:space="0" w:color="000000"/>
            </w:tcBorders>
            <w:shd w:val="clear" w:color="auto" w:fill="D3D3D3"/>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自本次协议收 购股份过户完 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月内向思达高 科股东大会提 交经思达高科 董事会审议通 过的重大资产 重组方案或非 公开发行股份 募集资金购买 </w:t>
            </w:r>
            <w:r>
              <w:rPr>
                <w:rFonts w:ascii="宋体" w:hAnsi="宋体" w:cs="宋体" w:eastAsia="宋体" w:hint="default"/>
                <w:spacing w:val="-4"/>
                <w:sz w:val="18"/>
                <w:szCs w:val="18"/>
              </w:rPr>
              <w:t>资产方案，并于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本次协议收购 股份过户完成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内完成重大资 产重组方案或 非公开发行股 份募集资金购 </w:t>
            </w:r>
            <w:r>
              <w:rPr>
                <w:rFonts w:ascii="宋体" w:hAnsi="宋体" w:cs="宋体" w:eastAsia="宋体" w:hint="default"/>
                <w:spacing w:val="-4"/>
                <w:sz w:val="18"/>
                <w:szCs w:val="18"/>
              </w:rPr>
              <w:t>买资产方案，即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完成注入资产 </w:t>
            </w:r>
            <w:r>
              <w:rPr>
                <w:rFonts w:ascii="宋体" w:hAnsi="宋体" w:cs="宋体" w:eastAsia="宋体" w:hint="default"/>
                <w:spacing w:val="-4"/>
                <w:sz w:val="18"/>
                <w:szCs w:val="18"/>
              </w:rPr>
              <w:t>过户。本次收购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完成后，收购方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拟向思达高科 注入医疗健康、 </w:t>
            </w:r>
            <w:r>
              <w:rPr>
                <w:rFonts w:ascii="Times New Roman" w:hAnsi="Times New Roman" w:cs="Times New Roman" w:eastAsia="Times New Roman" w:hint="default"/>
                <w:spacing w:val="-6"/>
                <w:sz w:val="18"/>
                <w:szCs w:val="18"/>
              </w:rPr>
              <w:t>TMT</w:t>
            </w:r>
            <w:r>
              <w:rPr>
                <w:rFonts w:ascii="宋体" w:hAnsi="宋体" w:cs="宋体" w:eastAsia="宋体" w:hint="default"/>
                <w:spacing w:val="-6"/>
                <w:sz w:val="18"/>
                <w:szCs w:val="18"/>
              </w:rPr>
              <w:t>（通讯、传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媒、互联网）、</w:t>
            </w:r>
            <w:r>
              <w:rPr>
                <w:rFonts w:ascii="宋体" w:hAnsi="宋体" w:cs="宋体" w:eastAsia="宋体" w:hint="default"/>
                <w:sz w:val="18"/>
                <w:szCs w:val="18"/>
              </w:rPr>
              <w:t> </w:t>
            </w:r>
            <w:r>
              <w:rPr>
                <w:rFonts w:ascii="宋体" w:hAnsi="宋体" w:cs="宋体" w:eastAsia="宋体" w:hint="default"/>
                <w:spacing w:val="-4"/>
                <w:sz w:val="18"/>
                <w:szCs w:val="18"/>
              </w:rPr>
              <w:t>文化体育、新材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料或能源等领 域具有较高成 长性的优质资 产。</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674" w:hRule="exact"/>
        </w:trPr>
        <w:tc>
          <w:tcPr>
            <w:tcW w:w="2410" w:type="dxa"/>
            <w:vMerge/>
            <w:tcBorders>
              <w:left w:val="single" w:sz="4" w:space="0" w:color="000000"/>
              <w:bottom w:val="single" w:sz="4" w:space="0" w:color="000000"/>
              <w:right w:val="single" w:sz="4" w:space="0" w:color="000000"/>
            </w:tcBorders>
            <w:shd w:val="clear" w:color="auto" w:fill="D3D3D3"/>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自本次协议收 购股份过户完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10"/>
        <w:gridCol w:w="1552"/>
        <w:gridCol w:w="1126"/>
        <w:gridCol w:w="1292"/>
        <w:gridCol w:w="1134"/>
        <w:gridCol w:w="947"/>
        <w:gridCol w:w="1108"/>
      </w:tblGrid>
      <w:tr>
        <w:trPr>
          <w:trHeight w:val="322" w:hRule="exact"/>
        </w:trPr>
        <w:tc>
          <w:tcPr>
            <w:tcW w:w="2410" w:type="dxa"/>
            <w:vMerge w:val="restart"/>
            <w:tcBorders>
              <w:top w:val="single" w:sz="4" w:space="0" w:color="000000"/>
              <w:left w:val="single" w:sz="4" w:space="0" w:color="000000"/>
              <w:right w:val="single" w:sz="4" w:space="0" w:color="000000"/>
            </w:tcBorders>
            <w:shd w:val="clear" w:color="auto" w:fill="D3D3D3"/>
          </w:tcPr>
          <w:p>
            <w:pPr/>
          </w:p>
        </w:tc>
        <w:tc>
          <w:tcPr>
            <w:tcW w:w="1552"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2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6"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月内向思达高</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科股东大会提</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交经思达高科</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董事会审议通</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过的重大资产</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重组方案或非</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公开发行股份</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募集资金购买</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资产方案，并于</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本次协议收购</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股份过户完成</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内完成重大资</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产重组方案或</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非公开发行股</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份募集资金购</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买资产方案，即</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完成注入资产</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过户。本次收购</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完成后，收购方</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拟向思达高科</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注入医疗健康、</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TMT</w:t>
            </w:r>
            <w:r>
              <w:rPr>
                <w:rFonts w:ascii="宋体" w:hAnsi="宋体" w:cs="宋体" w:eastAsia="宋体" w:hint="default"/>
                <w:spacing w:val="-6"/>
                <w:sz w:val="18"/>
                <w:szCs w:val="18"/>
              </w:rPr>
              <w:t>（通讯、传</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媒、互联网</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文化体育、新材</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料或能源等领</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域具有较高成</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长性的优质资</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2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z w:val="18"/>
                <w:szCs w:val="18"/>
              </w:rPr>
              <w:t>"</w:t>
            </w:r>
          </w:p>
        </w:tc>
        <w:tc>
          <w:tcPr>
            <w:tcW w:w="1134" w:type="dxa"/>
            <w:tcBorders>
              <w:top w:val="nil" w:sz="6" w:space="0" w:color="auto"/>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410" w:type="dxa"/>
            <w:vMerge/>
            <w:tcBorders>
              <w:left w:val="single" w:sz="4" w:space="0" w:color="000000"/>
              <w:right w:val="single" w:sz="4" w:space="0" w:color="000000"/>
            </w:tcBorders>
            <w:shd w:val="clear" w:color="auto" w:fill="D3D3D3"/>
          </w:tcPr>
          <w:p>
            <w:pPr/>
          </w:p>
        </w:tc>
        <w:tc>
          <w:tcPr>
            <w:tcW w:w="1552"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2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自本次协议收</w:t>
            </w:r>
          </w:p>
        </w:tc>
        <w:tc>
          <w:tcPr>
            <w:tcW w:w="1134" w:type="dxa"/>
            <w:tcBorders>
              <w:top w:val="single" w:sz="4" w:space="0" w:color="000000"/>
              <w:left w:val="single" w:sz="4" w:space="0" w:color="000000"/>
              <w:bottom w:val="nil" w:sz="6" w:space="0" w:color="auto"/>
              <w:right w:val="single" w:sz="4" w:space="0" w:color="000000"/>
            </w:tcBorders>
          </w:tcPr>
          <w:p>
            <w:pPr/>
          </w:p>
        </w:tc>
        <w:tc>
          <w:tcPr>
            <w:tcW w:w="947"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购股份过户完</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月内向思达高</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科股东大会提</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交经思达高科</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79"/>
              <w:jc w:val="left"/>
              <w:rPr>
                <w:rFonts w:ascii="宋体" w:hAnsi="宋体" w:cs="宋体" w:eastAsia="宋体" w:hint="default"/>
                <w:sz w:val="18"/>
                <w:szCs w:val="18"/>
              </w:rPr>
            </w:pPr>
            <w:r>
              <w:rPr>
                <w:rFonts w:ascii="宋体" w:hAnsi="宋体" w:cs="宋体" w:eastAsia="宋体" w:hint="default"/>
                <w:sz w:val="18"/>
                <w:szCs w:val="18"/>
              </w:rPr>
              <w:t>董事会审议通 过的重大资产</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重组方案或非</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公开发行股份</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募集资金购买</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资产方案，并于</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本次协议收购</w:t>
            </w:r>
          </w:p>
        </w:tc>
        <w:tc>
          <w:tcPr>
            <w:tcW w:w="1134"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410" w:type="dxa"/>
            <w:vMerge/>
            <w:tcBorders>
              <w:left w:val="single" w:sz="4" w:space="0" w:color="000000"/>
              <w:bottom w:val="single" w:sz="4" w:space="0" w:color="000000"/>
              <w:right w:val="single" w:sz="4" w:space="0" w:color="000000"/>
            </w:tcBorders>
            <w:shd w:val="clear" w:color="auto" w:fill="D3D3D3"/>
          </w:tcPr>
          <w:p>
            <w:pPr/>
          </w:p>
        </w:tc>
        <w:tc>
          <w:tcPr>
            <w:tcW w:w="1552"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2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股份过户完成</w:t>
            </w:r>
          </w:p>
        </w:tc>
        <w:tc>
          <w:tcPr>
            <w:tcW w:w="1134" w:type="dxa"/>
            <w:tcBorders>
              <w:top w:val="nil" w:sz="6" w:space="0" w:color="auto"/>
              <w:left w:val="single" w:sz="4" w:space="0" w:color="000000"/>
              <w:bottom w:val="single" w:sz="4" w:space="0" w:color="000000"/>
              <w:right w:val="single" w:sz="4" w:space="0" w:color="000000"/>
            </w:tcBorders>
          </w:tcPr>
          <w:p>
            <w:pPr/>
          </w:p>
        </w:tc>
        <w:tc>
          <w:tcPr>
            <w:tcW w:w="947"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10"/>
        <w:gridCol w:w="1552"/>
        <w:gridCol w:w="1126"/>
        <w:gridCol w:w="1292"/>
        <w:gridCol w:w="1134"/>
        <w:gridCol w:w="947"/>
        <w:gridCol w:w="1108"/>
      </w:tblGrid>
      <w:tr>
        <w:trPr>
          <w:trHeight w:val="322" w:hRule="exact"/>
        </w:trPr>
        <w:tc>
          <w:tcPr>
            <w:tcW w:w="2410" w:type="dxa"/>
            <w:vMerge w:val="restart"/>
            <w:tcBorders>
              <w:top w:val="single" w:sz="4" w:space="0" w:color="000000"/>
              <w:left w:val="single" w:sz="4" w:space="0" w:color="000000"/>
              <w:right w:val="single" w:sz="4" w:space="0" w:color="000000"/>
            </w:tcBorders>
            <w:shd w:val="clear" w:color="auto" w:fill="D3D3D3"/>
          </w:tcPr>
          <w:p>
            <w:pPr/>
          </w:p>
        </w:tc>
        <w:tc>
          <w:tcPr>
            <w:tcW w:w="1552"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2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34" w:type="dxa"/>
            <w:vMerge w:val="restart"/>
            <w:tcBorders>
              <w:top w:val="single" w:sz="4" w:space="0" w:color="000000"/>
              <w:left w:val="single" w:sz="4" w:space="0" w:color="000000"/>
              <w:right w:val="single" w:sz="4" w:space="0" w:color="000000"/>
            </w:tcBorders>
          </w:tcPr>
          <w:p>
            <w:pPr/>
          </w:p>
        </w:tc>
        <w:tc>
          <w:tcPr>
            <w:tcW w:w="947"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内完成重大资</w:t>
            </w:r>
          </w:p>
        </w:tc>
        <w:tc>
          <w:tcPr>
            <w:tcW w:w="1134"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产重组方案或</w:t>
            </w:r>
          </w:p>
        </w:tc>
        <w:tc>
          <w:tcPr>
            <w:tcW w:w="1134"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非公开发行股</w:t>
            </w:r>
          </w:p>
        </w:tc>
        <w:tc>
          <w:tcPr>
            <w:tcW w:w="1134"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份募集资金购</w:t>
            </w:r>
          </w:p>
        </w:tc>
        <w:tc>
          <w:tcPr>
            <w:tcW w:w="1134"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买资产方案，即</w:t>
            </w:r>
          </w:p>
        </w:tc>
        <w:tc>
          <w:tcPr>
            <w:tcW w:w="1134"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完成注入资产</w:t>
            </w:r>
          </w:p>
        </w:tc>
        <w:tc>
          <w:tcPr>
            <w:tcW w:w="1134"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过户。本次收购</w:t>
            </w:r>
          </w:p>
        </w:tc>
        <w:tc>
          <w:tcPr>
            <w:tcW w:w="1134"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完成后，收购方</w:t>
            </w:r>
          </w:p>
        </w:tc>
        <w:tc>
          <w:tcPr>
            <w:tcW w:w="1134"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拟向思达高科</w:t>
            </w:r>
          </w:p>
        </w:tc>
        <w:tc>
          <w:tcPr>
            <w:tcW w:w="1134"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注入医疗健康、</w:t>
            </w:r>
          </w:p>
        </w:tc>
        <w:tc>
          <w:tcPr>
            <w:tcW w:w="1134"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TMT</w:t>
            </w:r>
            <w:r>
              <w:rPr>
                <w:rFonts w:ascii="宋体" w:hAnsi="宋体" w:cs="宋体" w:eastAsia="宋体" w:hint="default"/>
                <w:spacing w:val="-6"/>
                <w:sz w:val="18"/>
                <w:szCs w:val="18"/>
              </w:rPr>
              <w:t>（通讯、传</w:t>
            </w:r>
          </w:p>
        </w:tc>
        <w:tc>
          <w:tcPr>
            <w:tcW w:w="1134"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媒、互联网</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34"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文化体育、新材</w:t>
            </w:r>
          </w:p>
        </w:tc>
        <w:tc>
          <w:tcPr>
            <w:tcW w:w="1134"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料或能源等领</w:t>
            </w:r>
          </w:p>
        </w:tc>
        <w:tc>
          <w:tcPr>
            <w:tcW w:w="1134"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域具有较高成</w:t>
            </w:r>
          </w:p>
        </w:tc>
        <w:tc>
          <w:tcPr>
            <w:tcW w:w="1134"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410" w:type="dxa"/>
            <w:vMerge/>
            <w:tcBorders>
              <w:left w:val="single" w:sz="4" w:space="0" w:color="000000"/>
              <w:right w:val="single" w:sz="4" w:space="0" w:color="000000"/>
            </w:tcBorders>
            <w:shd w:val="clear" w:color="auto" w:fill="D3D3D3"/>
          </w:tcPr>
          <w:p>
            <w:pPr/>
          </w:p>
        </w:tc>
        <w:tc>
          <w:tcPr>
            <w:tcW w:w="1552"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长性的优质资</w:t>
            </w:r>
          </w:p>
        </w:tc>
        <w:tc>
          <w:tcPr>
            <w:tcW w:w="1134"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410" w:type="dxa"/>
            <w:vMerge/>
            <w:tcBorders>
              <w:left w:val="single" w:sz="4" w:space="0" w:color="000000"/>
              <w:bottom w:val="single" w:sz="4" w:space="0" w:color="000000"/>
              <w:right w:val="single" w:sz="4" w:space="0" w:color="000000"/>
            </w:tcBorders>
            <w:shd w:val="clear" w:color="auto" w:fill="D3D3D3"/>
          </w:tcPr>
          <w:p>
            <w:pPr/>
          </w:p>
        </w:tc>
        <w:tc>
          <w:tcPr>
            <w:tcW w:w="1552"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2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z w:val="18"/>
                <w:szCs w:val="18"/>
              </w:rPr>
              <w:t>"</w:t>
            </w:r>
          </w:p>
        </w:tc>
        <w:tc>
          <w:tcPr>
            <w:tcW w:w="1134"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15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0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7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after="0" w:line="338"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3"/>
          <w:szCs w:val="23"/>
        </w:rPr>
      </w:pPr>
    </w:p>
    <w:p>
      <w:pPr>
        <w:pStyle w:val="BodyText"/>
        <w:spacing w:line="240" w:lineRule="auto"/>
        <w:ind w:left="574" w:right="0"/>
        <w:jc w:val="left"/>
      </w:pPr>
      <w:r>
        <w:rPr/>
        <w:t>单次处置对子公司投资即丧失控制权</w:t>
      </w:r>
    </w:p>
    <w:p>
      <w:pPr>
        <w:spacing w:line="240" w:lineRule="auto" w:before="5"/>
        <w:rPr>
          <w:rFonts w:ascii="宋体" w:hAnsi="宋体" w:cs="宋体" w:eastAsia="宋体" w:hint="default"/>
          <w:sz w:val="23"/>
          <w:szCs w:val="23"/>
        </w:rPr>
      </w:pPr>
    </w:p>
    <w:tbl>
      <w:tblPr>
        <w:tblW w:w="0" w:type="auto"/>
        <w:jc w:val="left"/>
        <w:tblInd w:w="567" w:type="dxa"/>
        <w:tblLayout w:type="fixed"/>
        <w:tblCellMar>
          <w:top w:w="0" w:type="dxa"/>
          <w:left w:w="0" w:type="dxa"/>
          <w:bottom w:w="0" w:type="dxa"/>
          <w:right w:w="0" w:type="dxa"/>
        </w:tblCellMar>
        <w:tblLook w:val="01E0"/>
      </w:tblPr>
      <w:tblGrid>
        <w:gridCol w:w="1186"/>
        <w:gridCol w:w="1272"/>
        <w:gridCol w:w="1254"/>
        <w:gridCol w:w="1284"/>
        <w:gridCol w:w="1268"/>
        <w:gridCol w:w="1266"/>
        <w:gridCol w:w="1265"/>
      </w:tblGrid>
      <w:tr>
        <w:trPr>
          <w:trHeight w:val="1907"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b/>
                <w:bCs/>
                <w:w w:val="95"/>
                <w:sz w:val="18"/>
                <w:szCs w:val="18"/>
              </w:rPr>
              <w:t>股权处置价款</w:t>
            </w:r>
            <w:r>
              <w:rPr>
                <w:rFonts w:ascii="宋体" w:hAnsi="宋体" w:cs="宋体" w:eastAsia="宋体" w:hint="default"/>
                <w:sz w:val="18"/>
                <w:szCs w:val="18"/>
              </w:rPr>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股权处置比例</w:t>
            </w:r>
            <w:r>
              <w:rPr>
                <w:rFonts w:ascii="宋体" w:hAnsi="宋体" w:cs="宋体" w:eastAsia="宋体" w:hint="default"/>
                <w:sz w:val="18"/>
                <w:szCs w:val="18"/>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股权处置方式</w:t>
            </w:r>
            <w:r>
              <w:rPr>
                <w:rFonts w:ascii="宋体" w:hAnsi="宋体" w:cs="宋体" w:eastAsia="宋体" w:hint="default"/>
                <w:sz w:val="18"/>
                <w:szCs w:val="18"/>
              </w:rPr>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446" w:right="83" w:hanging="362"/>
              <w:jc w:val="left"/>
              <w:rPr>
                <w:rFonts w:ascii="宋体" w:hAnsi="宋体" w:cs="宋体" w:eastAsia="宋体" w:hint="default"/>
                <w:sz w:val="18"/>
                <w:szCs w:val="18"/>
              </w:rPr>
            </w:pPr>
            <w:r>
              <w:rPr>
                <w:rFonts w:ascii="宋体" w:hAnsi="宋体" w:cs="宋体" w:eastAsia="宋体" w:hint="default"/>
                <w:b/>
                <w:bCs/>
                <w:sz w:val="18"/>
                <w:szCs w:val="18"/>
              </w:rPr>
              <w:t>丧失控制权的</w:t>
            </w:r>
            <w:r>
              <w:rPr>
                <w:rFonts w:ascii="宋体" w:hAnsi="宋体" w:cs="宋体" w:eastAsia="宋体" w:hint="default"/>
                <w:b/>
                <w:bCs/>
                <w:w w:val="99"/>
                <w:sz w:val="18"/>
                <w:szCs w:val="18"/>
              </w:rPr>
              <w:t> </w:t>
            </w:r>
            <w:r>
              <w:rPr>
                <w:rFonts w:ascii="宋体" w:hAnsi="宋体" w:cs="宋体" w:eastAsia="宋体" w:hint="default"/>
                <w:b/>
                <w:bCs/>
                <w:sz w:val="18"/>
                <w:szCs w:val="18"/>
              </w:rPr>
              <w:t>时点</w:t>
            </w:r>
            <w:r>
              <w:rPr>
                <w:rFonts w:ascii="宋体" w:hAnsi="宋体" w:cs="宋体" w:eastAsia="宋体" w:hint="default"/>
                <w:sz w:val="18"/>
                <w:szCs w:val="18"/>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2" w:right="83"/>
              <w:jc w:val="center"/>
              <w:rPr>
                <w:rFonts w:ascii="宋体" w:hAnsi="宋体" w:cs="宋体" w:eastAsia="宋体" w:hint="default"/>
                <w:sz w:val="18"/>
                <w:szCs w:val="18"/>
              </w:rPr>
            </w:pPr>
            <w:r>
              <w:rPr>
                <w:rFonts w:ascii="宋体" w:hAnsi="宋体" w:cs="宋体" w:eastAsia="宋体" w:hint="default"/>
                <w:b/>
                <w:bCs/>
                <w:sz w:val="18"/>
                <w:szCs w:val="18"/>
              </w:rPr>
              <w:t>处置价款与处</w:t>
            </w:r>
            <w:r>
              <w:rPr>
                <w:rFonts w:ascii="宋体" w:hAnsi="宋体" w:cs="宋体" w:eastAsia="宋体" w:hint="default"/>
                <w:b/>
                <w:bCs/>
                <w:w w:val="99"/>
                <w:sz w:val="18"/>
                <w:szCs w:val="18"/>
              </w:rPr>
              <w:t> </w:t>
            </w:r>
            <w:r>
              <w:rPr>
                <w:rFonts w:ascii="宋体" w:hAnsi="宋体" w:cs="宋体" w:eastAsia="宋体" w:hint="default"/>
                <w:b/>
                <w:bCs/>
                <w:sz w:val="18"/>
                <w:szCs w:val="18"/>
              </w:rPr>
              <w:t>置投资对应的</w:t>
            </w:r>
            <w:r>
              <w:rPr>
                <w:rFonts w:ascii="宋体" w:hAnsi="宋体" w:cs="宋体" w:eastAsia="宋体" w:hint="default"/>
                <w:b/>
                <w:bCs/>
                <w:w w:val="99"/>
                <w:sz w:val="18"/>
                <w:szCs w:val="18"/>
              </w:rPr>
              <w:t> </w:t>
            </w:r>
            <w:r>
              <w:rPr>
                <w:rFonts w:ascii="宋体" w:hAnsi="宋体" w:cs="宋体" w:eastAsia="宋体" w:hint="default"/>
                <w:b/>
                <w:bCs/>
                <w:sz w:val="18"/>
                <w:szCs w:val="18"/>
              </w:rPr>
              <w:t>合并财务报表</w:t>
            </w:r>
            <w:r>
              <w:rPr>
                <w:rFonts w:ascii="宋体" w:hAnsi="宋体" w:cs="宋体" w:eastAsia="宋体" w:hint="default"/>
                <w:b/>
                <w:bCs/>
                <w:w w:val="99"/>
                <w:sz w:val="18"/>
                <w:szCs w:val="18"/>
              </w:rPr>
              <w:t> </w:t>
            </w:r>
            <w:r>
              <w:rPr>
                <w:rFonts w:ascii="宋体" w:hAnsi="宋体" w:cs="宋体" w:eastAsia="宋体" w:hint="default"/>
                <w:b/>
                <w:bCs/>
                <w:sz w:val="18"/>
                <w:szCs w:val="18"/>
              </w:rPr>
              <w:t>层面享有该子</w:t>
            </w:r>
            <w:r>
              <w:rPr>
                <w:rFonts w:ascii="宋体" w:hAnsi="宋体" w:cs="宋体" w:eastAsia="宋体" w:hint="default"/>
                <w:b/>
                <w:bCs/>
                <w:w w:val="99"/>
                <w:sz w:val="18"/>
                <w:szCs w:val="18"/>
              </w:rPr>
              <w:t> </w:t>
            </w:r>
            <w:r>
              <w:rPr>
                <w:rFonts w:ascii="宋体" w:hAnsi="宋体" w:cs="宋体" w:eastAsia="宋体" w:hint="default"/>
                <w:b/>
                <w:bCs/>
                <w:sz w:val="18"/>
                <w:szCs w:val="18"/>
              </w:rPr>
              <w:t>公司净资产份</w:t>
            </w:r>
            <w:r>
              <w:rPr>
                <w:rFonts w:ascii="宋体" w:hAnsi="宋体" w:cs="宋体" w:eastAsia="宋体" w:hint="default"/>
                <w:b/>
                <w:bCs/>
                <w:w w:val="99"/>
                <w:sz w:val="18"/>
                <w:szCs w:val="18"/>
              </w:rPr>
              <w:t> </w:t>
            </w:r>
            <w:r>
              <w:rPr>
                <w:rFonts w:ascii="宋体" w:hAnsi="宋体" w:cs="宋体" w:eastAsia="宋体" w:hint="default"/>
                <w:b/>
                <w:bCs/>
                <w:sz w:val="18"/>
                <w:szCs w:val="18"/>
              </w:rPr>
              <w:t>额的差额</w:t>
            </w:r>
            <w:r>
              <w:rPr>
                <w:rFonts w:ascii="宋体" w:hAnsi="宋体" w:cs="宋体" w:eastAsia="宋体" w:hint="default"/>
                <w:sz w:val="18"/>
                <w:szCs w:val="18"/>
              </w:rPr>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82" w:right="81"/>
              <w:jc w:val="center"/>
              <w:rPr>
                <w:rFonts w:ascii="宋体" w:hAnsi="宋体" w:cs="宋体" w:eastAsia="宋体" w:hint="default"/>
                <w:sz w:val="18"/>
                <w:szCs w:val="18"/>
              </w:rPr>
            </w:pPr>
            <w:r>
              <w:rPr>
                <w:rFonts w:ascii="宋体" w:hAnsi="宋体" w:cs="宋体" w:eastAsia="宋体" w:hint="default"/>
                <w:b/>
                <w:bCs/>
                <w:sz w:val="18"/>
                <w:szCs w:val="18"/>
              </w:rPr>
              <w:t>丧失控制权之</w:t>
            </w:r>
            <w:r>
              <w:rPr>
                <w:rFonts w:ascii="宋体" w:hAnsi="宋体" w:cs="宋体" w:eastAsia="宋体" w:hint="default"/>
                <w:b/>
                <w:bCs/>
                <w:w w:val="99"/>
                <w:sz w:val="18"/>
                <w:szCs w:val="18"/>
              </w:rPr>
              <w:t> </w:t>
            </w:r>
            <w:r>
              <w:rPr>
                <w:rFonts w:ascii="宋体" w:hAnsi="宋体" w:cs="宋体" w:eastAsia="宋体" w:hint="default"/>
                <w:b/>
                <w:bCs/>
                <w:sz w:val="18"/>
                <w:szCs w:val="18"/>
              </w:rPr>
              <w:t>日剩余股权的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971"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5" w:right="43"/>
              <w:jc w:val="center"/>
              <w:rPr>
                <w:rFonts w:ascii="宋体" w:hAnsi="宋体" w:cs="宋体" w:eastAsia="宋体" w:hint="default"/>
                <w:sz w:val="18"/>
                <w:szCs w:val="18"/>
              </w:rPr>
            </w:pPr>
            <w:r>
              <w:rPr>
                <w:rFonts w:ascii="宋体" w:hAnsi="宋体" w:cs="宋体" w:eastAsia="宋体" w:hint="default"/>
                <w:sz w:val="18"/>
                <w:szCs w:val="18"/>
              </w:rPr>
              <w:t>上海英迈吉东 影图像设备有 限公司</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08"/>
              <w:jc w:val="right"/>
              <w:rPr>
                <w:rFonts w:ascii="Times New Roman" w:hAnsi="Times New Roman" w:cs="Times New Roman" w:eastAsia="Times New Roman" w:hint="default"/>
                <w:sz w:val="18"/>
                <w:szCs w:val="18"/>
              </w:rPr>
            </w:pPr>
            <w:r>
              <w:rPr>
                <w:rFonts w:ascii="Times New Roman"/>
                <w:spacing w:val="-1"/>
                <w:sz w:val="18"/>
              </w:rPr>
              <w:t>27,529,788.53</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Times New Roman" w:hAnsi="Times New Roman" w:cs="Times New Roman" w:eastAsia="Times New Roman" w:hint="default"/>
                <w:sz w:val="18"/>
                <w:szCs w:val="18"/>
              </w:rPr>
            </w:pPr>
            <w:r>
              <w:rPr>
                <w:rFonts w:ascii="Times New Roman"/>
                <w:sz w:val="18"/>
              </w:rPr>
              <w:t>70.00</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现金转让</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Times New Roman" w:hAnsi="Times New Roman" w:cs="Times New Roman" w:eastAsia="Times New Roman" w:hint="default"/>
                <w:sz w:val="18"/>
                <w:szCs w:val="18"/>
              </w:rPr>
            </w:pPr>
            <w:r>
              <w:rPr>
                <w:rFonts w:ascii="Times New Roman"/>
                <w:sz w:val="18"/>
              </w:rPr>
              <w:t>2015-12-29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08" w:right="0"/>
              <w:jc w:val="left"/>
              <w:rPr>
                <w:rFonts w:ascii="Times New Roman" w:hAnsi="Times New Roman" w:cs="Times New Roman" w:eastAsia="Times New Roman" w:hint="default"/>
                <w:sz w:val="18"/>
                <w:szCs w:val="18"/>
              </w:rPr>
            </w:pPr>
            <w:r>
              <w:rPr>
                <w:rFonts w:ascii="Times New Roman"/>
                <w:sz w:val="18"/>
              </w:rPr>
              <w:t>29,400,965.07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660"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4"/>
              <w:jc w:val="left"/>
              <w:rPr>
                <w:rFonts w:ascii="宋体" w:hAnsi="宋体" w:cs="宋体" w:eastAsia="宋体" w:hint="default"/>
                <w:sz w:val="18"/>
                <w:szCs w:val="18"/>
              </w:rPr>
            </w:pPr>
            <w:r>
              <w:rPr>
                <w:rFonts w:ascii="宋体" w:hAnsi="宋体" w:cs="宋体" w:eastAsia="宋体" w:hint="default"/>
                <w:spacing w:val="13"/>
                <w:sz w:val="18"/>
                <w:szCs w:val="18"/>
              </w:rPr>
              <w:t>河南思达软件</w:t>
            </w:r>
            <w:r>
              <w:rPr>
                <w:rFonts w:ascii="宋体" w:hAnsi="宋体" w:cs="宋体" w:eastAsia="宋体" w:hint="default"/>
                <w:spacing w:val="-87"/>
                <w:sz w:val="18"/>
                <w:szCs w:val="18"/>
              </w:rPr>
              <w:t> </w:t>
            </w:r>
            <w:r>
              <w:rPr>
                <w:rFonts w:ascii="宋体" w:hAnsi="宋体" w:cs="宋体" w:eastAsia="宋体" w:hint="default"/>
                <w:sz w:val="18"/>
                <w:szCs w:val="18"/>
              </w:rPr>
              <w:t>工程有限公司</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53"/>
              <w:jc w:val="right"/>
              <w:rPr>
                <w:rFonts w:ascii="Times New Roman" w:hAnsi="Times New Roman" w:cs="Times New Roman" w:eastAsia="Times New Roman" w:hint="default"/>
                <w:sz w:val="18"/>
                <w:szCs w:val="18"/>
              </w:rPr>
            </w:pPr>
            <w:r>
              <w:rPr>
                <w:rFonts w:ascii="Times New Roman"/>
                <w:spacing w:val="-1"/>
                <w:sz w:val="18"/>
              </w:rPr>
              <w:t>7,815,496.84</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现金转让</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2015-12-30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3,716,246.52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pStyle w:val="BodyText"/>
        <w:spacing w:line="316" w:lineRule="auto" w:before="10"/>
        <w:ind w:right="148" w:firstLine="420"/>
        <w:jc w:val="both"/>
      </w:pPr>
      <w:r>
        <w:rPr/>
        <w:t>其他说明：2015年12月10日，智度投资股份有限公司召开了第七届董事会第十次会议，审议通过了《关于转让控股子</w:t>
      </w:r>
      <w:r>
        <w:rPr>
          <w:spacing w:val="1"/>
        </w:rPr>
        <w:t> </w:t>
      </w:r>
      <w:r>
        <w:rPr>
          <w:spacing w:val="-2"/>
        </w:rPr>
        <w:t>公司股权暨关联交易的议案》、《关于转让全资子公司股权暨关联交易的议案》以及《关于子公司转让部分房产暨关联交易</w:t>
      </w:r>
      <w:r>
        <w:rPr>
          <w:spacing w:val="-65"/>
        </w:rPr>
        <w:t> </w:t>
      </w:r>
      <w:r>
        <w:rPr>
          <w:spacing w:val="-65"/>
        </w:rPr>
      </w:r>
      <w:r>
        <w:rPr/>
        <w:t>的公告》，同意将公司持有的上海英迈吉东影图像设备有限公司70%的股权、河南思达软件工程有限公司100%股权以及公司</w:t>
      </w:r>
      <w:r>
        <w:rPr>
          <w:spacing w:val="-83"/>
        </w:rPr>
        <w:t> </w:t>
      </w:r>
      <w:r>
        <w:rPr>
          <w:spacing w:val="-83"/>
        </w:rPr>
      </w:r>
      <w:r>
        <w:rPr/>
        <w:t>全资子公司深圳市思达仪表有限公司持有的5处房产，一并转让给公司的控股股东北京智度德普股权投资中心（有限合伙）</w:t>
      </w:r>
      <w:r>
        <w:rPr>
          <w:spacing w:val="-83"/>
        </w:rPr>
        <w:t> </w:t>
      </w:r>
      <w:r>
        <w:rPr>
          <w:spacing w:val="-83"/>
        </w:rPr>
      </w:r>
      <w:r>
        <w:rPr/>
        <w:t>的全资子公司深圳市思达高科投资有限公司。</w:t>
      </w:r>
    </w:p>
    <w:p>
      <w:pPr>
        <w:pStyle w:val="BodyText"/>
        <w:spacing w:line="316" w:lineRule="auto" w:before="19"/>
        <w:ind w:right="148" w:firstLine="420"/>
        <w:jc w:val="both"/>
      </w:pPr>
      <w:r>
        <w:rPr>
          <w:spacing w:val="-8"/>
        </w:rPr>
        <w:t>其中，中瑞国际资产评估（北京）有限公司出具了中瑞评报字【2015】120011495、【2015】120011496、【2015】120011494</w:t>
      </w:r>
      <w:r>
        <w:rPr/>
        <w:t> 分别对上海英迈吉东影图像设备有限公司70%的股权、河南思达软件工程有限公司100%股权以及公司全资子公司深圳市思达</w:t>
      </w:r>
      <w:r>
        <w:rPr>
          <w:spacing w:val="-83"/>
        </w:rPr>
        <w:t> </w:t>
      </w:r>
      <w:r>
        <w:rPr>
          <w:spacing w:val="-83"/>
        </w:rPr>
      </w:r>
      <w:r>
        <w:rPr/>
        <w:t>仪表有限公司持有的5处房产进行了评估。</w:t>
      </w:r>
    </w:p>
    <w:p>
      <w:pPr>
        <w:pStyle w:val="BodyText"/>
        <w:spacing w:line="316" w:lineRule="auto" w:before="59"/>
        <w:ind w:right="0"/>
        <w:jc w:val="left"/>
      </w:pPr>
      <w:r>
        <w:rPr>
          <w:spacing w:val="-2"/>
        </w:rPr>
        <w:t>上述议案已于2015年12月28日经公司2015年第四次临时股东大会审议通过，截止2015年12月31日，上述股权转让的工商变更</w:t>
      </w:r>
      <w:r>
        <w:rPr>
          <w:spacing w:val="-44"/>
        </w:rPr>
        <w:t> </w:t>
      </w:r>
      <w:r>
        <w:rPr>
          <w:spacing w:val="-44"/>
        </w:rPr>
      </w:r>
      <w:r>
        <w:rPr/>
        <w:t>登记手续及房产出售过户手续均已完成。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3886"/>
        <w:gridCol w:w="5683"/>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tabs>
                <w:tab w:pos="923" w:val="left" w:leader="none"/>
              </w:tabs>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张宏敏</w:t>
              <w:tab/>
              <w:t>陈铮</w:t>
            </w:r>
          </w:p>
        </w:tc>
      </w:tr>
    </w:tbl>
    <w:p>
      <w:pPr>
        <w:pStyle w:val="BodyText"/>
        <w:spacing w:line="240" w:lineRule="auto" w:before="51"/>
        <w:ind w:right="0"/>
        <w:jc w:val="left"/>
      </w:pPr>
      <w:r>
        <w:rPr/>
        <w:t>当期是否改聘会计师事务所</w:t>
      </w:r>
    </w:p>
    <w:p>
      <w:pPr>
        <w:pStyle w:val="BodyText"/>
        <w:spacing w:line="340" w:lineRule="auto" w:before="116"/>
        <w:ind w:right="52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本年度，公司聘请了中勤万信会计师事务所（特殊普通合伙） 为公司2015年度的内部控制审计机构，并在报告期内支付了</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153" w:right="141"/>
        <w:jc w:val="left"/>
      </w:pPr>
      <w:r>
        <w:rPr/>
        <w:t>中勤万信会计师事务所（特殊普通合伙） 2014年度内部控制审计费用34万元。 本年度，公司因重大资产重组事项，聘请华泰联合证券有限责任公司为公司的财务顾问，报告期内共支付财务顾问费用860 万元。</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34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after="0" w:line="3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44" w:right="180"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公司将持有的上海东影</w:t>
      </w:r>
      <w:r>
        <w:rPr>
          <w:rFonts w:ascii="Times New Roman" w:hAnsi="Times New Roman" w:cs="Times New Roman" w:eastAsia="Times New Roman" w:hint="default"/>
        </w:rPr>
        <w:t>70%</w:t>
      </w:r>
      <w:r>
        <w:rPr/>
        <w:t>和思达软件</w:t>
      </w:r>
      <w:r>
        <w:rPr>
          <w:rFonts w:ascii="Times New Roman" w:hAnsi="Times New Roman" w:cs="Times New Roman" w:eastAsia="Times New Roman" w:hint="default"/>
        </w:rPr>
        <w:t>100%</w:t>
      </w:r>
      <w:r>
        <w:rPr/>
        <w:t>的股权以及公司全资子公司思达仪表拥有的</w:t>
      </w:r>
      <w:r>
        <w:rPr>
          <w:rFonts w:ascii="Times New Roman" w:hAnsi="Times New Roman" w:cs="Times New Roman" w:eastAsia="Times New Roman" w:hint="default"/>
        </w:rPr>
        <w:t>5</w:t>
      </w:r>
      <w:r>
        <w:rPr/>
        <w:t>套商品房转让给控股股东智度</w:t>
      </w:r>
    </w:p>
    <w:p>
      <w:pPr>
        <w:pStyle w:val="BodyText"/>
        <w:spacing w:line="230" w:lineRule="exact"/>
        <w:ind w:left="153" w:right="0"/>
        <w:jc w:val="left"/>
      </w:pPr>
      <w:r>
        <w:rPr/>
        <w:t>德普的全资子公司思达投资，该部分交易已经全部过户完成，交易详情见公司于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日发布的公告。</w:t>
      </w:r>
    </w:p>
    <w:p>
      <w:pPr>
        <w:pStyle w:val="BodyText"/>
        <w:spacing w:line="240" w:lineRule="auto" w:before="63"/>
        <w:ind w:left="514" w:right="0"/>
        <w:jc w:val="left"/>
      </w:pPr>
      <w:r>
        <w:rPr/>
        <w:t>截至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10 </w:t>
      </w:r>
      <w:r>
        <w:rPr/>
        <w:t>日，公司全资子公司思达仪表对上海东影应收账款总计 </w:t>
      </w:r>
      <w:r>
        <w:rPr>
          <w:rFonts w:ascii="Times New Roman" w:hAnsi="Times New Roman" w:cs="Times New Roman" w:eastAsia="Times New Roman" w:hint="default"/>
        </w:rPr>
        <w:t>10,122.8195</w:t>
      </w:r>
      <w:r>
        <w:rPr>
          <w:rFonts w:ascii="Times New Roman" w:hAnsi="Times New Roman" w:cs="Times New Roman" w:eastAsia="Times New Roman" w:hint="default"/>
          <w:spacing w:val="34"/>
        </w:rPr>
        <w:t> </w:t>
      </w:r>
      <w:r>
        <w:rPr/>
        <w:t>万元，公司第二大股东李</w:t>
      </w:r>
    </w:p>
    <w:p>
      <w:pPr>
        <w:pStyle w:val="BodyText"/>
        <w:spacing w:line="240" w:lineRule="auto" w:before="63"/>
        <w:ind w:right="0"/>
        <w:jc w:val="left"/>
      </w:pPr>
      <w:r>
        <w:rPr/>
        <w:t>向清先生实际控制的正弘置业对思达仪表应收账款总计 </w:t>
      </w:r>
      <w:r>
        <w:rPr>
          <w:rFonts w:ascii="Times New Roman" w:hAnsi="Times New Roman" w:cs="Times New Roman" w:eastAsia="Times New Roman" w:hint="default"/>
        </w:rPr>
        <w:t>10900</w:t>
      </w:r>
      <w:r>
        <w:rPr>
          <w:rFonts w:ascii="Times New Roman" w:hAnsi="Times New Roman" w:cs="Times New Roman" w:eastAsia="Times New Roman" w:hint="default"/>
          <w:spacing w:val="8"/>
        </w:rPr>
        <w:t> </w:t>
      </w:r>
      <w:r>
        <w:rPr/>
        <w:t>万元。经三方协商一致，同意将思达仪表对上海东影的应收</w:t>
      </w:r>
    </w:p>
    <w:p>
      <w:pPr>
        <w:pStyle w:val="BodyText"/>
        <w:spacing w:line="240" w:lineRule="auto" w:before="63"/>
        <w:ind w:right="0"/>
        <w:jc w:val="left"/>
      </w:pPr>
      <w:r>
        <w:rPr/>
        <w:t>账款 </w:t>
      </w:r>
      <w:r>
        <w:rPr>
          <w:rFonts w:ascii="Times New Roman" w:hAnsi="Times New Roman" w:cs="Times New Roman" w:eastAsia="Times New Roman" w:hint="default"/>
        </w:rPr>
        <w:t>10,122.8195 </w:t>
      </w:r>
      <w:r>
        <w:rPr/>
        <w:t>万元的债权转让给正弘置业，同时抵消思达仪表对正弘置业 </w:t>
      </w:r>
      <w:r>
        <w:rPr>
          <w:rFonts w:ascii="Times New Roman" w:hAnsi="Times New Roman" w:cs="Times New Roman" w:eastAsia="Times New Roman" w:hint="default"/>
        </w:rPr>
        <w:t>10,122.8195</w:t>
      </w:r>
      <w:r>
        <w:rPr>
          <w:rFonts w:ascii="Times New Roman" w:hAnsi="Times New Roman" w:cs="Times New Roman" w:eastAsia="Times New Roman" w:hint="default"/>
          <w:spacing w:val="12"/>
        </w:rPr>
        <w:t> </w:t>
      </w:r>
      <w:r>
        <w:rPr/>
        <w:t>万元的债务，转让抵消完成后，</w:t>
      </w:r>
    </w:p>
    <w:p>
      <w:pPr>
        <w:pStyle w:val="BodyText"/>
        <w:spacing w:line="300" w:lineRule="auto" w:before="63"/>
        <w:ind w:right="171"/>
        <w:jc w:val="left"/>
      </w:pPr>
      <w:r>
        <w:rPr/>
        <w:t>正弘置业应收思达仪表 </w:t>
      </w:r>
      <w:r>
        <w:rPr>
          <w:rFonts w:ascii="Times New Roman" w:hAnsi="Times New Roman" w:cs="Times New Roman" w:eastAsia="Times New Roman" w:hint="default"/>
        </w:rPr>
        <w:t>777.1805 </w:t>
      </w:r>
      <w:r>
        <w:rPr/>
        <w:t>万元，同时产生对上海东影的应收账款 </w:t>
      </w:r>
      <w:r>
        <w:rPr>
          <w:rFonts w:ascii="Times New Roman" w:hAnsi="Times New Roman" w:cs="Times New Roman" w:eastAsia="Times New Roman" w:hint="default"/>
        </w:rPr>
        <w:t>10,122.8195</w:t>
      </w:r>
      <w:r>
        <w:rPr>
          <w:rFonts w:ascii="Times New Roman" w:hAnsi="Times New Roman" w:cs="Times New Roman" w:eastAsia="Times New Roman" w:hint="default"/>
          <w:spacing w:val="14"/>
        </w:rPr>
        <w:t> </w:t>
      </w:r>
      <w:r>
        <w:rPr/>
        <w:t>万元。详见公司于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日发 布的公告。</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3460"/>
        <w:gridCol w:w="2650"/>
        <w:gridCol w:w="3460"/>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 智度投资股份有限公司关于转让控股子 公司股权暨关联交易的公告》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1"/>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，公</w:t>
            </w:r>
            <w:r>
              <w:rPr>
                <w:rFonts w:ascii="宋体" w:hAnsi="宋体" w:cs="宋体" w:eastAsia="宋体" w:hint="default"/>
                <w:spacing w:val="-75"/>
                <w:sz w:val="18"/>
                <w:szCs w:val="18"/>
              </w:rPr>
              <w:t> </w:t>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2015-103</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 智度投资股份有限公司关于转让全资子 公司股权暨关联交易的公告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1"/>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，公</w:t>
            </w:r>
            <w:r>
              <w:rPr>
                <w:rFonts w:ascii="宋体" w:hAnsi="宋体" w:cs="宋体" w:eastAsia="宋体" w:hint="default"/>
                <w:spacing w:val="-75"/>
                <w:sz w:val="18"/>
                <w:szCs w:val="18"/>
              </w:rPr>
              <w:t> </w:t>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2015-104</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 智度投资股份有限公司关于子公司转让 部分房产暨关联交易的公告》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1"/>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，公</w:t>
            </w:r>
            <w:r>
              <w:rPr>
                <w:rFonts w:ascii="宋体" w:hAnsi="宋体" w:cs="宋体" w:eastAsia="宋体" w:hint="default"/>
                <w:spacing w:val="-75"/>
                <w:sz w:val="18"/>
                <w:szCs w:val="18"/>
              </w:rPr>
              <w:t> </w:t>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2015-106</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 智度投资股份有限公司关于债权转让暨 关联交易的公告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1"/>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巨潮资讯网，</w:t>
            </w:r>
            <w:hyperlink r:id="rId12">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，公</w:t>
            </w:r>
            <w:r>
              <w:rPr>
                <w:rFonts w:ascii="宋体" w:hAnsi="宋体" w:cs="宋体" w:eastAsia="宋体" w:hint="default"/>
                <w:spacing w:val="-75"/>
                <w:sz w:val="18"/>
                <w:szCs w:val="18"/>
              </w:rPr>
              <w:t> </w:t>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2015-105</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1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87"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日，公司第一大股东正弘置业与智度德普签订股权转让协议，正弘置业将其持有的本公司股权</w:t>
      </w:r>
    </w:p>
    <w:p>
      <w:pPr>
        <w:pStyle w:val="BodyText"/>
        <w:spacing w:line="300" w:lineRule="auto" w:before="63"/>
        <w:ind w:right="186"/>
        <w:jc w:val="left"/>
      </w:pPr>
      <w:r>
        <w:rPr>
          <w:rFonts w:ascii="Times New Roman" w:hAnsi="Times New Roman" w:cs="Times New Roman" w:eastAsia="Times New Roman" w:hint="default"/>
          <w:spacing w:val="-1"/>
        </w:rPr>
        <w:t>63,000,000</w:t>
      </w:r>
      <w:r>
        <w:rPr>
          <w:spacing w:val="-1"/>
        </w:rPr>
        <w:t>股转让给智度德普，占本公司总股本的比例为</w:t>
      </w:r>
      <w:r>
        <w:rPr>
          <w:rFonts w:ascii="Times New Roman" w:hAnsi="Times New Roman" w:cs="Times New Roman" w:eastAsia="Times New Roman" w:hint="default"/>
          <w:spacing w:val="-1"/>
        </w:rPr>
        <w:t>20.03%</w:t>
      </w:r>
      <w:r>
        <w:rPr>
          <w:spacing w:val="-1"/>
        </w:rPr>
        <w:t>，转让总价款为</w:t>
      </w:r>
      <w:r>
        <w:rPr>
          <w:rFonts w:ascii="Times New Roman" w:hAnsi="Times New Roman" w:cs="Times New Roman" w:eastAsia="Times New Roman" w:hint="default"/>
          <w:spacing w:val="-1"/>
        </w:rPr>
        <w:t>6.3</w:t>
      </w:r>
      <w:r>
        <w:rPr>
          <w:spacing w:val="-1"/>
        </w:rPr>
        <w:t>亿元，股权转让的交割和登记变更于</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日在中国证券登记结算有限公司深圳分公司完成，智度德普持有本公司</w:t>
      </w:r>
      <w:r>
        <w:rPr>
          <w:rFonts w:ascii="Times New Roman" w:hAnsi="Times New Roman" w:cs="Times New Roman" w:eastAsia="Times New Roman" w:hint="default"/>
        </w:rPr>
        <w:t>63,000,000</w:t>
      </w:r>
      <w:r>
        <w:rPr/>
        <w:t>股股份，占本公司总股本的 </w:t>
      </w:r>
      <w:r>
        <w:rPr>
          <w:rFonts w:ascii="Times New Roman" w:hAnsi="Times New Roman" w:cs="Times New Roman" w:eastAsia="Times New Roman" w:hint="default"/>
        </w:rPr>
        <w:t>20.03%</w:t>
      </w:r>
      <w:r>
        <w:rPr/>
        <w:t>，成为公司第一大股东，并随之筹划重大资产重组事项。</w:t>
      </w:r>
    </w:p>
    <w:p>
      <w:pPr>
        <w:pStyle w:val="BodyText"/>
        <w:spacing w:line="309" w:lineRule="auto" w:before="13"/>
        <w:ind w:right="0" w:firstLine="29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spacing w:val="-19"/>
        </w:rPr>
        <w:t> </w:t>
      </w:r>
      <w:r>
        <w:rPr/>
        <w:t>鉴于公司第一大股东已变更为北京智度德普股权投资中心（有限合伙），为满足公司第一大股东变更及资产</w:t>
      </w:r>
      <w:r>
        <w:rPr/>
        <w:t> </w:t>
      </w:r>
      <w:r>
        <w:rPr>
          <w:spacing w:val="-4"/>
        </w:rPr>
        <w:t>重组涉及公司治理的需要，公司董事会、监事会提前进行了换届选举，并修改了公司章程的部分提案款、修改了公司的制度、</w:t>
      </w:r>
      <w:r>
        <w:rPr>
          <w:spacing w:val="-46"/>
        </w:rPr>
        <w:t> </w:t>
      </w:r>
      <w:r>
        <w:rPr>
          <w:spacing w:val="-46"/>
        </w:rPr>
      </w:r>
      <w:r>
        <w:rPr/>
        <w:t>规则。</w:t>
      </w:r>
    </w:p>
    <w:p>
      <w:pPr>
        <w:pStyle w:val="BodyText"/>
        <w:spacing w:line="300" w:lineRule="auto" w:before="24"/>
        <w:ind w:left="514" w:right="1611" w:firstLine="37"/>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日，公司变更了公司全称、简称及经营范围； 变更前的中文名称：河南思达高科技股份有限公司，英文名称：</w:t>
      </w:r>
      <w:r>
        <w:rPr>
          <w:rFonts w:ascii="Times New Roman" w:hAnsi="Times New Roman" w:cs="Times New Roman" w:eastAsia="Times New Roman" w:hint="default"/>
        </w:rPr>
        <w:t>HENAN STAR HI-TECH</w:t>
      </w:r>
      <w:r>
        <w:rPr>
          <w:rFonts w:ascii="Times New Roman" w:hAnsi="Times New Roman" w:cs="Times New Roman" w:eastAsia="Times New Roman" w:hint="default"/>
          <w:spacing w:val="-16"/>
        </w:rPr>
        <w:t> </w:t>
      </w:r>
      <w:r>
        <w:rPr>
          <w:rFonts w:ascii="Times New Roman" w:hAnsi="Times New Roman" w:cs="Times New Roman" w:eastAsia="Times New Roman" w:hint="default"/>
        </w:rPr>
        <w:t>CO.,LTD</w:t>
      </w:r>
      <w:r>
        <w:rPr/>
        <w:t>；</w:t>
      </w:r>
    </w:p>
    <w:p>
      <w:pPr>
        <w:spacing w:after="0" w:line="30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513" w:right="91"/>
        <w:jc w:val="left"/>
      </w:pPr>
      <w:r>
        <w:rPr/>
        <w:t>变更后的中文名称：智度投资股份有限公司，英文名称：</w:t>
      </w:r>
      <w:r>
        <w:rPr>
          <w:rFonts w:ascii="Times New Roman" w:hAnsi="Times New Roman" w:cs="Times New Roman" w:eastAsia="Times New Roman" w:hint="default"/>
        </w:rPr>
        <w:t>Genimous Investment CO.,LTD</w:t>
      </w:r>
      <w:r>
        <w:rPr/>
        <w:t>； 简称由</w:t>
      </w:r>
      <w:r>
        <w:rPr>
          <w:rFonts w:ascii="Times New Roman" w:hAnsi="Times New Roman" w:cs="Times New Roman" w:eastAsia="Times New Roman" w:hint="default"/>
        </w:rPr>
        <w:t>“</w:t>
      </w:r>
      <w:r>
        <w:rPr/>
        <w:t>思达高科</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智度投资</w:t>
      </w:r>
      <w:r>
        <w:rPr>
          <w:rFonts w:ascii="Times New Roman" w:hAnsi="Times New Roman" w:cs="Times New Roman" w:eastAsia="Times New Roman" w:hint="default"/>
        </w:rPr>
        <w:t>”</w:t>
      </w:r>
      <w:r>
        <w:rPr/>
        <w:t>，英文简称由</w:t>
      </w:r>
      <w:r>
        <w:rPr>
          <w:rFonts w:ascii="Times New Roman" w:hAnsi="Times New Roman" w:cs="Times New Roman" w:eastAsia="Times New Roman" w:hint="default"/>
        </w:rPr>
        <w:t>“STAR HI-TECH”</w:t>
      </w:r>
      <w:r>
        <w:rPr/>
        <w:t>变更为</w:t>
      </w:r>
      <w:r>
        <w:rPr>
          <w:rFonts w:ascii="Times New Roman" w:hAnsi="Times New Roman" w:cs="Times New Roman" w:eastAsia="Times New Roman" w:hint="default"/>
        </w:rPr>
        <w:t>“Genimous</w:t>
      </w:r>
      <w:r>
        <w:rPr>
          <w:rFonts w:ascii="Times New Roman" w:hAnsi="Times New Roman" w:cs="Times New Roman" w:eastAsia="Times New Roman" w:hint="default"/>
          <w:spacing w:val="-1"/>
        </w:rPr>
        <w:t> </w:t>
      </w:r>
      <w:r>
        <w:rPr>
          <w:rFonts w:ascii="Times New Roman" w:hAnsi="Times New Roman" w:cs="Times New Roman" w:eastAsia="Times New Roman" w:hint="default"/>
        </w:rPr>
        <w:t>Investment”</w:t>
      </w:r>
      <w:r>
        <w:rPr/>
        <w:t>。 变更前的经营范围：仪器仪表、工业自动化设备、电子计算机软硬件及设备的开发、生产、加工、销售；自动化工程；</w:t>
      </w:r>
    </w:p>
    <w:p>
      <w:pPr>
        <w:pStyle w:val="BodyText"/>
        <w:spacing w:line="309" w:lineRule="auto" w:before="31"/>
        <w:ind w:left="153" w:right="111"/>
        <w:jc w:val="left"/>
      </w:pPr>
      <w:r>
        <w:rPr>
          <w:spacing w:val="-2"/>
        </w:rPr>
        <w:t>信息服务，高、低压配电设备，经营本企业自产产品及技术的出口业务，代理出口将本企业技术转让给其他企业所生产的产</w:t>
      </w:r>
      <w:r>
        <w:rPr>
          <w:spacing w:val="-66"/>
        </w:rPr>
        <w:t> </w:t>
      </w:r>
      <w:r>
        <w:rPr>
          <w:spacing w:val="-66"/>
        </w:rPr>
      </w:r>
      <w:r>
        <w:rPr/>
        <w:t>品；承办中外合资经营、合作生产及开展</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业务；经营本企业生产、科研所需的原辅材料、机械设备、仪器仪表、 备品备件、零配件及技术的进口业务；技术转让，咨询服务；电能计量检测车销售；</w:t>
      </w:r>
    </w:p>
    <w:p>
      <w:pPr>
        <w:pStyle w:val="BodyText"/>
        <w:spacing w:line="316" w:lineRule="auto" w:before="24"/>
        <w:ind w:right="188" w:firstLine="360"/>
        <w:jc w:val="both"/>
      </w:pPr>
      <w:r>
        <w:rPr>
          <w:spacing w:val="-2"/>
        </w:rPr>
        <w:t>变更后的经营范围：投资与资产管理，投资咨询，经济贸易咨询，仪器仪表、工业自动化设备、电子计算机软硬件及设</w:t>
      </w:r>
      <w:r>
        <w:rPr/>
        <w:t> </w:t>
      </w:r>
      <w:r>
        <w:rPr>
          <w:spacing w:val="-2"/>
        </w:rPr>
        <w:t>备的开发、生产、加工、销售；自动化工程；信息服务，高、低压配电设备，经营本企业自产产品及技术的出口业务，代理</w:t>
      </w:r>
      <w:r>
        <w:rPr>
          <w:spacing w:val="-69"/>
        </w:rPr>
        <w:t> </w:t>
      </w:r>
      <w:r>
        <w:rPr>
          <w:spacing w:val="-69"/>
        </w:rPr>
      </w:r>
      <w:r>
        <w:rPr/>
        <w:t>出口将本企业技术转让给其他企业所生产的产品；</w:t>
      </w:r>
    </w:p>
    <w:p>
      <w:pPr>
        <w:pStyle w:val="BodyText"/>
        <w:spacing w:line="316" w:lineRule="auto" w:before="19"/>
        <w:ind w:right="189" w:firstLine="360"/>
        <w:jc w:val="both"/>
      </w:pPr>
      <w:r>
        <w:rPr>
          <w:spacing w:val="-2"/>
        </w:rPr>
        <w:t>目前，公司正在积极有序的推进重大资产重组工作，对本次重大资产重组涉及资产的相关尽职调查、审计、评估等工作</w:t>
      </w:r>
      <w:r>
        <w:rPr/>
        <w:t> 正在进行中。公司根据工作进展及时的发布公告，确保重组过程中严格履行决策程序和信息披露义务。</w:t>
      </w:r>
    </w:p>
    <w:p>
      <w:pPr>
        <w:pStyle w:val="BodyText"/>
        <w:spacing w:line="300" w:lineRule="auto" w:before="19"/>
        <w:ind w:right="191" w:firstLine="360"/>
        <w:jc w:val="both"/>
      </w:pPr>
      <w:r>
        <w:rPr>
          <w:rFonts w:ascii="Times New Roman" w:hAnsi="Times New Roman" w:cs="Times New Roman" w:eastAsia="Times New Roman" w:hint="default"/>
          <w:spacing w:val="-2"/>
        </w:rPr>
        <w:t>2</w:t>
      </w:r>
      <w:r>
        <w:rPr>
          <w:spacing w:val="-2"/>
        </w:rPr>
        <w:t>、报告期内</w:t>
      </w:r>
      <w:r>
        <w:rPr>
          <w:rFonts w:ascii="Times New Roman" w:hAnsi="Times New Roman" w:cs="Times New Roman" w:eastAsia="Times New Roman" w:hint="default"/>
          <w:spacing w:val="-2"/>
        </w:rPr>
        <w:t>,</w:t>
      </w:r>
      <w:r>
        <w:rPr>
          <w:spacing w:val="-2"/>
        </w:rPr>
        <w:t>公司对下属全资子公司思达仪表的担保关系因思达仪表与银行的贷款合同到期而解除</w:t>
      </w:r>
      <w:r>
        <w:rPr>
          <w:rFonts w:ascii="Times New Roman" w:hAnsi="Times New Roman" w:cs="Times New Roman" w:eastAsia="Times New Roman" w:hint="default"/>
          <w:spacing w:val="-2"/>
        </w:rPr>
        <w:t>,</w:t>
      </w:r>
      <w:r>
        <w:rPr>
          <w:spacing w:val="-2"/>
        </w:rPr>
        <w:t>除公司第二大股东正</w:t>
      </w:r>
      <w:r>
        <w:rPr/>
        <w:t> 弘置业无偿为公司全资子公司思达仪表提供银行贷款担保外，公司不存在任何其它担保情形。</w:t>
      </w:r>
    </w:p>
    <w:p>
      <w:pPr>
        <w:pStyle w:val="BodyText"/>
        <w:spacing w:line="240" w:lineRule="auto" w:before="31"/>
        <w:ind w:left="514" w:right="0"/>
        <w:jc w:val="left"/>
      </w:pPr>
      <w:r>
        <w:rPr/>
        <w:t>报告期内，除上述其他事项以及公司已在本报告中披露的事项外，不存在其他需要说明的重大事项。</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月份将上海东影</w:t>
      </w:r>
      <w:r>
        <w:rPr>
          <w:rFonts w:ascii="Times New Roman" w:hAnsi="Times New Roman" w:cs="Times New Roman" w:eastAsia="Times New Roman" w:hint="default"/>
          <w:spacing w:val="-1"/>
        </w:rPr>
        <w:t>70%</w:t>
      </w:r>
      <w:r>
        <w:rPr>
          <w:spacing w:val="-1"/>
        </w:rPr>
        <w:t>的股权、思达软件</w:t>
      </w:r>
      <w:r>
        <w:rPr>
          <w:rFonts w:ascii="Times New Roman" w:hAnsi="Times New Roman" w:cs="Times New Roman" w:eastAsia="Times New Roman" w:hint="default"/>
          <w:spacing w:val="-1"/>
        </w:rPr>
        <w:t>100%</w:t>
      </w:r>
      <w:r>
        <w:rPr>
          <w:spacing w:val="-1"/>
        </w:rPr>
        <w:t>的股权以及思达仪表的</w:t>
      </w:r>
      <w:r>
        <w:rPr>
          <w:rFonts w:ascii="Times New Roman" w:hAnsi="Times New Roman" w:cs="Times New Roman" w:eastAsia="Times New Roman" w:hint="default"/>
          <w:spacing w:val="-1"/>
        </w:rPr>
        <w:t>5</w:t>
      </w:r>
      <w:r>
        <w:rPr>
          <w:spacing w:val="-1"/>
        </w:rPr>
        <w:t>处房产转让给思达投资，具体详见</w:t>
      </w:r>
    </w:p>
    <w:p>
      <w:pPr>
        <w:pStyle w:val="BodyText"/>
        <w:spacing w:line="230" w:lineRule="exact"/>
        <w:ind w:left="153" w:right="0"/>
        <w:jc w:val="left"/>
      </w:pPr>
      <w:r>
        <w:rPr/>
        <w:t>巨潮资讯网</w:t>
      </w:r>
      <w:hyperlink r:id="rId12">
        <w:r>
          <w:rPr>
            <w:rFonts w:ascii="Times New Roman" w:hAnsi="Times New Roman" w:cs="Times New Roman" w:eastAsia="Times New Roman" w:hint="default"/>
          </w:rPr>
          <w:t>http://www.cninfo.com.cn</w:t>
        </w:r>
      </w:hyperlink>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日公告。</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二十、社会责任情况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4"/>
        </w:rPr>
        <w:t>作为社会不可分割的一部分，有效履行社会责任，是企业可持续发展的核心。公司在经营和发展业务的过程中，以增效、</w:t>
      </w:r>
    </w:p>
    <w:p>
      <w:pPr>
        <w:pStyle w:val="BodyText"/>
        <w:spacing w:line="316" w:lineRule="auto" w:before="2"/>
        <w:ind w:right="0"/>
        <w:jc w:val="left"/>
      </w:pPr>
      <w:r>
        <w:rPr>
          <w:spacing w:val="-2"/>
        </w:rPr>
        <w:t>降耗、节能为原则，顺应国家和社会的全面发展，努力做到经济效益与社会效益，短期利益与长期利益，自身发展与社会发</w:t>
      </w:r>
      <w:r>
        <w:rPr>
          <w:spacing w:val="-66"/>
        </w:rPr>
        <w:t> </w:t>
      </w:r>
      <w:r>
        <w:rPr>
          <w:spacing w:val="-66"/>
        </w:rPr>
      </w:r>
      <w:r>
        <w:rPr/>
        <w:t>展的相互协调，实现公司与员工、公司与社会、公司与环境的健康和谐发展。</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上市公司及其子公司是否属于国家环境保护部门规定的重污染行业</w:t>
      </w:r>
    </w:p>
    <w:p>
      <w:pPr>
        <w:pStyle w:val="BodyText"/>
        <w:spacing w:line="340" w:lineRule="auto" w:before="116"/>
        <w:ind w:right="80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是否发布社会责任报告</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153" w:right="1171"/>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85"/>
        <w:gridCol w:w="1134"/>
        <w:gridCol w:w="754"/>
        <w:gridCol w:w="823"/>
        <w:gridCol w:w="822"/>
        <w:gridCol w:w="822"/>
        <w:gridCol w:w="748"/>
        <w:gridCol w:w="709"/>
        <w:gridCol w:w="982"/>
        <w:gridCol w:w="793"/>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3D3D3"/>
          </w:tcPr>
          <w:p>
            <w:pPr/>
          </w:p>
        </w:tc>
        <w:tc>
          <w:tcPr>
            <w:tcW w:w="18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5" w:right="4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63,578,000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20.21%</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63,578,000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63,578,000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20.21%</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63,578,000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63,578,000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20.21%</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63,578,000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251,008,699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79.79%</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251,008,699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251,008,699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79.79%</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251,008,699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314,586,699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314,586,699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pStyle w:val="BodyText"/>
        <w:spacing w:line="338" w:lineRule="auto" w:before="117"/>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340" w:lineRule="auto" w:before="42"/>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0"/>
        <w:ind w:right="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3"/>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单位：股</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478"/>
        <w:gridCol w:w="1349"/>
        <w:gridCol w:w="1349"/>
        <w:gridCol w:w="1350"/>
        <w:gridCol w:w="1349"/>
        <w:gridCol w:w="1349"/>
        <w:gridCol w:w="1346"/>
      </w:tblGrid>
      <w:tr>
        <w:trPr>
          <w:trHeight w:val="714" w:hRule="exact"/>
        </w:trPr>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78" w:right="3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79"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智度德普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2016-01-10</w:t>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2"/>
              <w:jc w:val="left"/>
              <w:rPr>
                <w:rFonts w:ascii="宋体" w:hAnsi="宋体" w:cs="宋体" w:eastAsia="宋体" w:hint="default"/>
                <w:sz w:val="18"/>
                <w:szCs w:val="18"/>
              </w:rPr>
            </w:pPr>
            <w:r>
              <w:rPr>
                <w:rFonts w:ascii="宋体" w:hAnsi="宋体" w:cs="宋体" w:eastAsia="宋体" w:hint="default"/>
                <w:sz w:val="18"/>
                <w:szCs w:val="18"/>
              </w:rPr>
              <w:t>河南隆达通讯有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未归还股改中被 垫付的对价</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2007-7-31</w:t>
            </w:r>
          </w:p>
        </w:tc>
      </w:tr>
      <w:tr>
        <w:trPr>
          <w:trHeight w:val="402" w:hRule="exact"/>
        </w:trPr>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63,578,000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63,578,000</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left="374"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74"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374"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374"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374" w:right="0"/>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74"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70"/>
        <w:jc w:val="right"/>
      </w:pPr>
      <w:r>
        <w:rPr/>
        <w:pict>
          <v:shape style="position:absolute;margin-left:471.779694pt;margin-top:19.732008pt;width:79pt;height:82.05pt;mso-position-horizontal-relative:page;mso-position-vertical-relative:paragraph;z-index:-8379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0" w:right="0"/>
                    <w:jc w:val="left"/>
                  </w:pPr>
                  <w:r>
                    <w:rPr/>
                    <w:t>（如有）</w:t>
                  </w:r>
                </w:p>
              </w:txbxContent>
            </v:textbox>
            <w10:wrap type="none"/>
          </v:shape>
        </w:pict>
      </w:r>
      <w:r>
        <w:rPr/>
        <w:pict>
          <v:group style="position:absolute;margin-left:504.959991pt;margin-top:19.732008pt;width:45.8pt;height:82.05pt;mso-position-horizontal-relative:page;mso-position-vertical-relative:paragraph;z-index:-837928" coordorigin="10099,395" coordsize="916,1641">
            <v:group style="position:absolute;left:10099;top:395;width:916;height:1641" coordorigin="10099,395" coordsize="916,1641">
              <v:shape style="position:absolute;left:10099;top:395;width:916;height:1641" coordorigin="10099,395" coordsize="916,1641" path="m10099,2035l11015,2035,11015,395,10099,395,10099,2035xe" filled="true" fillcolor="#ffffff" stroked="false">
                <v:path arrowok="t"/>
                <v:fill type="solid"/>
              </v:shape>
            </v:group>
            <v:group style="position:absolute;left:10122;top:1019;width:870;height:393" coordorigin="10122,1019" coordsize="870,393">
              <v:shape style="position:absolute;left:10122;top:1019;width:870;height:393" coordorigin="10122,1019" coordsize="870,393" path="m10122,1411l10992,1411,10992,1019,10122,1019,10122,1411xe" filled="true" fillcolor="#ffffff" stroked="false">
                <v:path arrowok="t"/>
                <v:fill type="solid"/>
              </v:shape>
            </v:group>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769"/>
        <w:gridCol w:w="268"/>
        <w:gridCol w:w="929"/>
        <w:gridCol w:w="484"/>
        <w:gridCol w:w="662"/>
        <w:gridCol w:w="181"/>
        <w:gridCol w:w="731"/>
        <w:gridCol w:w="332"/>
        <w:gridCol w:w="599"/>
        <w:gridCol w:w="863"/>
        <w:gridCol w:w="130"/>
        <w:gridCol w:w="963"/>
        <w:gridCol w:w="877"/>
        <w:gridCol w:w="423"/>
        <w:gridCol w:w="926"/>
      </w:tblGrid>
      <w:tr>
        <w:trPr>
          <w:trHeight w:val="1650" w:hRule="exact"/>
        </w:trPr>
        <w:tc>
          <w:tcPr>
            <w:tcW w:w="1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报告期末普通股股东 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60,432</w:t>
            </w:r>
          </w:p>
        </w:tc>
        <w:tc>
          <w:tcPr>
            <w:tcW w:w="132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2"/>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59,326</w:t>
            </w:r>
          </w:p>
        </w:tc>
        <w:tc>
          <w:tcPr>
            <w:tcW w:w="14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4"/>
                <w:sz w:val="18"/>
                <w:szCs w:val="18"/>
              </w:rPr>
              <w:t>东总数（如有）（参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w:t>
            </w:r>
          </w:p>
        </w:tc>
        <w:tc>
          <w:tcPr>
            <w:tcW w:w="13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 w:right="34"/>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7"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135"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4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203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5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6" w:right="54"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1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1" w:right="89"/>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3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00" w:right="9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0" w:right="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22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2036" w:type="dxa"/>
            <w:gridSpan w:val="2"/>
            <w:vMerge/>
            <w:tcBorders>
              <w:left w:val="single" w:sz="4" w:space="0" w:color="000000"/>
              <w:bottom w:val="single" w:sz="4" w:space="0" w:color="000000"/>
              <w:right w:val="single" w:sz="4" w:space="0" w:color="000000"/>
            </w:tcBorders>
            <w:shd w:val="clear" w:color="auto" w:fill="D3D3D3"/>
          </w:tcPr>
          <w:p>
            <w:pPr/>
          </w:p>
        </w:tc>
        <w:tc>
          <w:tcPr>
            <w:tcW w:w="1412" w:type="dxa"/>
            <w:gridSpan w:val="2"/>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912" w:type="dxa"/>
            <w:gridSpan w:val="2"/>
            <w:vMerge/>
            <w:tcBorders>
              <w:left w:val="single" w:sz="4" w:space="0" w:color="000000"/>
              <w:bottom w:val="single" w:sz="4" w:space="0" w:color="000000"/>
              <w:right w:val="single" w:sz="4" w:space="0" w:color="000000"/>
            </w:tcBorders>
            <w:shd w:val="clear" w:color="auto" w:fill="D3D3D3"/>
          </w:tcPr>
          <w:p>
            <w:pPr/>
          </w:p>
        </w:tc>
        <w:tc>
          <w:tcPr>
            <w:tcW w:w="931" w:type="dxa"/>
            <w:gridSpan w:val="2"/>
            <w:vMerge/>
            <w:tcBorders>
              <w:left w:val="single" w:sz="4" w:space="0" w:color="000000"/>
              <w:bottom w:val="single" w:sz="4" w:space="0" w:color="000000"/>
              <w:right w:val="single" w:sz="4" w:space="0" w:color="000000"/>
            </w:tcBorders>
            <w:shd w:val="clear" w:color="auto" w:fill="D3D3D3"/>
          </w:tcPr>
          <w:p>
            <w:pPr/>
          </w:p>
        </w:tc>
        <w:tc>
          <w:tcPr>
            <w:tcW w:w="992" w:type="dxa"/>
            <w:gridSpan w:val="2"/>
            <w:vMerge/>
            <w:tcBorders>
              <w:left w:val="single" w:sz="4" w:space="0" w:color="000000"/>
              <w:bottom w:val="single" w:sz="4" w:space="0" w:color="000000"/>
              <w:right w:val="single" w:sz="4" w:space="0" w:color="000000"/>
            </w:tcBorders>
            <w:shd w:val="clear" w:color="auto" w:fill="D3D3D3"/>
          </w:tcPr>
          <w:p>
            <w:pPr/>
          </w:p>
        </w:tc>
        <w:tc>
          <w:tcPr>
            <w:tcW w:w="963" w:type="dxa"/>
            <w:vMerge/>
            <w:tcBorders>
              <w:left w:val="single" w:sz="4" w:space="0" w:color="000000"/>
              <w:bottom w:val="single" w:sz="4" w:space="0" w:color="000000"/>
              <w:right w:val="single" w:sz="4" w:space="0" w:color="000000"/>
            </w:tcBorders>
            <w:shd w:val="clear" w:color="auto" w:fill="D3D3D3"/>
          </w:tcPr>
          <w:p>
            <w:pP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北京智度德普股权投资中 心（有限合伙）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20.03%</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63,000,000</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63,000,000</w:t>
            </w:r>
          </w:p>
        </w:tc>
        <w:tc>
          <w:tcPr>
            <w:tcW w:w="96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李向清</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9.22%</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29,000,000</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29,000,000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29,000,000</w:t>
            </w:r>
          </w:p>
        </w:tc>
        <w:tc>
          <w:tcPr>
            <w:tcW w:w="877"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郭旭</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2,578,109</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395913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2,578,109</w:t>
            </w:r>
          </w:p>
        </w:tc>
        <w:tc>
          <w:tcPr>
            <w:tcW w:w="877"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赵兴宝</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2,480,290</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94300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2,480,290</w:t>
            </w:r>
          </w:p>
        </w:tc>
        <w:tc>
          <w:tcPr>
            <w:tcW w:w="877"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唐梦华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2,296,550</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606800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2,296,550</w:t>
            </w:r>
          </w:p>
        </w:tc>
        <w:tc>
          <w:tcPr>
            <w:tcW w:w="877"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廖咏姬</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1,398,000</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-291750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1,398,000</w:t>
            </w:r>
          </w:p>
        </w:tc>
        <w:tc>
          <w:tcPr>
            <w:tcW w:w="877"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武汉诚盛电子有限公司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1,168,100</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1,168,100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1,168,100</w:t>
            </w:r>
          </w:p>
        </w:tc>
        <w:tc>
          <w:tcPr>
            <w:tcW w:w="877"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丁朵玲</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1,060,000</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-1384700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1,060,000</w:t>
            </w:r>
          </w:p>
        </w:tc>
        <w:tc>
          <w:tcPr>
            <w:tcW w:w="877"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苏丽</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4" w:right="0"/>
              <w:jc w:val="left"/>
              <w:rPr>
                <w:rFonts w:ascii="Times New Roman" w:hAnsi="Times New Roman" w:cs="Times New Roman" w:eastAsia="Times New Roman" w:hint="default"/>
                <w:sz w:val="18"/>
                <w:szCs w:val="18"/>
              </w:rPr>
            </w:pPr>
            <w:r>
              <w:rPr>
                <w:rFonts w:ascii="Times New Roman"/>
                <w:sz w:val="18"/>
              </w:rPr>
              <w:t>987,656</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987,656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987,656</w:t>
            </w:r>
          </w:p>
        </w:tc>
        <w:tc>
          <w:tcPr>
            <w:tcW w:w="877"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中国建设银行股份有限公 司－易方达并购重组指数 分级证券投资基金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0.29%</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900,255</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900,255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900,255</w:t>
            </w:r>
          </w:p>
        </w:tc>
        <w:tc>
          <w:tcPr>
            <w:tcW w:w="877"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760" w:right="76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3449"/>
        <w:gridCol w:w="3989"/>
        <w:gridCol w:w="1349"/>
        <w:gridCol w:w="1349"/>
      </w:tblGrid>
      <w:tr>
        <w:trPr>
          <w:trHeight w:val="714" w:hRule="exact"/>
        </w:trPr>
        <w:tc>
          <w:tcPr>
            <w:tcW w:w="3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6" w:type="dxa"/>
            <w:gridSpan w:val="3"/>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3449" w:type="dxa"/>
            <w:tcBorders>
              <w:top w:val="single" w:sz="4" w:space="0" w:color="000000"/>
              <w:left w:val="single" w:sz="4" w:space="0" w:color="000000"/>
              <w:bottom w:val="nil" w:sz="6" w:space="0" w:color="auto"/>
              <w:right w:val="single" w:sz="4" w:space="0" w:color="000000"/>
            </w:tcBorders>
            <w:shd w:val="clear" w:color="auto" w:fill="D3D3D3"/>
          </w:tcPr>
          <w:p>
            <w:pPr/>
          </w:p>
        </w:tc>
        <w:tc>
          <w:tcPr>
            <w:tcW w:w="6686" w:type="dxa"/>
            <w:gridSpan w:val="3"/>
            <w:vMerge w:val="restart"/>
            <w:tcBorders>
              <w:top w:val="single" w:sz="4" w:space="0" w:color="000000"/>
              <w:left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1"/>
                <w:sz w:val="18"/>
                <w:szCs w:val="18"/>
              </w:rPr>
              <w:t>前十名股东中，控股股东与其他股东无关联关系，也不属于《上市公司股东持股变动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信息披露管理办法》中规定的一致行动人；其他股东未知是否存在其他关联关系，也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未知是否属于《上市公司股东持股变动信息披露管理办法》中规定的一致行动人。</w:t>
            </w:r>
          </w:p>
        </w:tc>
      </w:tr>
      <w:tr>
        <w:trPr>
          <w:trHeight w:val="392" w:hRule="exact"/>
        </w:trPr>
        <w:tc>
          <w:tcPr>
            <w:tcW w:w="34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686" w:type="dxa"/>
            <w:gridSpan w:val="3"/>
            <w:vMerge/>
            <w:tcBorders>
              <w:left w:val="single" w:sz="4" w:space="0" w:color="000000"/>
              <w:right w:val="single" w:sz="4" w:space="0" w:color="000000"/>
            </w:tcBorders>
          </w:tcPr>
          <w:p>
            <w:pPr/>
          </w:p>
        </w:tc>
      </w:tr>
      <w:tr>
        <w:trPr>
          <w:trHeight w:val="317" w:hRule="exact"/>
        </w:trPr>
        <w:tc>
          <w:tcPr>
            <w:tcW w:w="3449" w:type="dxa"/>
            <w:tcBorders>
              <w:top w:val="nil" w:sz="6" w:space="0" w:color="auto"/>
              <w:left w:val="single" w:sz="4" w:space="0" w:color="000000"/>
              <w:bottom w:val="single" w:sz="4" w:space="0" w:color="000000"/>
              <w:right w:val="single" w:sz="4" w:space="0" w:color="000000"/>
            </w:tcBorders>
            <w:shd w:val="clear" w:color="auto" w:fill="D3D3D3"/>
          </w:tcPr>
          <w:p>
            <w:pPr/>
          </w:p>
        </w:tc>
        <w:tc>
          <w:tcPr>
            <w:tcW w:w="6686" w:type="dxa"/>
            <w:gridSpan w:val="3"/>
            <w:vMerge/>
            <w:tcBorders>
              <w:left w:val="single" w:sz="4" w:space="0" w:color="000000"/>
              <w:bottom w:val="single" w:sz="4" w:space="0" w:color="000000"/>
              <w:right w:val="single" w:sz="4" w:space="0" w:color="000000"/>
            </w:tcBorders>
          </w:tcPr>
          <w:p>
            <w:pPr/>
          </w:p>
        </w:tc>
      </w:tr>
      <w:tr>
        <w:trPr>
          <w:trHeight w:val="402" w:hRule="exact"/>
        </w:trPr>
        <w:tc>
          <w:tcPr>
            <w:tcW w:w="1013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3449" w:type="dxa"/>
            <w:tcBorders>
              <w:top w:val="single" w:sz="4" w:space="0" w:color="000000"/>
              <w:left w:val="single" w:sz="4" w:space="0" w:color="000000"/>
              <w:bottom w:val="nil" w:sz="6" w:space="0" w:color="auto"/>
              <w:right w:val="single" w:sz="4" w:space="0" w:color="000000"/>
            </w:tcBorders>
            <w:shd w:val="clear" w:color="auto" w:fill="D3D3D3"/>
          </w:tcPr>
          <w:p>
            <w:pPr/>
          </w:p>
        </w:tc>
        <w:tc>
          <w:tcPr>
            <w:tcW w:w="3989" w:type="dxa"/>
            <w:tcBorders>
              <w:top w:val="single" w:sz="4" w:space="0" w:color="000000"/>
              <w:left w:val="single" w:sz="4" w:space="0" w:color="000000"/>
              <w:bottom w:val="nil" w:sz="6" w:space="0" w:color="auto"/>
              <w:right w:val="single" w:sz="4" w:space="0" w:color="000000"/>
            </w:tcBorders>
            <w:shd w:val="clear" w:color="auto" w:fill="D3D3D3"/>
          </w:tcPr>
          <w:p>
            <w:pPr/>
          </w:p>
        </w:tc>
        <w:tc>
          <w:tcPr>
            <w:tcW w:w="269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344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449" w:type="dxa"/>
            <w:vMerge/>
            <w:tcBorders>
              <w:left w:val="single" w:sz="4" w:space="0" w:color="000000"/>
              <w:bottom w:val="nil" w:sz="6" w:space="0" w:color="auto"/>
              <w:right w:val="single" w:sz="4" w:space="0" w:color="000000"/>
            </w:tcBorders>
            <w:shd w:val="clear" w:color="auto" w:fill="D3D3D3"/>
          </w:tcPr>
          <w:p>
            <w:pPr/>
          </w:p>
        </w:tc>
        <w:tc>
          <w:tcPr>
            <w:tcW w:w="3989" w:type="dxa"/>
            <w:vMerge/>
            <w:tcBorders>
              <w:left w:val="single" w:sz="4" w:space="0" w:color="000000"/>
              <w:bottom w:val="nil" w:sz="6" w:space="0" w:color="auto"/>
              <w:right w:val="single" w:sz="4" w:space="0" w:color="000000"/>
            </w:tcBorders>
            <w:shd w:val="clear" w:color="auto" w:fill="D3D3D3"/>
          </w:tcPr>
          <w:p>
            <w:pP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449" w:type="dxa"/>
            <w:tcBorders>
              <w:top w:val="nil" w:sz="6" w:space="0" w:color="auto"/>
              <w:left w:val="single" w:sz="4" w:space="0" w:color="000000"/>
              <w:bottom w:val="single" w:sz="4" w:space="0" w:color="000000"/>
              <w:right w:val="single" w:sz="4" w:space="0" w:color="000000"/>
            </w:tcBorders>
            <w:shd w:val="clear" w:color="auto" w:fill="D3D3D3"/>
          </w:tcPr>
          <w:p>
            <w:pPr/>
          </w:p>
        </w:tc>
        <w:tc>
          <w:tcPr>
            <w:tcW w:w="39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李向清</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29,000,000</w:t>
            </w:r>
          </w:p>
        </w:tc>
      </w:tr>
      <w:tr>
        <w:trPr>
          <w:trHeight w:val="402"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郭旭</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2,578,109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2,578,109</w:t>
            </w:r>
          </w:p>
        </w:tc>
      </w:tr>
      <w:tr>
        <w:trPr>
          <w:trHeight w:val="402"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赵兴宝</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2,480,290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2,480,290</w:t>
            </w:r>
          </w:p>
        </w:tc>
      </w:tr>
      <w:tr>
        <w:trPr>
          <w:trHeight w:val="402"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唐梦华</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2,296,550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2,296,550</w:t>
            </w:r>
          </w:p>
        </w:tc>
      </w:tr>
      <w:tr>
        <w:trPr>
          <w:trHeight w:val="402"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廖咏姬</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1,398,000</w:t>
            </w:r>
          </w:p>
        </w:tc>
      </w:tr>
      <w:tr>
        <w:trPr>
          <w:trHeight w:val="402"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武汉诚盛电子有限公司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1,168,100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1,168,100</w:t>
            </w:r>
          </w:p>
        </w:tc>
      </w:tr>
      <w:tr>
        <w:trPr>
          <w:trHeight w:val="402"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丁朵玲</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1,060,000</w:t>
            </w:r>
          </w:p>
        </w:tc>
      </w:tr>
      <w:tr>
        <w:trPr>
          <w:trHeight w:val="402"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苏丽</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987,656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987,656</w:t>
            </w:r>
          </w:p>
        </w:tc>
      </w:tr>
      <w:tr>
        <w:trPr>
          <w:trHeight w:val="714"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中国建设银行股份有限公司－易方达并购 重组指数分级证券投资基金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900,255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900,255</w:t>
            </w:r>
          </w:p>
        </w:tc>
      </w:tr>
      <w:tr>
        <w:trPr>
          <w:trHeight w:val="402"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吴海乐</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781,300</w:t>
            </w:r>
          </w:p>
        </w:tc>
      </w:tr>
      <w:tr>
        <w:trPr>
          <w:trHeight w:val="1026" w:hRule="exact"/>
        </w:trPr>
        <w:tc>
          <w:tcPr>
            <w:tcW w:w="3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2" w:lineRule="auto" w:before="63"/>
              <w:ind w:left="24" w:right="83"/>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 联关系或一致行动的说明</w:t>
            </w:r>
          </w:p>
        </w:tc>
        <w:tc>
          <w:tcPr>
            <w:tcW w:w="6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1"/>
                <w:sz w:val="18"/>
                <w:szCs w:val="18"/>
              </w:rPr>
              <w:t>前十名股东中，控股股东与其他股东无关联关系，也不属于《上市公司股东持股变动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信息披露管理办法》中规定的一致行动人；其他股东未知是否存在其他关联关系，也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未知是否属于《上市公司股东持股变动信息披露管理办法》中规定的一致行动人。</w:t>
            </w:r>
          </w:p>
        </w:tc>
      </w:tr>
      <w:tr>
        <w:trPr>
          <w:trHeight w:val="714" w:hRule="exact"/>
        </w:trPr>
        <w:tc>
          <w:tcPr>
            <w:tcW w:w="3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4" w:right="8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名普通股股东参与融资融券业务情况 </w:t>
            </w:r>
            <w:r>
              <w:rPr>
                <w:rFonts w:ascii="宋体" w:hAnsi="宋体" w:cs="宋体" w:eastAsia="宋体" w:hint="default"/>
                <w:spacing w:val="-9"/>
                <w:sz w:val="18"/>
                <w:szCs w:val="18"/>
              </w:rPr>
              <w:t>说明（如有）（参见注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名股东中只有赵兴宝参与融资融券业务，通过融资融券账户持有公司</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2,476,790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股股份。</w:t>
            </w:r>
          </w:p>
        </w:tc>
      </w:tr>
    </w:tbl>
    <w:p>
      <w:pPr>
        <w:pStyle w:val="BodyText"/>
        <w:spacing w:line="240" w:lineRule="auto" w:before="51"/>
        <w:ind w:left="37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37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37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left="374"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373" w:right="7831"/>
        <w:jc w:val="left"/>
      </w:pPr>
      <w:r>
        <w:rPr/>
        <w:t>控股股东性质：自然人控股 控股股东类型：自然人</w:t>
      </w:r>
    </w:p>
    <w:tbl>
      <w:tblPr>
        <w:tblW w:w="0" w:type="auto"/>
        <w:jc w:val="left"/>
        <w:tblInd w:w="404" w:type="dxa"/>
        <w:tblLayout w:type="fixed"/>
        <w:tblCellMar>
          <w:top w:w="0" w:type="dxa"/>
          <w:left w:w="0" w:type="dxa"/>
          <w:bottom w:w="0" w:type="dxa"/>
          <w:right w:w="0" w:type="dxa"/>
        </w:tblCellMar>
        <w:tblLook w:val="01E0"/>
      </w:tblPr>
      <w:tblGrid>
        <w:gridCol w:w="3418"/>
        <w:gridCol w:w="2168"/>
        <w:gridCol w:w="3982"/>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吴红心</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98"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
              <w:jc w:val="both"/>
              <w:rPr>
                <w:rFonts w:ascii="宋体" w:hAnsi="宋体" w:cs="宋体" w:eastAsia="宋体" w:hint="default"/>
                <w:sz w:val="18"/>
                <w:szCs w:val="18"/>
              </w:rPr>
            </w:pPr>
            <w:r>
              <w:rPr>
                <w:rFonts w:ascii="宋体" w:hAnsi="宋体" w:cs="宋体" w:eastAsia="宋体" w:hint="default"/>
                <w:spacing w:val="-1"/>
                <w:sz w:val="18"/>
                <w:szCs w:val="18"/>
              </w:rPr>
              <w:t>任浙江中胜实业集团有限公司、浙江星联合能源技术有限公司、杭州中胜智能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科技有限公司杭州中胜燃料有限公司执行董事，上海胜福威热投资中心（有限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合伙）执行事务合伙人，浙江浙大网新联合技术发展有限公司、杭州路招网络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科技有限公司董事长，四川华都置业有限公司、山西保利裕丰煤业有限公司、</w:t>
            </w:r>
          </w:p>
        </w:tc>
      </w:tr>
    </w:tbl>
    <w:p>
      <w:pPr>
        <w:spacing w:after="0" w:line="316" w:lineRule="auto"/>
        <w:jc w:val="both"/>
        <w:rPr>
          <w:rFonts w:ascii="宋体" w:hAnsi="宋体" w:cs="宋体" w:eastAsia="宋体" w:hint="default"/>
          <w:sz w:val="18"/>
          <w:szCs w:val="18"/>
        </w:rPr>
        <w:sectPr>
          <w:pgSz w:w="11910" w:h="16840"/>
          <w:pgMar w:header="747" w:footer="982" w:top="1060" w:bottom="1180" w:left="760" w:right="760"/>
        </w:sectPr>
      </w:pPr>
    </w:p>
    <w:p>
      <w:pPr>
        <w:spacing w:line="240" w:lineRule="auto" w:before="6"/>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3418"/>
        <w:gridCol w:w="6149"/>
      </w:tblGrid>
      <w:tr>
        <w:trPr>
          <w:trHeight w:val="36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4"/>
              <w:jc w:val="left"/>
              <w:rPr>
                <w:rFonts w:ascii="宋体" w:hAnsi="宋体" w:cs="宋体" w:eastAsia="宋体" w:hint="default"/>
                <w:sz w:val="18"/>
                <w:szCs w:val="18"/>
              </w:rPr>
            </w:pPr>
            <w:r>
              <w:rPr>
                <w:rFonts w:ascii="宋体" w:hAnsi="宋体" w:cs="宋体" w:eastAsia="宋体" w:hint="default"/>
                <w:sz w:val="18"/>
                <w:szCs w:val="18"/>
              </w:rPr>
              <w:t>蚌埠农村商业银行股份有限公司、贵州航宇科技发展股份有限公司董事等职。</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思美传媒</w:t>
            </w:r>
          </w:p>
        </w:tc>
      </w:tr>
    </w:tbl>
    <w:p>
      <w:pPr>
        <w:pStyle w:val="BodyText"/>
        <w:spacing w:line="240" w:lineRule="auto" w:before="51"/>
        <w:ind w:right="0"/>
        <w:jc w:val="left"/>
      </w:pPr>
      <w:r>
        <w:rPr/>
        <w:t>控股股东报告期内变更</w:t>
      </w:r>
    </w:p>
    <w:p>
      <w:pPr>
        <w:pStyle w:val="BodyText"/>
        <w:spacing w:line="338" w:lineRule="auto" w:before="117"/>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431"/>
        <w:jc w:val="left"/>
      </w:pPr>
      <w:r>
        <w:rPr/>
        <w:t>实际控制人性质：境内自然人 实际控制人类型：自然人</w:t>
      </w:r>
    </w:p>
    <w:tbl>
      <w:tblPr>
        <w:tblW w:w="0" w:type="auto"/>
        <w:jc w:val="left"/>
        <w:tblInd w:w="183" w:type="dxa"/>
        <w:tblLayout w:type="fixed"/>
        <w:tblCellMar>
          <w:top w:w="0" w:type="dxa"/>
          <w:left w:w="0" w:type="dxa"/>
          <w:bottom w:w="0" w:type="dxa"/>
          <w:right w:w="0" w:type="dxa"/>
        </w:tblCellMar>
        <w:tblLook w:val="01E0"/>
      </w:tblPr>
      <w:tblGrid>
        <w:gridCol w:w="3328"/>
        <w:gridCol w:w="1993"/>
        <w:gridCol w:w="4248"/>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吴红心</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3328" w:type="dxa"/>
            <w:tcBorders>
              <w:top w:val="single" w:sz="4" w:space="0" w:color="000000"/>
              <w:left w:val="single" w:sz="4" w:space="0" w:color="000000"/>
              <w:bottom w:val="nil" w:sz="6" w:space="0" w:color="auto"/>
              <w:right w:val="single" w:sz="4" w:space="0" w:color="000000"/>
            </w:tcBorders>
            <w:shd w:val="clear" w:color="auto" w:fill="D3D3D3"/>
          </w:tcPr>
          <w:p>
            <w:pPr/>
          </w:p>
        </w:tc>
        <w:tc>
          <w:tcPr>
            <w:tcW w:w="6241"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任浙江中胜实业集团有限公司、浙江星联合能源技术有限公司、杭州中胜智能</w:t>
            </w:r>
          </w:p>
        </w:tc>
      </w:tr>
      <w:tr>
        <w:trPr>
          <w:trHeight w:val="311" w:hRule="exact"/>
        </w:trPr>
        <w:tc>
          <w:tcPr>
            <w:tcW w:w="3328" w:type="dxa"/>
            <w:tcBorders>
              <w:top w:val="nil" w:sz="6" w:space="0" w:color="auto"/>
              <w:left w:val="single" w:sz="4" w:space="0" w:color="000000"/>
              <w:bottom w:val="nil" w:sz="6" w:space="0" w:color="auto"/>
              <w:right w:val="single" w:sz="4" w:space="0" w:color="000000"/>
            </w:tcBorders>
            <w:shd w:val="clear" w:color="auto" w:fill="D3D3D3"/>
          </w:tcPr>
          <w:p>
            <w:pPr/>
          </w:p>
        </w:tc>
        <w:tc>
          <w:tcPr>
            <w:tcW w:w="624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科技有限公司杭州中胜燃料有限公司执行董事，上海胜福威热投资中心（有限</w:t>
            </w:r>
          </w:p>
        </w:tc>
      </w:tr>
      <w:tr>
        <w:trPr>
          <w:trHeight w:val="313" w:hRule="exact"/>
        </w:trPr>
        <w:tc>
          <w:tcPr>
            <w:tcW w:w="33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合伙）执行事务合伙人，浙江浙大网新联合技术发展有限公司、杭州路招网络</w:t>
            </w:r>
          </w:p>
        </w:tc>
      </w:tr>
      <w:tr>
        <w:trPr>
          <w:trHeight w:val="312" w:hRule="exact"/>
        </w:trPr>
        <w:tc>
          <w:tcPr>
            <w:tcW w:w="3328" w:type="dxa"/>
            <w:tcBorders>
              <w:top w:val="nil" w:sz="6" w:space="0" w:color="auto"/>
              <w:left w:val="single" w:sz="4" w:space="0" w:color="000000"/>
              <w:bottom w:val="nil" w:sz="6" w:space="0" w:color="auto"/>
              <w:right w:val="single" w:sz="4" w:space="0" w:color="000000"/>
            </w:tcBorders>
            <w:shd w:val="clear" w:color="auto" w:fill="D3D3D3"/>
          </w:tcPr>
          <w:p>
            <w:pPr/>
          </w:p>
        </w:tc>
        <w:tc>
          <w:tcPr>
            <w:tcW w:w="624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科技有限公司董事长，四川华都置业有限公司、山西保利裕丰煤业有限公司、</w:t>
            </w:r>
          </w:p>
        </w:tc>
      </w:tr>
      <w:tr>
        <w:trPr>
          <w:trHeight w:val="357" w:hRule="exact"/>
        </w:trPr>
        <w:tc>
          <w:tcPr>
            <w:tcW w:w="3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6241"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蚌埠农村商业银行股份有限公司、贵州航宇科技发展股份有限公司董事等职。</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智度投资</w:t>
            </w:r>
          </w:p>
        </w:tc>
      </w:tr>
    </w:tbl>
    <w:p>
      <w:pPr>
        <w:pStyle w:val="BodyText"/>
        <w:spacing w:line="240" w:lineRule="auto" w:before="68"/>
        <w:ind w:right="0"/>
        <w:jc w:val="left"/>
      </w:pPr>
      <w:r>
        <w:rPr/>
        <w:t>实际控制人报告期内变更</w:t>
      </w:r>
    </w:p>
    <w:p>
      <w:pPr>
        <w:pStyle w:val="BodyText"/>
        <w:spacing w:line="34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4"/>
        <w:rPr>
          <w:rFonts w:ascii="宋体" w:hAnsi="宋体" w:cs="宋体" w:eastAsia="宋体" w:hint="default"/>
          <w:sz w:val="24"/>
          <w:szCs w:val="24"/>
        </w:rPr>
      </w:pPr>
    </w:p>
    <w:p>
      <w:pPr>
        <w:spacing w:line="5033" w:lineRule="exact"/>
        <w:ind w:left="1356"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4591967" cy="319639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4591967" cy="3196399"/>
                    </a:xfrm>
                    <a:prstGeom prst="rect">
                      <a:avLst/>
                    </a:prstGeom>
                  </pic:spPr>
                </pic:pic>
              </a:graphicData>
            </a:graphic>
          </wp:inline>
        </w:drawing>
      </w:r>
      <w:r>
        <w:rPr>
          <w:rFonts w:ascii="宋体" w:hAnsi="宋体" w:cs="宋体" w:eastAsia="宋体" w:hint="default"/>
          <w:position w:val="-100"/>
          <w:sz w:val="20"/>
          <w:szCs w:val="20"/>
        </w:rPr>
      </w:r>
    </w:p>
    <w:p>
      <w:pPr>
        <w:spacing w:after="0" w:line="5033"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4"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8" w:lineRule="auto" w:before="44"/>
        <w:ind w:right="7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3"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pict>
          <v:shape style="position:absolute;margin-left:473.100006pt;margin-top:33.035938pt;width:63.6pt;height:50.8pt;mso-position-horizontal-relative:page;mso-position-vertical-relative:paragraph;z-index:-83790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798"/>
        <w:gridCol w:w="797"/>
        <w:gridCol w:w="797"/>
        <w:gridCol w:w="584"/>
        <w:gridCol w:w="992"/>
        <w:gridCol w:w="815"/>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1" w:right="4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35</w:t>
            </w:r>
          </w:p>
        </w:tc>
        <w:tc>
          <w:tcPr>
            <w:tcW w:w="8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孙谦</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38</w:t>
            </w:r>
          </w:p>
        </w:tc>
        <w:tc>
          <w:tcPr>
            <w:tcW w:w="8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45</w:t>
            </w:r>
          </w:p>
        </w:tc>
        <w:tc>
          <w:tcPr>
            <w:tcW w:w="8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50</w:t>
            </w:r>
          </w:p>
        </w:tc>
        <w:tc>
          <w:tcPr>
            <w:tcW w:w="8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张海军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尤笑冰</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50</w:t>
            </w:r>
          </w:p>
        </w:tc>
        <w:tc>
          <w:tcPr>
            <w:tcW w:w="8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薛俊霞</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53</w:t>
            </w:r>
          </w:p>
        </w:tc>
        <w:tc>
          <w:tcPr>
            <w:tcW w:w="8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刘韡</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35</w:t>
            </w:r>
          </w:p>
        </w:tc>
        <w:tc>
          <w:tcPr>
            <w:tcW w:w="8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王科芳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857" w:type="dxa"/>
        <w:tblLayout w:type="fixed"/>
        <w:tblCellMar>
          <w:top w:w="0" w:type="dxa"/>
          <w:left w:w="0" w:type="dxa"/>
          <w:bottom w:w="0" w:type="dxa"/>
          <w:right w:w="0" w:type="dxa"/>
        </w:tblCellMar>
        <w:tblLook w:val="01E0"/>
      </w:tblPr>
      <w:tblGrid>
        <w:gridCol w:w="1330"/>
        <w:gridCol w:w="1331"/>
        <w:gridCol w:w="1330"/>
        <w:gridCol w:w="1540"/>
        <w:gridCol w:w="2693"/>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刘韡</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工作调整</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王科芳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工作调整</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刘双河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尤笑冰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李书剑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丁永生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舒育新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季丽媛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吴金霞</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张峥</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娄震旦</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换届</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9" w:lineRule="auto" w:before="116"/>
        <w:ind w:left="153" w:right="101"/>
        <w:jc w:val="left"/>
      </w:pPr>
      <w:r>
        <w:rPr>
          <w:spacing w:val="-4"/>
        </w:rPr>
        <w:t>赵立仁，中国国籍，男，</w:t>
      </w:r>
      <w:r>
        <w:rPr>
          <w:rFonts w:ascii="Times New Roman" w:hAnsi="Times New Roman" w:cs="Times New Roman" w:eastAsia="Times New Roman" w:hint="default"/>
          <w:spacing w:val="-4"/>
        </w:rPr>
        <w:t>1972</w:t>
      </w:r>
      <w:r>
        <w:rPr>
          <w:spacing w:val="-4"/>
        </w:rPr>
        <w:t>年生，本科。曾任国信联合律师事务所、广东创基律师事务所、国浩律师（深圳）事务所律师、</w:t>
      </w:r>
      <w:r>
        <w:rPr>
          <w:spacing w:val="-42"/>
        </w:rPr>
        <w:t> </w:t>
      </w:r>
      <w:r>
        <w:rPr>
          <w:spacing w:val="-42"/>
        </w:rPr>
      </w:r>
      <w:r>
        <w:rPr/>
        <w:t>合伙人。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月赵立仁先生担任西藏智度投资有限公司合伙人。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月起担任公司董事长兼总经理，赵 </w:t>
      </w:r>
      <w:r>
        <w:rPr>
          <w:spacing w:val="-2"/>
        </w:rPr>
        <w:t>立仁先生未持有公司股份，除此以外与其他持有公司百分之五以上股份的股东不存在关联关系；赵立仁先生未受过中国证监</w:t>
      </w:r>
      <w:r>
        <w:rPr>
          <w:spacing w:val="-64"/>
        </w:rPr>
        <w:t> </w:t>
      </w:r>
      <w:r>
        <w:rPr>
          <w:spacing w:val="-64"/>
        </w:rPr>
      </w:r>
      <w:r>
        <w:rPr/>
        <w:t>会及其他有关部门的处罚和证券交易所惩戒。 </w:t>
      </w:r>
      <w:r>
        <w:rPr>
          <w:spacing w:val="-2"/>
        </w:rPr>
        <w:t>孙静，中国国籍，女，</w:t>
      </w:r>
      <w:r>
        <w:rPr>
          <w:rFonts w:ascii="Times New Roman" w:hAnsi="Times New Roman" w:cs="Times New Roman" w:eastAsia="Times New Roman" w:hint="default"/>
          <w:spacing w:val="-2"/>
        </w:rPr>
        <w:t>1981</w:t>
      </w:r>
      <w:r>
        <w:rPr>
          <w:spacing w:val="-2"/>
        </w:rPr>
        <w:t>年生，硕士。曾任北京市德恒律师事务所、北京市中伦律师事务所律师，北汽福田汽车股份有限</w:t>
      </w:r>
      <w:r>
        <w:rPr>
          <w:spacing w:val="-61"/>
        </w:rPr>
        <w:t> </w:t>
      </w:r>
      <w:r>
        <w:rPr>
          <w:spacing w:val="-61"/>
        </w:rPr>
      </w:r>
      <w:r>
        <w:rPr>
          <w:spacing w:val="-2"/>
        </w:rPr>
        <w:t>公司法律部部长，国经发展投资管理有限公司风险控制部总经理。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月起至今担任西藏智度投资有限公司投资总监兼</w:t>
      </w:r>
      <w:r>
        <w:rPr>
          <w:spacing w:val="-58"/>
        </w:rPr>
        <w:t> </w:t>
      </w:r>
      <w:r>
        <w:rPr>
          <w:spacing w:val="-2"/>
        </w:rPr>
        <w:t>合规风控负责人。孙静女士未持有公司股份，除此以外与其他持有公司百分之五以上股份的股东不存在关联关系；孙静女士</w:t>
      </w:r>
      <w:r>
        <w:rPr>
          <w:spacing w:val="-66"/>
        </w:rPr>
        <w:t> </w:t>
      </w:r>
      <w:r>
        <w:rPr>
          <w:spacing w:val="-66"/>
        </w:rPr>
      </w:r>
      <w:r>
        <w:rPr/>
        <w:t>未受过中国证监会及其他有关部门的处罚和证券交易所惩戒。 </w:t>
      </w:r>
      <w:r>
        <w:rPr>
          <w:spacing w:val="-2"/>
        </w:rPr>
        <w:t>孙谦，中国国籍，男，</w:t>
      </w:r>
      <w:r>
        <w:rPr>
          <w:rFonts w:ascii="Times New Roman" w:hAnsi="Times New Roman" w:cs="Times New Roman" w:eastAsia="Times New Roman" w:hint="default"/>
          <w:spacing w:val="-2"/>
        </w:rPr>
        <w:t>1978</w:t>
      </w:r>
      <w:r>
        <w:rPr>
          <w:spacing w:val="-2"/>
        </w:rPr>
        <w:t>年生，本科。曾任北京中路华会计师事务所审计经理，郑州安驰担保有限公司副总经理，郑州宇</w:t>
      </w:r>
      <w:r>
        <w:rPr>
          <w:spacing w:val="-61"/>
        </w:rPr>
        <w:t> </w:t>
      </w:r>
      <w:r>
        <w:rPr>
          <w:spacing w:val="-61"/>
        </w:rPr>
      </w:r>
      <w:r>
        <w:rPr>
          <w:spacing w:val="-2"/>
        </w:rPr>
        <w:t>通客车股份有限公司证券事务代表，郑州宇通集团有限公司董事，西藏同信证券股份有限公司董事，郑州宇通集团财务有限</w:t>
      </w:r>
      <w:r>
        <w:rPr>
          <w:spacing w:val="-66"/>
        </w:rPr>
        <w:t> </w:t>
      </w:r>
      <w:r>
        <w:rPr>
          <w:spacing w:val="-66"/>
        </w:rPr>
      </w:r>
      <w:r>
        <w:rPr/>
        <w:t>公司副总经理。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月任河南正弘企业集团投资总监。孙谦先生未持有公司股份，除此以外与其他持有公司 百分之五以上股份的股东不存在关联关系；孙谦先生未受过中国证监会及其他有关部门的处罚和证券交易所惩戒。 段东辉，女，中国国籍，无境外永久居留权，</w:t>
      </w:r>
      <w:r>
        <w:rPr>
          <w:spacing w:val="-19"/>
        </w:rPr>
        <w:t> </w:t>
      </w:r>
      <w:r>
        <w:rPr>
          <w:rFonts w:ascii="Times New Roman" w:hAnsi="Times New Roman" w:cs="Times New Roman" w:eastAsia="Times New Roman" w:hint="default"/>
        </w:rPr>
        <w:t>1971</w:t>
      </w:r>
      <w:r>
        <w:rPr/>
        <w:t>年生，博士。曾作为高级访问学者于意大利罗马国际统一私法学会</w:t>
      </w:r>
    </w:p>
    <w:p>
      <w:pPr>
        <w:pStyle w:val="BodyText"/>
        <w:spacing w:line="304" w:lineRule="auto" w:before="5"/>
        <w:ind w:left="153" w:right="88"/>
        <w:jc w:val="left"/>
      </w:pPr>
      <w:r>
        <w:rPr/>
        <w:t>（</w:t>
      </w:r>
      <w:r>
        <w:rPr>
          <w:rFonts w:ascii="Times New Roman" w:hAnsi="Times New Roman" w:cs="Times New Roman" w:eastAsia="Times New Roman" w:hint="default"/>
        </w:rPr>
        <w:t>UNIDROIT</w:t>
      </w:r>
      <w:r>
        <w:rPr/>
        <w:t>）从事法律研究工作，曾获</w:t>
      </w:r>
      <w:r>
        <w:rPr>
          <w:rFonts w:ascii="Times New Roman" w:hAnsi="Times New Roman" w:cs="Times New Roman" w:eastAsia="Times New Roman" w:hint="default"/>
        </w:rPr>
        <w:t>2001</w:t>
      </w:r>
      <w:r>
        <w:rPr/>
        <w:t>年度全国金融系统青年岗位能手称号。</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2002</w:t>
      </w:r>
      <w:r>
        <w:rPr/>
        <w:t>年任中国建设银行股份有 </w:t>
      </w:r>
      <w:r>
        <w:rPr>
          <w:spacing w:val="-2"/>
        </w:rPr>
        <w:t>限公司总行高级经济师；</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2005</w:t>
      </w:r>
      <w:r>
        <w:rPr>
          <w:spacing w:val="-2"/>
        </w:rPr>
        <w:t>年任中国政法大学副教授、硕士导师；</w:t>
      </w:r>
      <w:r>
        <w:rPr>
          <w:rFonts w:ascii="Times New Roman" w:hAnsi="Times New Roman" w:cs="Times New Roman" w:eastAsia="Times New Roman" w:hint="default"/>
          <w:spacing w:val="-2"/>
        </w:rPr>
        <w:t>2005</w:t>
      </w:r>
      <w:r>
        <w:rPr>
          <w:spacing w:val="-2"/>
        </w:rPr>
        <w:t>年至今任泰康人寿保险股份有限公司董事</w:t>
      </w:r>
      <w:r>
        <w:rPr>
          <w:spacing w:val="-54"/>
        </w:rPr>
        <w:t> </w:t>
      </w:r>
      <w:r>
        <w:rPr>
          <w:spacing w:val="-3"/>
        </w:rPr>
        <w:t>会办公室主任，</w:t>
      </w:r>
      <w:r>
        <w:rPr>
          <w:rFonts w:ascii="Times New Roman" w:hAnsi="Times New Roman" w:cs="Times New Roman" w:eastAsia="Times New Roman" w:hint="default"/>
          <w:spacing w:val="-3"/>
        </w:rPr>
        <w:t>2006</w:t>
      </w:r>
      <w:r>
        <w:rPr>
          <w:spacing w:val="-3"/>
        </w:rPr>
        <w:t>年至今任泰康资产管理有限责任公司董事会秘书，</w:t>
      </w:r>
      <w:r>
        <w:rPr>
          <w:rFonts w:ascii="Times New Roman" w:hAnsi="Times New Roman" w:cs="Times New Roman" w:eastAsia="Times New Roman" w:hint="default"/>
          <w:spacing w:val="-3"/>
        </w:rPr>
        <w:t>2007</w:t>
      </w:r>
      <w:r>
        <w:rPr>
          <w:spacing w:val="-3"/>
        </w:rPr>
        <w:t>年至今任泰康养老保险股份有限公司董事会秘书；</w:t>
      </w:r>
      <w:r>
        <w:rPr>
          <w:spacing w:val="-87"/>
        </w:rPr>
        <w:t> </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2006</w:t>
      </w:r>
      <w:r>
        <w:rPr/>
        <w:t>年兼任国际商会中国国家委员会（</w:t>
      </w:r>
      <w:r>
        <w:rPr>
          <w:rFonts w:ascii="Times New Roman" w:hAnsi="Times New Roman" w:cs="Times New Roman" w:eastAsia="Times New Roman" w:hint="default"/>
        </w:rPr>
        <w:t>ICCCHINA</w:t>
      </w:r>
      <w:r>
        <w:rPr/>
        <w:t>）信用证专家小组成员，</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2005</w:t>
      </w:r>
      <w:r>
        <w:rPr/>
        <w:t>年任北京市德恒律师事务 </w:t>
      </w:r>
      <w:r>
        <w:rPr>
          <w:spacing w:val="-2"/>
        </w:rPr>
        <w:t>所兼职律师，</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2006</w:t>
      </w:r>
      <w:r>
        <w:rPr>
          <w:spacing w:val="-2"/>
        </w:rPr>
        <w:t>年兼任国际商会中国国家委员会保函专家小组成员，</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2011</w:t>
      </w:r>
      <w:r>
        <w:rPr>
          <w:spacing w:val="-2"/>
        </w:rPr>
        <w:t>年兼任中国国际私法学会常务</w:t>
      </w:r>
      <w:r>
        <w:rPr>
          <w:spacing w:val="-48"/>
        </w:rPr>
        <w:t> </w:t>
      </w:r>
      <w:r>
        <w:rPr>
          <w:spacing w:val="-2"/>
        </w:rPr>
        <w:t>理事，</w:t>
      </w:r>
      <w:r>
        <w:rPr>
          <w:rFonts w:ascii="Times New Roman" w:hAnsi="Times New Roman" w:cs="Times New Roman" w:eastAsia="Times New Roman" w:hint="default"/>
          <w:spacing w:val="-2"/>
        </w:rPr>
        <w:t>2008</w:t>
      </w:r>
      <w:r>
        <w:rPr>
          <w:spacing w:val="-2"/>
        </w:rPr>
        <w:t>年至今兼任中国国际经济贸易仲裁委员会仲裁员，</w:t>
      </w:r>
      <w:r>
        <w:rPr>
          <w:rFonts w:ascii="Times New Roman" w:hAnsi="Times New Roman" w:cs="Times New Roman" w:eastAsia="Times New Roman" w:hint="default"/>
          <w:spacing w:val="-2"/>
        </w:rPr>
        <w:t>2012</w:t>
      </w:r>
      <w:r>
        <w:rPr>
          <w:spacing w:val="-2"/>
        </w:rPr>
        <w:t>年至今兼任北京仲裁委员会委员；现任天壕节能科技股份</w:t>
      </w:r>
      <w:r>
        <w:rPr>
          <w:spacing w:val="-58"/>
        </w:rPr>
        <w:t> </w:t>
      </w:r>
      <w:r>
        <w:rPr>
          <w:spacing w:val="-58"/>
        </w:rPr>
      </w:r>
      <w:r>
        <w:rPr/>
        <w:t>有限公司独立董事。段东辉女士</w:t>
      </w:r>
      <w:r>
        <w:rPr>
          <w:spacing w:val="-18"/>
        </w:rPr>
        <w:t> </w:t>
      </w:r>
      <w:r>
        <w:rPr/>
        <w:t>未持有公司股份，除此以外与其他持有公司百分之五以上股份的股东不存在关联关系；未</w:t>
      </w:r>
      <w:r>
        <w:rPr/>
        <w:t> 受过中国证监会及其他有关部门的处罚和证券交易所惩戒。 </w:t>
      </w:r>
      <w:r>
        <w:rPr>
          <w:spacing w:val="-2"/>
        </w:rPr>
        <w:t>余应敏，男，中国国籍，无境外永久居留权，</w:t>
      </w:r>
      <w:r>
        <w:rPr>
          <w:rFonts w:ascii="Times New Roman" w:hAnsi="Times New Roman" w:cs="Times New Roman" w:eastAsia="Times New Roman" w:hint="default"/>
          <w:spacing w:val="-2"/>
        </w:rPr>
        <w:t>1966</w:t>
      </w:r>
      <w:r>
        <w:rPr>
          <w:spacing w:val="-2"/>
        </w:rPr>
        <w:t>年生，博士研究生学历，毕业于中央财经大学，会计学教授。毕业于中央</w:t>
      </w:r>
      <w:r>
        <w:rPr>
          <w:spacing w:val="-63"/>
        </w:rPr>
        <w:t> </w:t>
      </w:r>
      <w:r>
        <w:rPr>
          <w:spacing w:val="-63"/>
        </w:rPr>
      </w:r>
      <w:r>
        <w:rPr>
          <w:spacing w:val="-2"/>
        </w:rPr>
        <w:t>财经大学会计学专业，获管理学博士学位；中国注册会计师协会会员、持有注册税务师和房地产评估师资格。先后在专业期</w:t>
      </w:r>
    </w:p>
    <w:p>
      <w:pPr>
        <w:spacing w:after="0" w:line="304"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9" w:lineRule="auto" w:before="44"/>
        <w:ind w:left="333" w:right="248"/>
        <w:jc w:val="left"/>
      </w:pPr>
      <w:r>
        <w:rPr>
          <w:spacing w:val="-2"/>
        </w:rPr>
        <w:t>刊杂志上发表学术论文</w:t>
      </w:r>
      <w:r>
        <w:rPr>
          <w:rFonts w:ascii="Times New Roman" w:hAnsi="Times New Roman" w:cs="Times New Roman" w:eastAsia="Times New Roman" w:hint="default"/>
          <w:spacing w:val="-2"/>
        </w:rPr>
        <w:t>90</w:t>
      </w:r>
      <w:r>
        <w:rPr>
          <w:spacing w:val="-2"/>
        </w:rPr>
        <w:t>余篇；出版《中小企业财务报告行为：理论与实证》、《基于财政透明导向的我国政府财务报告模</w:t>
      </w:r>
      <w:r>
        <w:rPr>
          <w:spacing w:val="-67"/>
        </w:rPr>
        <w:t> </w:t>
      </w:r>
      <w:r>
        <w:rPr>
          <w:spacing w:val="-67"/>
        </w:rPr>
      </w:r>
      <w:r>
        <w:rPr>
          <w:spacing w:val="-2"/>
        </w:rPr>
        <w:t>式研究》等专著。现任中央财经大学会计学院教授、博士生导师。兼任广东宜通世纪科技股份有限公司（</w:t>
      </w:r>
      <w:r>
        <w:rPr>
          <w:rFonts w:ascii="Times New Roman" w:hAnsi="Times New Roman" w:cs="Times New Roman" w:eastAsia="Times New Roman" w:hint="default"/>
          <w:spacing w:val="-2"/>
        </w:rPr>
        <w:t>300310</w:t>
      </w:r>
      <w:r>
        <w:rPr>
          <w:spacing w:val="-2"/>
        </w:rPr>
        <w:t>）、长沙九</w:t>
      </w:r>
      <w:r>
        <w:rPr>
          <w:spacing w:val="-59"/>
        </w:rPr>
        <w:t> </w:t>
      </w:r>
      <w:r>
        <w:rPr>
          <w:spacing w:val="-59"/>
        </w:rPr>
      </w:r>
      <w:r>
        <w:rPr>
          <w:spacing w:val="-2"/>
        </w:rPr>
        <w:t>芝堂股份有限公司（</w:t>
      </w:r>
      <w:r>
        <w:rPr>
          <w:rFonts w:ascii="Times New Roman" w:hAnsi="Times New Roman" w:cs="Times New Roman" w:eastAsia="Times New Roman" w:hint="default"/>
          <w:spacing w:val="-2"/>
        </w:rPr>
        <w:t>000989</w:t>
      </w:r>
      <w:r>
        <w:rPr>
          <w:spacing w:val="-2"/>
        </w:rPr>
        <w:t>）、广东潮宏基实业股份有限公司（</w:t>
      </w:r>
      <w:r>
        <w:rPr>
          <w:rFonts w:ascii="Times New Roman" w:hAnsi="Times New Roman" w:cs="Times New Roman" w:eastAsia="Times New Roman" w:hint="default"/>
          <w:spacing w:val="-2"/>
        </w:rPr>
        <w:t>002345</w:t>
      </w:r>
      <w:r>
        <w:rPr>
          <w:spacing w:val="-2"/>
        </w:rPr>
        <w:t>）、华致酒行连锁股份有限公司独立董事。余应敏先</w:t>
      </w:r>
      <w:r>
        <w:rPr>
          <w:spacing w:val="-53"/>
        </w:rPr>
        <w:t> </w:t>
      </w:r>
      <w:r>
        <w:rPr>
          <w:spacing w:val="-53"/>
        </w:rPr>
      </w:r>
      <w:r>
        <w:rPr>
          <w:spacing w:val="-2"/>
        </w:rPr>
        <w:t>生未持有公司股份，除此以外与其他持有公司百分之五以上股份的股东不存在关联关系；未受过中国证监会及其他有关部门</w:t>
      </w:r>
      <w:r>
        <w:rPr>
          <w:spacing w:val="-64"/>
        </w:rPr>
        <w:t> </w:t>
      </w:r>
      <w:r>
        <w:rPr>
          <w:spacing w:val="-64"/>
        </w:rPr>
      </w:r>
      <w:r>
        <w:rPr/>
        <w:t>的处罚和证券交易所惩戒。 张海军，中国国籍，男，</w:t>
      </w:r>
      <w:r>
        <w:rPr>
          <w:rFonts w:ascii="Times New Roman" w:hAnsi="Times New Roman" w:cs="Times New Roman" w:eastAsia="Times New Roman" w:hint="default"/>
        </w:rPr>
        <w:t>1977</w:t>
      </w:r>
      <w:r>
        <w:rPr/>
        <w:t>年生，本科。曾就职于河北省电信公司滦平分公司、出入境检验检疫协会动植物工作委员会。 </w:t>
      </w:r>
      <w:r>
        <w:rPr>
          <w:rFonts w:ascii="Times New Roman" w:hAnsi="Times New Roman" w:cs="Times New Roman" w:eastAsia="Times New Roman" w:hint="default"/>
          <w:spacing w:val="-2"/>
        </w:rPr>
        <w:t>2010</w:t>
      </w:r>
      <w:r>
        <w:rPr>
          <w:spacing w:val="-2"/>
        </w:rPr>
        <w:t>年至今在力鼎资本任行政人事经理。张海军先生未持有公司股份，与其他持有公司百分之五以上股份的股东不存在关联</w:t>
      </w:r>
      <w:r>
        <w:rPr>
          <w:spacing w:val="-60"/>
        </w:rPr>
        <w:t> </w:t>
      </w:r>
      <w:r>
        <w:rPr>
          <w:spacing w:val="-60"/>
        </w:rPr>
      </w:r>
      <w:r>
        <w:rPr/>
        <w:t>关系；张海军先生未受过中国证监会及其他有关部门的处罚和证券交易所惩戒。 尤笑冰，中国国籍，男，</w:t>
      </w:r>
      <w:r>
        <w:rPr>
          <w:rFonts w:ascii="Times New Roman" w:hAnsi="Times New Roman" w:cs="Times New Roman" w:eastAsia="Times New Roman" w:hint="default"/>
        </w:rPr>
        <w:t>1966</w:t>
      </w:r>
      <w:r>
        <w:rPr/>
        <w:t>年生，</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月任公司董事兼董秘。尤笑冰先生未持有公司股份，与其他持有公 司百分之五以上股份的股东不存在关联关系；尤笑冰先生未受过中国证监会及其他有关部门的处罚和证券交易所惩戒。 薛俊霞，中国国籍，女，</w:t>
      </w:r>
      <w:r>
        <w:rPr>
          <w:rFonts w:ascii="Times New Roman" w:hAnsi="Times New Roman" w:cs="Times New Roman" w:eastAsia="Times New Roman" w:hint="default"/>
        </w:rPr>
        <w:t>1963</w:t>
      </w:r>
      <w:r>
        <w:rPr/>
        <w:t>年生，大专，助理会计。</w:t>
      </w:r>
      <w:r>
        <w:rPr>
          <w:rFonts w:ascii="Times New Roman" w:hAnsi="Times New Roman" w:cs="Times New Roman" w:eastAsia="Times New Roman" w:hint="default"/>
        </w:rPr>
        <w:t>1999</w:t>
      </w:r>
      <w:r>
        <w:rPr>
          <w:rFonts w:ascii="Times New Roman" w:hAnsi="Times New Roman" w:cs="Times New Roman" w:eastAsia="Times New Roman" w:hint="default"/>
          <w:spacing w:val="27"/>
        </w:rPr>
        <w:t> </w:t>
      </w:r>
      <w:r>
        <w:rPr/>
        <w:t>年进入公司，曾在财务部、资金管理部任职，现任证券管理部 </w:t>
      </w:r>
      <w:r>
        <w:rPr>
          <w:spacing w:val="-2"/>
        </w:rPr>
        <w:t>副经理、公司证券事务代表。薛俊霞女士未持有公司股份，与其他持有公司百分之五以上股份的股东不存在关联关系；薛俊</w:t>
      </w:r>
      <w:r>
        <w:rPr>
          <w:spacing w:val="-66"/>
        </w:rPr>
        <w:t> </w:t>
      </w:r>
      <w:r>
        <w:rPr>
          <w:spacing w:val="-66"/>
        </w:rPr>
      </w:r>
      <w:r>
        <w:rPr/>
        <w:t>霞女士未受过中国证监会及其他有关部门的处罚和证券交易所惩戒。 刘韡，中国国籍，男，1981年生，本科，注册会计师，2009年至2013年，任瑞华会计师事务所（特殊普通合伙）审计经理； 2014年1月至12月，在北京宇信易诚科技有限公司工作；现任公司财务总监。</w:t>
      </w:r>
    </w:p>
    <w:p>
      <w:pPr>
        <w:pStyle w:val="BodyText"/>
        <w:spacing w:line="316" w:lineRule="auto" w:before="24"/>
        <w:ind w:left="333" w:right="231"/>
        <w:jc w:val="left"/>
      </w:pPr>
      <w:r>
        <w:rPr>
          <w:color w:val="313131"/>
        </w:rPr>
        <w:t>王科芳，女，32 岁，毕业于江西师范大学本科，中央财经大学工商管理硕士。历任九富投资顾问有限公司执行部高级执行 </w:t>
      </w:r>
      <w:r>
        <w:rPr>
          <w:color w:val="313131"/>
          <w:spacing w:val="-4"/>
        </w:rPr>
        <w:t>经理，北京帕格索斯公关顾问有限公司财经部高级项目经理，深圳证券信息有限公司推广中心吉林办、内蒙办、天津办主任，</w:t>
      </w:r>
      <w:r>
        <w:rPr>
          <w:color w:val="313131"/>
          <w:spacing w:val="-46"/>
        </w:rPr>
        <w:t> </w:t>
      </w:r>
      <w:r>
        <w:rPr>
          <w:color w:val="313131"/>
          <w:spacing w:val="-46"/>
        </w:rPr>
      </w:r>
      <w:r>
        <w:rPr>
          <w:color w:val="313131"/>
        </w:rPr>
        <w:t>北京盛德玖富投资管理有限公司投资和客户管理委员会任副主任。 王科芳女士已取得深圳证券交易所颁发的董事会秘书资 格证，深交所对其任职资格审核无异议，王科芳女士与本公司的控股股东及实际控制人不存在关联关系，未持有公司股份， </w:t>
      </w:r>
      <w:r>
        <w:rPr>
          <w:color w:val="313131"/>
          <w:spacing w:val="-2"/>
        </w:rPr>
        <w:t>与公司其他董事、监事、高级管理人员及持有公司百分之五以上股份的股东、实际控制人之间不存在关联关系，未受到过中</w:t>
      </w:r>
      <w:r>
        <w:rPr>
          <w:color w:val="313131"/>
          <w:spacing w:val="-66"/>
        </w:rPr>
        <w:t> </w:t>
      </w:r>
      <w:r>
        <w:rPr>
          <w:color w:val="313131"/>
          <w:spacing w:val="-66"/>
        </w:rPr>
      </w:r>
      <w:r>
        <w:rPr>
          <w:color w:val="313131"/>
        </w:rPr>
        <w:t>国证监会和其他行政机关的处罚，未发现其具有不得担任上市公司高管和《公司法》第 147条规定的情况。</w:t>
      </w:r>
      <w:r>
        <w:rPr/>
      </w:r>
    </w:p>
    <w:p>
      <w:pPr>
        <w:spacing w:line="240" w:lineRule="auto" w:before="0"/>
        <w:rPr>
          <w:rFonts w:ascii="宋体" w:hAnsi="宋体" w:cs="宋体" w:eastAsia="宋体" w:hint="default"/>
          <w:sz w:val="18"/>
          <w:szCs w:val="18"/>
        </w:rPr>
      </w:pPr>
    </w:p>
    <w:p>
      <w:pPr>
        <w:pStyle w:val="BodyText"/>
        <w:spacing w:line="240" w:lineRule="auto" w:before="136"/>
        <w:ind w:left="333" w:right="248"/>
        <w:jc w:val="left"/>
      </w:pPr>
      <w:r>
        <w:rPr/>
        <w:t>在股东单位任职情况</w:t>
      </w:r>
    </w:p>
    <w:p>
      <w:pPr>
        <w:pStyle w:val="BodyText"/>
        <w:spacing w:line="338" w:lineRule="auto" w:before="117"/>
        <w:ind w:left="333" w:right="83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left="333" w:right="2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232"/>
        <w:gridCol w:w="2596"/>
        <w:gridCol w:w="1842"/>
        <w:gridCol w:w="1560"/>
        <w:gridCol w:w="961"/>
        <w:gridCol w:w="1873"/>
      </w:tblGrid>
      <w:tr>
        <w:trPr>
          <w:trHeight w:val="714" w:hRule="exact"/>
        </w:trPr>
        <w:tc>
          <w:tcPr>
            <w:tcW w:w="1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25" w:right="104"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5" w:right="24"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61" w:right="30" w:hanging="630"/>
              <w:jc w:val="left"/>
              <w:rPr>
                <w:rFonts w:ascii="宋体" w:hAnsi="宋体" w:cs="宋体" w:eastAsia="宋体" w:hint="default"/>
                <w:sz w:val="18"/>
                <w:szCs w:val="18"/>
              </w:rPr>
            </w:pPr>
            <w:r>
              <w:rPr>
                <w:rFonts w:ascii="宋体" w:hAnsi="宋体" w:cs="宋体" w:eastAsia="宋体" w:hint="default"/>
                <w:sz w:val="18"/>
                <w:szCs w:val="18"/>
              </w:rPr>
              <w:t>在其他单位是否领取报 酬津贴</w:t>
            </w:r>
          </w:p>
        </w:tc>
      </w:tr>
      <w:tr>
        <w:trPr>
          <w:trHeight w:val="71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西藏智度投资有限公司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left"/>
              <w:rPr>
                <w:rFonts w:ascii="宋体" w:hAnsi="宋体" w:cs="宋体" w:eastAsia="宋体" w:hint="default"/>
                <w:sz w:val="18"/>
                <w:szCs w:val="18"/>
              </w:rPr>
            </w:pPr>
            <w:r>
              <w:rPr>
                <w:rFonts w:ascii="宋体" w:hAnsi="宋体" w:cs="宋体" w:eastAsia="宋体" w:hint="default"/>
                <w:sz w:val="18"/>
                <w:szCs w:val="18"/>
              </w:rPr>
              <w:t>投资总监兼合规风控 负责人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孙谦</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郑州和义商业发展有限公司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334" w:right="248"/>
        <w:jc w:val="left"/>
      </w:pPr>
      <w:r>
        <w:rPr/>
        <w:t>公司现任及报告期内离任董事、监事和高级管理人员近三年证券监管机构处罚的情况</w:t>
      </w:r>
    </w:p>
    <w:p>
      <w:pPr>
        <w:pStyle w:val="BodyText"/>
        <w:spacing w:line="240" w:lineRule="auto" w:before="117"/>
        <w:ind w:left="333" w:right="2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334" w:right="248"/>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333" w:right="248"/>
        <w:jc w:val="left"/>
      </w:pPr>
      <w:r>
        <w:rPr/>
        <w:t>董事、监事、高级管理人员报酬的决策程序、确定依据、实际支付情况 </w:t>
      </w:r>
      <w:r>
        <w:rPr>
          <w:spacing w:val="-2"/>
        </w:rPr>
        <w:t>根据公司《高级管理人员薪酬方案》，公司董事、监事、高级管理人员的薪酬由基本年薪和绩效年薪构成，基本薪酬根据董</w:t>
      </w:r>
      <w:r>
        <w:rPr>
          <w:spacing w:val="-68"/>
        </w:rPr>
        <w:t> </w:t>
      </w:r>
      <w:r>
        <w:rPr>
          <w:spacing w:val="-68"/>
        </w:rPr>
      </w:r>
      <w:r>
        <w:rPr/>
        <w:t>事、监事与高级管理人员所承担的责任、风险、压力等确定，基本年薪与基本目标挂钩，效益年薪与公司效益挂钩。</w:t>
      </w:r>
    </w:p>
    <w:p>
      <w:pPr>
        <w:pStyle w:val="BodyText"/>
        <w:spacing w:line="640" w:lineRule="auto" w:before="2"/>
        <w:ind w:left="333" w:right="2436"/>
        <w:jc w:val="left"/>
      </w:pPr>
      <w:r>
        <w:rPr/>
        <w:t>报告期末现任董事、监事和高级管理人员从本公司获得的年度应付税前报酬总额为</w:t>
      </w:r>
      <w:r>
        <w:rPr>
          <w:rFonts w:ascii="Times New Roman" w:hAnsi="Times New Roman" w:cs="Times New Roman" w:eastAsia="Times New Roman" w:hint="default"/>
        </w:rPr>
        <w:t>153.78</w:t>
      </w:r>
      <w:r>
        <w:rPr/>
        <w:t>万元。 公司报告期内董事、监事和高级管理人员报酬情况</w:t>
      </w:r>
    </w:p>
    <w:p>
      <w:pPr>
        <w:spacing w:after="0" w:line="640" w:lineRule="auto"/>
        <w:jc w:val="left"/>
        <w:sectPr>
          <w:pgSz w:w="11910" w:h="16840"/>
          <w:pgMar w:header="747" w:footer="982" w:top="1060" w:bottom="1180" w:left="800" w:right="80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张海军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尤笑冰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薛俊霞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王科芳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153.78</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公司董事、监事、高级管理人员报告期内被授予的股权激励情况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（一）公司员工情况</w:t>
      </w:r>
    </w:p>
    <w:p>
      <w:pPr>
        <w:pStyle w:val="BodyText"/>
        <w:spacing w:line="240" w:lineRule="auto" w:before="76"/>
        <w:ind w:left="153" w:right="0"/>
        <w:jc w:val="left"/>
      </w:pPr>
      <w:r>
        <w:rPr>
          <w:rFonts w:ascii="Times New Roman" w:hAnsi="Times New Roman" w:cs="Times New Roman" w:eastAsia="Times New Roman" w:hint="default"/>
        </w:rPr>
        <w:t>1</w:t>
      </w:r>
      <w:r>
        <w:rPr/>
        <w:t>、专业构成</w:t>
      </w:r>
    </w:p>
    <w:p>
      <w:pPr>
        <w:spacing w:line="240" w:lineRule="auto" w:before="13"/>
        <w:rPr>
          <w:rFonts w:ascii="宋体" w:hAnsi="宋体" w:cs="宋体" w:eastAsia="宋体" w:hint="default"/>
          <w:sz w:val="3"/>
          <w:szCs w:val="3"/>
        </w:rPr>
      </w:pPr>
    </w:p>
    <w:tbl>
      <w:tblPr>
        <w:tblW w:w="0" w:type="auto"/>
        <w:jc w:val="left"/>
        <w:tblInd w:w="1705" w:type="dxa"/>
        <w:tblLayout w:type="fixed"/>
        <w:tblCellMar>
          <w:top w:w="0" w:type="dxa"/>
          <w:left w:w="0" w:type="dxa"/>
          <w:bottom w:w="0" w:type="dxa"/>
          <w:right w:w="0" w:type="dxa"/>
        </w:tblCellMar>
        <w:tblLook w:val="01E0"/>
      </w:tblPr>
      <w:tblGrid>
        <w:gridCol w:w="1907"/>
        <w:gridCol w:w="1900"/>
        <w:gridCol w:w="2714"/>
      </w:tblGrid>
      <w:tr>
        <w:trPr>
          <w:trHeight w:val="348"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84" w:right="0"/>
              <w:jc w:val="left"/>
              <w:rPr>
                <w:rFonts w:ascii="宋体" w:hAnsi="宋体" w:cs="宋体" w:eastAsia="宋体" w:hint="default"/>
                <w:sz w:val="18"/>
                <w:szCs w:val="18"/>
              </w:rPr>
            </w:pPr>
            <w:r>
              <w:rPr>
                <w:rFonts w:ascii="宋体" w:hAnsi="宋体" w:cs="宋体" w:eastAsia="宋体" w:hint="default"/>
                <w:b/>
                <w:bCs/>
                <w:sz w:val="18"/>
                <w:szCs w:val="18"/>
              </w:rPr>
              <w:t>专业构成</w:t>
            </w:r>
            <w:r>
              <w:rPr>
                <w:rFonts w:ascii="宋体" w:hAnsi="宋体" w:cs="宋体" w:eastAsia="宋体" w:hint="default"/>
                <w:sz w:val="18"/>
                <w:szCs w:val="18"/>
              </w:rPr>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36" w:right="0"/>
              <w:jc w:val="left"/>
              <w:rPr>
                <w:rFonts w:ascii="宋体" w:hAnsi="宋体" w:cs="宋体" w:eastAsia="宋体" w:hint="default"/>
                <w:sz w:val="18"/>
                <w:szCs w:val="18"/>
              </w:rPr>
            </w:pPr>
            <w:r>
              <w:rPr>
                <w:rFonts w:ascii="宋体" w:hAnsi="宋体" w:cs="宋体" w:eastAsia="宋体" w:hint="default"/>
                <w:b/>
                <w:bCs/>
                <w:sz w:val="18"/>
                <w:szCs w:val="18"/>
              </w:rPr>
              <w:t>占公司总人数的比例</w:t>
            </w:r>
            <w:r>
              <w:rPr>
                <w:rFonts w:ascii="宋体" w:hAnsi="宋体" w:cs="宋体" w:eastAsia="宋体" w:hint="default"/>
                <w:sz w:val="18"/>
                <w:szCs w:val="18"/>
              </w:rPr>
            </w:r>
          </w:p>
        </w:tc>
      </w:tr>
      <w:tr>
        <w:trPr>
          <w:trHeight w:val="347"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生产构成</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575</w:t>
            </w:r>
          </w:p>
        </w:tc>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57.27%</w:t>
            </w:r>
          </w:p>
        </w:tc>
      </w:tr>
      <w:tr>
        <w:trPr>
          <w:trHeight w:val="347"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58</w:t>
            </w:r>
          </w:p>
        </w:tc>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5.78%</w:t>
            </w:r>
          </w:p>
        </w:tc>
      </w:tr>
      <w:tr>
        <w:trPr>
          <w:trHeight w:val="347"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110</w:t>
            </w:r>
          </w:p>
        </w:tc>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10.96%</w:t>
            </w:r>
          </w:p>
        </w:tc>
      </w:tr>
      <w:tr>
        <w:trPr>
          <w:trHeight w:val="348"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261</w:t>
            </w:r>
          </w:p>
        </w:tc>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26.00%</w:t>
            </w:r>
          </w:p>
        </w:tc>
      </w:tr>
    </w:tbl>
    <w:p>
      <w:pPr>
        <w:pStyle w:val="BodyText"/>
        <w:spacing w:line="240" w:lineRule="auto" w:before="10"/>
        <w:ind w:right="0"/>
        <w:jc w:val="left"/>
      </w:pPr>
      <w:r>
        <w:rPr>
          <w:rFonts w:ascii="Times New Roman" w:hAnsi="Times New Roman" w:cs="Times New Roman" w:eastAsia="Times New Roman" w:hint="default"/>
        </w:rPr>
        <w:t>2</w:t>
      </w:r>
      <w:r>
        <w:rPr/>
        <w:t>、教育程度</w:t>
      </w:r>
    </w:p>
    <w:p>
      <w:pPr>
        <w:spacing w:line="240" w:lineRule="auto" w:before="13"/>
        <w:rPr>
          <w:rFonts w:ascii="宋体" w:hAnsi="宋体" w:cs="宋体" w:eastAsia="宋体" w:hint="default"/>
          <w:sz w:val="3"/>
          <w:szCs w:val="3"/>
        </w:rPr>
      </w:pPr>
    </w:p>
    <w:tbl>
      <w:tblPr>
        <w:tblW w:w="0" w:type="auto"/>
        <w:jc w:val="left"/>
        <w:tblInd w:w="1670" w:type="dxa"/>
        <w:tblLayout w:type="fixed"/>
        <w:tblCellMar>
          <w:top w:w="0" w:type="dxa"/>
          <w:left w:w="0" w:type="dxa"/>
          <w:bottom w:w="0" w:type="dxa"/>
          <w:right w:w="0" w:type="dxa"/>
        </w:tblCellMar>
        <w:tblLook w:val="01E0"/>
      </w:tblPr>
      <w:tblGrid>
        <w:gridCol w:w="2206"/>
        <w:gridCol w:w="1900"/>
        <w:gridCol w:w="2484"/>
      </w:tblGrid>
      <w:tr>
        <w:trPr>
          <w:trHeight w:val="347" w:hRule="exact"/>
        </w:trPr>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教育程度</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占公司总人数的比例</w:t>
            </w:r>
          </w:p>
        </w:tc>
      </w:tr>
      <w:tr>
        <w:trPr>
          <w:trHeight w:val="347" w:hRule="exact"/>
        </w:trPr>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194</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19.32%</w:t>
            </w:r>
          </w:p>
        </w:tc>
      </w:tr>
      <w:tr>
        <w:trPr>
          <w:trHeight w:val="347" w:hRule="exact"/>
        </w:trPr>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248</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24.70%</w:t>
            </w:r>
          </w:p>
        </w:tc>
      </w:tr>
      <w:tr>
        <w:trPr>
          <w:trHeight w:val="348" w:hRule="exact"/>
        </w:trPr>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562</w:t>
            </w:r>
          </w:p>
        </w:tc>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55.98%</w:t>
            </w:r>
          </w:p>
        </w:tc>
      </w:tr>
    </w:tbl>
    <w:p>
      <w:pPr>
        <w:pStyle w:val="BodyText"/>
        <w:spacing w:line="316" w:lineRule="auto" w:before="10"/>
        <w:ind w:left="513" w:right="0" w:hanging="360"/>
        <w:jc w:val="left"/>
      </w:pPr>
      <w:r>
        <w:rPr/>
        <w:t>（二）公司员工薪酬政策 </w:t>
      </w:r>
      <w:r>
        <w:rPr>
          <w:spacing w:val="-2"/>
        </w:rPr>
        <w:t>公司参照总部及子公司所在地区社会平均工资水平和行业平均水平、劳动力市场的供求状况与物价水平等制定了较为科</w:t>
      </w:r>
    </w:p>
    <w:p>
      <w:pPr>
        <w:pStyle w:val="BodyText"/>
        <w:spacing w:line="316" w:lineRule="auto" w:before="19"/>
        <w:ind w:left="153" w:right="0"/>
        <w:jc w:val="left"/>
      </w:pPr>
      <w:r>
        <w:rPr>
          <w:spacing w:val="-2"/>
        </w:rPr>
        <w:t>学的薪酬管理制度，按时足额为员工考核发放薪酬，年底根据业绩情况和员工工作情况发放相应的年终奖励。并为不同岗位</w:t>
      </w:r>
      <w:r>
        <w:rPr>
          <w:spacing w:val="-66"/>
        </w:rPr>
        <w:t> </w:t>
      </w:r>
      <w:r>
        <w:rPr>
          <w:spacing w:val="-66"/>
        </w:rPr>
      </w:r>
      <w:r>
        <w:rPr/>
        <w:t>的员工提供多种晋级机会。</w:t>
      </w:r>
    </w:p>
    <w:p>
      <w:pPr>
        <w:pStyle w:val="BodyText"/>
        <w:spacing w:line="316" w:lineRule="auto" w:before="19"/>
        <w:ind w:left="513" w:right="0" w:hanging="360"/>
        <w:jc w:val="left"/>
      </w:pPr>
      <w:r>
        <w:rPr/>
        <w:t>（三）公司员工培训计划 </w:t>
      </w:r>
      <w:r>
        <w:rPr>
          <w:spacing w:val="-2"/>
        </w:rPr>
        <w:t>公司注重员工培养和发展，为员工提供多渠道的培训，包括：内部技能培训、参加外部培训、内部管理培训等，并对培</w:t>
      </w:r>
    </w:p>
    <w:p>
      <w:pPr>
        <w:pStyle w:val="BodyText"/>
        <w:spacing w:line="316" w:lineRule="auto" w:before="19"/>
        <w:ind w:left="153" w:right="0"/>
        <w:jc w:val="left"/>
      </w:pPr>
      <w:r>
        <w:rPr>
          <w:spacing w:val="-2"/>
        </w:rPr>
        <w:t>训效果进行评估，给予员工良好的成长和工作环境，对于提升公司人力资源水平、保障和支持公司正常经营发挥了重要的作</w:t>
      </w:r>
      <w:r>
        <w:rPr>
          <w:spacing w:val="-66"/>
        </w:rPr>
        <w:t> </w:t>
      </w:r>
      <w:r>
        <w:rPr>
          <w:spacing w:val="-66"/>
        </w:rPr>
      </w:r>
      <w:r>
        <w:rPr/>
        <w:t>用。</w:t>
      </w:r>
    </w:p>
    <w:p>
      <w:pPr>
        <w:spacing w:after="0" w:line="316"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153" w:right="0"/>
        <w:jc w:val="left"/>
      </w:pPr>
      <w:r>
        <w:rPr/>
        <w:t>企业薪酬成本情况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5843"/>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8,419.24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26.51%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高管人均薪酬金额（万元/人）</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41.14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所有员工人均薪酬金额（万元/人）</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8.39</w:t>
            </w:r>
          </w:p>
        </w:tc>
      </w:tr>
    </w:tbl>
    <w:p>
      <w:pPr>
        <w:spacing w:after="0" w:line="240" w:lineRule="auto"/>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751" w:right="3787"/>
        <w:jc w:val="center"/>
        <w:rPr>
          <w:b w:val="0"/>
          <w:bCs w:val="0"/>
        </w:rPr>
      </w:pPr>
      <w:bookmarkStart w:name="_TOC_250002"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3" w:right="0" w:firstLine="343"/>
        <w:jc w:val="left"/>
      </w:pPr>
      <w:r>
        <w:rPr>
          <w:spacing w:val="-2"/>
        </w:rPr>
        <w:t>报告期内，公司严格按照《公司法》、《证券法》、《上市公司治理准则》等法律法规和证券监管部门的有关规定，不</w:t>
      </w:r>
      <w:r>
        <w:rPr/>
        <w:t> 断完善公司法人治理结构，规范公司运作。</w:t>
      </w:r>
    </w:p>
    <w:p>
      <w:pPr>
        <w:pStyle w:val="BodyText"/>
        <w:spacing w:line="316" w:lineRule="auto" w:before="19"/>
        <w:ind w:left="153" w:right="191" w:firstLine="270"/>
        <w:jc w:val="both"/>
      </w:pPr>
      <w:r>
        <w:rPr/>
        <w:t>报告期内，公司股东大会、董事会、监事会会议的筹备、召开及会议决议的披露均按《公司章程》和《股东大会议事规 </w:t>
      </w:r>
      <w:r>
        <w:rPr>
          <w:spacing w:val="-2"/>
        </w:rPr>
        <w:t>则》《董事会议事规则》、《监事会议事规则》的规定进行，公司全体董事、监事、高级管理人员均能诚信、勤勉的履行职</w:t>
      </w:r>
      <w:r>
        <w:rPr>
          <w:spacing w:val="-69"/>
        </w:rPr>
        <w:t> </w:t>
      </w:r>
      <w:r>
        <w:rPr>
          <w:spacing w:val="-69"/>
        </w:rPr>
      </w:r>
      <w:r>
        <w:rPr/>
        <w:t>责。符合中国证监会发布的相关上市公司治理规范性文件的要求。</w:t>
      </w:r>
    </w:p>
    <w:p>
      <w:pPr>
        <w:pStyle w:val="BodyText"/>
        <w:spacing w:line="316" w:lineRule="auto" w:before="19"/>
        <w:ind w:left="153" w:right="189" w:firstLine="360"/>
        <w:jc w:val="both"/>
      </w:pPr>
      <w:r>
        <w:rPr>
          <w:spacing w:val="-2"/>
        </w:rPr>
        <w:t>报告期内，公司根据《企业内部控制基本规范》、《企业内部控制配套指引》及《深圳证券交易所主板上市公司规范运</w:t>
      </w:r>
      <w:r>
        <w:rPr/>
        <w:t> </w:t>
      </w:r>
      <w:r>
        <w:rPr>
          <w:spacing w:val="-2"/>
        </w:rPr>
        <w:t>作指引》的有关规范要求，结合公司实际情况，进一步建立和完善了公司内控制度体系建设。目前公司各项内控制度运行规</w:t>
      </w:r>
      <w:r>
        <w:rPr>
          <w:spacing w:val="-66"/>
        </w:rPr>
        <w:t> </w:t>
      </w:r>
      <w:r>
        <w:rPr>
          <w:spacing w:val="-66"/>
        </w:rPr>
      </w:r>
      <w:r>
        <w:rPr/>
        <w:t>范，为提高公司经营管理水平和风险防范能力，确保公司资产安全和有效经营奠定了坚实的基础。</w:t>
      </w:r>
    </w:p>
    <w:p>
      <w:pPr>
        <w:pStyle w:val="BodyText"/>
        <w:spacing w:line="240" w:lineRule="auto" w:before="19"/>
        <w:ind w:left="153" w:right="0"/>
        <w:jc w:val="left"/>
      </w:pPr>
      <w:r>
        <w:rPr/>
        <w:t>（二）公司</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治理情况</w:t>
      </w:r>
    </w:p>
    <w:p>
      <w:pPr>
        <w:pStyle w:val="BodyText"/>
        <w:spacing w:line="300" w:lineRule="auto" w:before="63"/>
        <w:ind w:left="514" w:right="0" w:hanging="360"/>
        <w:jc w:val="left"/>
      </w:pPr>
      <w:r>
        <w:rPr>
          <w:rFonts w:ascii="Times New Roman" w:hAnsi="Times New Roman" w:cs="Times New Roman" w:eastAsia="Times New Roman" w:hint="default"/>
        </w:rPr>
        <w:t>1</w:t>
      </w:r>
      <w:r>
        <w:rPr/>
        <w:t>、股东及股东大会 </w:t>
      </w:r>
      <w:r>
        <w:rPr>
          <w:spacing w:val="-2"/>
        </w:rPr>
        <w:t>按照《公司法》、《公司章程》、《股东大会议事规则》的规定，股东按所持股份平等的享有股东权利、并承担相应义</w:t>
      </w:r>
    </w:p>
    <w:p>
      <w:pPr>
        <w:pStyle w:val="BodyText"/>
        <w:spacing w:line="316" w:lineRule="auto" w:before="31"/>
        <w:ind w:right="189"/>
        <w:jc w:val="both"/>
      </w:pPr>
      <w:r>
        <w:rPr>
          <w:spacing w:val="-2"/>
        </w:rPr>
        <w:t>务；公司股东大会的召集、召开和表决程序都是按照公司《股东大会议事规则》和《公司章程》的规定进行的，历次股东大</w:t>
      </w:r>
      <w:r>
        <w:rPr>
          <w:spacing w:val="-65"/>
        </w:rPr>
        <w:t> </w:t>
      </w:r>
      <w:r>
        <w:rPr>
          <w:spacing w:val="-65"/>
        </w:rPr>
      </w:r>
      <w:r>
        <w:rPr>
          <w:spacing w:val="-2"/>
        </w:rPr>
        <w:t>会均聘请了律师进行现场见证；同时对公司关联交易的决策程序进行了明确的规定，历次关联交易表决时关联股东都进行了</w:t>
      </w:r>
      <w:r>
        <w:rPr>
          <w:spacing w:val="-64"/>
        </w:rPr>
        <w:t> </w:t>
      </w:r>
      <w:r>
        <w:rPr>
          <w:spacing w:val="-64"/>
        </w:rPr>
      </w:r>
      <w:r>
        <w:rPr>
          <w:spacing w:val="-2"/>
        </w:rPr>
        <w:t>回避表决，确保关联交易的公平合理，并不断加强和积极探索创新治理结构建设。在重要事项进行投票表决时，公司提供网</w:t>
      </w:r>
      <w:r>
        <w:rPr>
          <w:spacing w:val="-66"/>
        </w:rPr>
        <w:t> </w:t>
      </w:r>
      <w:r>
        <w:rPr>
          <w:spacing w:val="-66"/>
        </w:rPr>
      </w:r>
      <w:r>
        <w:rPr/>
        <w:t>络投票平台，确保全体股东特别是中小股东享有平等地位，充分行使自己的权力。</w:t>
      </w:r>
    </w:p>
    <w:p>
      <w:pPr>
        <w:pStyle w:val="BodyText"/>
        <w:spacing w:line="300" w:lineRule="auto" w:before="19"/>
        <w:ind w:left="514" w:right="90" w:hanging="360"/>
        <w:jc w:val="left"/>
      </w:pPr>
      <w:r>
        <w:rPr>
          <w:rFonts w:ascii="Times New Roman" w:hAnsi="Times New Roman" w:cs="Times New Roman" w:eastAsia="Times New Roman" w:hint="default"/>
        </w:rPr>
        <w:t>2</w:t>
      </w:r>
      <w:r>
        <w:rPr/>
        <w:t>、董事及董事会 报告期内，公司董事会的召集、召开程序，议案的审议程序和决策程序等严格按照《公司章程》、《董事会议事规则》</w:t>
      </w:r>
    </w:p>
    <w:p>
      <w:pPr>
        <w:pStyle w:val="BodyText"/>
        <w:spacing w:line="316" w:lineRule="auto" w:before="31"/>
        <w:ind w:right="188"/>
        <w:jc w:val="both"/>
      </w:pPr>
      <w:r>
        <w:rPr>
          <w:spacing w:val="-2"/>
        </w:rPr>
        <w:t>的规定执行。各位董事忠实、诚信、勤勉、严谨的行使权利和履行义务，并积极的参加中国证监会、证券交易所等组织的各</w:t>
      </w:r>
      <w:r>
        <w:rPr>
          <w:spacing w:val="-67"/>
        </w:rPr>
        <w:t> </w:t>
      </w:r>
      <w:r>
        <w:rPr>
          <w:spacing w:val="-67"/>
        </w:rPr>
      </w:r>
      <w:r>
        <w:rPr/>
        <w:t>种培训工作，学习相关法律法规。</w:t>
      </w:r>
    </w:p>
    <w:p>
      <w:pPr>
        <w:pStyle w:val="BodyText"/>
        <w:spacing w:line="312" w:lineRule="auto" w:before="19"/>
        <w:ind w:right="0" w:firstLine="360"/>
        <w:jc w:val="left"/>
      </w:pPr>
      <w:r>
        <w:rPr>
          <w:spacing w:val="-2"/>
        </w:rPr>
        <w:t>公司共设</w:t>
      </w:r>
      <w:r>
        <w:rPr>
          <w:rFonts w:ascii="Times New Roman" w:hAnsi="Times New Roman" w:cs="Times New Roman" w:eastAsia="Times New Roman" w:hint="default"/>
          <w:spacing w:val="-2"/>
        </w:rPr>
        <w:t>5</w:t>
      </w:r>
      <w:r>
        <w:rPr>
          <w:spacing w:val="-2"/>
        </w:rPr>
        <w:t>名董事，其中独立董事</w:t>
      </w:r>
      <w:r>
        <w:rPr>
          <w:rFonts w:ascii="Times New Roman" w:hAnsi="Times New Roman" w:cs="Times New Roman" w:eastAsia="Times New Roman" w:hint="default"/>
          <w:spacing w:val="-2"/>
        </w:rPr>
        <w:t>2</w:t>
      </w:r>
      <w:r>
        <w:rPr>
          <w:spacing w:val="-2"/>
        </w:rPr>
        <w:t>名。董事会设立四个专门委员会，分别是审计委员会、提名委员会，薪酬与考核委员</w:t>
      </w:r>
      <w:r>
        <w:rPr/>
        <w:t> 会，战略委员会，并制订了各个委员会的工作细则。各委员会职责明确，整体运作情况良好。 </w:t>
      </w:r>
      <w:r>
        <w:rPr>
          <w:spacing w:val="-4"/>
        </w:rPr>
        <w:t>公司聘请的独立董事享有《公司法》、《公司章程》和《独立董事制度》中赋予的职权，确保董事会决策的科学性和公正性。</w:t>
      </w:r>
      <w:r>
        <w:rPr>
          <w:spacing w:val="-46"/>
        </w:rPr>
        <w:t> </w:t>
      </w:r>
      <w:r>
        <w:rPr>
          <w:spacing w:val="-46"/>
        </w:rPr>
      </w:r>
      <w:r>
        <w:rPr>
          <w:rFonts w:ascii="Times New Roman" w:hAnsi="Times New Roman" w:cs="Times New Roman" w:eastAsia="Times New Roman" w:hint="default"/>
        </w:rPr>
        <w:t>2</w:t>
      </w:r>
      <w:r>
        <w:rPr/>
        <w:t>名独立董事对公司重要及重大事项均发表了独立意见，较好的维护了公司整体利益、确保了广大中小股东利益不受侵害。</w:t>
      </w:r>
    </w:p>
    <w:p>
      <w:pPr>
        <w:pStyle w:val="BodyText"/>
        <w:spacing w:line="300" w:lineRule="auto" w:before="3"/>
        <w:ind w:left="514" w:right="90" w:hanging="360"/>
        <w:jc w:val="left"/>
      </w:pPr>
      <w:r>
        <w:rPr>
          <w:rFonts w:ascii="Times New Roman" w:hAnsi="Times New Roman" w:cs="Times New Roman" w:eastAsia="Times New Roman" w:hint="default"/>
        </w:rPr>
        <w:t>3</w:t>
      </w:r>
      <w:r>
        <w:rPr/>
        <w:t>、监事及监事会 报告期内，公司监事会的召集、召开程序，议案的审议程序和决策程序等严格按照《公司章程》、《监事会议事规则》</w:t>
      </w:r>
    </w:p>
    <w:p>
      <w:pPr>
        <w:pStyle w:val="BodyText"/>
        <w:spacing w:line="240" w:lineRule="auto" w:before="31"/>
        <w:ind w:right="0"/>
        <w:jc w:val="left"/>
      </w:pPr>
      <w:r>
        <w:rPr/>
        <w:t>的规定执行。</w:t>
      </w:r>
    </w:p>
    <w:p>
      <w:pPr>
        <w:pStyle w:val="BodyText"/>
        <w:spacing w:line="309" w:lineRule="auto" w:before="76"/>
        <w:ind w:right="0" w:firstLine="360"/>
        <w:jc w:val="left"/>
      </w:pPr>
      <w:r>
        <w:rPr>
          <w:spacing w:val="-4"/>
        </w:rPr>
        <w:t>公司共设</w:t>
      </w:r>
      <w:r>
        <w:rPr>
          <w:rFonts w:ascii="Times New Roman" w:hAnsi="Times New Roman" w:cs="Times New Roman" w:eastAsia="Times New Roman" w:hint="default"/>
          <w:spacing w:val="-4"/>
        </w:rPr>
        <w:t>3</w:t>
      </w:r>
      <w:r>
        <w:rPr>
          <w:spacing w:val="-4"/>
        </w:rPr>
        <w:t>名监事，其中职工代表监事</w:t>
      </w:r>
      <w:r>
        <w:rPr>
          <w:rFonts w:ascii="Times New Roman" w:hAnsi="Times New Roman" w:cs="Times New Roman" w:eastAsia="Times New Roman" w:hint="default"/>
          <w:spacing w:val="-4"/>
        </w:rPr>
        <w:t>1</w:t>
      </w:r>
      <w:r>
        <w:rPr>
          <w:spacing w:val="-4"/>
        </w:rPr>
        <w:t>名。本着对股东和职工负责的态度，公司监事会严格执行《公司法》、《证券法》</w:t>
      </w:r>
      <w:r>
        <w:rPr/>
        <w:t> </w:t>
      </w:r>
      <w:r>
        <w:rPr>
          <w:spacing w:val="-2"/>
        </w:rPr>
        <w:t>等法律法规和《公司章程》的规定，通过召开监事会会议、列席董事会会议、定期检查公司财务等方式履行职责，对公司财</w:t>
      </w:r>
      <w:r>
        <w:rPr>
          <w:spacing w:val="-67"/>
        </w:rPr>
        <w:t> </w:t>
      </w:r>
      <w:r>
        <w:rPr>
          <w:spacing w:val="-67"/>
        </w:rPr>
      </w:r>
      <w:r>
        <w:rPr/>
        <w:t>务和董事、高级管理人员行使职权及履行义务进行了有效监督。</w:t>
      </w:r>
    </w:p>
    <w:p>
      <w:pPr>
        <w:pStyle w:val="BodyText"/>
        <w:spacing w:line="300" w:lineRule="auto" w:before="24"/>
        <w:ind w:left="497" w:right="86" w:hanging="344"/>
        <w:jc w:val="left"/>
      </w:pPr>
      <w:r>
        <w:rPr>
          <w:rFonts w:ascii="Times New Roman" w:hAnsi="Times New Roman" w:cs="Times New Roman" w:eastAsia="Times New Roman" w:hint="default"/>
        </w:rPr>
        <w:t>4</w:t>
      </w:r>
      <w:r>
        <w:rPr/>
        <w:t>、控股股东与公司的关系 </w:t>
      </w:r>
      <w:r>
        <w:rPr>
          <w:spacing w:val="-3"/>
        </w:rPr>
        <w:t>公司控股股东行为规范，严格依法行使出资人的权利，没有超越股东大会直接或间接干预公司的决策和经营活动的行为；</w:t>
      </w:r>
    </w:p>
    <w:p>
      <w:pPr>
        <w:pStyle w:val="BodyText"/>
        <w:spacing w:line="316" w:lineRule="auto" w:before="31"/>
        <w:ind w:right="188"/>
        <w:jc w:val="both"/>
      </w:pPr>
      <w:r>
        <w:rPr>
          <w:spacing w:val="-2"/>
        </w:rPr>
        <w:t>没有超越股东大会、董事会任免公司高级管理人员的行为。控股股东没有对公司资产的违规占用行为，公司也没有违规为控</w:t>
      </w:r>
      <w:r>
        <w:rPr>
          <w:spacing w:val="-66"/>
        </w:rPr>
        <w:t> </w:t>
      </w:r>
      <w:r>
        <w:rPr>
          <w:spacing w:val="-66"/>
        </w:rPr>
      </w:r>
      <w:r>
        <w:rPr>
          <w:spacing w:val="-2"/>
        </w:rPr>
        <w:t>股股东提供担保或借款。公司做到与控股股东在人员、资产、财务方面的分开和机构、业务方面的独立。公司董事会、监事</w:t>
      </w:r>
      <w:r>
        <w:rPr>
          <w:spacing w:val="-68"/>
        </w:rPr>
        <w:t> </w:t>
      </w:r>
      <w:r>
        <w:rPr>
          <w:spacing w:val="-68"/>
        </w:rPr>
      </w:r>
      <w:r>
        <w:rPr/>
        <w:t>会和内部机构完全独立运作</w:t>
      </w:r>
      <w:r>
        <w:rPr>
          <w:spacing w:val="-18"/>
        </w:rPr>
        <w:t> </w:t>
      </w:r>
      <w:r>
        <w:rPr/>
        <w:t>。</w:t>
      </w:r>
    </w:p>
    <w:p>
      <w:pPr>
        <w:pStyle w:val="BodyText"/>
        <w:spacing w:line="300" w:lineRule="auto" w:before="19"/>
        <w:ind w:left="497" w:right="0" w:hanging="344"/>
        <w:jc w:val="left"/>
      </w:pPr>
      <w:r>
        <w:rPr>
          <w:rFonts w:ascii="Times New Roman" w:hAnsi="Times New Roman" w:cs="Times New Roman" w:eastAsia="Times New Roman" w:hint="default"/>
        </w:rPr>
        <w:t>5</w:t>
      </w:r>
      <w:r>
        <w:rPr/>
        <w:t>、信息披露管理 </w:t>
      </w:r>
      <w:r>
        <w:rPr>
          <w:spacing w:val="-5"/>
        </w:rPr>
        <w:t>报告期内，公司严格按照《公司法》、《证券法》、《深圳证券交易所股票上市规则》等法律法规及《公司章程》、《信</w:t>
      </w:r>
    </w:p>
    <w:p>
      <w:pPr>
        <w:pStyle w:val="BodyText"/>
        <w:spacing w:line="316" w:lineRule="auto" w:before="31"/>
        <w:ind w:right="189"/>
        <w:jc w:val="both"/>
      </w:pPr>
      <w:r>
        <w:rPr>
          <w:spacing w:val="-5"/>
        </w:rPr>
        <w:t>息披露事务管理制度》、《投资者关系管理制度》《内幕信息知情人登记制度》、《年报披露重大差错责任追究制度》、《外</w:t>
      </w:r>
      <w:r>
        <w:rPr>
          <w:spacing w:val="-77"/>
        </w:rPr>
        <w:t> </w:t>
      </w:r>
      <w:r>
        <w:rPr>
          <w:spacing w:val="-77"/>
        </w:rPr>
      </w:r>
      <w:r>
        <w:rPr>
          <w:spacing w:val="-2"/>
        </w:rPr>
        <w:t>部信息使用人管理制度》等相关规范性文件中关于上市公司信息披露的规定，及时组织公司董事、监事、高级管理人员，公</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91"/>
        <w:jc w:val="both"/>
      </w:pPr>
      <w:r>
        <w:rPr>
          <w:spacing w:val="-2"/>
        </w:rPr>
        <w:t>司相关业务人员进行学习，确保真实、准确、完整、及时、公平地披露定期报告和临时公告，保护公司、股东、债权人及其</w:t>
      </w:r>
      <w:r>
        <w:rPr>
          <w:spacing w:val="-67"/>
        </w:rPr>
        <w:t> </w:t>
      </w:r>
      <w:r>
        <w:rPr>
          <w:spacing w:val="-67"/>
        </w:rPr>
      </w:r>
      <w:r>
        <w:rPr>
          <w:spacing w:val="-2"/>
        </w:rPr>
        <w:t>他利益相关人员的合法权益。同时，公司在法规政策规定的披露范围之外，主动进行必要的信息披露，以增强投资者对公司</w:t>
      </w:r>
      <w:r>
        <w:rPr>
          <w:spacing w:val="-66"/>
        </w:rPr>
        <w:t> </w:t>
      </w:r>
      <w:r>
        <w:rPr>
          <w:spacing w:val="-66"/>
        </w:rPr>
      </w:r>
      <w:r>
        <w:rPr/>
        <w:t>的了解。公司在信息披露工作中严格遵守保密制度，未发生重大信息提前泄露的情况。</w:t>
      </w:r>
    </w:p>
    <w:p>
      <w:pPr>
        <w:pStyle w:val="BodyText"/>
        <w:spacing w:line="300" w:lineRule="auto" w:before="19"/>
        <w:ind w:left="497" w:right="0" w:hanging="344"/>
        <w:jc w:val="left"/>
      </w:pPr>
      <w:r>
        <w:rPr>
          <w:rFonts w:ascii="Times New Roman" w:hAnsi="Times New Roman" w:cs="Times New Roman" w:eastAsia="Times New Roman" w:hint="default"/>
        </w:rPr>
        <w:t>6</w:t>
      </w:r>
      <w:r>
        <w:rPr/>
        <w:t>、投资者关系管理 </w:t>
      </w:r>
      <w:r>
        <w:rPr>
          <w:spacing w:val="-2"/>
        </w:rPr>
        <w:t>公司董事会秘书是投资者关系管理事务的负责人，公司证券管理部负责投资者关系管理的日常事务。报告期内，公司根</w:t>
      </w:r>
    </w:p>
    <w:p>
      <w:pPr>
        <w:pStyle w:val="BodyText"/>
        <w:spacing w:line="309" w:lineRule="auto" w:before="31"/>
        <w:ind w:left="153" w:right="188"/>
        <w:jc w:val="both"/>
      </w:pPr>
      <w:r>
        <w:rPr>
          <w:spacing w:val="-2"/>
        </w:rPr>
        <w:t>据证监会关于投资者关系管理相关规范性文件，认真做好投资者关系管理工作。同时，公司指定《证券时报》、《中国证券</w:t>
      </w:r>
      <w:r>
        <w:rPr>
          <w:spacing w:val="-65"/>
        </w:rPr>
        <w:t> </w:t>
      </w:r>
      <w:r>
        <w:rPr>
          <w:spacing w:val="-65"/>
        </w:rPr>
      </w:r>
      <w:r>
        <w:rPr>
          <w:spacing w:val="-2"/>
        </w:rPr>
        <w:t>报》，《证券日报》和</w:t>
      </w:r>
      <w:r>
        <w:rPr>
          <w:rFonts w:ascii="Times New Roman" w:hAnsi="Times New Roman" w:cs="Times New Roman" w:eastAsia="Times New Roman" w:hint="default"/>
          <w:spacing w:val="-2"/>
        </w:rPr>
        <w:t>“</w:t>
      </w:r>
      <w:r>
        <w:rPr>
          <w:spacing w:val="-2"/>
        </w:rPr>
        <w:t>巨潮资讯网</w:t>
      </w:r>
      <w:r>
        <w:rPr>
          <w:rFonts w:ascii="Times New Roman" w:hAnsi="Times New Roman" w:cs="Times New Roman" w:eastAsia="Times New Roman" w:hint="default"/>
          <w:spacing w:val="-2"/>
        </w:rPr>
        <w:t>”</w:t>
      </w:r>
      <w:r>
        <w:rPr>
          <w:spacing w:val="-2"/>
        </w:rPr>
        <w:t>为公司信息披露的报纸和网站，真实、准确、及时地披露公司信息，确保公司所有股东</w:t>
      </w:r>
      <w:r>
        <w:rPr>
          <w:spacing w:val="-48"/>
        </w:rPr>
        <w:t> </w:t>
      </w:r>
      <w:r>
        <w:rPr>
          <w:spacing w:val="-48"/>
        </w:rPr>
      </w:r>
      <w:r>
        <w:rPr>
          <w:spacing w:val="-2"/>
        </w:rPr>
        <w:t>公平获知公司的相关信息。此外，公司通过深交所</w:t>
      </w:r>
      <w:r>
        <w:rPr>
          <w:rFonts w:ascii="Times New Roman" w:hAnsi="Times New Roman" w:cs="Times New Roman" w:eastAsia="Times New Roman" w:hint="default"/>
          <w:spacing w:val="-2"/>
        </w:rPr>
        <w:t>“</w:t>
      </w:r>
      <w:r>
        <w:rPr>
          <w:spacing w:val="-2"/>
        </w:rPr>
        <w:t>投资者互动平台</w:t>
      </w:r>
      <w:r>
        <w:rPr>
          <w:rFonts w:ascii="Times New Roman" w:hAnsi="Times New Roman" w:cs="Times New Roman" w:eastAsia="Times New Roman" w:hint="default"/>
          <w:spacing w:val="-2"/>
        </w:rPr>
        <w:t>”</w:t>
      </w:r>
      <w:r>
        <w:rPr>
          <w:spacing w:val="-2"/>
        </w:rPr>
        <w:t>、公司网站电子邮箱等多种途径，及时、认真的回答投</w:t>
      </w:r>
      <w:r>
        <w:rPr>
          <w:spacing w:val="-44"/>
        </w:rPr>
        <w:t> </w:t>
      </w:r>
      <w:r>
        <w:rPr>
          <w:spacing w:val="-44"/>
        </w:rPr>
      </w:r>
      <w:r>
        <w:rPr>
          <w:spacing w:val="-2"/>
        </w:rPr>
        <w:t>资者提问，依法履行信息披露义务，确保信息披露真实、准确、完整、及时和公平、增强了公司运作的透明度；同时也虚心</w:t>
      </w:r>
      <w:r>
        <w:rPr>
          <w:spacing w:val="-65"/>
        </w:rPr>
        <w:t> </w:t>
      </w:r>
      <w:r>
        <w:rPr>
          <w:spacing w:val="-65"/>
        </w:rPr>
      </w:r>
      <w:r>
        <w:rPr/>
        <w:t>听取投资者对公司生产经营、战略发展等方面提出的宝贵意见和建议，为公司健康、稳步、持续发展起到积极的作用。</w:t>
      </w:r>
    </w:p>
    <w:p>
      <w:pPr>
        <w:pStyle w:val="BodyText"/>
        <w:spacing w:line="316" w:lineRule="auto" w:before="24"/>
        <w:ind w:left="497" w:right="0" w:hanging="344"/>
        <w:jc w:val="left"/>
      </w:pPr>
      <w:r>
        <w:rPr/>
        <w:t>（三）内控建设情况 </w:t>
      </w:r>
      <w:r>
        <w:rPr>
          <w:spacing w:val="-2"/>
        </w:rPr>
        <w:t>根据《企业内部控制基本规范》以及《企业内部控制应用指引》、《企业内部控制评价指引》等的相关要求，为规范和</w:t>
      </w:r>
    </w:p>
    <w:p>
      <w:pPr>
        <w:pStyle w:val="BodyText"/>
        <w:spacing w:line="304" w:lineRule="auto" w:before="19"/>
        <w:ind w:right="0"/>
        <w:jc w:val="left"/>
      </w:pPr>
      <w:r>
        <w:rPr>
          <w:spacing w:val="-2"/>
        </w:rPr>
        <w:t>完善企业的内控和风险管理体系，河南思达高科技股份有限公司（以下简称</w:t>
      </w:r>
      <w:r>
        <w:rPr>
          <w:rFonts w:ascii="Times New Roman" w:hAnsi="Times New Roman" w:cs="Times New Roman" w:eastAsia="Times New Roman" w:hint="default"/>
          <w:spacing w:val="-2"/>
        </w:rPr>
        <w:t>“</w:t>
      </w:r>
      <w:r>
        <w:rPr>
          <w:spacing w:val="-2"/>
        </w:rPr>
        <w:t>思达高科</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月成立了内控领导小组，</w:t>
      </w:r>
      <w:r>
        <w:rPr>
          <w:spacing w:val="-39"/>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月聘请了深圳市迪博企业风险管理技术有限公司构建了内部控制体系，在此基础上，公司对制度和流程进行了全盘 </w:t>
      </w:r>
      <w:r>
        <w:rPr>
          <w:spacing w:val="-2"/>
        </w:rPr>
        <w:t>梳理，整理成《内控管理制度汇编》、《内控管理流程汇编》，并于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月经过正式程序进行发布。此后的</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月至</w:t>
      </w:r>
      <w:r>
        <w:rPr>
          <w:spacing w:val="-56"/>
        </w:rPr>
        <w:t>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月期间，公司对内控体系建设进行了试运行，并于</w:t>
      </w:r>
      <w:r>
        <w:rPr>
          <w:rFonts w:ascii="Times New Roman" w:hAnsi="Times New Roman" w:cs="Times New Roman" w:eastAsia="Times New Roman" w:hint="default"/>
          <w:spacing w:val="-2"/>
        </w:rPr>
        <w:t>10</w:t>
      </w:r>
      <w:r>
        <w:rPr>
          <w:spacing w:val="-2"/>
        </w:rPr>
        <w:t>月下旬启动了对内控体系进行测试的工作。此次工作主要是对</w:t>
      </w:r>
      <w:r>
        <w:rPr>
          <w:spacing w:val="-58"/>
        </w:rPr>
        <w:t> </w:t>
      </w:r>
      <w:r>
        <w:rPr>
          <w:spacing w:val="-58"/>
        </w:rPr>
      </w:r>
      <w:r>
        <w:rPr>
          <w:spacing w:val="-2"/>
        </w:rPr>
        <w:t>内控体系运行的有效性进行测试，检查并解决内控体系在运行过程中存在的问题，从而规范业务操作程序，确保内控体系得</w:t>
      </w:r>
      <w:r>
        <w:rPr>
          <w:spacing w:val="-66"/>
        </w:rPr>
        <w:t> </w:t>
      </w:r>
      <w:r>
        <w:rPr>
          <w:spacing w:val="-66"/>
        </w:rPr>
      </w:r>
      <w:r>
        <w:rPr/>
        <w:t>到一贯、有效的执行，提高公司管理水平，同时满足监管部门的相关要求。</w:t>
      </w:r>
    </w:p>
    <w:p>
      <w:pPr>
        <w:spacing w:line="240" w:lineRule="auto" w:before="0"/>
        <w:rPr>
          <w:rFonts w:ascii="宋体" w:hAnsi="宋体" w:cs="宋体" w:eastAsia="宋体" w:hint="default"/>
          <w:sz w:val="18"/>
          <w:szCs w:val="18"/>
        </w:rPr>
      </w:pPr>
    </w:p>
    <w:p>
      <w:pPr>
        <w:pStyle w:val="BodyText"/>
        <w:spacing w:line="240" w:lineRule="auto" w:before="145"/>
        <w:ind w:right="0"/>
        <w:jc w:val="left"/>
      </w:pPr>
      <w:r>
        <w:rPr/>
        <w:t>公司治理的实际状况与中国证监会发布的有关上市公司治理的规范性文件是否存在重大差异</w:t>
      </w:r>
    </w:p>
    <w:p>
      <w:pPr>
        <w:pStyle w:val="BodyText"/>
        <w:spacing w:line="338" w:lineRule="auto" w:before="117"/>
        <w:ind w:right="26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公司与控股股东在业务、人员、资产、机构、财务等方面完全分开，不存在相互依赖的情况，具有独立完整的业务及自主经</w:t>
      </w:r>
      <w:r>
        <w:rPr>
          <w:spacing w:val="-68"/>
        </w:rPr>
        <w:t> </w:t>
      </w:r>
      <w:r>
        <w:rPr>
          <w:spacing w:val="-68"/>
        </w:rPr>
      </w:r>
      <w:r>
        <w:rPr/>
        <w:t>营能力。</w:t>
      </w:r>
    </w:p>
    <w:p>
      <w:pPr>
        <w:pStyle w:val="BodyText"/>
        <w:spacing w:line="240" w:lineRule="auto" w:before="19"/>
        <w:ind w:right="0"/>
        <w:jc w:val="left"/>
      </w:pPr>
      <w:r>
        <w:rPr>
          <w:rFonts w:ascii="Times New Roman" w:hAnsi="Times New Roman" w:cs="Times New Roman" w:eastAsia="Times New Roman" w:hint="default"/>
        </w:rPr>
        <w:t>1</w:t>
      </w:r>
      <w:r>
        <w:rPr/>
        <w:t>、业务独立</w:t>
      </w:r>
    </w:p>
    <w:p>
      <w:pPr>
        <w:pStyle w:val="BodyText"/>
        <w:spacing w:line="316" w:lineRule="auto" w:before="63"/>
        <w:ind w:right="90" w:firstLine="360"/>
        <w:jc w:val="left"/>
      </w:pPr>
      <w:r>
        <w:rPr/>
        <w:t>公司主要从事仪器仪表经营业务，拥有与上述业务相关的独立、完整的采购体系、和销售等营运体系及其他辅助系统。 </w:t>
      </w:r>
      <w:r>
        <w:rPr>
          <w:spacing w:val="-2"/>
        </w:rPr>
        <w:t>公司的业务独立于控股股东、实际控制人控制的其他企业，在生产经营活动方面与控股股东、实际控制人控制的其他企业间</w:t>
      </w:r>
      <w:r>
        <w:rPr>
          <w:spacing w:val="-66"/>
        </w:rPr>
        <w:t> </w:t>
      </w:r>
      <w:r>
        <w:rPr>
          <w:spacing w:val="-66"/>
        </w:rPr>
      </w:r>
      <w:r>
        <w:rPr/>
        <w:t>不存在同业竞争或者显失公平的关联交易。</w:t>
      </w:r>
    </w:p>
    <w:p>
      <w:pPr>
        <w:pStyle w:val="BodyText"/>
        <w:spacing w:line="240" w:lineRule="auto" w:before="19"/>
        <w:ind w:left="153" w:right="0"/>
        <w:jc w:val="left"/>
      </w:pPr>
      <w:r>
        <w:rPr>
          <w:rFonts w:ascii="Times New Roman" w:hAnsi="Times New Roman" w:cs="Times New Roman" w:eastAsia="Times New Roman" w:hint="default"/>
        </w:rPr>
        <w:t>2</w:t>
      </w:r>
      <w:r>
        <w:rPr/>
        <w:t>、人员独立</w:t>
      </w:r>
    </w:p>
    <w:p>
      <w:pPr>
        <w:pStyle w:val="BodyText"/>
        <w:spacing w:line="316" w:lineRule="auto" w:before="63"/>
        <w:ind w:left="153" w:right="87" w:firstLine="343"/>
        <w:jc w:val="left"/>
      </w:pPr>
      <w:r>
        <w:rPr>
          <w:spacing w:val="-3"/>
        </w:rPr>
        <w:t>公司的总经理、财务负责人和董事会秘书等高级管理人员未在控股股东、实际控制人及其控制的其他企业中担任除董事、</w:t>
      </w:r>
      <w:r>
        <w:rPr/>
        <w:t> </w:t>
      </w:r>
      <w:r>
        <w:rPr>
          <w:spacing w:val="-2"/>
        </w:rPr>
        <w:t>监事以外的其他职务，未在控股股东、实际控制人及其控制的其他企业领薪；公司的财务人员未在控股股东、实际控制人及</w:t>
      </w:r>
      <w:r>
        <w:rPr>
          <w:spacing w:val="-66"/>
        </w:rPr>
        <w:t> </w:t>
      </w:r>
      <w:r>
        <w:rPr>
          <w:spacing w:val="-66"/>
        </w:rPr>
      </w:r>
      <w:r>
        <w:rPr>
          <w:spacing w:val="-2"/>
        </w:rPr>
        <w:t>其控制的其他企业中兼职。公司董事、监事、总经理、及其他高级管理人员均依合法程序选举或聘任，不存在控股股东、实</w:t>
      </w:r>
      <w:r>
        <w:rPr>
          <w:spacing w:val="-67"/>
        </w:rPr>
        <w:t> </w:t>
      </w:r>
      <w:r>
        <w:rPr>
          <w:spacing w:val="-67"/>
        </w:rPr>
      </w:r>
      <w:r>
        <w:rPr>
          <w:spacing w:val="-2"/>
        </w:rPr>
        <w:t>际控制人超越本公司股东大会和董事会做出人事任免决定的情况。公司员工独立于各股东及其它关联方，独立执行劳动、人</w:t>
      </w:r>
      <w:r>
        <w:rPr>
          <w:spacing w:val="-66"/>
        </w:rPr>
        <w:t> </w:t>
      </w:r>
      <w:r>
        <w:rPr>
          <w:spacing w:val="-66"/>
        </w:rPr>
      </w:r>
      <w:r>
        <w:rPr/>
        <w:t>事及工资管理制度。</w:t>
      </w:r>
    </w:p>
    <w:p>
      <w:pPr>
        <w:pStyle w:val="BodyText"/>
        <w:spacing w:line="240" w:lineRule="auto" w:before="19"/>
        <w:ind w:left="153" w:right="0"/>
        <w:jc w:val="left"/>
      </w:pPr>
      <w:r>
        <w:rPr>
          <w:rFonts w:ascii="Times New Roman" w:hAnsi="Times New Roman" w:cs="Times New Roman" w:eastAsia="Times New Roman" w:hint="default"/>
        </w:rPr>
        <w:t>3</w:t>
      </w:r>
      <w:r>
        <w:rPr/>
        <w:t>、资产独立</w:t>
      </w:r>
    </w:p>
    <w:p>
      <w:pPr>
        <w:pStyle w:val="BodyText"/>
        <w:spacing w:line="316" w:lineRule="auto" w:before="63"/>
        <w:ind w:left="153" w:right="189" w:firstLine="343"/>
        <w:jc w:val="both"/>
      </w:pPr>
      <w:r>
        <w:rPr>
          <w:spacing w:val="-2"/>
        </w:rPr>
        <w:t>公司合法拥有与经营业务相关的土地、房产、设备和商标等资产的所有权或使用权，拥有完整的与经营业务有关的营运</w:t>
      </w:r>
      <w:r>
        <w:rPr/>
        <w:t> </w:t>
      </w:r>
      <w:r>
        <w:rPr>
          <w:spacing w:val="-2"/>
        </w:rPr>
        <w:t>管理系统，具有独立的商品采购和销售系统。公司与控股股东、实际控制人等关联方之间的资产权属明晰，公司对所有资产</w:t>
      </w:r>
      <w:r>
        <w:rPr>
          <w:spacing w:val="-66"/>
        </w:rPr>
        <w:t> </w:t>
      </w:r>
      <w:r>
        <w:rPr>
          <w:spacing w:val="-66"/>
        </w:rPr>
      </w:r>
      <w:r>
        <w:rPr/>
        <w:t>拥有完全的控制和支配权，不存在资金、资产被股东、实际控制人及其控制的其他企业占用的情况。</w:t>
      </w:r>
    </w:p>
    <w:p>
      <w:pPr>
        <w:pStyle w:val="BodyText"/>
        <w:spacing w:line="240" w:lineRule="auto" w:before="19"/>
        <w:ind w:left="153" w:right="0"/>
        <w:jc w:val="left"/>
      </w:pPr>
      <w:r>
        <w:rPr>
          <w:rFonts w:ascii="Times New Roman" w:hAnsi="Times New Roman" w:cs="Times New Roman" w:eastAsia="Times New Roman" w:hint="default"/>
        </w:rPr>
        <w:t>4</w:t>
      </w:r>
      <w:r>
        <w:rPr/>
        <w:t>、机构独立</w:t>
      </w:r>
    </w:p>
    <w:p>
      <w:pPr>
        <w:pStyle w:val="BodyText"/>
        <w:spacing w:line="316" w:lineRule="auto" w:before="63"/>
        <w:ind w:left="153" w:right="0" w:firstLine="343"/>
        <w:jc w:val="left"/>
      </w:pPr>
      <w:r>
        <w:rPr>
          <w:spacing w:val="-2"/>
        </w:rPr>
        <w:t>公司根据自身的实际情况建立健全内部经营管理机构，独立行使经营管理职权，与控股股东、实际控制人控制的其他企</w:t>
      </w:r>
      <w:r>
        <w:rPr/>
        <w:t> </w:t>
      </w:r>
      <w:r>
        <w:rPr>
          <w:spacing w:val="-2"/>
        </w:rPr>
        <w:t>业间不存在有机构混同的情形。公司各职能机构在人员、办公场所和管理制度等各方面均完全独立，不存在受股东及其它任</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33" w:right="447"/>
        <w:jc w:val="left"/>
      </w:pPr>
      <w:r>
        <w:rPr/>
        <w:t>何单位或个人干预公司机构设置的情形。</w:t>
      </w:r>
    </w:p>
    <w:p>
      <w:pPr>
        <w:pStyle w:val="BodyText"/>
        <w:spacing w:line="240" w:lineRule="auto" w:before="76"/>
        <w:ind w:left="533" w:right="447"/>
        <w:jc w:val="left"/>
      </w:pPr>
      <w:r>
        <w:rPr>
          <w:rFonts w:ascii="Times New Roman" w:hAnsi="Times New Roman" w:cs="Times New Roman" w:eastAsia="Times New Roman" w:hint="default"/>
        </w:rPr>
        <w:t>5</w:t>
      </w:r>
      <w:r>
        <w:rPr/>
        <w:t>、财务独立</w:t>
      </w:r>
    </w:p>
    <w:p>
      <w:pPr>
        <w:pStyle w:val="BodyText"/>
        <w:spacing w:line="316" w:lineRule="auto" w:before="63"/>
        <w:ind w:left="533" w:right="447" w:firstLine="343"/>
        <w:jc w:val="left"/>
      </w:pPr>
      <w:r>
        <w:rPr>
          <w:spacing w:val="-3"/>
        </w:rPr>
        <w:t>公司已经建立独立的财务核算体系，独立作出财务决策，具有规范的财务会计制度和对分公司、子公司的财务管理制度；</w:t>
      </w:r>
      <w:r>
        <w:rPr/>
        <w:t> </w:t>
      </w:r>
      <w:r>
        <w:rPr>
          <w:spacing w:val="-2"/>
        </w:rPr>
        <w:t>公司未与控股股东、实际控制人控制的其他企业共用银行账户；公司依法独立纳税，不存在与控股股东、实际控制人控制的</w:t>
      </w:r>
      <w:r>
        <w:rPr>
          <w:spacing w:val="-66"/>
        </w:rPr>
        <w:t> </w:t>
      </w:r>
      <w:r>
        <w:rPr>
          <w:spacing w:val="-66"/>
        </w:rPr>
      </w:r>
      <w:r>
        <w:rPr>
          <w:spacing w:val="-2"/>
        </w:rPr>
        <w:t>其他企业混合纳税的情况；公司没有为控股股东、实际控制人及其控制的其他企业提供担保，也不存在将以公司名义取得的</w:t>
      </w:r>
      <w:r>
        <w:rPr>
          <w:spacing w:val="-66"/>
        </w:rPr>
        <w:t> </w:t>
      </w:r>
      <w:r>
        <w:rPr>
          <w:spacing w:val="-66"/>
        </w:rPr>
      </w:r>
      <w:r>
        <w:rPr/>
        <w:t>借款、授信额度转借给它们的情形。</w:t>
      </w:r>
    </w:p>
    <w:p>
      <w:pPr>
        <w:spacing w:line="240" w:lineRule="auto" w:before="10"/>
        <w:rPr>
          <w:rFonts w:ascii="宋体" w:hAnsi="宋体" w:cs="宋体" w:eastAsia="宋体" w:hint="default"/>
          <w:sz w:val="20"/>
          <w:szCs w:val="20"/>
        </w:rPr>
      </w:pPr>
    </w:p>
    <w:p>
      <w:pPr>
        <w:pStyle w:val="Heading2"/>
        <w:spacing w:line="240" w:lineRule="auto"/>
        <w:ind w:left="534" w:right="447"/>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4" w:right="4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534" w:right="447"/>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534" w:right="447"/>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2411"/>
        <w:gridCol w:w="1276"/>
        <w:gridCol w:w="1381"/>
        <w:gridCol w:w="1595"/>
        <w:gridCol w:w="1594"/>
        <w:gridCol w:w="2234"/>
      </w:tblGrid>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4"/>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5">
              <w:r>
                <w:rPr>
                  <w:rFonts w:ascii="Times New Roman"/>
                  <w:sz w:val="18"/>
                </w:rPr>
                <w:t>http://www.cninfo.co</w:t>
              </w:r>
            </w:hyperlink>
          </w:p>
        </w:tc>
      </w:tr>
      <w:tr>
        <w:trPr>
          <w:trHeight w:val="71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5">
              <w:r>
                <w:rPr>
                  <w:rFonts w:ascii="Times New Roman"/>
                  <w:sz w:val="18"/>
                </w:rPr>
                <w:t>http://www.cninfo.co</w:t>
              </w:r>
            </w:hyperlink>
          </w:p>
        </w:tc>
      </w:tr>
      <w:tr>
        <w:trPr>
          <w:trHeight w:val="71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8"/>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5">
              <w:r>
                <w:rPr>
                  <w:rFonts w:ascii="Times New Roman"/>
                  <w:sz w:val="18"/>
                </w:rPr>
                <w:t>http://www.cninfo.co</w:t>
              </w:r>
            </w:hyperlink>
          </w:p>
        </w:tc>
      </w:tr>
      <w:tr>
        <w:trPr>
          <w:trHeight w:val="71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5">
              <w:r>
                <w:rPr>
                  <w:rFonts w:ascii="Times New Roman"/>
                  <w:sz w:val="18"/>
                </w:rPr>
                <w:t>http://www.cninfo.co</w:t>
              </w:r>
            </w:hyperlink>
          </w:p>
        </w:tc>
      </w:tr>
      <w:tr>
        <w:trPr>
          <w:trHeight w:val="715"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5">
              <w:r>
                <w:rPr>
                  <w:rFonts w:ascii="Times New Roman"/>
                  <w:sz w:val="18"/>
                </w:rPr>
                <w:t>http://www.cninfo.co</w:t>
              </w:r>
            </w:hyperlink>
          </w:p>
        </w:tc>
      </w:tr>
    </w:tbl>
    <w:p>
      <w:pPr>
        <w:spacing w:line="240" w:lineRule="auto" w:before="2"/>
        <w:rPr>
          <w:rFonts w:ascii="宋体" w:hAnsi="宋体" w:cs="宋体" w:eastAsia="宋体" w:hint="default"/>
          <w:b/>
          <w:bCs/>
          <w:sz w:val="19"/>
          <w:szCs w:val="19"/>
        </w:rPr>
      </w:pPr>
    </w:p>
    <w:p>
      <w:pPr>
        <w:pStyle w:val="Heading3"/>
        <w:spacing w:line="240" w:lineRule="auto" w:before="35"/>
        <w:ind w:left="534" w:right="447"/>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34" w:right="4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534" w:right="447"/>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534" w:right="447"/>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564" w:type="dxa"/>
        <w:tblLayout w:type="fixed"/>
        <w:tblCellMar>
          <w:top w:w="0" w:type="dxa"/>
          <w:left w:w="0" w:type="dxa"/>
          <w:bottom w:w="0" w:type="dxa"/>
          <w:right w:w="0" w:type="dxa"/>
        </w:tblCellMar>
        <w:tblLook w:val="01E0"/>
      </w:tblPr>
      <w:tblGrid>
        <w:gridCol w:w="1625"/>
        <w:gridCol w:w="1324"/>
        <w:gridCol w:w="1324"/>
        <w:gridCol w:w="1325"/>
        <w:gridCol w:w="1324"/>
        <w:gridCol w:w="1324"/>
        <w:gridCol w:w="1325"/>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6"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6" w:right="26"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6"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丁永生</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600" w:right="580"/>
        </w:sectPr>
      </w:pPr>
    </w:p>
    <w:p>
      <w:pPr>
        <w:spacing w:line="240" w:lineRule="auto" w:before="6"/>
        <w:rPr>
          <w:rFonts w:ascii="宋体" w:hAnsi="宋体" w:cs="宋体" w:eastAsia="宋体" w:hint="default"/>
          <w:b/>
          <w:bCs/>
          <w:sz w:val="28"/>
          <w:szCs w:val="28"/>
        </w:rPr>
      </w:pPr>
    </w:p>
    <w:tbl>
      <w:tblPr>
        <w:tblW w:w="0" w:type="auto"/>
        <w:jc w:val="left"/>
        <w:tblInd w:w="183" w:type="dxa"/>
        <w:tblLayout w:type="fixed"/>
        <w:tblCellMar>
          <w:top w:w="0" w:type="dxa"/>
          <w:left w:w="0" w:type="dxa"/>
          <w:bottom w:w="0" w:type="dxa"/>
          <w:right w:w="0" w:type="dxa"/>
        </w:tblCellMar>
        <w:tblLook w:val="01E0"/>
      </w:tblPr>
      <w:tblGrid>
        <w:gridCol w:w="1625"/>
        <w:gridCol w:w="1324"/>
        <w:gridCol w:w="1324"/>
        <w:gridCol w:w="1325"/>
        <w:gridCol w:w="1324"/>
        <w:gridCol w:w="1324"/>
        <w:gridCol w:w="1325"/>
      </w:tblGrid>
      <w:tr>
        <w:trPr>
          <w:trHeight w:val="40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杜海波</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60" w:lineRule="auto" w:before="51"/>
        <w:ind w:left="153" w:right="5221"/>
        <w:jc w:val="left"/>
      </w:pPr>
      <w:r>
        <w:rPr/>
        <w:t>连续两次未亲自出席董事会的说明 公司独立董事未出现连续两次未亲自出席董事会的情况 。</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0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58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07" w:lineRule="auto" w:before="42"/>
        <w:ind w:left="153" w:right="188" w:firstLine="362"/>
        <w:jc w:val="both"/>
      </w:pPr>
      <w:r>
        <w:rPr/>
        <w:t>公司现有</w:t>
      </w:r>
      <w:r>
        <w:rPr>
          <w:rFonts w:ascii="Times New Roman" w:hAnsi="Times New Roman" w:cs="Times New Roman" w:eastAsia="Times New Roman" w:hint="default"/>
        </w:rPr>
        <w:t>2</w:t>
      </w:r>
      <w:r>
        <w:rPr/>
        <w:t>名独立董事，符合中国证监会《关于在上市公司建立独立董事制度的指导意见》规定的董事会成员中至少包 </w:t>
      </w:r>
      <w:r>
        <w:rPr>
          <w:spacing w:val="-4"/>
        </w:rPr>
        <w:t>括三分之一独立董事的要求。报告期内，公司</w:t>
      </w:r>
      <w:r>
        <w:rPr>
          <w:rFonts w:ascii="Times New Roman" w:hAnsi="Times New Roman" w:cs="Times New Roman" w:eastAsia="Times New Roman" w:hint="default"/>
          <w:spacing w:val="-4"/>
        </w:rPr>
        <w:t>2</w:t>
      </w:r>
      <w:r>
        <w:rPr>
          <w:spacing w:val="-4"/>
        </w:rPr>
        <w:t>名独立董事恪尽职守，严格按照中国证监会的相关规定及《公司章程》、《董</w:t>
      </w:r>
      <w:r>
        <w:rPr>
          <w:spacing w:val="-44"/>
        </w:rPr>
        <w:t> </w:t>
      </w:r>
      <w:r>
        <w:rPr>
          <w:spacing w:val="-44"/>
        </w:rPr>
      </w:r>
      <w:r>
        <w:rPr>
          <w:spacing w:val="-2"/>
        </w:rPr>
        <w:t>事会议事规则》和《独立董事制度》开展工作，积极参加公司董事会和股东大会，对公司的重大决策提供了专业性意见，提</w:t>
      </w:r>
      <w:r>
        <w:rPr>
          <w:spacing w:val="-68"/>
        </w:rPr>
        <w:t> </w:t>
      </w:r>
      <w:r>
        <w:rPr>
          <w:spacing w:val="-68"/>
        </w:rPr>
      </w:r>
      <w:r>
        <w:rPr/>
        <w:t>高了公司决策的科学性。</w:t>
      </w:r>
    </w:p>
    <w:p>
      <w:pPr>
        <w:pStyle w:val="BodyText"/>
        <w:spacing w:line="316" w:lineRule="auto" w:before="26"/>
        <w:ind w:right="191" w:firstLine="362"/>
        <w:jc w:val="both"/>
      </w:pPr>
      <w:r>
        <w:rPr>
          <w:spacing w:val="-2"/>
        </w:rPr>
        <w:t>两位独立董事以客观、公平、独立，准确为工作宗旨，对公司的经营情况、信息披露、内部管理及内部审计制度的建立</w:t>
      </w:r>
      <w:r>
        <w:rPr/>
        <w:t> </w:t>
      </w:r>
      <w:r>
        <w:rPr>
          <w:spacing w:val="-2"/>
        </w:rPr>
        <w:t>及执行情况，对公司的经营管理及董事会的各项议案提出意见、建议，谨慎评估公司已经发生或可能发生的重大事件及其影</w:t>
      </w:r>
      <w:r>
        <w:rPr>
          <w:spacing w:val="-66"/>
        </w:rPr>
        <w:t> </w:t>
      </w:r>
      <w:r>
        <w:rPr>
          <w:spacing w:val="-66"/>
        </w:rPr>
      </w:r>
      <w:r>
        <w:rPr/>
        <w:t>响，并对重要事项发表独立意见，</w:t>
      </w:r>
      <w:r>
        <w:rPr>
          <w:spacing w:val="-19"/>
        </w:rPr>
        <w:t> </w:t>
      </w:r>
      <w:r>
        <w:rPr/>
        <w:t>公司对其提出的建议适时采纳。</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1" w:firstLine="360"/>
        <w:jc w:val="both"/>
      </w:pPr>
      <w:r>
        <w:rPr>
          <w:spacing w:val="-2"/>
        </w:rPr>
        <w:t>报告期内，董事会发挥各专门委员会的作用，尊重专门委员会提出的各项建议和意见，在财务信息披露、内部审计、外</w:t>
      </w:r>
      <w:r>
        <w:rPr/>
        <w:t> </w:t>
      </w:r>
      <w:r>
        <w:rPr>
          <w:spacing w:val="-2"/>
        </w:rPr>
        <w:t>部审计和重大事项决策方面，提请专门委员会事先审议，使专门委员会能够了解相关议案内容，为公司规范化治理和信息披</w:t>
      </w:r>
      <w:r>
        <w:rPr>
          <w:spacing w:val="-66"/>
        </w:rPr>
        <w:t> </w:t>
      </w:r>
      <w:r>
        <w:rPr>
          <w:spacing w:val="-66"/>
        </w:rPr>
      </w:r>
      <w:r>
        <w:rPr/>
        <w:t>露质量的提高，起到了积极地推动作用。</w:t>
      </w:r>
    </w:p>
    <w:p>
      <w:pPr>
        <w:pStyle w:val="BodyText"/>
        <w:spacing w:line="240" w:lineRule="auto" w:before="19"/>
        <w:ind w:right="0"/>
        <w:jc w:val="left"/>
      </w:pPr>
      <w:r>
        <w:rPr/>
        <w:t>1、提名委员会履职情况</w:t>
      </w:r>
    </w:p>
    <w:p>
      <w:pPr>
        <w:pStyle w:val="BodyText"/>
        <w:spacing w:line="316" w:lineRule="auto" w:before="76"/>
        <w:ind w:right="0" w:firstLine="360"/>
        <w:jc w:val="left"/>
      </w:pPr>
      <w:r>
        <w:rPr>
          <w:spacing w:val="-2"/>
        </w:rPr>
        <w:t>2015年1月11日，公司提名委员会召开会议，审议了公司第七届董事会董事候选人名单：同意段东辉、余应敏、赵立仁、</w:t>
      </w:r>
      <w:r>
        <w:rPr/>
        <w:t> 孙静、孙谦为公司第七届董事会董事候选人，其中段东辉、余应敏为独立董事候选人，并发表意见。 2015年1月28日，公司提名委员会召开会议，提名赵立仁先生为总经理候选人；刘韡先生为财务总监候选人；以上人员聘期</w:t>
      </w:r>
      <w:r>
        <w:rPr>
          <w:spacing w:val="-83"/>
        </w:rPr>
        <w:t> </w:t>
      </w:r>
      <w:r>
        <w:rPr>
          <w:spacing w:val="-83"/>
        </w:rPr>
      </w:r>
      <w:r>
        <w:rPr/>
        <w:t>三年。同时指定刘韡先生代行董事会秘书职责，期限不超过三个月。</w:t>
      </w:r>
    </w:p>
    <w:p>
      <w:pPr>
        <w:pStyle w:val="BodyText"/>
        <w:spacing w:line="240" w:lineRule="auto" w:before="19"/>
        <w:ind w:left="514" w:right="0"/>
        <w:jc w:val="left"/>
      </w:pPr>
      <w:r>
        <w:rPr/>
        <w:t>2015年4月21日，公司提名委员会召开会议，提名王科芳女士为董事会秘书候选人，聘期与本届董事会一致。</w:t>
      </w:r>
    </w:p>
    <w:p>
      <w:pPr>
        <w:pStyle w:val="BodyText"/>
        <w:spacing w:line="316" w:lineRule="auto" w:before="76"/>
        <w:ind w:left="514" w:right="0" w:hanging="360"/>
        <w:jc w:val="left"/>
      </w:pPr>
      <w:r>
        <w:rPr/>
        <w:t>2、战略委员会履职情况 </w:t>
      </w:r>
      <w:r>
        <w:rPr>
          <w:spacing w:val="-2"/>
        </w:rPr>
        <w:t>公司董事会战略委员会按照相关规定切实履行职责。审议了公司2015年度董事会工作报告，并对公司2016年年度发展计</w:t>
      </w:r>
    </w:p>
    <w:p>
      <w:pPr>
        <w:pStyle w:val="BodyText"/>
        <w:spacing w:line="316" w:lineRule="auto" w:before="19"/>
        <w:ind w:right="5130"/>
        <w:jc w:val="left"/>
      </w:pPr>
      <w:r>
        <w:rPr/>
        <w:t>划、技术研发、市场推广等经营战略进行讨论并提出建议。 3、薪酬及绩效考核委员会履职情况</w:t>
      </w:r>
    </w:p>
    <w:p>
      <w:pPr>
        <w:pStyle w:val="BodyText"/>
        <w:spacing w:line="316" w:lineRule="auto" w:before="19"/>
        <w:ind w:right="90" w:firstLine="360"/>
        <w:jc w:val="left"/>
      </w:pPr>
      <w:r>
        <w:rPr>
          <w:spacing w:val="-2"/>
        </w:rPr>
        <w:t>2015年，公司薪酬及绩效考核委员会在公司董事会领导下，积极开展各项工作，根据《公司高管人员薪酬方案》的有关</w:t>
      </w:r>
      <w:r>
        <w:rPr/>
        <w:t> 规定，薪酬与考核委员会对公司2015年度的各项经营指标完成情况以及各位高级管理人员履行职务情况进行了考察和评价， 提议公司应着眼于长远发展，在适当的时候提出激励计划。</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r>
        <w:rPr/>
        <w:pict>
          <v:shape style="position:absolute;margin-left:279.359406pt;margin-top:633.299988pt;width:257.25pt;height:126.85pt;mso-position-horizontal-relative:page;mso-position-vertical-relative:page;z-index:-83785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0"/>
                      <w:szCs w:val="20"/>
                    </w:rPr>
                  </w:pPr>
                </w:p>
                <w:p>
                  <w:pPr>
                    <w:pStyle w:val="BodyText"/>
                    <w:spacing w:line="240" w:lineRule="auto"/>
                    <w:ind w:left="0" w:right="0"/>
                    <w:jc w:val="left"/>
                  </w:pPr>
                  <w:r>
                    <w:rPr/>
                    <w:t>控制缺陷影响额进行分析，</w:t>
                  </w:r>
                </w:p>
              </w:txbxContent>
            </v:textbox>
            <w10:wrap type="none"/>
          </v:shape>
        </w:pict>
      </w:r>
      <w:r>
        <w:rPr/>
        <w:pict>
          <v:group style="position:absolute;margin-left:384.540009pt;margin-top:737.700012pt;width:152.050pt;height:22.45pt;mso-position-horizontal-relative:page;mso-position-vertical-relative:page;z-index:-837832" coordorigin="7691,14754" coordsize="3041,449">
            <v:shape style="position:absolute;left:7691;top:14754;width:3041;height:449" coordorigin="7691,14754" coordsize="3041,449" path="m7691,15203l10732,15203,10732,14754,7691,14754,7691,15203xe" filled="true" fillcolor="#ffffff" stroked="false">
              <v:path arrowok="t"/>
              <v:fill type="solid"/>
            </v:shape>
            <w10:wrap type="none"/>
          </v:group>
        </w:pict>
      </w:r>
    </w:p>
    <w:p>
      <w:pPr>
        <w:pStyle w:val="BodyText"/>
        <w:spacing w:line="240" w:lineRule="auto" w:before="44"/>
        <w:ind w:left="153" w:right="0"/>
        <w:jc w:val="left"/>
      </w:pPr>
      <w:r>
        <w:rPr/>
        <w:t>4、审计委员会履职情况</w:t>
      </w:r>
    </w:p>
    <w:p>
      <w:pPr>
        <w:pStyle w:val="BodyText"/>
        <w:spacing w:line="316" w:lineRule="auto" w:before="76"/>
        <w:ind w:left="153" w:right="181" w:firstLine="360"/>
        <w:jc w:val="left"/>
      </w:pPr>
      <w:r>
        <w:rPr/>
        <w:t>2015年3月30日，公司审计委员会2014年年度工作会议在公司会议室召开，会议审议通过了《公司2014年年度财务会计 报告》、《公司对会计师事务所2014年度执业情况的评价报告》的议案，并同意提交董事会审议。</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67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公司建立了以目标责任制为基础的考评体系。对高级管理人员的考评采取了签订年度目标责任制考核协议书，确定考核</w:t>
      </w:r>
      <w:r>
        <w:rPr/>
        <w:t> </w:t>
      </w:r>
      <w:r>
        <w:rPr>
          <w:spacing w:val="-4"/>
        </w:rPr>
        <w:t>指标、考核方式以及同考核结果挂钩的办法。根据《高级管理人员薪酬方案》的有关规定，依据各项年度经营指标完成情况，</w:t>
      </w:r>
      <w:r>
        <w:rPr>
          <w:spacing w:val="-44"/>
        </w:rPr>
        <w:t> </w:t>
      </w:r>
      <w:r>
        <w:rPr>
          <w:spacing w:val="-44"/>
        </w:rPr>
      </w:r>
      <w:r>
        <w:rPr/>
        <w:t>结合高级管理人员的综合考评结果确定其年薪，并作为以后职务任命的主要依据。</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九、内部控制情况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3188"/>
        <w:gridCol w:w="3329"/>
        <w:gridCol w:w="3052"/>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color w:val="0000FF"/>
                <w:sz w:val="18"/>
                <w:szCs w:val="18"/>
              </w:rPr>
            </w:r>
            <w:hyperlink r:id="rId12">
              <w:r>
                <w:rPr>
                  <w:rFonts w:ascii="Times New Roman" w:hAnsi="Times New Roman" w:cs="Times New Roman" w:eastAsia="Times New Roman" w:hint="default"/>
                  <w:color w:val="0000FF"/>
                  <w:sz w:val="18"/>
                  <w:szCs w:val="18"/>
                  <w:u w:val="single" w:color="0000FF"/>
                </w:rPr>
                <w:t>http://www.cninfo.com.cn</w:t>
              </w:r>
              <w:r>
                <w:rPr>
                  <w:rFonts w:ascii="Times New Roman" w:hAnsi="Times New Roman" w:cs="Times New Roman" w:eastAsia="Times New Roman" w:hint="default"/>
                  <w:color w:val="0000FF"/>
                  <w:sz w:val="18"/>
                  <w:szCs w:val="18"/>
                </w:rPr>
              </w:r>
              <w:r>
                <w:rPr>
                  <w:rFonts w:ascii="Times New Roman" w:hAnsi="Times New Roman" w:cs="Times New Roman" w:eastAsia="Times New Roman" w:hint="default"/>
                  <w:sz w:val="18"/>
                  <w:szCs w:val="18"/>
                </w:rPr>
              </w:r>
            </w:hyperlink>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83.56%</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61" w:hRule="exact"/>
        </w:trPr>
        <w:tc>
          <w:tcPr>
            <w:tcW w:w="31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9" w:type="dxa"/>
            <w:vMerge w:val="restart"/>
            <w:tcBorders>
              <w:top w:val="single" w:sz="4" w:space="0" w:color="000000"/>
              <w:left w:val="single" w:sz="4" w:space="0" w:color="000000"/>
              <w:right w:val="single" w:sz="4" w:space="0" w:color="000000"/>
            </w:tcBorders>
          </w:tcPr>
          <w:p>
            <w:pPr>
              <w:pStyle w:val="TableParagraph"/>
              <w:spacing w:line="302"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具体详见公司披露的《</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年度内部控制 评价报告》</w:t>
            </w:r>
          </w:p>
        </w:tc>
        <w:tc>
          <w:tcPr>
            <w:tcW w:w="3052"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具体详见公司披露的《</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 控制评价报告》</w:t>
            </w:r>
          </w:p>
        </w:tc>
      </w:tr>
      <w:tr>
        <w:trPr>
          <w:trHeight w:val="392"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4" w:space="0" w:color="000000"/>
              <w:right w:val="single" w:sz="4" w:space="0" w:color="000000"/>
            </w:tcBorders>
          </w:tcPr>
          <w:p>
            <w:pPr/>
          </w:p>
        </w:tc>
        <w:tc>
          <w:tcPr>
            <w:tcW w:w="3052" w:type="dxa"/>
            <w:vMerge/>
            <w:tcBorders>
              <w:left w:val="single" w:sz="4" w:space="0" w:color="000000"/>
              <w:right w:val="single" w:sz="4" w:space="0" w:color="000000"/>
            </w:tcBorders>
          </w:tcPr>
          <w:p>
            <w:pPr/>
          </w:p>
        </w:tc>
      </w:tr>
      <w:tr>
        <w:trPr>
          <w:trHeight w:val="161" w:hRule="exact"/>
        </w:trPr>
        <w:tc>
          <w:tcPr>
            <w:tcW w:w="3188"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9" w:type="dxa"/>
            <w:vMerge/>
            <w:tcBorders>
              <w:left w:val="single" w:sz="4" w:space="0" w:color="000000"/>
              <w:bottom w:val="single" w:sz="4" w:space="0" w:color="000000"/>
              <w:right w:val="single" w:sz="4" w:space="0" w:color="000000"/>
            </w:tcBorders>
          </w:tcPr>
          <w:p>
            <w:pPr/>
          </w:p>
        </w:tc>
        <w:tc>
          <w:tcPr>
            <w:tcW w:w="3052" w:type="dxa"/>
            <w:vMerge/>
            <w:tcBorders>
              <w:left w:val="single" w:sz="4" w:space="0" w:color="000000"/>
              <w:bottom w:val="single" w:sz="4" w:space="0" w:color="000000"/>
              <w:right w:val="single" w:sz="4" w:space="0" w:color="000000"/>
            </w:tcBorders>
          </w:tcPr>
          <w:p>
            <w:pPr/>
          </w:p>
        </w:tc>
      </w:tr>
      <w:tr>
        <w:trPr>
          <w:trHeight w:val="1078" w:hRule="exact"/>
        </w:trPr>
        <w:tc>
          <w:tcPr>
            <w:tcW w:w="31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9" w:type="dxa"/>
            <w:vMerge w:val="restart"/>
            <w:tcBorders>
              <w:top w:val="single" w:sz="4" w:space="0" w:color="000000"/>
              <w:left w:val="single" w:sz="4" w:space="0" w:color="000000"/>
              <w:right w:val="single" w:sz="4" w:space="0" w:color="000000"/>
            </w:tcBorders>
          </w:tcPr>
          <w:p>
            <w:pPr>
              <w:pStyle w:val="TableParagraph"/>
              <w:spacing w:line="314" w:lineRule="auto" w:before="51"/>
              <w:ind w:left="28" w:right="48"/>
              <w:jc w:val="left"/>
              <w:rPr>
                <w:rFonts w:ascii="宋体" w:hAnsi="宋体" w:cs="宋体" w:eastAsia="宋体" w:hint="default"/>
                <w:sz w:val="18"/>
                <w:szCs w:val="18"/>
              </w:rPr>
            </w:pPr>
            <w:r>
              <w:rPr>
                <w:rFonts w:ascii="宋体" w:hAnsi="宋体" w:cs="宋体" w:eastAsia="宋体" w:hint="default"/>
                <w:sz w:val="18"/>
                <w:szCs w:val="18"/>
              </w:rPr>
              <w:t>公司首先明确了对财务指标有多大影响， 对于公司来说是达到重要性水平，具体如 为：总资产、净资产、主营业务收入的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。其次，对内部控制 缺陷可能导致或已经导致的财务报表中某 科目的错报、漏报或者损失的影响金额进 </w:t>
            </w:r>
            <w:r>
              <w:rPr>
                <w:rFonts w:ascii="宋体" w:hAnsi="宋体" w:cs="宋体" w:eastAsia="宋体" w:hint="default"/>
                <w:spacing w:val="-9"/>
                <w:sz w:val="18"/>
                <w:szCs w:val="18"/>
              </w:rPr>
              <w:t>行分析，即内部</w:t>
            </w:r>
            <w:r>
              <w:rPr>
                <w:rFonts w:ascii="宋体" w:hAnsi="宋体" w:cs="宋体" w:eastAsia="宋体" w:hint="default"/>
                <w:sz w:val="18"/>
                <w:szCs w:val="18"/>
              </w:rPr>
              <w:t> 以该数据占企业整体重要性水平的比重判</w:t>
            </w:r>
          </w:p>
        </w:tc>
        <w:tc>
          <w:tcPr>
            <w:tcW w:w="3052" w:type="dxa"/>
            <w:vMerge w:val="restart"/>
            <w:tcBorders>
              <w:top w:val="single" w:sz="4" w:space="0" w:color="000000"/>
              <w:left w:val="single" w:sz="4" w:space="0" w:color="000000"/>
              <w:right w:val="single" w:sz="4" w:space="0" w:color="000000"/>
            </w:tcBorders>
          </w:tcPr>
          <w:p>
            <w:pPr>
              <w:pStyle w:val="TableParagraph"/>
              <w:spacing w:line="448" w:lineRule="exact"/>
              <w:ind w:right="-49"/>
              <w:jc w:val="left"/>
              <w:rPr>
                <w:rFonts w:ascii="宋体" w:hAnsi="宋体" w:cs="宋体" w:eastAsia="宋体" w:hint="default"/>
                <w:sz w:val="20"/>
                <w:szCs w:val="20"/>
              </w:rPr>
            </w:pPr>
            <w:r>
              <w:rPr>
                <w:rFonts w:ascii="宋体" w:hAnsi="宋体" w:cs="宋体" w:eastAsia="宋体" w:hint="default"/>
                <w:position w:val="-8"/>
                <w:sz w:val="20"/>
                <w:szCs w:val="20"/>
              </w:rPr>
              <w:pict>
                <v:group style="width:152.050pt;height:22.45pt;mso-position-horizontal-relative:char;mso-position-vertical-relative:line" coordorigin="0,0" coordsize="3041,449">
                  <v:group style="position:absolute;left:0;top:0;width:3041;height:449" coordorigin="0,0" coordsize="3041,449">
                    <v:shape style="position:absolute;left:0;top:0;width:3041;height:449" coordorigin="0,0" coordsize="3041,449" path="m0,449l3041,449,3041,0,0,0,0,449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304"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直接损失金额＜合并报表资产总额的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的为一般缺陷；合并报表资产总额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直接损失金额＜合并报表资产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为重要缺陷；直接损失金额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合并报表资产总额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为重大缺陷</w:t>
            </w:r>
          </w:p>
        </w:tc>
      </w:tr>
      <w:tr>
        <w:trPr>
          <w:trHeight w:val="391"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4" w:space="0" w:color="000000"/>
              <w:right w:val="single" w:sz="4" w:space="0" w:color="000000"/>
            </w:tcBorders>
          </w:tcPr>
          <w:p>
            <w:pPr/>
          </w:p>
        </w:tc>
        <w:tc>
          <w:tcPr>
            <w:tcW w:w="3052" w:type="dxa"/>
            <w:vMerge/>
            <w:tcBorders>
              <w:left w:val="single" w:sz="4" w:space="0" w:color="000000"/>
              <w:right w:val="single" w:sz="4" w:space="0" w:color="000000"/>
            </w:tcBorders>
          </w:tcPr>
          <w:p>
            <w:pPr/>
          </w:p>
        </w:tc>
      </w:tr>
      <w:tr>
        <w:trPr>
          <w:trHeight w:val="1078" w:hRule="exact"/>
        </w:trPr>
        <w:tc>
          <w:tcPr>
            <w:tcW w:w="3188"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9" w:type="dxa"/>
            <w:vMerge/>
            <w:tcBorders>
              <w:left w:val="single" w:sz="4" w:space="0" w:color="000000"/>
              <w:bottom w:val="single" w:sz="4" w:space="0" w:color="000000"/>
              <w:right w:val="single" w:sz="4" w:space="0" w:color="000000"/>
            </w:tcBorders>
          </w:tcPr>
          <w:p>
            <w:pPr/>
          </w:p>
        </w:tc>
        <w:tc>
          <w:tcPr>
            <w:tcW w:w="305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83" w:type="dxa"/>
        <w:tblLayout w:type="fixed"/>
        <w:tblCellMar>
          <w:top w:w="0" w:type="dxa"/>
          <w:left w:w="0" w:type="dxa"/>
          <w:bottom w:w="0" w:type="dxa"/>
          <w:right w:w="0" w:type="dxa"/>
        </w:tblCellMar>
        <w:tblLook w:val="01E0"/>
      </w:tblPr>
      <w:tblGrid>
        <w:gridCol w:w="3194"/>
        <w:gridCol w:w="3323"/>
        <w:gridCol w:w="3052"/>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定内部控制缺陷的类型，如大于整体重要</w:t>
            </w:r>
          </w:p>
        </w:tc>
        <w:tc>
          <w:tcPr>
            <w:tcW w:w="305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性水平的认定为重大缺陷（实质性漏洞</w:t>
            </w:r>
            <w:r>
              <w:rPr>
                <w:rFonts w:ascii="宋体" w:hAnsi="宋体" w:cs="宋体" w:eastAsia="宋体" w:hint="default"/>
                <w:spacing w:val="-90"/>
                <w:sz w:val="18"/>
                <w:szCs w:val="18"/>
              </w:rPr>
              <w:t>）</w:t>
            </w:r>
            <w:r>
              <w:rPr>
                <w:rFonts w:ascii="宋体" w:hAnsi="宋体" w:cs="宋体" w:eastAsia="宋体" w:hint="default"/>
                <w:sz w:val="18"/>
                <w:szCs w:val="18"/>
              </w:rPr>
            </w:r>
          </w:p>
        </w:tc>
        <w:tc>
          <w:tcPr>
            <w:tcW w:w="30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5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占整体重要性比例的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20%-100%</w:t>
            </w:r>
            <w:r>
              <w:rPr>
                <w:rFonts w:ascii="宋体" w:hAnsi="宋体" w:cs="宋体" w:eastAsia="宋体" w:hint="default"/>
                <w:sz w:val="18"/>
                <w:szCs w:val="18"/>
              </w:rPr>
              <w:t>认定为重</w:t>
            </w:r>
          </w:p>
        </w:tc>
        <w:tc>
          <w:tcPr>
            <w:tcW w:w="305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要缺陷；小于整体重要性水平的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的认</w:t>
            </w:r>
          </w:p>
        </w:tc>
        <w:tc>
          <w:tcPr>
            <w:tcW w:w="3052"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3194" w:type="dxa"/>
            <w:vMerge/>
            <w:tcBorders>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定为一般缺陷。</w:t>
            </w:r>
          </w:p>
        </w:tc>
        <w:tc>
          <w:tcPr>
            <w:tcW w:w="3052"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pict>
          <v:group style="position:absolute;margin-left:384.540009pt;margin-top:-172.784088pt;width:152.050pt;height:80.05pt;mso-position-horizontal-relative:page;mso-position-vertical-relative:paragraph;z-index:-837808" coordorigin="7691,-3456" coordsize="3041,1601">
            <v:shape style="position:absolute;left:7691;top:-3456;width:3041;height:1601" coordorigin="7691,-3456" coordsize="3041,1601" path="m7691,-1855l10732,-1855,10732,-3456,7691,-3456,7691,-1855xe" filled="true" fillcolor="#ffffff" stroked="false">
              <v:path arrowok="t"/>
              <v:fill type="solid"/>
            </v:shape>
            <w10:wrap type="none"/>
          </v:group>
        </w:pict>
      </w: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83"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中勤万信会计师事务所（特殊普通合伙）认为，智度投资股份有限公司于</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日按照《企业内部控制基本规 范》和相关规定在所有重大方面保持了有效的财务报告内部控制。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color w:val="0000FF"/>
                <w:sz w:val="18"/>
                <w:szCs w:val="18"/>
              </w:rPr>
            </w:r>
            <w:hyperlink r:id="rId12">
              <w:r>
                <w:rPr>
                  <w:rFonts w:ascii="Times New Roman" w:hAnsi="Times New Roman" w:cs="Times New Roman" w:eastAsia="Times New Roman" w:hint="default"/>
                  <w:color w:val="0000FF"/>
                  <w:sz w:val="18"/>
                  <w:szCs w:val="18"/>
                  <w:u w:val="single" w:color="0000FF"/>
                </w:rPr>
                <w:t>http://www.cninfo.com.cn</w:t>
              </w:r>
              <w:r>
                <w:rPr>
                  <w:rFonts w:ascii="Times New Roman" w:hAnsi="Times New Roman" w:cs="Times New Roman" w:eastAsia="Times New Roman" w:hint="default"/>
                  <w:color w:val="0000FF"/>
                  <w:sz w:val="18"/>
                  <w:szCs w:val="18"/>
                </w:rPr>
              </w:r>
              <w:r>
                <w:rPr>
                  <w:rFonts w:ascii="Times New Roman" w:hAnsi="Times New Roman" w:cs="Times New Roman" w:eastAsia="Times New Roman" w:hint="default"/>
                  <w:sz w:val="18"/>
                  <w:szCs w:val="18"/>
                </w:rPr>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会计师事务所是否出具非标准意见的内部控制审计报告</w:t>
      </w:r>
    </w:p>
    <w:p>
      <w:pPr>
        <w:pStyle w:val="BodyText"/>
        <w:spacing w:line="340" w:lineRule="auto" w:before="116"/>
        <w:ind w:right="36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751" w:right="3787"/>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中勤万信会计师事务所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勤信审字【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1170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tabs>
                <w:tab w:pos="832"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张宏敏</w:t>
              <w:tab/>
              <w:t>陈铮</w:t>
            </w:r>
          </w:p>
        </w:tc>
      </w:tr>
    </w:tbl>
    <w:p>
      <w:pPr>
        <w:pStyle w:val="BodyText"/>
        <w:spacing w:line="240" w:lineRule="auto" w:before="51"/>
        <w:ind w:left="3750" w:right="3787"/>
        <w:jc w:val="center"/>
      </w:pPr>
      <w:r>
        <w:rPr/>
        <w:t>审计报告正文</w:t>
      </w:r>
    </w:p>
    <w:p>
      <w:pPr>
        <w:spacing w:line="240" w:lineRule="auto" w:before="3"/>
        <w:rPr>
          <w:rFonts w:ascii="宋体" w:hAnsi="宋体" w:cs="宋体" w:eastAsia="宋体" w:hint="default"/>
          <w:sz w:val="15"/>
          <w:szCs w:val="15"/>
        </w:rPr>
      </w:pPr>
    </w:p>
    <w:p>
      <w:pPr>
        <w:pStyle w:val="BodyText"/>
        <w:spacing w:line="240" w:lineRule="auto" w:before="44"/>
        <w:ind w:right="0"/>
        <w:jc w:val="left"/>
        <w:rPr>
          <w:rFonts w:ascii="宋体" w:hAnsi="宋体" w:cs="宋体" w:eastAsia="宋体" w:hint="default"/>
        </w:rPr>
      </w:pPr>
      <w:r>
        <w:rPr/>
        <w:t>智度投资股份有限公司全体股东</w:t>
      </w:r>
      <w:r>
        <w:rPr>
          <w:rFonts w:ascii="宋体" w:hAnsi="宋体" w:cs="宋体" w:eastAsia="宋体" w:hint="default"/>
          <w:b/>
          <w:bCs/>
        </w:rPr>
        <w:t>:</w:t>
      </w:r>
      <w:r>
        <w:rPr>
          <w:rFonts w:ascii="宋体" w:hAnsi="宋体" w:cs="宋体" w:eastAsia="宋体" w:hint="default"/>
        </w:rPr>
      </w:r>
    </w:p>
    <w:p>
      <w:pPr>
        <w:spacing w:line="240" w:lineRule="auto" w:before="9"/>
        <w:rPr>
          <w:rFonts w:ascii="宋体" w:hAnsi="宋体" w:cs="宋体" w:eastAsia="宋体" w:hint="default"/>
          <w:b/>
          <w:bCs/>
          <w:sz w:val="18"/>
          <w:szCs w:val="18"/>
        </w:rPr>
      </w:pPr>
    </w:p>
    <w:p>
      <w:pPr>
        <w:pStyle w:val="BodyText"/>
        <w:spacing w:line="316" w:lineRule="auto"/>
        <w:ind w:right="0" w:firstLine="480"/>
        <w:jc w:val="left"/>
      </w:pPr>
      <w:r>
        <w:rPr/>
        <w:t>我们审计了后附的智度投资股份有限公司（以下简称“贵公司”）财务报表，包括2015年12月31日的合并及母公司资 </w:t>
      </w:r>
      <w:r>
        <w:rPr>
          <w:spacing w:val="-4"/>
        </w:rPr>
        <w:t>产负债表，2015年度的合并及母公司利润表、合并及母公司现金流量表、合并及母公司所有者权益变动表以及财务报表附注。</w:t>
      </w:r>
    </w:p>
    <w:p>
      <w:pPr>
        <w:spacing w:line="480" w:lineRule="exact" w:before="13"/>
        <w:ind w:left="514" w:right="180" w:firstLine="122"/>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编制和公允列报财务报表是智度投资股份有限公司管理层的责任，这种责任包括：（1）按照企业会计准则的规定编制</w:t>
      </w:r>
    </w:p>
    <w:p>
      <w:pPr>
        <w:pStyle w:val="BodyText"/>
        <w:spacing w:line="316" w:lineRule="auto" w:before="5"/>
        <w:ind w:right="180"/>
        <w:jc w:val="left"/>
      </w:pPr>
      <w:r>
        <w:rPr/>
        <w:t>财务报表，并使其实现公允反映；（2）设计、执行和维护必要的内部控制，以使财务报表不存在由于舞弊或错误导致的重 大错报。</w:t>
      </w:r>
    </w:p>
    <w:p>
      <w:pPr>
        <w:pStyle w:val="BodyText"/>
        <w:spacing w:line="480" w:lineRule="exact" w:before="13"/>
        <w:ind w:left="514" w:right="0" w:firstLine="12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5"/>
        <w:ind w:right="0"/>
        <w:jc w:val="left"/>
      </w:pPr>
      <w:r>
        <w:rPr>
          <w:spacing w:val="-2"/>
        </w:rPr>
        <w:t>工作。中国注册会计师审计准则要求我们遵守职业道德守则，计划和执行审计工作以对财务报表是否不存在重大错报获取合</w:t>
      </w:r>
      <w:r>
        <w:rPr>
          <w:spacing w:val="-64"/>
        </w:rPr>
        <w:t> </w:t>
      </w:r>
      <w:r>
        <w:rPr>
          <w:spacing w:val="-64"/>
        </w:rPr>
      </w:r>
      <w:r>
        <w:rPr/>
        <w:t>理保证。</w:t>
      </w:r>
    </w:p>
    <w:p>
      <w:pPr>
        <w:spacing w:line="240" w:lineRule="auto" w:before="4"/>
        <w:rPr>
          <w:rFonts w:ascii="宋体" w:hAnsi="宋体" w:cs="宋体" w:eastAsia="宋体" w:hint="default"/>
          <w:sz w:val="14"/>
          <w:szCs w:val="14"/>
        </w:rPr>
      </w:pPr>
    </w:p>
    <w:p>
      <w:pPr>
        <w:pStyle w:val="BodyText"/>
        <w:spacing w:line="316" w:lineRule="auto"/>
        <w:ind w:right="90" w:firstLine="480"/>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spacing w:line="240" w:lineRule="auto" w:before="4"/>
        <w:rPr>
          <w:rFonts w:ascii="宋体" w:hAnsi="宋体" w:cs="宋体" w:eastAsia="宋体" w:hint="default"/>
          <w:sz w:val="14"/>
          <w:szCs w:val="14"/>
        </w:rPr>
      </w:pPr>
    </w:p>
    <w:p>
      <w:pPr>
        <w:pStyle w:val="BodyText"/>
        <w:spacing w:line="240" w:lineRule="auto"/>
        <w:ind w:left="634" w:right="0"/>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9"/>
          <w:szCs w:val="19"/>
        </w:rPr>
      </w:pPr>
    </w:p>
    <w:p>
      <w:pPr>
        <w:spacing w:before="0"/>
        <w:ind w:left="636" w:right="0" w:firstLine="0"/>
        <w:jc w:val="left"/>
        <w:rPr>
          <w:rFonts w:ascii="宋体" w:hAnsi="宋体" w:cs="宋体" w:eastAsia="宋体" w:hint="default"/>
          <w:sz w:val="18"/>
          <w:szCs w:val="18"/>
        </w:rPr>
      </w:pPr>
      <w:r>
        <w:rPr>
          <w:rFonts w:ascii="宋体" w:hAnsi="宋体" w:cs="宋体" w:eastAsia="宋体" w:hint="default"/>
          <w:b/>
          <w:bCs/>
          <w:sz w:val="18"/>
          <w:szCs w:val="18"/>
        </w:rPr>
        <w:t>三、审计意见</w:t>
      </w:r>
      <w:r>
        <w:rPr>
          <w:rFonts w:ascii="宋体" w:hAnsi="宋体" w:cs="宋体" w:eastAsia="宋体" w:hint="default"/>
          <w:sz w:val="18"/>
          <w:szCs w:val="18"/>
        </w:rPr>
      </w:r>
    </w:p>
    <w:p>
      <w:pPr>
        <w:spacing w:line="240" w:lineRule="auto" w:before="9"/>
        <w:rPr>
          <w:rFonts w:ascii="宋体" w:hAnsi="宋体" w:cs="宋体" w:eastAsia="宋体" w:hint="default"/>
          <w:b/>
          <w:bCs/>
          <w:sz w:val="18"/>
          <w:szCs w:val="18"/>
        </w:rPr>
      </w:pPr>
    </w:p>
    <w:p>
      <w:pPr>
        <w:pStyle w:val="BodyText"/>
        <w:spacing w:line="316" w:lineRule="auto"/>
        <w:ind w:right="0"/>
        <w:jc w:val="left"/>
      </w:pPr>
      <w:r>
        <w:rPr>
          <w:spacing w:val="-2"/>
        </w:rPr>
        <w:t>我们认为，智度投资股份有限公司的财务报表在所有重大方面按照企业会计准则的规定编制，公允反映了智度投资股份有限</w:t>
      </w:r>
      <w:r>
        <w:rPr>
          <w:spacing w:val="-64"/>
        </w:rPr>
        <w:t> </w:t>
      </w:r>
      <w:r>
        <w:rPr>
          <w:spacing w:val="-64"/>
        </w:rPr>
      </w:r>
      <w:r>
        <w:rPr/>
        <w:t>公司2015年12月31日的合并及母公司财务状况以及2015年度的合并及母公司经营成果和现金流量。</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26"/>
          <w:szCs w:val="26"/>
        </w:rPr>
      </w:pPr>
    </w:p>
    <w:p>
      <w:pPr>
        <w:pStyle w:val="BodyText"/>
        <w:tabs>
          <w:tab w:pos="8883" w:val="left" w:leader="none"/>
        </w:tabs>
        <w:spacing w:line="240" w:lineRule="auto"/>
        <w:ind w:right="0"/>
        <w:jc w:val="left"/>
      </w:pPr>
      <w:r>
        <w:rPr/>
        <w:t>编制单位：智度投资股份有限公司</w:t>
        <w:tab/>
        <w:t>单位：元</w:t>
      </w:r>
    </w:p>
    <w:p>
      <w:pPr>
        <w:spacing w:line="240" w:lineRule="auto" w:before="0"/>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97,670,292.47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94,202,469.88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3,563,044.26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22,421,883.68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47,705,828.01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126,317,679.06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1,227,853.27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5,793,635.50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8,091,051.26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10,859,823.98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36,351,043.04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103,740,894.47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2,408,279.73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266,147.12</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197,017,392.04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363,602,533.69</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5,031,029.50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63,001,423.34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97,179,981.92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153,535,496.16</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11,631,953.53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47,035,448.61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36,770.69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91,864.70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134,155.88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1,558,844.10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1,525,951.76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115,549,073.75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265,324,646.44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312,566,465.79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628,927,180.13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5,688,251.53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4,837,193.01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30,952,970.83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111,543,476.83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4,162,050.52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9,654,572.08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4,672,490.24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5,168,910.85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5,868,214.49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5,360,176.52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166,997.89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386,030.98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587,799.88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20,313,073.19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136,047,184.53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419,771.89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153,824,048.69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453,305,116.57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1,090,910.00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15,090,910.00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13,150,910.00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25,610,910.00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166,974,958.69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478,916,026.57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314,586,699.00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314,586,699.00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7"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66,037,145.53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66,908,321.60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31,771,673.94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31,771,673.94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-267,782,036.50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-271,285,585.89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144,613,481.97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141,981,108.65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978,025.13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8,030,044.91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145,591,507.10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150,011,153.56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312,566,465.79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628,927,180.13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7"/>
        <w:rPr>
          <w:rFonts w:ascii="Times New Roman" w:hAnsi="Times New Roman" w:cs="Times New Roman" w:eastAsia="Times New Roman" w:hint="default"/>
          <w:sz w:val="29"/>
          <w:szCs w:val="29"/>
        </w:rPr>
      </w:pPr>
    </w:p>
    <w:p>
      <w:pPr>
        <w:pStyle w:val="BodyText"/>
        <w:tabs>
          <w:tab w:pos="3509" w:val="left" w:leader="none"/>
          <w:tab w:pos="7559" w:val="left" w:leader="none"/>
        </w:tabs>
        <w:spacing w:line="240" w:lineRule="auto" w:before="44"/>
        <w:ind w:left="0" w:right="248"/>
        <w:jc w:val="right"/>
      </w:pPr>
      <w:r>
        <w:rPr/>
        <w:t>法定代表人：赵立仁</w:t>
        <w:tab/>
        <w:t>主管会计工作负责人：刘韡</w:t>
        <w:tab/>
        <w:t>会计机构负责人：宋婷婷</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20,220,264.09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54,438,843.68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66,636,522.90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4,623,557.66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4,904,374.53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2,967,590.40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18,541,730.97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2,408,279.73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257,144.54</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27,532,918.35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148,265,390.15</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53,208,995.26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88,269,765.95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1,587,314.18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3,123,395.77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267,740.18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311,736.74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119,385.81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55,064,049.62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91,824,284.27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82,596,967.97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240,089,674.42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19,400,000.00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52,981,200.07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2,376,345.69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4,137,172.12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34,614.27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306,775.83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587,799.88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84,419,572.66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146,344,858.73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84,454,186.93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226,134,152.32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1,090,910.00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1,090,910.00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7"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1,090,910.00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1,090,910.00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85,545,096.93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227,225,062.32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314,586,699.00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314,586,699.00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33"/>
              <w:jc w:val="righ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33"/>
              <w:jc w:val="right"/>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63,913,072.88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63,913,072.88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31,771,673.94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31,771,673.94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-413,219,574.78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-397,406,833.72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-2,948,128.96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12,864,612.10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82,596,967.97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240,089,674.42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317,583,186.73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373,075,635.01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317,583,186.73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373,075,635.01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365,195,608.12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456,488,743.30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207,855,009.41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248,017,785.13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779999pt;margin-top:228.779999pt;width:193.15pt;height:19.650pt;mso-position-horizontal-relative:page;mso-position-vertical-relative:page;z-index:-837784"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shape style="position:absolute;margin-left:177.841202pt;margin-top:405.179993pt;width:193.1pt;height:19.650pt;mso-position-horizontal-relative:page;mso-position-vertical-relative:page;z-index:-837760" type="#_x0000_t202" filled="false" stroked="false">
            <v:textbox inset="0,0,0,0">
              <w:txbxContent>
                <w:p>
                  <w:pPr>
                    <w:pStyle w:val="BodyText"/>
                    <w:spacing w:line="240" w:lineRule="auto" w:before="51"/>
                    <w:ind w:left="0" w:right="0"/>
                    <w:jc w:val="left"/>
                  </w:pPr>
                  <w:r>
                    <w:rPr/>
                    <w:t>号填列）</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3211"/>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3,974,690.35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4,970,647.81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54,002,670.90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62,898,535.98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87,049,295.05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84,030,384.79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6,757,855.02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20,083,172.70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5,556,087.39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36,488,216.89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6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3211"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33,199,656.57</w:t>
            </w:r>
          </w:p>
        </w:tc>
        <w:tc>
          <w:tcPr>
            <w:tcW w:w="3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227,452.72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firstLine="90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sz w:val="18"/>
                <w:szCs w:val="18"/>
              </w:rPr>
              <w:t> 业的投资收益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-14,412,764.82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-83,185,655.57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18,003,017.83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8,052,153.31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13,528,075.21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76,872.96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5,775,981.61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1,472,056.02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3,790,932.25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1,195,758.48</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1"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-2,185,728.60</w:t>
            </w:r>
          </w:p>
        </w:tc>
        <w:tc>
          <w:tcPr>
            <w:tcW w:w="3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-76,605,558.28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2,034,750.84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5,553,748.40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-4,220,479.44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-82,159,306.68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3,503,549.39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-68,589,798.29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-7,724,028.83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-13,569,508.39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3"/>
                <w:sz w:val="18"/>
                <w:szCs w:val="18"/>
              </w:rPr>
              <w:t>（一）以后不能重分类进损益的其</w:t>
            </w:r>
            <w:r>
              <w:rPr>
                <w:rFonts w:ascii="宋体" w:hAnsi="宋体" w:cs="宋体" w:eastAsia="宋体" w:hint="default"/>
                <w:sz w:val="18"/>
                <w:szCs w:val="18"/>
              </w:rPr>
              <w:t> 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1" w:firstLine="7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 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1" w:firstLine="7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 重分类进损益的其他综合收益中享有 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3"/>
                <w:sz w:val="18"/>
                <w:szCs w:val="18"/>
              </w:rPr>
              <w:t>（二）以后将重分类进损益的其他</w:t>
            </w:r>
            <w:r>
              <w:rPr>
                <w:rFonts w:ascii="宋体" w:hAnsi="宋体" w:cs="宋体" w:eastAsia="宋体" w:hint="default"/>
                <w:sz w:val="18"/>
                <w:szCs w:val="18"/>
              </w:rPr>
              <w:t> 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1" w:firstLine="7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 将重分类进损益的其他综合收益中享</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21" w:firstLine="81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21" w:firstLine="81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分</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-4,220,479.44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-82,159,306.68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3,503,549.39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-68,589,798.29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-7,724,028.83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-13,569,508.39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0.0111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-0.2180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0.0111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-0.2180</w:t>
            </w:r>
          </w:p>
        </w:tc>
      </w:tr>
    </w:tbl>
    <w:p>
      <w:pPr>
        <w:pStyle w:val="BodyText"/>
        <w:tabs>
          <w:tab w:pos="3663" w:val="left" w:leader="none"/>
          <w:tab w:pos="7713" w:val="left" w:leader="none"/>
        </w:tabs>
        <w:spacing w:line="624" w:lineRule="auto" w:before="51"/>
        <w:ind w:left="153" w:right="248"/>
        <w:jc w:val="left"/>
      </w:pPr>
      <w:r>
        <w:rPr/>
        <w:t>本期发生同一控制下企业合并的，被合并方在合并前实现的净利润为：元，上期被合并方实现的净利润为：元。 法定代表人：赵立仁</w:t>
        <w:tab/>
        <w:t>主管会计工作负责人：刘韡</w:t>
        <w:tab/>
        <w:t>会计机构负责人：宋婷婷</w:t>
      </w:r>
    </w:p>
    <w:p>
      <w:pPr>
        <w:pStyle w:val="Heading3"/>
        <w:spacing w:line="240" w:lineRule="auto" w:before="63"/>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57,820,220.97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47,669,256.06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301,045.92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13,985,045.15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14,879,442.51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24,226,770.81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1,123,722.86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5,332,036.85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100,089.28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13,614,221.83</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284,514.68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6,523.73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2968"/>
        <w:gridCol w:w="3300"/>
        <w:gridCol w:w="3301"/>
      </w:tblGrid>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firstLine="63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sz w:val="18"/>
                <w:szCs w:val="18"/>
              </w:rPr>
              <w:t> 的投资收益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-15,818,739.97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-47,301,631.92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5,998.91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1,925,923.04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76,872.96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3,439,570.19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3,319,007.87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-15,812,741.06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-48,815,279.07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-15,812,741.06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-48,815,279.07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7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firstLine="7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firstLine="270"/>
              <w:jc w:val="left"/>
              <w:rPr>
                <w:rFonts w:ascii="宋体" w:hAnsi="宋体" w:cs="宋体" w:eastAsia="宋体" w:hint="default"/>
                <w:sz w:val="18"/>
                <w:szCs w:val="18"/>
              </w:rPr>
            </w:pPr>
            <w:r>
              <w:rPr>
                <w:rFonts w:ascii="宋体" w:hAnsi="宋体" w:cs="宋体" w:eastAsia="宋体" w:hint="default"/>
                <w:spacing w:val="-4"/>
                <w:sz w:val="18"/>
                <w:szCs w:val="18"/>
              </w:rPr>
              <w:t>（二）以后将重分类进损益的其他</w:t>
            </w:r>
            <w:r>
              <w:rPr>
                <w:rFonts w:ascii="宋体" w:hAnsi="宋体" w:cs="宋体" w:eastAsia="宋体" w:hint="default"/>
                <w:sz w:val="18"/>
                <w:szCs w:val="18"/>
              </w:rPr>
              <w:t> 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firstLine="7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7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7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-15,812,741.06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-48,815,279.07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380,838,193.24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344,616,792.37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0"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0"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10"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11,045,179.14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18,939,852.73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68,087,047.96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143,558,435.64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459,970,420.34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507,115,080.74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187,805,225.81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229,908,837.54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0"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91,842,105.98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91,330,391.26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12,800,939.44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19,078,295.33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136,185,758.76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96,985,121.14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428,634,029.99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437,302,645.27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31,336,390.35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69,812,435.47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82,444.98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227,452.72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25,724,763.03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31,554,523.64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141,261,731.65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235,327,052.72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3,446,264.77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7,248,776.61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235,100,001.00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0"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87,346,264.77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242,348,777.61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53,915,466.88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-7,021,724.89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10"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39,019,063.48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34,843,563.48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209,019,063.48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352,743,563.48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436,781,818.00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11,743,727.60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20,728,820.31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10"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14,437,052.08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45,280,946.41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267,980,779.68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502,791,584.72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-58,961,716.20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-150,048,021.24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2,569,286.96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856,475.45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28,859,427.99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-86,400,835.21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58,974,857.47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145,375,692.68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87,834,285.46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58,974,857.47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46,567,108.70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571,191.39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56,029,717.27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454,312,115.45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56,029,717.27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501,450,415.54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21,106,589.44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4,182,680.83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22,402,932.15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75,642.78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2,656,111.19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100,238,360.79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418,036,362.67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104,496,684.40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464,201,995.45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-48,466,967.13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37,248,420.09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6,523.73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0"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3,515,000.00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36,313,087.64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36,313,087.64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6,521,523.73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845,017.00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198,826.00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3,000,001.00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0"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845,017.00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3,198,827.00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35,468,070.64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3,322,696.73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1,807,879.04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109,807,879.04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182,781,818.00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1,819,682.10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4,968,876.66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20,782,800.00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21,219,682.10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208,533,494.66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-1,219,682.10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-98,725,615.62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0"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-14,218,578.59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-58,154,498.80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34,438,842.68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92,593,341.48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20,220,264.09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34,438,842.68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62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9"/>
          <w:szCs w:val="29"/>
        </w:rPr>
      </w:pPr>
    </w:p>
    <w:p>
      <w:pPr>
        <w:pStyle w:val="Heading3"/>
        <w:spacing w:line="240" w:lineRule="auto" w:before="35"/>
        <w:ind w:left="659"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659" w:right="0"/>
        <w:jc w:val="left"/>
      </w:pPr>
      <w:r>
        <w:rPr/>
        <w:t>本期金额</w:t>
      </w:r>
    </w:p>
    <w:p>
      <w:pPr>
        <w:pStyle w:val="BodyText"/>
        <w:spacing w:line="240" w:lineRule="auto" w:before="116"/>
        <w:ind w:left="0" w:right="659"/>
        <w:jc w:val="right"/>
      </w:pPr>
      <w:r>
        <w:rPr/>
        <w:t>单位：元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897"/>
        <w:gridCol w:w="1265"/>
        <w:gridCol w:w="530"/>
        <w:gridCol w:w="532"/>
        <w:gridCol w:w="530"/>
        <w:gridCol w:w="1190"/>
        <w:gridCol w:w="566"/>
        <w:gridCol w:w="992"/>
        <w:gridCol w:w="709"/>
        <w:gridCol w:w="1276"/>
        <w:gridCol w:w="1276"/>
        <w:gridCol w:w="1276"/>
        <w:gridCol w:w="1418"/>
        <w:gridCol w:w="1586"/>
      </w:tblGrid>
      <w:tr>
        <w:trPr>
          <w:trHeight w:val="402" w:hRule="exact"/>
        </w:trPr>
        <w:tc>
          <w:tcPr>
            <w:tcW w:w="18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147"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897" w:type="dxa"/>
            <w:vMerge/>
            <w:tcBorders>
              <w:left w:val="single" w:sz="4" w:space="0" w:color="000000"/>
              <w:right w:val="single" w:sz="4" w:space="0" w:color="000000"/>
            </w:tcBorders>
            <w:shd w:val="clear" w:color="auto" w:fill="D3D3D3"/>
          </w:tcPr>
          <w:p>
            <w:pPr/>
          </w:p>
        </w:tc>
        <w:tc>
          <w:tcPr>
            <w:tcW w:w="1014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5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1897" w:type="dxa"/>
            <w:vMerge/>
            <w:tcBorders>
              <w:left w:val="single" w:sz="4" w:space="0" w:color="000000"/>
              <w:right w:val="single" w:sz="4" w:space="0" w:color="000000"/>
            </w:tcBorders>
            <w:shd w:val="clear" w:color="auto" w:fill="D3D3D3"/>
          </w:tcPr>
          <w:p>
            <w:pPr/>
          </w:p>
        </w:tc>
        <w:tc>
          <w:tcPr>
            <w:tcW w:w="12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98" w:right="20"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01" w:right="38"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tcBorders>
              <w:left w:val="single" w:sz="4" w:space="0" w:color="000000"/>
              <w:right w:val="single" w:sz="4" w:space="0" w:color="000000"/>
            </w:tcBorders>
            <w:shd w:val="clear" w:color="auto" w:fill="D3D3D3"/>
          </w:tcPr>
          <w:p>
            <w:pPr/>
          </w:p>
        </w:tc>
        <w:tc>
          <w:tcPr>
            <w:tcW w:w="1586" w:type="dxa"/>
            <w:vMerge/>
            <w:tcBorders>
              <w:left w:val="single" w:sz="4" w:space="0" w:color="000000"/>
              <w:right w:val="single" w:sz="4" w:space="0" w:color="000000"/>
            </w:tcBorders>
            <w:shd w:val="clear" w:color="auto" w:fill="D3D3D3"/>
          </w:tcPr>
          <w:p>
            <w:pPr/>
          </w:p>
        </w:tc>
      </w:tr>
      <w:tr>
        <w:trPr>
          <w:trHeight w:val="714" w:hRule="exact"/>
        </w:trPr>
        <w:tc>
          <w:tcPr>
            <w:tcW w:w="1897" w:type="dxa"/>
            <w:vMerge/>
            <w:tcBorders>
              <w:left w:val="single" w:sz="4" w:space="0" w:color="000000"/>
              <w:bottom w:val="single" w:sz="4" w:space="0" w:color="000000"/>
              <w:right w:val="single" w:sz="4" w:space="0" w:color="000000"/>
            </w:tcBorders>
            <w:shd w:val="clear" w:color="auto" w:fill="D3D3D3"/>
          </w:tcPr>
          <w:p>
            <w:pPr/>
          </w:p>
        </w:tc>
        <w:tc>
          <w:tcPr>
            <w:tcW w:w="1265"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0" w:type="dxa"/>
            <w:vMerge/>
            <w:tcBorders>
              <w:left w:val="single" w:sz="4" w:space="0" w:color="000000"/>
              <w:bottom w:val="single" w:sz="4" w:space="0" w:color="000000"/>
              <w:right w:val="single" w:sz="4" w:space="0" w:color="000000"/>
            </w:tcBorders>
            <w:shd w:val="clear" w:color="auto" w:fill="D3D3D3"/>
          </w:tcPr>
          <w:p>
            <w:pPr/>
          </w:p>
        </w:tc>
        <w:tc>
          <w:tcPr>
            <w:tcW w:w="566"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158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314,586,699.00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66,908,321.60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31,771,673.94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-271,285,585.89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8,030,044.91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150,011,153.56</w:t>
            </w: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7"/>
              <w:jc w:val="center"/>
              <w:rPr>
                <w:rFonts w:ascii="宋体" w:hAnsi="宋体" w:cs="宋体" w:eastAsia="宋体" w:hint="default"/>
                <w:sz w:val="18"/>
                <w:szCs w:val="18"/>
              </w:rPr>
            </w:pPr>
            <w:r>
              <w:rPr>
                <w:rFonts w:ascii="宋体" w:hAnsi="宋体" w:cs="宋体" w:eastAsia="宋体" w:hint="default"/>
                <w:sz w:val="18"/>
                <w:szCs w:val="18"/>
              </w:rPr>
              <w:t>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314,586,699.00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66,908,321.60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31,771,673.94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-271,285,585.89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8,030,044.91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150,011,153.56</w:t>
            </w: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-871,176.07</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3,503,549.39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-7,052,019.78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-4,419,646.46</w:t>
            </w: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3,503,549.39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-7,724,028.83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-4,220,479.44</w:t>
            </w: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-871,176.07</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672,009.05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-199,167.02</w:t>
            </w:r>
          </w:p>
        </w:tc>
      </w:tr>
      <w:tr>
        <w:trPr>
          <w:trHeight w:val="402"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-871,176.07</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672,009.05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-199,167.02</w:t>
            </w:r>
          </w:p>
        </w:tc>
      </w:tr>
      <w:tr>
        <w:trPr>
          <w:trHeight w:val="714" w:hRule="exact"/>
        </w:trPr>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投入资本</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6"/>
          <w:footerReference w:type="default" r:id="rId17"/>
          <w:pgSz w:w="16840" w:h="11910" w:orient="landscape"/>
          <w:pgMar w:header="867" w:footer="978" w:top="1060" w:bottom="1160" w:left="780" w:right="780"/>
          <w:pgNumType w:start="67"/>
        </w:sectPr>
      </w:pPr>
    </w:p>
    <w:p>
      <w:pPr>
        <w:spacing w:line="240" w:lineRule="auto" w:before="12"/>
        <w:rPr>
          <w:rFonts w:ascii="宋体" w:hAnsi="宋体" w:cs="宋体" w:eastAsia="宋体" w:hint="default"/>
          <w:sz w:val="2"/>
          <w:szCs w:val="2"/>
        </w:rPr>
      </w:pPr>
    </w:p>
    <w:tbl>
      <w:tblPr>
        <w:tblW w:w="0" w:type="auto"/>
        <w:jc w:val="left"/>
        <w:tblInd w:w="192" w:type="dxa"/>
        <w:tblLayout w:type="fixed"/>
        <w:tblCellMar>
          <w:top w:w="0" w:type="dxa"/>
          <w:left w:w="0" w:type="dxa"/>
          <w:bottom w:w="0" w:type="dxa"/>
          <w:right w:w="0" w:type="dxa"/>
        </w:tblCellMar>
        <w:tblLook w:val="01E0"/>
      </w:tblPr>
      <w:tblGrid>
        <w:gridCol w:w="1896"/>
        <w:gridCol w:w="1265"/>
        <w:gridCol w:w="530"/>
        <w:gridCol w:w="532"/>
        <w:gridCol w:w="530"/>
        <w:gridCol w:w="1190"/>
        <w:gridCol w:w="566"/>
        <w:gridCol w:w="992"/>
        <w:gridCol w:w="709"/>
        <w:gridCol w:w="1276"/>
        <w:gridCol w:w="1276"/>
        <w:gridCol w:w="1276"/>
        <w:gridCol w:w="1418"/>
        <w:gridCol w:w="1586"/>
      </w:tblGrid>
      <w:tr>
        <w:trPr>
          <w:trHeight w:val="728" w:hRule="exact"/>
        </w:trPr>
        <w:tc>
          <w:tcPr>
            <w:tcW w:w="1896"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权益的金额</w:t>
            </w:r>
          </w:p>
        </w:tc>
        <w:tc>
          <w:tcPr>
            <w:tcW w:w="1265" w:type="dxa"/>
            <w:tcBorders>
              <w:top w:val="single" w:sz="15" w:space="0" w:color="000000"/>
              <w:left w:val="single" w:sz="4" w:space="0" w:color="000000"/>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532" w:type="dxa"/>
            <w:tcBorders>
              <w:top w:val="single" w:sz="15" w:space="0" w:color="000000"/>
              <w:left w:val="single" w:sz="4" w:space="0" w:color="000000"/>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1190"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58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3"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6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314,586,699.00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66,037,145.53</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31,771,673.94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-267,782,036.50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4" w:right="0"/>
              <w:jc w:val="left"/>
              <w:rPr>
                <w:rFonts w:ascii="Times New Roman" w:hAnsi="Times New Roman" w:cs="Times New Roman" w:eastAsia="Times New Roman" w:hint="default"/>
                <w:sz w:val="18"/>
                <w:szCs w:val="18"/>
              </w:rPr>
            </w:pPr>
            <w:r>
              <w:rPr>
                <w:rFonts w:ascii="Times New Roman"/>
                <w:sz w:val="18"/>
              </w:rPr>
              <w:t>978,025.13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145,591,507.10</w:t>
            </w:r>
          </w:p>
        </w:tc>
      </w:tr>
    </w:tbl>
    <w:p>
      <w:pPr>
        <w:pStyle w:val="BodyText"/>
        <w:spacing w:line="240" w:lineRule="auto" w:before="51"/>
        <w:ind w:left="739" w:right="0"/>
        <w:jc w:val="left"/>
      </w:pPr>
      <w:r>
        <w:rPr/>
        <w:t>上期金额</w:t>
      </w:r>
    </w:p>
    <w:p>
      <w:pPr>
        <w:pStyle w:val="BodyText"/>
        <w:spacing w:line="240" w:lineRule="auto" w:before="117"/>
        <w:ind w:left="0" w:right="739"/>
        <w:jc w:val="right"/>
      </w:pPr>
      <w:r>
        <w:rPr/>
        <w:t>单位：元</w:t>
      </w:r>
    </w:p>
    <w:p>
      <w:pPr>
        <w:spacing w:line="240" w:lineRule="auto" w:before="8"/>
        <w:rPr>
          <w:rFonts w:ascii="宋体" w:hAnsi="宋体" w:cs="宋体" w:eastAsia="宋体" w:hint="default"/>
          <w:sz w:val="7"/>
          <w:szCs w:val="7"/>
        </w:rPr>
      </w:pPr>
    </w:p>
    <w:p>
      <w:pPr>
        <w:spacing w:line="422"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761pt;height:21.15pt;mso-position-horizontal-relative:char;mso-position-vertical-relative:line" coordorigin="0,0" coordsize="15220,423">
            <v:group style="position:absolute;left:1682;top:16;width:23;height:392" coordorigin="1682,16" coordsize="23,392">
              <v:shape style="position:absolute;left:1682;top:16;width:23;height:392" coordorigin="1682,16" coordsize="23,392" path="m1682,16l1682,407,1705,407,1705,16,1682,16xe" filled="true" fillcolor="#d3d3d3" stroked="false">
                <v:path arrowok="t"/>
                <v:fill type="solid"/>
              </v:shape>
            </v:group>
            <v:group style="position:absolute;left:14;top:16;width:23;height:392" coordorigin="14,16" coordsize="23,392">
              <v:shape style="position:absolute;left:14;top:16;width:23;height:392" coordorigin="14,16" coordsize="23,392" path="m14,16l14,407,37,407,37,16,14,16xe" filled="true" fillcolor="#d3d3d3" stroked="false">
                <v:path arrowok="t"/>
                <v:fill type="solid"/>
              </v:shape>
            </v:group>
            <v:group style="position:absolute;left:37;top:16;width:1646;height:392" coordorigin="37,16" coordsize="1646,392">
              <v:shape style="position:absolute;left:37;top:16;width:1646;height:392" coordorigin="37,16" coordsize="1646,392" path="m37,16l37,407,1682,407,1682,16,37,16xe" filled="true" fillcolor="#d3d3d3" stroked="false">
                <v:path arrowok="t"/>
                <v:fill type="solid"/>
              </v:shape>
            </v:group>
            <v:group style="position:absolute;left:1715;top:16;width:23;height:392" coordorigin="1715,16" coordsize="23,392">
              <v:shape style="position:absolute;left:1715;top:16;width:23;height:392" coordorigin="1715,16" coordsize="23,392" path="m1715,16l1715,407,1738,407,1738,16,1715,16xe" filled="true" fillcolor="#d3d3d3" stroked="false">
                <v:path arrowok="t"/>
                <v:fill type="solid"/>
              </v:shape>
            </v:group>
            <v:group style="position:absolute;left:15182;top:16;width:23;height:392" coordorigin="15182,16" coordsize="23,392">
              <v:shape style="position:absolute;left:15182;top:16;width:23;height:392" coordorigin="15182,16" coordsize="23,392" path="m15182,16l15182,407,15205,407,15205,16,15182,16xe" filled="true" fillcolor="#d3d3d3" stroked="false">
                <v:path arrowok="t"/>
                <v:fill type="solid"/>
              </v:shape>
            </v:group>
            <v:group style="position:absolute;left:1738;top:16;width:13445;height:392" coordorigin="1738,16" coordsize="13445,392">
              <v:shape style="position:absolute;left:1738;top:16;width:13445;height:392" coordorigin="1738,16" coordsize="13445,392" path="m1738,16l1738,407,15182,407,15182,16,1738,16xe" filled="true" fillcolor="#d3d3d3" stroked="false">
                <v:path arrowok="t"/>
                <v:fill type="solid"/>
              </v:shape>
            </v:group>
            <v:group style="position:absolute;left:5;top:10;width:15210;height:2" coordorigin="5,10" coordsize="15210,2">
              <v:shape style="position:absolute;left:5;top:10;width:15210;height:2" coordorigin="5,10" coordsize="15210,0" path="m5,10l15215,10e" filled="false" stroked="true" strokeweight=".4799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1701;height:2" coordorigin="5,413" coordsize="1701,2">
              <v:shape style="position:absolute;left:5;top:413;width:1701;height:2" coordorigin="5,413" coordsize="1701,0" path="m5,413l1705,413e" filled="false" stroked="true" strokeweight=".47998pt" strokecolor="#000000">
                <v:path arrowok="t"/>
              </v:shape>
            </v:group>
            <v:group style="position:absolute;left:1710;top:14;width:2;height:404" coordorigin="1710,14" coordsize="2,404">
              <v:shape style="position:absolute;left:1710;top:14;width:2;height:404" coordorigin="1710,14" coordsize="0,404" path="m1710,14l1710,418e" filled="false" stroked="true" strokeweight=".47998pt" strokecolor="#000000">
                <v:path arrowok="t"/>
              </v:shape>
            </v:group>
            <v:group style="position:absolute;left:1715;top:413;width:13491;height:2" coordorigin="1715,413" coordsize="13491,2">
              <v:shape style="position:absolute;left:1715;top:413;width:13491;height:2" coordorigin="1715,413" coordsize="13491,0" path="m1715,413l15205,413e" filled="false" stroked="true" strokeweight=".47998pt" strokecolor="#000000">
                <v:path arrowok="t"/>
              </v:shape>
            </v:group>
            <v:group style="position:absolute;left:15210;top:5;width:2;height:413" coordorigin="15210,5" coordsize="2,413">
              <v:shape style="position:absolute;left:15210;top:5;width:2;height:413" coordorigin="15210,5" coordsize="0,413" path="m15210,5l15210,418e" filled="false" stroked="true" strokeweight=".47998pt" strokecolor="#000000">
                <v:path arrowok="t"/>
              </v:shape>
              <v:shape style="position:absolute;left:10;top:10;width:1701;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8279;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上期</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6840" w:h="11910" w:orient="landscape"/>
          <w:pgMar w:header="867" w:footer="978" w:top="1060" w:bottom="1160" w:left="700" w:right="70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700"/>
        <w:gridCol w:w="1309"/>
        <w:gridCol w:w="709"/>
        <w:gridCol w:w="709"/>
        <w:gridCol w:w="566"/>
        <w:gridCol w:w="1134"/>
        <w:gridCol w:w="992"/>
        <w:gridCol w:w="1276"/>
        <w:gridCol w:w="992"/>
        <w:gridCol w:w="1134"/>
        <w:gridCol w:w="992"/>
        <w:gridCol w:w="1276"/>
        <w:gridCol w:w="1134"/>
        <w:gridCol w:w="1276"/>
      </w:tblGrid>
      <w:tr>
        <w:trPr>
          <w:trHeight w:val="416" w:hRule="exact"/>
        </w:trPr>
        <w:tc>
          <w:tcPr>
            <w:tcW w:w="1700" w:type="dxa"/>
            <w:tcBorders>
              <w:top w:val="single" w:sz="15" w:space="0" w:color="000000"/>
              <w:left w:val="single" w:sz="4" w:space="0" w:color="000000"/>
              <w:bottom w:val="nil" w:sz="6" w:space="0" w:color="auto"/>
              <w:right w:val="single" w:sz="4" w:space="0" w:color="000000"/>
            </w:tcBorders>
            <w:shd w:val="clear" w:color="auto" w:fill="D3D3D3"/>
          </w:tcPr>
          <w:p>
            <w:pPr/>
          </w:p>
        </w:tc>
        <w:tc>
          <w:tcPr>
            <w:tcW w:w="11090" w:type="dxa"/>
            <w:gridSpan w:val="11"/>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vMerge w:val="restart"/>
            <w:tcBorders>
              <w:top w:val="single" w:sz="15"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76" w:type="dxa"/>
            <w:vMerge w:val="restart"/>
            <w:tcBorders>
              <w:top w:val="single" w:sz="15"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542" w:right="9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2" w:hRule="exact"/>
        </w:trPr>
        <w:tc>
          <w:tcPr>
            <w:tcW w:w="1700" w:type="dxa"/>
            <w:vMerge w:val="restart"/>
            <w:tcBorders>
              <w:top w:val="nil" w:sz="6" w:space="0" w:color="auto"/>
              <w:left w:val="single" w:sz="4" w:space="0" w:color="000000"/>
              <w:right w:val="single" w:sz="4" w:space="0" w:color="000000"/>
            </w:tcBorders>
            <w:shd w:val="clear" w:color="auto" w:fill="D3D3D3"/>
          </w:tcPr>
          <w:p>
            <w:pPr/>
          </w:p>
        </w:tc>
        <w:tc>
          <w:tcPr>
            <w:tcW w:w="13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400" w:right="40" w:hanging="360"/>
              <w:jc w:val="left"/>
              <w:rPr>
                <w:rFonts w:ascii="宋体" w:hAnsi="宋体" w:cs="宋体" w:eastAsia="宋体" w:hint="default"/>
                <w:sz w:val="18"/>
                <w:szCs w:val="18"/>
              </w:rPr>
            </w:pPr>
            <w:r>
              <w:rPr>
                <w:rFonts w:ascii="宋体" w:hAnsi="宋体" w:cs="宋体" w:eastAsia="宋体" w:hint="default"/>
                <w:sz w:val="18"/>
                <w:szCs w:val="18"/>
              </w:rPr>
              <w:t>一般风险准 备</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3D3D3"/>
          </w:tcPr>
          <w:p>
            <w:pPr/>
          </w:p>
        </w:tc>
        <w:tc>
          <w:tcPr>
            <w:tcW w:w="1276" w:type="dxa"/>
            <w:vMerge/>
            <w:tcBorders>
              <w:left w:val="single" w:sz="4" w:space="0" w:color="000000"/>
              <w:right w:val="single" w:sz="4" w:space="0" w:color="000000"/>
            </w:tcBorders>
            <w:shd w:val="clear" w:color="auto" w:fill="D3D3D3"/>
          </w:tcPr>
          <w:p>
            <w:pPr/>
          </w:p>
        </w:tc>
      </w:tr>
      <w:tr>
        <w:trPr>
          <w:trHeight w:val="402" w:hRule="exact"/>
        </w:trPr>
        <w:tc>
          <w:tcPr>
            <w:tcW w:w="1700" w:type="dxa"/>
            <w:vMerge/>
            <w:tcBorders>
              <w:left w:val="single" w:sz="4" w:space="0" w:color="000000"/>
              <w:bottom w:val="single" w:sz="4" w:space="0" w:color="000000"/>
              <w:right w:val="single" w:sz="4" w:space="0" w:color="000000"/>
            </w:tcBorders>
            <w:shd w:val="clear" w:color="auto" w:fill="D3D3D3"/>
          </w:tcPr>
          <w:p>
            <w:pPr/>
          </w:p>
        </w:tc>
        <w:tc>
          <w:tcPr>
            <w:tcW w:w="1309" w:type="dxa"/>
            <w:vMerge/>
            <w:tcBorders>
              <w:left w:val="single" w:sz="4" w:space="0" w:color="000000"/>
              <w:bottom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314,586,699.00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66,908,321.60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31,771,673.94</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-202,695,787.60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21,599,553.30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232,170,460.24</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36" w:firstLine="270"/>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314,586,699.00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66,908,321.60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31,771,673.94</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-202,695,787.60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21,599,553.30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232,170,460.24</w:t>
            </w:r>
          </w:p>
        </w:tc>
      </w:tr>
      <w:tr>
        <w:trPr>
          <w:trHeight w:val="1026"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三、本期增减变动金 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-68,589,798.29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-13,569,508.3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-82,159,306.68</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-68,589,798.29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-13,569,508.3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-82,159,306.68</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（二）所有者投入和 减少资本</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．股东投入的普通股</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．其他权益工具持有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者投入资本</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．股份支付计入所有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者权益的金额</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700" w:right="700"/>
        </w:sectPr>
      </w:pPr>
    </w:p>
    <w:p>
      <w:pPr>
        <w:spacing w:line="240" w:lineRule="auto" w:before="4"/>
        <w:rPr>
          <w:rFonts w:ascii="Times New Roman" w:hAnsi="Times New Roman" w:cs="Times New Roman" w:eastAsia="Times New Roman" w:hint="default"/>
          <w:sz w:val="3"/>
          <w:szCs w:val="3"/>
        </w:rPr>
      </w:pPr>
      <w:r>
        <w:rPr/>
        <w:pict>
          <v:shape style="position:absolute;margin-left:102.051399pt;margin-top:97.379997pt;width:89.1pt;height:35.25pt;mso-position-horizontal-relative:page;mso-position-vertical-relative:page;z-index:-837616" type="#_x0000_t202" filled="false" stroked="false">
            <v:textbox inset="0,0,0,0">
              <w:txbxContent>
                <w:p>
                  <w:pPr>
                    <w:pStyle w:val="BodyText"/>
                    <w:spacing w:line="240" w:lineRule="auto" w:before="51"/>
                    <w:ind w:left="0" w:right="0"/>
                    <w:jc w:val="left"/>
                  </w:pPr>
                  <w:r>
                    <w:rPr/>
                    <w:t>股东）</w:t>
                  </w:r>
                </w:p>
              </w:txbxContent>
            </v:textbox>
            <w10:wrap type="none"/>
          </v:shape>
        </w:pict>
      </w:r>
    </w:p>
    <w:tbl>
      <w:tblPr>
        <w:tblW w:w="0" w:type="auto"/>
        <w:jc w:val="left"/>
        <w:tblInd w:w="113" w:type="dxa"/>
        <w:tblLayout w:type="fixed"/>
        <w:tblCellMar>
          <w:top w:w="0" w:type="dxa"/>
          <w:left w:w="0" w:type="dxa"/>
          <w:bottom w:w="0" w:type="dxa"/>
          <w:right w:w="0" w:type="dxa"/>
        </w:tblCellMar>
        <w:tblLook w:val="01E0"/>
      </w:tblPr>
      <w:tblGrid>
        <w:gridCol w:w="1700"/>
        <w:gridCol w:w="1309"/>
        <w:gridCol w:w="709"/>
        <w:gridCol w:w="709"/>
        <w:gridCol w:w="566"/>
        <w:gridCol w:w="1134"/>
        <w:gridCol w:w="992"/>
        <w:gridCol w:w="1276"/>
        <w:gridCol w:w="992"/>
        <w:gridCol w:w="1134"/>
        <w:gridCol w:w="992"/>
        <w:gridCol w:w="1276"/>
        <w:gridCol w:w="1134"/>
        <w:gridCol w:w="1276"/>
      </w:tblGrid>
      <w:tr>
        <w:trPr>
          <w:trHeight w:val="416" w:hRule="exact"/>
        </w:trPr>
        <w:tc>
          <w:tcPr>
            <w:tcW w:w="1700"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09"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．提取一般风险准备</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473"/>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的分配</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70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65pt;height:35.25pt;mso-position-horizontal-relative:char;mso-position-vertical-relative:line" coordorigin="0,0" coordsize="1300,705">
                  <v:group style="position:absolute;left:0;top:0;width:1300;height:705" coordorigin="0,0" coordsize="1300,705">
                    <v:shape style="position:absolute;left:0;top:0;width:1300;height:705" coordorigin="0,0" coordsize="1300,705" path="m0,0l0,704,1300,704,1300,0,0,0xe" filled="true" fillcolor="#ffffff" stroked="false">
                      <v:path arrowok="t"/>
                      <v:fill type="solid"/>
                    </v:shape>
                  </v:group>
                  <v:group style="position:absolute;left:23;top:156;width:1254;height:393" coordorigin="23,156" coordsize="1254,393">
                    <v:shape style="position:absolute;left:23;top:156;width:1254;height:393" coordorigin="23,156" coordsize="1254,393" path="m23,156l23,548,1277,548,1277,156,23,156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（四）所有者权益内 部结转</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．资本公积转增资本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．盈余公积转增资本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．盈余公积弥补亏损</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314,586,699.00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66,908,321.60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31,771,673.94</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-271,285,585.89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8,030,044.91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150,011,153.56</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8" w:top="1060" w:bottom="1160" w:left="700" w:right="700"/>
        </w:sectPr>
      </w:pPr>
    </w:p>
    <w:p>
      <w:pPr>
        <w:spacing w:line="240" w:lineRule="auto" w:before="4"/>
        <w:rPr>
          <w:rFonts w:ascii="Times New Roman" w:hAnsi="Times New Roman" w:cs="Times New Roman" w:eastAsia="Times New Roman" w:hint="default"/>
          <w:sz w:val="3"/>
          <w:szCs w:val="3"/>
        </w:rPr>
      </w:pPr>
    </w:p>
    <w:p>
      <w:pPr>
        <w:spacing w:line="20" w:lineRule="exact"/>
        <w:ind w:left="2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19"/>
          <w:szCs w:val="19"/>
        </w:rPr>
      </w:pPr>
    </w:p>
    <w:p>
      <w:pPr>
        <w:pStyle w:val="Heading3"/>
        <w:spacing w:line="240" w:lineRule="auto" w:before="35"/>
        <w:ind w:left="239"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239" w:right="0"/>
        <w:jc w:val="left"/>
      </w:pPr>
      <w:r>
        <w:rPr/>
        <w:t>本期金额</w:t>
      </w:r>
    </w:p>
    <w:p>
      <w:pPr>
        <w:pStyle w:val="BodyText"/>
        <w:spacing w:line="240" w:lineRule="auto" w:before="116"/>
        <w:ind w:left="0" w:right="239"/>
        <w:jc w:val="right"/>
      </w:pPr>
      <w:r>
        <w:rPr/>
        <w:t>单位：元</w:t>
      </w:r>
    </w:p>
    <w:p>
      <w:pPr>
        <w:spacing w:line="240" w:lineRule="auto" w:before="0"/>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693"/>
        <w:gridCol w:w="1222"/>
        <w:gridCol w:w="764"/>
        <w:gridCol w:w="709"/>
        <w:gridCol w:w="832"/>
        <w:gridCol w:w="1276"/>
        <w:gridCol w:w="992"/>
        <w:gridCol w:w="1134"/>
        <w:gridCol w:w="992"/>
        <w:gridCol w:w="1134"/>
        <w:gridCol w:w="1276"/>
        <w:gridCol w:w="1180"/>
      </w:tblGrid>
      <w:tr>
        <w:trPr>
          <w:trHeight w:val="402" w:hRule="exact"/>
        </w:trPr>
        <w:tc>
          <w:tcPr>
            <w:tcW w:w="269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51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9"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0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6"/>
              <w:ind w:left="471"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6"/>
              <w:ind w:left="494"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4" w:hRule="exact"/>
        </w:trPr>
        <w:tc>
          <w:tcPr>
            <w:tcW w:w="269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22"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0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18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314,586,699.00</w:t>
            </w: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63,913,072.88</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31,771,673.94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-397,406,833.72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12,864,612.10</w:t>
            </w:r>
          </w:p>
        </w:tc>
      </w:tr>
      <w:tr>
        <w:trPr>
          <w:trHeight w:val="402"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314,586,699.00</w:t>
            </w: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63,913,072.88</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31,771,673.94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-397,406,833.72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12,864,612.10</w:t>
            </w:r>
          </w:p>
        </w:tc>
      </w:tr>
      <w:tr>
        <w:trPr>
          <w:trHeight w:val="714"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22" w:type="dxa"/>
            <w:tcBorders>
              <w:top w:val="single" w:sz="4" w:space="0" w:color="000000"/>
              <w:left w:val="single" w:sz="9" w:space="0" w:color="D3D3D3"/>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-15,812,741.06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-15,812,741.06</w:t>
            </w:r>
          </w:p>
        </w:tc>
      </w:tr>
      <w:tr>
        <w:trPr>
          <w:trHeight w:val="402"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-15,812,741.06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-15,812,741.06</w:t>
            </w:r>
          </w:p>
        </w:tc>
      </w:tr>
      <w:tr>
        <w:trPr>
          <w:trHeight w:val="402"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 额</w:t>
            </w:r>
          </w:p>
        </w:tc>
        <w:tc>
          <w:tcPr>
            <w:tcW w:w="1222" w:type="dxa"/>
            <w:tcBorders>
              <w:top w:val="single" w:sz="4" w:space="0" w:color="000000"/>
              <w:left w:val="single" w:sz="9" w:space="0" w:color="D3D3D3"/>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00" w:right="1200"/>
        </w:sectPr>
      </w:pPr>
    </w:p>
    <w:p>
      <w:pPr>
        <w:spacing w:line="240" w:lineRule="auto" w:before="6"/>
        <w:rPr>
          <w:rFonts w:ascii="宋体" w:hAnsi="宋体" w:cs="宋体" w:eastAsia="宋体"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2692"/>
        <w:gridCol w:w="1222"/>
        <w:gridCol w:w="764"/>
        <w:gridCol w:w="709"/>
        <w:gridCol w:w="832"/>
        <w:gridCol w:w="1276"/>
        <w:gridCol w:w="992"/>
        <w:gridCol w:w="1134"/>
        <w:gridCol w:w="992"/>
        <w:gridCol w:w="1134"/>
        <w:gridCol w:w="1276"/>
        <w:gridCol w:w="1180"/>
      </w:tblGrid>
      <w:tr>
        <w:trPr>
          <w:trHeight w:val="397" w:hRule="exact"/>
        </w:trPr>
        <w:tc>
          <w:tcPr>
            <w:tcW w:w="269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22" w:type="dxa"/>
            <w:tcBorders>
              <w:top w:val="nil" w:sz="6" w:space="0" w:color="auto"/>
              <w:left w:val="single" w:sz="4" w:space="0" w:color="000000"/>
              <w:bottom w:val="single" w:sz="4" w:space="0" w:color="000000"/>
              <w:right w:val="single" w:sz="4" w:space="0" w:color="000000"/>
            </w:tcBorders>
          </w:tcPr>
          <w:p>
            <w:pPr/>
          </w:p>
        </w:tc>
        <w:tc>
          <w:tcPr>
            <w:tcW w:w="76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3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2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314,586,699.00</w:t>
            </w:r>
          </w:p>
        </w:tc>
        <w:tc>
          <w:tcPr>
            <w:tcW w:w="7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63,913,072.88</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31,771,673.94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-413,219,574.78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-2,948,128.96</w:t>
            </w:r>
          </w:p>
        </w:tc>
      </w:tr>
    </w:tbl>
    <w:p>
      <w:pPr>
        <w:pStyle w:val="BodyText"/>
        <w:spacing w:line="240" w:lineRule="auto" w:before="51"/>
        <w:ind w:left="259" w:right="0"/>
        <w:jc w:val="left"/>
      </w:pPr>
      <w:r>
        <w:rPr/>
        <w:t>上期金额</w:t>
      </w:r>
    </w:p>
    <w:p>
      <w:pPr>
        <w:pStyle w:val="BodyText"/>
        <w:spacing w:line="240" w:lineRule="auto" w:before="117"/>
        <w:ind w:left="0" w:right="239"/>
        <w:jc w:val="right"/>
      </w:pPr>
      <w:r>
        <w:rPr/>
        <w:t>单位：元</w:t>
      </w:r>
    </w:p>
    <w:p>
      <w:pPr>
        <w:spacing w:line="240" w:lineRule="auto" w:before="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583"/>
        <w:gridCol w:w="1678"/>
        <w:gridCol w:w="709"/>
        <w:gridCol w:w="850"/>
        <w:gridCol w:w="852"/>
        <w:gridCol w:w="1274"/>
        <w:gridCol w:w="1134"/>
        <w:gridCol w:w="1276"/>
        <w:gridCol w:w="1134"/>
        <w:gridCol w:w="1134"/>
        <w:gridCol w:w="1277"/>
        <w:gridCol w:w="1276"/>
      </w:tblGrid>
      <w:tr>
        <w:trPr>
          <w:trHeight w:val="402" w:hRule="exact"/>
        </w:trPr>
        <w:tc>
          <w:tcPr>
            <w:tcW w:w="1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593"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583" w:type="dxa"/>
            <w:vMerge/>
            <w:tcBorders>
              <w:left w:val="single" w:sz="4" w:space="0" w:color="000000"/>
              <w:right w:val="single" w:sz="4" w:space="0" w:color="000000"/>
            </w:tcBorders>
            <w:shd w:val="clear" w:color="auto" w:fill="D3D3D3"/>
          </w:tcPr>
          <w:p>
            <w:pPr/>
          </w:p>
        </w:tc>
        <w:tc>
          <w:tcPr>
            <w:tcW w:w="1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41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542" w:right="9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1" w:hRule="exact"/>
        </w:trPr>
        <w:tc>
          <w:tcPr>
            <w:tcW w:w="1583" w:type="dxa"/>
            <w:vMerge/>
            <w:tcBorders>
              <w:left w:val="single" w:sz="4" w:space="0" w:color="000000"/>
              <w:bottom w:val="single" w:sz="4" w:space="0" w:color="000000"/>
              <w:right w:val="single" w:sz="4" w:space="0" w:color="000000"/>
            </w:tcBorders>
            <w:shd w:val="clear" w:color="auto" w:fill="D3D3D3"/>
          </w:tcPr>
          <w:p>
            <w:pPr/>
          </w:p>
        </w:tc>
        <w:tc>
          <w:tcPr>
            <w:tcW w:w="1678" w:type="dxa"/>
            <w:vMerge/>
            <w:tcBorders>
              <w:left w:val="single" w:sz="4" w:space="0" w:color="000000"/>
              <w:bottom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314,586,699.00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63,913,072.88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31,771,673.94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center"/>
              <w:rPr>
                <w:rFonts w:ascii="Times New Roman" w:hAnsi="Times New Roman" w:cs="Times New Roman" w:eastAsia="Times New Roman" w:hint="default"/>
                <w:sz w:val="18"/>
                <w:szCs w:val="18"/>
              </w:rPr>
            </w:pPr>
            <w:r>
              <w:rPr>
                <w:rFonts w:ascii="Times New Roman"/>
                <w:sz w:val="18"/>
              </w:rPr>
              <w:t>-348,591,554.65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61,679,891.17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314,586,699.00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63,913,072.88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31,771,673.94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center"/>
              <w:rPr>
                <w:rFonts w:ascii="Times New Roman" w:hAnsi="Times New Roman" w:cs="Times New Roman" w:eastAsia="Times New Roman" w:hint="default"/>
                <w:sz w:val="18"/>
                <w:szCs w:val="18"/>
              </w:rPr>
            </w:pPr>
            <w:r>
              <w:rPr>
                <w:rFonts w:ascii="Times New Roman"/>
                <w:sz w:val="18"/>
              </w:rPr>
              <w:t>-348,591,554.65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61,679,891.17</w:t>
            </w:r>
          </w:p>
        </w:tc>
      </w:tr>
      <w:tr>
        <w:trPr>
          <w:trHeight w:val="674"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三、本期增减变动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-48,815,279.07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-48,815,279.07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1180" w:right="120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583"/>
        <w:gridCol w:w="1678"/>
        <w:gridCol w:w="709"/>
        <w:gridCol w:w="850"/>
        <w:gridCol w:w="852"/>
        <w:gridCol w:w="1274"/>
        <w:gridCol w:w="1134"/>
        <w:gridCol w:w="1276"/>
        <w:gridCol w:w="1134"/>
        <w:gridCol w:w="1134"/>
        <w:gridCol w:w="1277"/>
        <w:gridCol w:w="1276"/>
      </w:tblGrid>
      <w:tr>
        <w:trPr>
          <w:trHeight w:val="377" w:hRule="exact"/>
        </w:trPr>
        <w:tc>
          <w:tcPr>
            <w:tcW w:w="1583"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678"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-48,815,279.07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-48,815,279.07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 股</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 有者投入资本</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 有者权益的金额</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 东）的分配</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 本（或股本）</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 本（或股本）</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 损</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180" w:right="1240"/>
        </w:sectPr>
      </w:pPr>
    </w:p>
    <w:p>
      <w:pPr>
        <w:spacing w:line="240" w:lineRule="auto" w:before="4"/>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583"/>
        <w:gridCol w:w="1678"/>
        <w:gridCol w:w="709"/>
        <w:gridCol w:w="850"/>
        <w:gridCol w:w="852"/>
        <w:gridCol w:w="1274"/>
        <w:gridCol w:w="1134"/>
        <w:gridCol w:w="1276"/>
        <w:gridCol w:w="1134"/>
        <w:gridCol w:w="1134"/>
        <w:gridCol w:w="1277"/>
        <w:gridCol w:w="1276"/>
      </w:tblGrid>
      <w:tr>
        <w:trPr>
          <w:trHeight w:val="416" w:hRule="exact"/>
        </w:trPr>
        <w:tc>
          <w:tcPr>
            <w:tcW w:w="1583"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78"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0" w:right="0"/>
              <w:jc w:val="left"/>
              <w:rPr>
                <w:rFonts w:ascii="Times New Roman" w:hAnsi="Times New Roman" w:cs="Times New Roman" w:eastAsia="Times New Roman" w:hint="default"/>
                <w:sz w:val="18"/>
                <w:szCs w:val="18"/>
              </w:rPr>
            </w:pPr>
            <w:r>
              <w:rPr>
                <w:rFonts w:ascii="Times New Roman"/>
                <w:sz w:val="18"/>
              </w:rPr>
              <w:t>314,586,699.00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63,913,072.88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31,771,673.94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-397,406,833.72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12,864,612.10</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8" w:top="1060" w:bottom="1160" w:left="1180" w:right="12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2"/>
        <w:spacing w:line="240" w:lineRule="auto" w:before="26"/>
        <w:ind w:right="0"/>
        <w:jc w:val="left"/>
        <w:rPr>
          <w:b w:val="0"/>
          <w:bCs w:val="0"/>
        </w:rPr>
      </w:pPr>
      <w:r>
        <w:rPr/>
        <w:t>三、公司基本情况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574" w:right="0"/>
        <w:jc w:val="left"/>
      </w:pPr>
      <w:r>
        <w:rPr/>
        <w:t>（一）公司概况</w:t>
      </w:r>
    </w:p>
    <w:p>
      <w:pPr>
        <w:spacing w:line="240" w:lineRule="auto" w:before="13"/>
        <w:rPr>
          <w:rFonts w:ascii="宋体" w:hAnsi="宋体" w:cs="宋体" w:eastAsia="宋体" w:hint="default"/>
          <w:sz w:val="13"/>
          <w:szCs w:val="13"/>
        </w:rPr>
      </w:pPr>
    </w:p>
    <w:p>
      <w:pPr>
        <w:pStyle w:val="BodyText"/>
        <w:spacing w:line="240" w:lineRule="auto"/>
        <w:ind w:left="574" w:right="0"/>
        <w:jc w:val="left"/>
      </w:pPr>
      <w:r>
        <w:rPr/>
        <w:t>1.智度投资股份有限公司（以下简称“本公司”）原名河南思达高科技股份有限公司（以下简称“思达高科”），是</w:t>
      </w:r>
    </w:p>
    <w:p>
      <w:pPr>
        <w:pStyle w:val="BodyText"/>
        <w:spacing w:line="316" w:lineRule="auto" w:before="76"/>
        <w:ind w:right="0"/>
        <w:jc w:val="left"/>
      </w:pPr>
      <w:r>
        <w:rPr>
          <w:spacing w:val="-2"/>
        </w:rPr>
        <w:t>1996年经河南省体改委豫股批字（1996）7号批准设立的股份有限公司，经中国证监会批准以募集方式向社会公开发行A股股</w:t>
      </w:r>
      <w:r>
        <w:rPr>
          <w:spacing w:val="-56"/>
        </w:rPr>
        <w:t> </w:t>
      </w:r>
      <w:r>
        <w:rPr>
          <w:spacing w:val="-56"/>
        </w:rPr>
      </w:r>
      <w:r>
        <w:rPr>
          <w:spacing w:val="-3"/>
        </w:rPr>
        <w:t>票，并于1996年在深圳证券交易所上市交易。本公司的注册资本为人民币31,458.67万元，注册登记号为：410000100019968。</w:t>
      </w:r>
    </w:p>
    <w:p>
      <w:pPr>
        <w:pStyle w:val="BodyText"/>
        <w:spacing w:line="316" w:lineRule="auto" w:before="139"/>
        <w:ind w:right="187" w:firstLine="420"/>
        <w:jc w:val="both"/>
      </w:pPr>
      <w:r>
        <w:rPr/>
        <w:t>2009 年9 月30</w:t>
      </w:r>
      <w:r>
        <w:rPr>
          <w:spacing w:val="-2"/>
        </w:rPr>
        <w:t> </w:t>
      </w:r>
      <w:r>
        <w:rPr/>
        <w:t>日，本公司原控股股东河南思达科技发展股份有限公司与河南正弘置业有限公司签订了《股权转让协</w:t>
      </w:r>
      <w:r>
        <w:rPr/>
        <w:t> 议》，河南正弘置业有限公司受让河南思达科技发展股份有限公司持有的本公司29.24%的股权，合计9200万股，并于2009</w:t>
      </w:r>
      <w:r>
        <w:rPr>
          <w:spacing w:val="-10"/>
        </w:rPr>
        <w:t> </w:t>
      </w:r>
      <w:r>
        <w:rPr>
          <w:spacing w:val="-10"/>
        </w:rPr>
      </w:r>
      <w:r>
        <w:rPr/>
        <w:t>年11月18日在中国证券登记结算有限公司深圳分公司完成了登记和交割变更，本公司控股股东变更为河南正弘置业有限公</w:t>
      </w:r>
      <w:r>
        <w:rPr>
          <w:spacing w:val="-10"/>
        </w:rPr>
        <w:t> </w:t>
      </w:r>
      <w:r>
        <w:rPr>
          <w:spacing w:val="-10"/>
        </w:rPr>
      </w:r>
      <w:r>
        <w:rPr/>
        <w:t>司，实际控制人变更为李向清先生。</w:t>
      </w:r>
    </w:p>
    <w:p>
      <w:pPr>
        <w:pStyle w:val="BodyText"/>
        <w:spacing w:line="316" w:lineRule="auto" w:before="139"/>
        <w:ind w:right="187" w:firstLine="420"/>
        <w:jc w:val="both"/>
      </w:pPr>
      <w:r>
        <w:rPr/>
        <w:t>2014年12月29日，本公司原控股股东河南正弘置业有限公司与北京智度德普股权投资中心（有限合伙）签订了《股权</w:t>
      </w:r>
      <w:r>
        <w:rPr>
          <w:spacing w:val="1"/>
        </w:rPr>
        <w:t> </w:t>
      </w:r>
      <w:r>
        <w:rPr/>
        <w:t>转让协议》，北京智度德普股权投资中心（有限合伙）受让河南正弘置业有限公司持有的本公司20.03%的股权，合计6300</w:t>
      </w:r>
      <w:r>
        <w:rPr>
          <w:spacing w:val="-10"/>
        </w:rPr>
        <w:t> </w:t>
      </w:r>
      <w:r>
        <w:rPr>
          <w:spacing w:val="-10"/>
        </w:rPr>
      </w:r>
      <w:r>
        <w:rPr>
          <w:spacing w:val="-2"/>
        </w:rPr>
        <w:t>万股，并于2014年12月31日在中国证券登记结算有限公司深圳分公司完成了登记和交割变更，本公司的控股股东变更为北京</w:t>
      </w:r>
      <w:r>
        <w:rPr>
          <w:spacing w:val="-56"/>
        </w:rPr>
        <w:t> </w:t>
      </w:r>
      <w:r>
        <w:rPr>
          <w:spacing w:val="-56"/>
        </w:rPr>
      </w:r>
      <w:r>
        <w:rPr/>
        <w:t>智度德普股权投资中心（有限合伙），实际控制人变更为吴红心。2015年1月28日召开第一次股东大会临时大会，大会决议</w:t>
      </w:r>
      <w:r>
        <w:rPr>
          <w:spacing w:val="-83"/>
        </w:rPr>
        <w:t> </w:t>
      </w:r>
      <w:r>
        <w:rPr>
          <w:spacing w:val="-83"/>
        </w:rPr>
      </w:r>
      <w:r>
        <w:rPr/>
        <w:t>公司名称变更为智度投资股份有限公司。</w:t>
      </w:r>
    </w:p>
    <w:p>
      <w:pPr>
        <w:pStyle w:val="BodyText"/>
        <w:spacing w:line="439" w:lineRule="auto" w:before="139"/>
        <w:ind w:left="574" w:right="1200"/>
        <w:jc w:val="left"/>
      </w:pPr>
      <w:r>
        <w:rPr/>
        <w:t>2.企业注册地 注册地址：中国河南郑州高新技术产业开发区玉兰街101号，法定代表人：赵立仁，股票代码为000676。 3.业务性质</w:t>
      </w:r>
    </w:p>
    <w:p>
      <w:pPr>
        <w:pStyle w:val="BodyText"/>
        <w:spacing w:line="316" w:lineRule="auto" w:before="47"/>
        <w:ind w:right="186" w:firstLine="420"/>
        <w:jc w:val="both"/>
      </w:pPr>
      <w:r>
        <w:rPr/>
        <w:t>主要经营范围为投资与资产管理，投资咨询，经济贸易咨询，仪器仪表、工业自动化设备、电子计算机软硬件及设备</w:t>
      </w:r>
      <w:r>
        <w:rPr>
          <w:spacing w:val="1"/>
        </w:rPr>
        <w:t> </w:t>
      </w:r>
      <w:r>
        <w:rPr>
          <w:spacing w:val="-2"/>
        </w:rPr>
        <w:t>的开发、生产、加工、销售；自动化工程；信息服务，高、低压配电设备，经营本企业自产产品及技术的出口业务，代理出</w:t>
      </w:r>
      <w:r>
        <w:rPr>
          <w:spacing w:val="-69"/>
        </w:rPr>
        <w:t> </w:t>
      </w:r>
      <w:r>
        <w:rPr>
          <w:spacing w:val="-69"/>
        </w:rPr>
      </w:r>
      <w:r>
        <w:rPr/>
        <w:t>口将本企业技术转让给其他企业所生产的产品。</w:t>
      </w:r>
    </w:p>
    <w:p>
      <w:pPr>
        <w:pStyle w:val="BodyText"/>
        <w:spacing w:line="439" w:lineRule="auto" w:before="139"/>
        <w:ind w:right="5580" w:firstLine="420"/>
        <w:jc w:val="left"/>
      </w:pPr>
      <w:r>
        <w:rPr/>
        <w:t>4．财务报告的批准报出日 本财务报表经公司董事会于2016年2月29日批准报出。</w:t>
      </w:r>
    </w:p>
    <w:p>
      <w:pPr>
        <w:pStyle w:val="BodyText"/>
        <w:spacing w:line="430" w:lineRule="atLeast" w:before="44"/>
        <w:ind w:left="514" w:right="180" w:firstLine="60"/>
        <w:jc w:val="left"/>
      </w:pPr>
      <w:r>
        <w:rPr/>
        <w:t>（二）合并财务报表范围 截至报告期末，纳入合并财务报表范围的子公司共计1家，详见本附注六、合并范围的变更及本附注七、在其他主体中</w:t>
      </w:r>
    </w:p>
    <w:p>
      <w:pPr>
        <w:pStyle w:val="BodyText"/>
        <w:spacing w:line="240" w:lineRule="auto" w:before="76"/>
        <w:ind w:right="0"/>
        <w:jc w:val="left"/>
      </w:pPr>
      <w:r>
        <w:rPr/>
        <w:t>的权益。</w:t>
      </w:r>
    </w:p>
    <w:p>
      <w:pPr>
        <w:pStyle w:val="BodyText"/>
        <w:spacing w:line="240" w:lineRule="auto" w:before="76"/>
        <w:ind w:left="514" w:right="0"/>
        <w:jc w:val="left"/>
      </w:pPr>
      <w:r>
        <w:rPr/>
        <w:t>本报告期合并财务报表范围变化情况详见本附注六、七、八。</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本财务报表以公司持续经营假设为基础，根据实际发生的交易事项，按照企业会计准则的有关规定，并基于本附注三、“重</w:t>
      </w:r>
      <w:r>
        <w:rPr>
          <w:spacing w:val="-66"/>
        </w:rPr>
        <w:t> </w:t>
      </w:r>
      <w:r>
        <w:rPr>
          <w:spacing w:val="-66"/>
        </w:rPr>
      </w:r>
      <w:r>
        <w:rPr/>
        <w:t>要会计政策和会计估计”进行编制。</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本公司自本报告期末起12个月内不存在对本公司持续经营能力产生重大疑虑的事项或情况。</w:t>
      </w:r>
    </w:p>
    <w:p>
      <w:pPr>
        <w:spacing w:after="0" w:line="240" w:lineRule="auto"/>
        <w:jc w:val="left"/>
        <w:sectPr>
          <w:headerReference w:type="default" r:id="rId18"/>
          <w:footerReference w:type="default" r:id="rId19"/>
          <w:pgSz w:w="11910" w:h="16840"/>
          <w:pgMar w:header="877" w:footer="982" w:top="1100" w:bottom="1180" w:left="980" w:right="940"/>
          <w:pgNumType w:start="75"/>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7070"/>
        <w:jc w:val="left"/>
      </w:pPr>
      <w:r>
        <w:rPr/>
        <w:t>具体会计政策和会计估计提示：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本公司所编制的财务报表符合企业会计准则的要求，真实、完整地反映了公司的财务状况、经营成果、股东权益变动和现金</w:t>
      </w:r>
      <w:r>
        <w:rPr>
          <w:spacing w:val="-66"/>
        </w:rPr>
        <w:t> </w:t>
      </w:r>
      <w:r>
        <w:rPr>
          <w:spacing w:val="-66"/>
        </w:rPr>
      </w:r>
      <w:r>
        <w:rPr/>
        <w:t>流量等有关信息。</w:t>
      </w:r>
    </w:p>
    <w:p>
      <w:pPr>
        <w:spacing w:line="240" w:lineRule="auto" w:before="7"/>
        <w:rPr>
          <w:rFonts w:ascii="宋体" w:hAnsi="宋体" w:cs="宋体" w:eastAsia="宋体" w:hint="default"/>
          <w:sz w:val="22"/>
          <w:szCs w:val="22"/>
        </w:rPr>
      </w:pPr>
    </w:p>
    <w:p>
      <w:pPr>
        <w:spacing w:line="506" w:lineRule="auto" w:before="0"/>
        <w:ind w:left="154" w:right="53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本公司会计年度自公历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88"/>
        <w:ind w:right="0" w:firstLine="420"/>
        <w:jc w:val="left"/>
      </w:pPr>
      <w:r>
        <w:rPr/>
        <w:t>正常营业周期，是指企业从购买用于加工的资产起至实现现金或现金等价物的期间。本公司正常营业周期短于一年。</w:t>
      </w:r>
    </w:p>
    <w:p>
      <w:pPr>
        <w:spacing w:line="240" w:lineRule="auto" w:before="0"/>
        <w:rPr>
          <w:rFonts w:ascii="宋体" w:hAnsi="宋体" w:cs="宋体" w:eastAsia="宋体" w:hint="default"/>
          <w:sz w:val="15"/>
          <w:szCs w:val="15"/>
        </w:rPr>
      </w:pPr>
    </w:p>
    <w:p>
      <w:pPr>
        <w:pStyle w:val="BodyText"/>
        <w:spacing w:line="316" w:lineRule="auto"/>
        <w:ind w:right="0"/>
        <w:jc w:val="left"/>
      </w:pPr>
      <w:r>
        <w:rPr>
          <w:spacing w:val="-2"/>
        </w:rPr>
        <w:t>正常营业周期短于一年的，自资产负债表日起一年内变现的资产或自资产负债表日起一年内到期应予以清偿的负债归类为流</w:t>
      </w:r>
      <w:r>
        <w:rPr>
          <w:spacing w:val="-64"/>
        </w:rPr>
        <w:t> </w:t>
      </w:r>
      <w:r>
        <w:rPr>
          <w:spacing w:val="-64"/>
        </w:rPr>
      </w:r>
      <w:r>
        <w:rPr/>
        <w:t>动资产或流动负债。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本公司以为人民币记账本位币。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430" w:lineRule="atLeast" w:before="152"/>
        <w:ind w:left="574" w:right="0"/>
        <w:jc w:val="left"/>
      </w:pPr>
      <w:r>
        <w:rPr/>
        <w:t>1．同一控制下企业合并的会计处理方法 参与合并的企业在合并前后均受同一方或相同的多方最终控制，且该控制并非暂时性的，为同一控制下的企业合并。</w:t>
      </w:r>
    </w:p>
    <w:p>
      <w:pPr>
        <w:pStyle w:val="BodyText"/>
        <w:spacing w:line="316" w:lineRule="auto" w:before="76"/>
        <w:ind w:right="0"/>
        <w:jc w:val="left"/>
      </w:pPr>
      <w:r>
        <w:rPr>
          <w:spacing w:val="-2"/>
        </w:rPr>
        <w:t>同一控制下的企业合并，在合并日取得对其他参与合并企业控制权的一方为合并方，参与合并的其他企业为被合并方。合并</w:t>
      </w:r>
      <w:r>
        <w:rPr>
          <w:spacing w:val="-66"/>
        </w:rPr>
        <w:t> </w:t>
      </w:r>
      <w:r>
        <w:rPr>
          <w:spacing w:val="-66"/>
        </w:rPr>
      </w:r>
      <w:r>
        <w:rPr/>
        <w:t>日，是指合并方实际取得对被合并方控制权的日期。</w:t>
      </w:r>
    </w:p>
    <w:p>
      <w:pPr>
        <w:pStyle w:val="BodyText"/>
        <w:spacing w:line="316" w:lineRule="auto" w:before="139"/>
        <w:ind w:right="146" w:firstLine="420"/>
        <w:jc w:val="both"/>
      </w:pPr>
      <w:r>
        <w:rPr/>
        <w:t>本公司在一次交易取得或通过多次交易分步实现同一控制下企业合并，企业合并中取得的资产和负债，按照合并日被</w:t>
      </w:r>
      <w:r>
        <w:rPr>
          <w:spacing w:val="1"/>
        </w:rPr>
        <w:t> </w:t>
      </w:r>
      <w:r>
        <w:rPr>
          <w:spacing w:val="-2"/>
        </w:rPr>
        <w:t>合并方所有者权益在最终控制方合并财务报表的账面价值的份额计量。本公司取得的净资产账面价值与支付的合并对价账面</w:t>
      </w:r>
      <w:r>
        <w:rPr>
          <w:spacing w:val="-64"/>
        </w:rPr>
        <w:t> </w:t>
      </w:r>
      <w:r>
        <w:rPr>
          <w:spacing w:val="-64"/>
        </w:rPr>
      </w:r>
      <w:r>
        <w:rPr/>
        <w:t>价值（或发行股份面值总额）的差额，调整资本公积；资本公积不足冲减的，调整留存收益。</w:t>
      </w:r>
    </w:p>
    <w:p>
      <w:pPr>
        <w:pStyle w:val="BodyText"/>
        <w:spacing w:line="439" w:lineRule="auto" w:before="139"/>
        <w:ind w:left="573" w:right="3771"/>
        <w:jc w:val="left"/>
      </w:pPr>
      <w:r>
        <w:rPr/>
        <w:t>合并方为进行企业合并发生的各项直接费用，于发生时计入当期损益。 合并财务报表的会计处理</w:t>
      </w:r>
    </w:p>
    <w:p>
      <w:pPr>
        <w:pStyle w:val="BodyText"/>
        <w:spacing w:line="316" w:lineRule="auto" w:before="47"/>
        <w:ind w:right="146" w:firstLine="420"/>
        <w:jc w:val="both"/>
      </w:pPr>
      <w:r>
        <w:rPr/>
        <w:t>合并方在达到合并之前持有的长期股权投资，在取得日与合并方与被合并方同处于同一方最终控制之日孰晚日与合并</w:t>
      </w:r>
      <w:r>
        <w:rPr>
          <w:spacing w:val="1"/>
        </w:rPr>
        <w:t> </w:t>
      </w:r>
      <w:r>
        <w:rPr/>
        <w:t>日之间已确认有关损益、其他综合收益和其他所有者权益变动，应分别冲减比较报表期间的期初留存收益或当期损益。</w:t>
      </w:r>
    </w:p>
    <w:p>
      <w:pPr>
        <w:pStyle w:val="BodyText"/>
        <w:spacing w:line="439" w:lineRule="auto" w:before="139"/>
        <w:ind w:left="573" w:right="0"/>
        <w:jc w:val="left"/>
      </w:pPr>
      <w:r>
        <w:rPr/>
        <w:t>2．非同一控制下企业合并的会计处理方法 参与合并的企业在合并前后不受同一方或相同的多方最终控制的，为非同一控制下的企业合并。非同一控制下的企业</w:t>
      </w:r>
    </w:p>
    <w:p>
      <w:pPr>
        <w:spacing w:after="0" w:line="439"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16" w:lineRule="auto" w:before="44"/>
        <w:ind w:left="153" w:right="191"/>
        <w:jc w:val="both"/>
      </w:pPr>
      <w:r>
        <w:rPr>
          <w:spacing w:val="-2"/>
        </w:rPr>
        <w:t>合并，在购买日取得对其他参与合并企业控制权的一方为购买方，参与合并的其他企业为被购买方。购买日，是指为购买方</w:t>
      </w:r>
      <w:r>
        <w:rPr>
          <w:spacing w:val="-66"/>
        </w:rPr>
        <w:t> </w:t>
      </w:r>
      <w:r>
        <w:rPr>
          <w:spacing w:val="-66"/>
        </w:rPr>
      </w:r>
      <w:r>
        <w:rPr/>
        <w:t>实际取得对被购买方控制权的日期。</w:t>
      </w:r>
    </w:p>
    <w:p>
      <w:pPr>
        <w:pStyle w:val="BodyText"/>
        <w:spacing w:line="316" w:lineRule="auto" w:before="139"/>
        <w:ind w:left="153" w:right="186" w:firstLine="420"/>
        <w:jc w:val="both"/>
      </w:pPr>
      <w:r>
        <w:rPr/>
        <w:t>本公司在购买日对合并成本大于合并中取得的被购买方可辨认净资产公允价值份额的差额，确认为商誉；如果合并成</w:t>
      </w:r>
      <w:r>
        <w:rPr>
          <w:spacing w:val="1"/>
        </w:rPr>
        <w:t> </w:t>
      </w:r>
      <w:r>
        <w:rPr>
          <w:spacing w:val="-2"/>
        </w:rPr>
        <w:t>本小于合并中取得的被购买方可辨认净资产公允价值份额，首先对取得的被购买方各项可辨认资产、负债及或有负债的公允</w:t>
      </w:r>
      <w:r>
        <w:rPr>
          <w:spacing w:val="-64"/>
        </w:rPr>
        <w:t> </w:t>
      </w:r>
      <w:r>
        <w:rPr>
          <w:spacing w:val="-64"/>
        </w:rPr>
      </w:r>
      <w:r>
        <w:rPr>
          <w:spacing w:val="-2"/>
        </w:rPr>
        <w:t>价值以及合并成本的计量进行复核，经复核后合并成本仍小于合并中取得的被购买方可辨认净资产公允价值份额的，其差额</w:t>
      </w:r>
      <w:r>
        <w:rPr>
          <w:spacing w:val="-64"/>
        </w:rPr>
        <w:t> </w:t>
      </w:r>
      <w:r>
        <w:rPr>
          <w:spacing w:val="-64"/>
        </w:rPr>
      </w:r>
      <w:r>
        <w:rPr/>
        <w:t>计入当期损益。</w:t>
      </w:r>
    </w:p>
    <w:p>
      <w:pPr>
        <w:pStyle w:val="BodyText"/>
        <w:spacing w:line="316" w:lineRule="auto" w:before="139"/>
        <w:ind w:left="153" w:right="187" w:firstLine="420"/>
        <w:jc w:val="both"/>
      </w:pPr>
      <w:r>
        <w:rPr/>
        <w:t>购买方取得被购买方的可抵扣暂时性差异，在购买日因不符合递延所得税资产确认条件而未予确认的，在购买日后12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16" w:lineRule="auto" w:before="139"/>
        <w:ind w:left="153" w:right="97" w:firstLine="420"/>
        <w:jc w:val="left"/>
      </w:pPr>
      <w:r>
        <w:rPr>
          <w:spacing w:val="-6"/>
        </w:rPr>
        <w:t>通过多次交易分步实现的非同一控制下企业合并，根据《财政部关于印发企业会计准则解释第5号的通知》（财会〔2012〕</w:t>
      </w:r>
      <w:r>
        <w:rPr/>
        <w:t> </w:t>
      </w:r>
      <w:r>
        <w:rPr>
          <w:spacing w:val="-2"/>
        </w:rPr>
        <w:t>19号）和《企业会计准则第33号——合并财务报表》第五十一条关于“一揽子交易”的判断标准，判断该多次交易是否属于</w:t>
      </w:r>
      <w:r>
        <w:rPr>
          <w:spacing w:val="-64"/>
        </w:rPr>
        <w:t> </w:t>
      </w:r>
      <w:r>
        <w:rPr>
          <w:spacing w:val="-64"/>
        </w:rPr>
      </w:r>
      <w:r>
        <w:rPr>
          <w:spacing w:val="-2"/>
        </w:rPr>
        <w:t>“一揽子交易”。属于“一揽子交易”的，参考本部分前面各段描述及《长期股权投资》准则进行会计处理；不属于“一揽</w:t>
      </w:r>
      <w:r>
        <w:rPr>
          <w:spacing w:val="-69"/>
        </w:rPr>
        <w:t> </w:t>
      </w:r>
      <w:r>
        <w:rPr>
          <w:spacing w:val="-69"/>
        </w:rPr>
      </w:r>
      <w:r>
        <w:rPr/>
        <w:t>子交易”的，区分个别财务报表和合并财务报表进行相关会计处理：</w:t>
      </w:r>
    </w:p>
    <w:p>
      <w:pPr>
        <w:pStyle w:val="BodyText"/>
        <w:spacing w:line="316" w:lineRule="auto" w:before="139"/>
        <w:ind w:left="153" w:right="186" w:firstLine="420"/>
        <w:jc w:val="both"/>
      </w:pPr>
      <w:r>
        <w:rPr/>
        <w:t>在个别财务报表中，以购买日之前所持被购买方的股权投资的账面价值与购买日新增投资成本之和，作为该项投资的</w:t>
      </w:r>
      <w:r>
        <w:rPr>
          <w:spacing w:val="1"/>
        </w:rPr>
        <w:t> </w:t>
      </w:r>
      <w:r>
        <w:rPr>
          <w:spacing w:val="-2"/>
        </w:rPr>
        <w:t>初始投资成本；购买日之前持有的被购买方的股权涉及其他综合收益的，在处置该项投资时将与其相关的其他综合收益采用</w:t>
      </w:r>
      <w:r>
        <w:rPr>
          <w:spacing w:val="-64"/>
        </w:rPr>
        <w:t> </w:t>
      </w:r>
      <w:r>
        <w:rPr>
          <w:spacing w:val="-64"/>
        </w:rPr>
      </w:r>
      <w:r>
        <w:rPr>
          <w:spacing w:val="-2"/>
        </w:rPr>
        <w:t>与被购买方直接处置相关资产或负债相同的基础进行会计处理（即，除了按照权益法核算的在被购买方重新计量设定受益计</w:t>
      </w:r>
      <w:r>
        <w:rPr>
          <w:spacing w:val="-64"/>
        </w:rPr>
        <w:t> </w:t>
      </w:r>
      <w:r>
        <w:rPr>
          <w:spacing w:val="-64"/>
        </w:rPr>
      </w:r>
      <w:r>
        <w:rPr/>
        <w:t>划净负债或净资产导致的变动中的相应份额以外，其余转入当期投资收益）。</w:t>
      </w:r>
    </w:p>
    <w:p>
      <w:pPr>
        <w:pStyle w:val="BodyText"/>
        <w:spacing w:line="316" w:lineRule="auto" w:before="139"/>
        <w:ind w:left="153" w:right="186" w:firstLine="420"/>
        <w:jc w:val="both"/>
      </w:pPr>
      <w:r>
        <w:rPr/>
        <w:t>在合并财务报表中，对于购买日之前持有的被购买方的股权，按照该股权在购买日的公允价值进行重新计量，公允价</w:t>
      </w:r>
      <w:r>
        <w:rPr>
          <w:spacing w:val="1"/>
        </w:rPr>
        <w:t> </w:t>
      </w:r>
      <w:r>
        <w:rPr>
          <w:spacing w:val="-2"/>
        </w:rPr>
        <w:t>值与其账面价值的差额计入当期投资收益；购买日之前持有的被购买方的股权涉及其他综合收益的，与其相关的其他综合收</w:t>
      </w:r>
      <w:r>
        <w:rPr>
          <w:spacing w:val="-64"/>
        </w:rPr>
        <w:t> </w:t>
      </w:r>
      <w:r>
        <w:rPr>
          <w:spacing w:val="-64"/>
        </w:rPr>
      </w:r>
      <w:r>
        <w:rPr>
          <w:spacing w:val="-2"/>
        </w:rPr>
        <w:t>益应当采用与被购买方直接处置相关资产或负债相同的基础进行会计处理（即，除了按照权益法核算的在被购买方重新计量</w:t>
      </w:r>
      <w:r>
        <w:rPr>
          <w:spacing w:val="-64"/>
        </w:rPr>
        <w:t> </w:t>
      </w:r>
      <w:r>
        <w:rPr>
          <w:spacing w:val="-64"/>
        </w:rPr>
      </w:r>
      <w:r>
        <w:rPr/>
        <w:t>设定受益计划净负债或净资产导致的变动中的相应份额以外，其余转为购买日所属当期投资收益）。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430" w:lineRule="atLeast" w:before="152"/>
        <w:ind w:left="574" w:right="0"/>
        <w:jc w:val="left"/>
      </w:pPr>
      <w:r>
        <w:rPr/>
        <w:t>1．合并财务报表范围的确定原则 合并财务报表的合并范围以控制为基础予以确定。控制是指本公司拥有对被投资方的权力，通过参与被投资方的相关</w:t>
      </w:r>
    </w:p>
    <w:p>
      <w:pPr>
        <w:pStyle w:val="BodyText"/>
        <w:spacing w:line="316" w:lineRule="auto" w:before="76"/>
        <w:ind w:right="189"/>
        <w:jc w:val="both"/>
      </w:pPr>
      <w:r>
        <w:rPr>
          <w:spacing w:val="-2"/>
        </w:rPr>
        <w:t>活动而享有可变回报，并且有能力运用对被投资方的权力影响其回报金额。相关活动是指对被投资方的回报产生重大影响的</w:t>
      </w:r>
      <w:r>
        <w:rPr>
          <w:spacing w:val="-64"/>
        </w:rPr>
        <w:t> </w:t>
      </w:r>
      <w:r>
        <w:rPr>
          <w:spacing w:val="-64"/>
        </w:rPr>
      </w:r>
      <w:r>
        <w:rPr>
          <w:spacing w:val="-2"/>
        </w:rPr>
        <w:t>活动。被投资方的相关活动根据具体情况进行判断，通常包括商品或劳务的销售和购买、金融资产的管理、资产的购买和处</w:t>
      </w:r>
      <w:r>
        <w:rPr>
          <w:spacing w:val="-66"/>
        </w:rPr>
        <w:t> </w:t>
      </w:r>
      <w:r>
        <w:rPr>
          <w:spacing w:val="-66"/>
        </w:rPr>
      </w:r>
      <w:r>
        <w:rPr/>
        <w:t>置、研究与开发活动以及融资活动等。</w:t>
      </w:r>
    </w:p>
    <w:p>
      <w:pPr>
        <w:pStyle w:val="BodyText"/>
        <w:spacing w:line="439" w:lineRule="auto" w:before="139"/>
        <w:ind w:left="574" w:right="1470"/>
        <w:jc w:val="left"/>
      </w:pPr>
      <w:r>
        <w:rPr/>
        <w:t>合并范围包括本公司及全部子公司。子公司，是指被本公司控制的企业或主体。 一旦相关事实和情况的变化导致上述控制定义涉及的相关要素发生了变化，本公司将进行重新评估。 2．合并财务报表编制的方法 本公司以自身和子公司的财务报表为基础，根据其他有关资料，编制合并财务报表。</w:t>
      </w:r>
    </w:p>
    <w:p>
      <w:pPr>
        <w:pStyle w:val="BodyText"/>
        <w:spacing w:line="316" w:lineRule="auto" w:before="47"/>
        <w:ind w:right="186" w:firstLine="420"/>
        <w:jc w:val="both"/>
      </w:pPr>
      <w:r>
        <w:rPr/>
        <w:t>从取得子公司的净资产和生产经营决策的实际控制权之日起，本公司开始将其纳入合并范围；从丧失实际控制权之日</w:t>
      </w:r>
      <w:r>
        <w:rPr>
          <w:spacing w:val="1"/>
        </w:rPr>
        <w:t> </w:t>
      </w: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6"/>
        </w:rPr>
        <w:t> </w:t>
      </w:r>
      <w:r>
        <w:rPr>
          <w:spacing w:val="-66"/>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并增加的子公司，其自合并当期期初至合并日的经营成果和现金流量已经适当地包括在合并利润表和合并现金流量表中，并</w:t>
      </w:r>
    </w:p>
    <w:p>
      <w:pPr>
        <w:spacing w:after="0" w:line="316"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both"/>
      </w:pPr>
      <w:r>
        <w:rPr/>
        <w:t>且同时调整合并财务报表的对比数。</w:t>
      </w:r>
    </w:p>
    <w:p>
      <w:pPr>
        <w:spacing w:line="240" w:lineRule="auto" w:before="0"/>
        <w:rPr>
          <w:rFonts w:ascii="宋体" w:hAnsi="宋体" w:cs="宋体" w:eastAsia="宋体" w:hint="default"/>
          <w:sz w:val="15"/>
          <w:szCs w:val="15"/>
        </w:rPr>
      </w:pPr>
    </w:p>
    <w:p>
      <w:pPr>
        <w:pStyle w:val="BodyText"/>
        <w:spacing w:line="316" w:lineRule="auto"/>
        <w:ind w:left="153" w:right="146" w:firstLine="420"/>
        <w:jc w:val="both"/>
      </w:pPr>
      <w:r>
        <w:rPr/>
        <w:t>在编制合并财务报表时，子公司与本公司采用的会计政策或会计期间不一致的，按照本公司的会计政策和会计期间对</w:t>
      </w:r>
      <w:r>
        <w:rPr>
          <w:spacing w:val="1"/>
        </w:rPr>
        <w:t> </w:t>
      </w: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432" w:lineRule="exact" w:before="3"/>
        <w:ind w:left="573" w:right="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16" w:lineRule="auto" w:before="15"/>
        <w:ind w:left="153" w:right="151"/>
        <w:jc w:val="both"/>
      </w:pPr>
      <w:r>
        <w:rPr>
          <w:spacing w:val="-2"/>
        </w:rPr>
        <w:t>中股东权益及净利润项下单独列示。子公司当期净损益中属于少数股东权益的份额，在合并利润表中净利润项目下以“少数</w:t>
      </w:r>
      <w:r>
        <w:rPr>
          <w:spacing w:val="-66"/>
        </w:rPr>
        <w:t> </w:t>
      </w:r>
      <w:r>
        <w:rPr>
          <w:spacing w:val="-66"/>
        </w:rPr>
      </w:r>
      <w:r>
        <w:rPr>
          <w:spacing w:val="-2"/>
        </w:rPr>
        <w:t>股东损益”项目列示。少数股东分担的子公司的亏损超过了少数股东在该子公司期初股东权益中所享有的份额，冲减少数股</w:t>
      </w:r>
      <w:r>
        <w:rPr>
          <w:spacing w:val="-66"/>
        </w:rPr>
        <w:t> </w:t>
      </w:r>
      <w:r>
        <w:rPr>
          <w:spacing w:val="-66"/>
        </w:rPr>
      </w:r>
      <w:r>
        <w:rPr/>
        <w:t>东权益。</w:t>
      </w:r>
    </w:p>
    <w:p>
      <w:pPr>
        <w:pStyle w:val="BodyText"/>
        <w:spacing w:line="316" w:lineRule="auto" w:before="139"/>
        <w:ind w:left="153" w:right="146" w:firstLine="420"/>
        <w:jc w:val="both"/>
      </w:pPr>
      <w:r>
        <w:rPr/>
        <w:t>当因处置部分股权投资或其他原因丧失了对原有子公司的控制权时，对于剩余股权，按照其在丧失控制权日的公允价</w:t>
      </w:r>
      <w:r>
        <w:rPr>
          <w:spacing w:val="1"/>
        </w:rPr>
        <w:t>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6"/>
        </w:rPr>
        <w:t> </w:t>
      </w:r>
      <w:r>
        <w:rPr>
          <w:spacing w:val="-66"/>
        </w:rPr>
      </w:r>
      <w:r>
        <w:rPr>
          <w:spacing w:val="-2"/>
        </w:rPr>
        <w:t>控制权时采用与被购买方直接处置相关资产或负债相同的基础进行会计处理（即，除了在该原有子公司重新计量设定受益计</w:t>
      </w:r>
      <w:r>
        <w:rPr>
          <w:spacing w:val="-64"/>
        </w:rPr>
        <w:t> </w:t>
      </w:r>
      <w:r>
        <w:rPr>
          <w:spacing w:val="-64"/>
        </w:rPr>
      </w:r>
      <w:r>
        <w:rPr>
          <w:spacing w:val="-4"/>
        </w:rPr>
        <w:t>划净负债或净资产导致的变动以外，其余一并转为当期投资收益）。其后，对该部分剩余股权按照《企业会计准则第2号——</w:t>
      </w:r>
      <w:r>
        <w:rPr>
          <w:spacing w:val="-44"/>
        </w:rPr>
        <w:t> </w:t>
      </w:r>
      <w:r>
        <w:rPr>
          <w:spacing w:val="-44"/>
        </w:rPr>
      </w:r>
      <w:r>
        <w:rPr/>
        <w:t>长期股权投资》或《企业会计准则第22号——金融工具确认和计量》等相关规定进行后续计量。</w:t>
      </w:r>
    </w:p>
    <w:p>
      <w:pPr>
        <w:pStyle w:val="BodyText"/>
        <w:spacing w:line="316" w:lineRule="auto" w:before="139"/>
        <w:ind w:left="153" w:right="146" w:firstLine="420"/>
        <w:jc w:val="both"/>
      </w:pPr>
      <w:r>
        <w:rPr/>
        <w:t>本公司通过多次交易分步处置对子公司股权投资直至丧失控制权的，需区分处置对子公司股权投资直至丧失控制权的</w:t>
      </w:r>
      <w:r>
        <w:rPr>
          <w:spacing w:val="1"/>
        </w:rPr>
        <w:t> </w:t>
      </w:r>
      <w:r>
        <w:rPr>
          <w:spacing w:val="-2"/>
        </w:rPr>
        <w:t>各项交易是否属于一揽子交易。处置对子公司股权投资的各项交易的条款、条件以及经济影响符合以下一种或多种情况，通</w:t>
      </w:r>
      <w:r>
        <w:rPr>
          <w:spacing w:val="-66"/>
        </w:rPr>
        <w:t> </w:t>
      </w:r>
      <w:r>
        <w:rPr>
          <w:spacing w:val="-66"/>
        </w:rPr>
      </w:r>
      <w:r>
        <w:rPr/>
        <w:t>常表明应将多次交易事项作为一揽子交易进行会计处理：</w:t>
      </w:r>
    </w:p>
    <w:p>
      <w:pPr>
        <w:pStyle w:val="BodyText"/>
        <w:spacing w:line="240" w:lineRule="auto" w:before="139"/>
        <w:ind w:left="573" w:right="0"/>
        <w:jc w:val="left"/>
      </w:pPr>
      <w:r>
        <w:rPr/>
        <w:t>（1）这些交易是同时或者在考虑了彼此影响的情况下订立的；</w:t>
      </w:r>
    </w:p>
    <w:p>
      <w:pPr>
        <w:spacing w:line="240" w:lineRule="auto" w:before="0"/>
        <w:rPr>
          <w:rFonts w:ascii="宋体" w:hAnsi="宋体" w:cs="宋体" w:eastAsia="宋体" w:hint="default"/>
          <w:sz w:val="15"/>
          <w:szCs w:val="15"/>
        </w:rPr>
      </w:pPr>
    </w:p>
    <w:p>
      <w:pPr>
        <w:pStyle w:val="BodyText"/>
        <w:spacing w:line="240" w:lineRule="auto"/>
        <w:ind w:left="573" w:right="0"/>
        <w:jc w:val="left"/>
      </w:pPr>
      <w:r>
        <w:rPr/>
        <w:t>（2）这些交易整体才能达成一项完整的商业结果；</w:t>
      </w:r>
    </w:p>
    <w:p>
      <w:pPr>
        <w:spacing w:line="240" w:lineRule="auto" w:before="0"/>
        <w:rPr>
          <w:rFonts w:ascii="宋体" w:hAnsi="宋体" w:cs="宋体" w:eastAsia="宋体" w:hint="default"/>
          <w:sz w:val="15"/>
          <w:szCs w:val="15"/>
        </w:rPr>
      </w:pPr>
    </w:p>
    <w:p>
      <w:pPr>
        <w:pStyle w:val="BodyText"/>
        <w:spacing w:line="240" w:lineRule="auto"/>
        <w:ind w:left="573" w:right="0"/>
        <w:jc w:val="left"/>
      </w:pPr>
      <w:r>
        <w:rPr/>
        <w:t>（3）一项交易的发生取决于其他至少一项交易的发生；</w:t>
      </w:r>
    </w:p>
    <w:p>
      <w:pPr>
        <w:pStyle w:val="BodyText"/>
        <w:spacing w:line="430" w:lineRule="atLeast" w:before="2"/>
        <w:ind w:left="573" w:right="0"/>
        <w:jc w:val="left"/>
      </w:pPr>
      <w:r>
        <w:rPr/>
        <w:t>（4）一项交易单独看是不经济的，但是和其他交易一并考虑时是经济的。 不属于一揽子交易的，对其中的每一项交易视情况分别按照“不丧失控制权的情况下部分处置对子公司的长期股权投</w:t>
      </w:r>
    </w:p>
    <w:p>
      <w:pPr>
        <w:pStyle w:val="BodyText"/>
        <w:spacing w:line="316" w:lineRule="auto" w:before="76"/>
        <w:ind w:left="153" w:right="150"/>
        <w:jc w:val="both"/>
      </w:pPr>
      <w:r>
        <w:rPr>
          <w:spacing w:val="-2"/>
        </w:rPr>
        <w:t>资”适用的原则进行会计处理。处置对子公司股权投资直至丧失控制权的各项交易属于一揽子交易的，将各项交易作为一项</w:t>
      </w:r>
      <w:r>
        <w:rPr>
          <w:spacing w:val="-66"/>
        </w:rPr>
        <w:t> </w:t>
      </w:r>
      <w:r>
        <w:rPr>
          <w:spacing w:val="-66"/>
        </w:rPr>
      </w:r>
      <w:r>
        <w:rPr>
          <w:spacing w:val="-2"/>
        </w:rPr>
        <w:t>处置子公司并丧失控制权的交易进行会计处理；但是，在丧失控制权之前每一次处置价款与处置投资对应的享有该子公司净</w:t>
      </w:r>
      <w:r>
        <w:rPr>
          <w:spacing w:val="-64"/>
        </w:rPr>
        <w:t> </w:t>
      </w:r>
      <w:r>
        <w:rPr>
          <w:spacing w:val="-64"/>
        </w:rPr>
      </w:r>
      <w:r>
        <w:rPr/>
        <w:t>资产份额的差额，在合并财务报表中确认为其他综合收益，在丧失控制权时一并转入丧失控制权当期的损益。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pStyle w:val="BodyText"/>
        <w:spacing w:line="430" w:lineRule="atLeast" w:before="152"/>
        <w:ind w:left="574" w:right="0"/>
        <w:jc w:val="left"/>
      </w:pPr>
      <w:r>
        <w:rPr/>
        <w:t>1．合营安排分类 合营安排是指一项由两个或两个以上的参与方共同控制的安排，分为共同经营和合营企业。共同经营，是指合营方享</w:t>
      </w:r>
    </w:p>
    <w:p>
      <w:pPr>
        <w:pStyle w:val="BodyText"/>
        <w:spacing w:line="439" w:lineRule="auto" w:before="76"/>
        <w:ind w:left="574" w:right="230" w:hanging="420"/>
        <w:jc w:val="left"/>
      </w:pPr>
      <w:r>
        <w:rPr/>
        <w:t>有该安排相关资产且承担该安排相关负债的合营安排。合营企业，是指合营方仅对该安排的净资产享有权利的合营安排。 2．共同经营会计处理方法</w:t>
      </w:r>
    </w:p>
    <w:p>
      <w:pPr>
        <w:pStyle w:val="BodyText"/>
        <w:spacing w:line="240" w:lineRule="auto" w:before="47"/>
        <w:ind w:left="574" w:right="0"/>
        <w:jc w:val="left"/>
      </w:pPr>
      <w:r>
        <w:rPr/>
        <w:t>当公司为共同经营的合营方时，确认与共同经营利益份额相关的下列项目：</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t>（1）确认单独所持有的资产，以及按持有份额确认共同持有的资产；</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t>（2）确认单独所承担的负债，以及按持有份额确认共同承担的负债；</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t>（3）确认出售公司享有的共同经营产出份额所产生的收入；</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574" w:right="0"/>
        <w:jc w:val="left"/>
      </w:pPr>
      <w:r>
        <w:rPr/>
        <w:t>（4）按公司持有份额确认共同经营因出售资产所产生的收入；</w:t>
      </w:r>
    </w:p>
    <w:p>
      <w:pPr>
        <w:spacing w:line="240" w:lineRule="auto" w:before="0"/>
        <w:rPr>
          <w:rFonts w:ascii="宋体" w:hAnsi="宋体" w:cs="宋体" w:eastAsia="宋体" w:hint="default"/>
          <w:sz w:val="15"/>
          <w:szCs w:val="15"/>
        </w:rPr>
      </w:pPr>
    </w:p>
    <w:p>
      <w:pPr>
        <w:pStyle w:val="BodyText"/>
        <w:spacing w:line="439" w:lineRule="auto"/>
        <w:ind w:left="574" w:right="3180"/>
        <w:jc w:val="left"/>
      </w:pPr>
      <w:r>
        <w:rPr/>
        <w:t>（5）确认单独所发生的费用，以及按公司持有份额确认共同经营发生的费用。 3．当公司为合营企业的合营方时，将对合营企业的投资确认为长期股权投资。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3"/>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6" w:firstLine="420"/>
        <w:jc w:val="both"/>
      </w:pPr>
      <w:r>
        <w:rPr/>
        <w:t>现金流量表的现金指企业库存现金及可以随时用于支付的存款。现金等价物指持有的期限短（一般是指从购买日起三</w:t>
      </w:r>
      <w:r>
        <w:rPr>
          <w:spacing w:val="1"/>
        </w:rPr>
        <w:t> </w:t>
      </w:r>
      <w:r>
        <w:rPr/>
        <w:t>个月内到期）、流动性强、易于转换为已知金额现金、价值变动风险很小的投资。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pStyle w:val="BodyText"/>
        <w:spacing w:line="430" w:lineRule="atLeast" w:before="152"/>
        <w:ind w:left="574" w:right="0"/>
        <w:jc w:val="left"/>
      </w:pPr>
      <w:r>
        <w:rPr/>
        <w:t>1．外币业务折算 外币交易在初始确认时，采用交易发生日的即期汇率折算为人民币金额。资产负债表日，外币货币性项目采用资产负</w:t>
      </w:r>
    </w:p>
    <w:p>
      <w:pPr>
        <w:pStyle w:val="BodyText"/>
        <w:spacing w:line="316" w:lineRule="auto" w:before="76"/>
        <w:ind w:right="189"/>
        <w:jc w:val="both"/>
      </w:pPr>
      <w:r>
        <w:rPr>
          <w:spacing w:val="-2"/>
        </w:rPr>
        <w:t>债表日即期汇率折算，因汇率不同而产生的汇兑差额，除与购建符合资本化条件资产有关的外币专门借款本金及利息的汇兑</w:t>
      </w:r>
      <w:r>
        <w:rPr>
          <w:spacing w:val="-64"/>
        </w:rPr>
        <w:t> </w:t>
      </w:r>
      <w:r>
        <w:rPr>
          <w:spacing w:val="-64"/>
        </w:rPr>
      </w:r>
      <w:r>
        <w:rPr>
          <w:spacing w:val="-2"/>
        </w:rPr>
        <w:t>差额外，计入当期损益；以历史成本计量的外币非货币性项目仍采用交易发生日的即期汇率折算，不改变其人民币金额；以</w:t>
      </w:r>
      <w:r>
        <w:rPr>
          <w:spacing w:val="-66"/>
        </w:rPr>
        <w:t> </w:t>
      </w:r>
      <w:r>
        <w:rPr>
          <w:spacing w:val="-66"/>
        </w:rPr>
      </w:r>
      <w:r>
        <w:rPr/>
        <w:t>公允价值计量的外币非货币性项目，采用公允价值确定日的即期汇率折算，差额计入当期损益或其他综合收益。</w:t>
      </w:r>
    </w:p>
    <w:p>
      <w:pPr>
        <w:pStyle w:val="BodyText"/>
        <w:spacing w:line="432" w:lineRule="exact" w:before="3"/>
        <w:ind w:left="574" w:right="0"/>
        <w:jc w:val="left"/>
      </w:pPr>
      <w:r>
        <w:rPr/>
        <w:t>2．外币财务报表折算 资产负债表中的资产和负债项目，采用资产负债表日的即期汇率折算；所有者权益项目除“未分配利润”项目外，其</w:t>
      </w:r>
    </w:p>
    <w:p>
      <w:pPr>
        <w:pStyle w:val="BodyText"/>
        <w:spacing w:line="316" w:lineRule="auto" w:before="15"/>
        <w:ind w:right="0"/>
        <w:jc w:val="left"/>
      </w:pPr>
      <w:r>
        <w:rPr>
          <w:spacing w:val="-2"/>
        </w:rPr>
        <w:t>他项目采用交易发生日的即期汇率折算；利润表中的收入和费用项目，采用交易发生日的即期汇率折算。按照上述折算产生</w:t>
      </w:r>
      <w:r>
        <w:rPr>
          <w:spacing w:val="-66"/>
        </w:rPr>
        <w:t> </w:t>
      </w:r>
      <w:r>
        <w:rPr>
          <w:spacing w:val="-66"/>
        </w:rPr>
      </w:r>
      <w:r>
        <w:rPr/>
        <w:t>的外币财务报表折算差额，在资产负债表中所有者权益项目下其他综合收益中列示。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6" w:firstLine="420"/>
        <w:jc w:val="both"/>
      </w:pPr>
      <w:r>
        <w:rPr/>
        <w:t>在本公司成为金融工具合同的一方时确认一项金融资产或金融负债。金融资产和金融负债在初始确认时以公允价值计</w:t>
      </w:r>
      <w:r>
        <w:rPr>
          <w:spacing w:val="1"/>
        </w:rPr>
        <w:t>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432" w:lineRule="exact" w:before="3"/>
        <w:ind w:left="574" w:right="0"/>
        <w:jc w:val="left"/>
      </w:pPr>
      <w:r>
        <w:rPr/>
        <w:t>1.金融资产和金融负债的公允价值确定方法 公允价值，是指市场参与者在计量日发生的有序交易中，出售一项资产所能收到或者转移一项负债所需支付的价格。</w:t>
      </w:r>
    </w:p>
    <w:p>
      <w:pPr>
        <w:pStyle w:val="BodyText"/>
        <w:spacing w:line="316" w:lineRule="auto" w:before="15"/>
        <w:ind w:right="0"/>
        <w:jc w:val="left"/>
      </w:pPr>
      <w:r>
        <w:rPr>
          <w:spacing w:val="-2"/>
        </w:rPr>
        <w:t>金融工具存在活跃市场的，本公司采用活跃市场中的报价确定其公允价值。活跃市场中的报价是指易于定期从交易所、经纪</w:t>
      </w:r>
      <w:r>
        <w:rPr>
          <w:spacing w:val="-66"/>
        </w:rPr>
        <w:t> </w:t>
      </w:r>
      <w:r>
        <w:rPr>
          <w:spacing w:val="-66"/>
        </w:rPr>
      </w:r>
      <w:r>
        <w:rPr>
          <w:spacing w:val="-2"/>
        </w:rPr>
        <w:t>商、行业协会、定价服务机构等获得的价格，且代表了在公平交易中实际发生的市场交易的价格。金融工具不存在活跃市场</w:t>
      </w:r>
      <w:r>
        <w:rPr>
          <w:spacing w:val="-66"/>
        </w:rPr>
        <w:t> </w:t>
      </w:r>
      <w:r>
        <w:rPr>
          <w:spacing w:val="-66"/>
        </w:rPr>
      </w:r>
      <w:r>
        <w:rPr>
          <w:spacing w:val="-4"/>
        </w:rPr>
        <w:t>的，本公司采用估值技术确定其公允价值。估值技术包括参考熟悉情况并自愿交易的各方最近进行的市场交易中使用的价格、</w:t>
      </w:r>
      <w:r>
        <w:rPr>
          <w:spacing w:val="-44"/>
        </w:rPr>
        <w:t> </w:t>
      </w:r>
      <w:r>
        <w:rPr>
          <w:spacing w:val="-44"/>
        </w:rPr>
      </w:r>
      <w:r>
        <w:rPr/>
        <w:t>参照实质上相同的其他金融工具当前的公允价值、现金流量折现法和期权定价模型等。</w:t>
      </w:r>
    </w:p>
    <w:p>
      <w:pPr>
        <w:pStyle w:val="BodyText"/>
        <w:spacing w:line="432" w:lineRule="exact" w:before="3"/>
        <w:ind w:left="574" w:right="0"/>
        <w:jc w:val="left"/>
      </w:pPr>
      <w:r>
        <w:rPr/>
        <w:t>2.金融资产的分类、确认和计量 以常规方式买卖金融资产，按交易日进行会计确认和终止确认。金融资产在初始确认时划分为以公允价值计量且其变</w:t>
      </w:r>
    </w:p>
    <w:p>
      <w:pPr>
        <w:pStyle w:val="BodyText"/>
        <w:spacing w:line="240" w:lineRule="auto" w:before="15"/>
        <w:ind w:right="0"/>
        <w:jc w:val="left"/>
      </w:pPr>
      <w:r>
        <w:rPr/>
        <w:t>动计入当期损益的金融资产、持有至到期投资、贷款和应收款项以及可供出售金融资产。</w:t>
      </w:r>
    </w:p>
    <w:p>
      <w:pPr>
        <w:spacing w:line="240" w:lineRule="auto" w:before="0"/>
        <w:rPr>
          <w:rFonts w:ascii="宋体" w:hAnsi="宋体" w:cs="宋体" w:eastAsia="宋体" w:hint="default"/>
          <w:sz w:val="15"/>
          <w:szCs w:val="15"/>
        </w:rPr>
      </w:pPr>
    </w:p>
    <w:p>
      <w:pPr>
        <w:pStyle w:val="BodyText"/>
        <w:spacing w:line="439" w:lineRule="auto"/>
        <w:ind w:left="574" w:right="2910"/>
        <w:jc w:val="left"/>
      </w:pPr>
      <w:r>
        <w:rPr/>
        <w:t>（1）以公允价值计量且其变动计入当期损益的金融资产 包括交易性金融资产和指定为以公允价值计量且其变动计入当期损益的金融资产。</w:t>
      </w:r>
    </w:p>
    <w:p>
      <w:pPr>
        <w:spacing w:after="0" w:line="439"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186" w:firstLine="420"/>
        <w:jc w:val="both"/>
      </w:pPr>
      <w:r>
        <w:rPr/>
        <w:t>交易性金融资产是指满足下列条件之一的金融资产：A.取得该金融资产的目的，主要是为了近期内出售；B.属于进行</w:t>
      </w:r>
      <w:r>
        <w:rPr>
          <w:spacing w:val="1"/>
        </w:rPr>
        <w:t> </w:t>
      </w:r>
      <w:r>
        <w:rPr>
          <w:spacing w:val="-2"/>
        </w:rPr>
        <w:t>集中管理的可辨认金融工具组合的一部分，且有客观证据表明本公司近期采用短期获利方式对该组合进行管理；C.属于衍生</w:t>
      </w:r>
      <w:r>
        <w:rPr>
          <w:spacing w:val="-62"/>
        </w:rPr>
        <w:t> </w:t>
      </w:r>
      <w:r>
        <w:rPr>
          <w:spacing w:val="-62"/>
        </w:rPr>
      </w:r>
      <w:r>
        <w:rPr>
          <w:spacing w:val="-2"/>
        </w:rPr>
        <w:t>工具，但是，被指定且为有效套期工具的衍生工具、属于财务担保合同的衍生工具、与在活跃市场中没有报价且其公允价值</w:t>
      </w:r>
      <w:r>
        <w:rPr>
          <w:spacing w:val="-66"/>
        </w:rPr>
        <w:t> </w:t>
      </w:r>
      <w:r>
        <w:rPr>
          <w:spacing w:val="-66"/>
        </w:rPr>
      </w:r>
      <w:r>
        <w:rPr/>
        <w:t>不能可靠计量的权益工具投资挂钩并须通过交付该权益工具结算的衍生工具除外。</w:t>
      </w:r>
    </w:p>
    <w:p>
      <w:pPr>
        <w:pStyle w:val="BodyText"/>
        <w:spacing w:line="316" w:lineRule="auto" w:before="139"/>
        <w:ind w:right="186" w:firstLine="420"/>
        <w:jc w:val="both"/>
      </w:pPr>
      <w:r>
        <w:rPr/>
        <w:t>符合下述条件之一的金融资产，在初始确认时可指定为以公允价值计量且其变动计入当期损益的金融资产：A.该指定</w:t>
      </w:r>
      <w:r>
        <w:rPr>
          <w:spacing w:val="1"/>
        </w:rPr>
        <w:t> </w:t>
      </w:r>
      <w:r>
        <w:rPr>
          <w:spacing w:val="-2"/>
        </w:rPr>
        <w:t>可以消除或明显减少由于该金融资产的计量基础不同所导致的相关利得或损失在确认或计量方面不一致的情况；B.本公司风</w:t>
      </w:r>
      <w:r>
        <w:rPr>
          <w:spacing w:val="-62"/>
        </w:rPr>
        <w:t> </w:t>
      </w:r>
      <w:r>
        <w:rPr>
          <w:spacing w:val="-62"/>
        </w:rPr>
      </w:r>
      <w:r>
        <w:rPr>
          <w:spacing w:val="-2"/>
        </w:rPr>
        <w:t>险管理或投资策略的正式书面文件已载明，对该金融资产所在的金融资产组合或金融资产和金融负债组合以公允价值为基础</w:t>
      </w:r>
      <w:r>
        <w:rPr>
          <w:spacing w:val="-64"/>
        </w:rPr>
        <w:t> </w:t>
      </w:r>
      <w:r>
        <w:rPr>
          <w:spacing w:val="-64"/>
        </w:rPr>
      </w:r>
      <w:r>
        <w:rPr/>
        <w:t>进行管理、评价并向关键管理人员报告。</w:t>
      </w:r>
    </w:p>
    <w:p>
      <w:pPr>
        <w:pStyle w:val="BodyText"/>
        <w:spacing w:line="316" w:lineRule="auto" w:before="139"/>
        <w:ind w:right="186" w:firstLine="420"/>
        <w:jc w:val="both"/>
      </w:pPr>
      <w:r>
        <w:rPr/>
        <w:t>以公允价值计量且其变动计入当期损益的金融资产采用公允价值进行后续计量，公允价值变动形成的利得或损失以及</w:t>
      </w:r>
      <w:r>
        <w:rPr>
          <w:spacing w:val="1"/>
        </w:rPr>
        <w:t> </w:t>
      </w:r>
      <w:r>
        <w:rPr/>
        <w:t>与该等金融资产相关的股利和利息收入计入当期损益。</w:t>
      </w:r>
    </w:p>
    <w:p>
      <w:pPr>
        <w:pStyle w:val="BodyText"/>
        <w:spacing w:line="432" w:lineRule="exact" w:before="3"/>
        <w:ind w:left="574" w:right="0"/>
        <w:jc w:val="left"/>
      </w:pPr>
      <w:r>
        <w:rPr/>
        <w:t>（2）持有至到期投资 是指到期日固定、回收金额固定或可确定，且本公司有明确意图和能力持有至到期的非衍生金融资产。持有至到期投</w:t>
      </w:r>
    </w:p>
    <w:p>
      <w:pPr>
        <w:pStyle w:val="BodyText"/>
        <w:spacing w:line="240" w:lineRule="auto" w:before="15"/>
        <w:ind w:right="0"/>
        <w:jc w:val="left"/>
      </w:pPr>
      <w:r>
        <w:rPr/>
        <w:t>资采用实际利率法，按摊余成本进行后续计量，在终止确认、发生减值或摊销时产生的利得或损失，计入当期损益。</w:t>
      </w:r>
    </w:p>
    <w:p>
      <w:pPr>
        <w:spacing w:line="240" w:lineRule="auto" w:before="0"/>
        <w:rPr>
          <w:rFonts w:ascii="宋体" w:hAnsi="宋体" w:cs="宋体" w:eastAsia="宋体" w:hint="default"/>
          <w:sz w:val="15"/>
          <w:szCs w:val="15"/>
        </w:rPr>
      </w:pPr>
    </w:p>
    <w:p>
      <w:pPr>
        <w:pStyle w:val="BodyText"/>
        <w:spacing w:line="316" w:lineRule="auto"/>
        <w:ind w:right="186" w:firstLine="420"/>
        <w:jc w:val="both"/>
      </w:pPr>
      <w:r>
        <w:rPr/>
        <w:t>实际利率法是指按照金融资产或金融负债（含一组金融资产或金融负债）的实际利率计算其摊余成本及各期利息收入</w:t>
      </w:r>
      <w:r>
        <w:rPr>
          <w:spacing w:val="1"/>
        </w:rPr>
        <w:t> </w:t>
      </w:r>
      <w:r>
        <w:rPr>
          <w:spacing w:val="-2"/>
        </w:rPr>
        <w:t>或支出的方法。实际利率是指将金融资产或金融负债在预期存续期间或适用的更短期间内的未来现金流量，折现为该金融资</w:t>
      </w:r>
      <w:r>
        <w:rPr>
          <w:spacing w:val="-64"/>
        </w:rPr>
        <w:t> </w:t>
      </w:r>
      <w:r>
        <w:rPr>
          <w:spacing w:val="-64"/>
        </w:rPr>
      </w:r>
      <w:r>
        <w:rPr>
          <w:spacing w:val="-2"/>
        </w:rPr>
        <w:t>产或金融负债当前账面价值所使用的利率。在计算实际利率时，本公司将在考虑金融资产或金融负债所有合同条款的基础上</w:t>
      </w:r>
      <w:r>
        <w:rPr>
          <w:spacing w:val="-64"/>
        </w:rPr>
        <w:t> </w:t>
      </w:r>
      <w:r>
        <w:rPr>
          <w:spacing w:val="-64"/>
        </w:rPr>
      </w:r>
      <w:r>
        <w:rPr>
          <w:spacing w:val="-2"/>
        </w:rPr>
        <w:t>预计未来现金流量（不考虑未来的信用损失），同时还将考虑金融资产或金融负债合同各方之间支付或收取的、属于实际利</w:t>
      </w:r>
      <w:r>
        <w:rPr>
          <w:spacing w:val="-66"/>
        </w:rPr>
        <w:t> </w:t>
      </w:r>
      <w:r>
        <w:rPr>
          <w:spacing w:val="-66"/>
        </w:rPr>
      </w:r>
      <w:r>
        <w:rPr/>
        <w:t>率组成部分的各项收费、交易费用及折价或溢价等。</w:t>
      </w:r>
    </w:p>
    <w:p>
      <w:pPr>
        <w:pStyle w:val="BodyText"/>
        <w:spacing w:line="432" w:lineRule="exact" w:before="3"/>
        <w:ind w:left="574" w:right="0"/>
        <w:jc w:val="left"/>
      </w:pPr>
      <w:r>
        <w:rPr/>
        <w:t>（3） 贷款和应收款项 是指在活跃市场中没有报价、回收金额固定或可确定的非衍生金融资产。本公司划分为贷款和应收款的金融资产包括</w:t>
      </w:r>
    </w:p>
    <w:p>
      <w:pPr>
        <w:pStyle w:val="BodyText"/>
        <w:spacing w:line="240" w:lineRule="auto" w:before="15"/>
        <w:ind w:right="0"/>
        <w:jc w:val="left"/>
      </w:pPr>
      <w:r>
        <w:rPr/>
        <w:t>应收票据、应收账款、应收利息、应收股利及其他应收款等。</w:t>
      </w:r>
    </w:p>
    <w:p>
      <w:pPr>
        <w:spacing w:line="240" w:lineRule="auto" w:before="0"/>
        <w:rPr>
          <w:rFonts w:ascii="宋体" w:hAnsi="宋体" w:cs="宋体" w:eastAsia="宋体" w:hint="default"/>
          <w:sz w:val="15"/>
          <w:szCs w:val="15"/>
        </w:rPr>
      </w:pPr>
    </w:p>
    <w:p>
      <w:pPr>
        <w:pStyle w:val="BodyText"/>
        <w:spacing w:line="316" w:lineRule="auto"/>
        <w:ind w:right="186" w:firstLine="420"/>
        <w:jc w:val="both"/>
      </w:pPr>
      <w:r>
        <w:rPr/>
        <w:t>贷款和应收款项采用实际利率法，按摊余成本进行后续计量，在终止确认、发生减值或摊销时产生的利得或损失，计</w:t>
      </w:r>
      <w:r>
        <w:rPr>
          <w:spacing w:val="1"/>
        </w:rPr>
        <w:t> </w:t>
      </w:r>
      <w:r>
        <w:rPr/>
        <w:t>入当期损益。</w:t>
      </w:r>
    </w:p>
    <w:p>
      <w:pPr>
        <w:pStyle w:val="BodyText"/>
        <w:spacing w:line="432" w:lineRule="exact" w:before="3"/>
        <w:ind w:left="574" w:right="82"/>
        <w:jc w:val="left"/>
      </w:pPr>
      <w:r>
        <w:rPr/>
        <w:t>（4）可供出售金融资产 </w:t>
      </w:r>
      <w:r>
        <w:rPr>
          <w:spacing w:val="-1"/>
        </w:rPr>
        <w:t>包括初始确认时即被指定为可供出售的非衍生金融资产，以及除了以公允价值计量且其变动计入当期损益的金融资产、</w:t>
      </w:r>
    </w:p>
    <w:p>
      <w:pPr>
        <w:pStyle w:val="BodyText"/>
        <w:spacing w:line="240" w:lineRule="auto" w:before="15"/>
        <w:ind w:left="153" w:right="0"/>
        <w:jc w:val="left"/>
      </w:pPr>
      <w:r>
        <w:rPr/>
        <w:t>贷款和应收款项、持有至到期投资以外的金融资产。</w:t>
      </w:r>
    </w:p>
    <w:p>
      <w:pPr>
        <w:spacing w:line="240" w:lineRule="auto" w:before="0"/>
        <w:rPr>
          <w:rFonts w:ascii="宋体" w:hAnsi="宋体" w:cs="宋体" w:eastAsia="宋体" w:hint="default"/>
          <w:sz w:val="15"/>
          <w:szCs w:val="15"/>
        </w:rPr>
      </w:pPr>
    </w:p>
    <w:p>
      <w:pPr>
        <w:pStyle w:val="BodyText"/>
        <w:spacing w:line="316" w:lineRule="auto"/>
        <w:ind w:left="153" w:right="186" w:firstLine="420"/>
        <w:jc w:val="both"/>
      </w:pPr>
      <w:r>
        <w:rPr/>
        <w:t>可供出售债务工具投资的期末成本按照其摊余成本法确定，即初始确认金额扣除已偿还的本金，加上或减去采用实际</w:t>
      </w:r>
      <w:r>
        <w:rPr>
          <w:spacing w:val="1"/>
        </w:rPr>
        <w:t> </w:t>
      </w:r>
      <w:r>
        <w:rPr>
          <w:spacing w:val="-2"/>
        </w:rPr>
        <w:t>利率法将该初始确认金额与到期日金额之间的差额进行摊销形成的累计摊销额，并扣除已发生的减值损失后的金额。可供出</w:t>
      </w:r>
      <w:r>
        <w:rPr>
          <w:spacing w:val="-64"/>
        </w:rPr>
        <w:t> </w:t>
      </w:r>
      <w:r>
        <w:rPr>
          <w:spacing w:val="-64"/>
        </w:rPr>
      </w:r>
      <w:r>
        <w:rPr>
          <w:spacing w:val="-2"/>
        </w:rPr>
        <w:t>售权益工具投资的期末成本为其初始取得成本。可供出售金融资产采用公允价值进行后续计量，公允价值变动形成的利得或</w:t>
      </w:r>
      <w:r>
        <w:rPr>
          <w:spacing w:val="-64"/>
        </w:rPr>
        <w:t> </w:t>
      </w:r>
      <w:r>
        <w:rPr>
          <w:spacing w:val="-64"/>
        </w:rPr>
      </w:r>
      <w:r>
        <w:rPr>
          <w:spacing w:val="-2"/>
        </w:rPr>
        <w:t>损失，除减值损失和外币货币性金融资产与摊余成本相关的汇兑差额计入当期损益外，确认为其他综合收益，在该金融资产</w:t>
      </w:r>
      <w:r>
        <w:rPr>
          <w:spacing w:val="-66"/>
        </w:rPr>
        <w:t> </w:t>
      </w:r>
      <w:r>
        <w:rPr>
          <w:spacing w:val="-66"/>
        </w:rPr>
      </w:r>
      <w:r>
        <w:rPr>
          <w:spacing w:val="-2"/>
        </w:rPr>
        <w:t>终止确认时转出，计入当期损益。但是，在活跃市场中没有报价且其公允价值不能可靠计量的权益工具投资，以及与该权益</w:t>
      </w:r>
      <w:r>
        <w:rPr>
          <w:spacing w:val="-66"/>
        </w:rPr>
        <w:t> </w:t>
      </w:r>
      <w:r>
        <w:rPr>
          <w:spacing w:val="-66"/>
        </w:rPr>
      </w:r>
      <w:r>
        <w:rPr>
          <w:spacing w:val="-2"/>
        </w:rPr>
        <w:t>工具挂钩并须通过交付该权益工具结算的衍生金融资产，按照成本进行后续计量。可供出售金融资产持有期间取得的利息及</w:t>
      </w:r>
      <w:r>
        <w:rPr>
          <w:spacing w:val="-64"/>
        </w:rPr>
        <w:t> </w:t>
      </w:r>
      <w:r>
        <w:rPr>
          <w:spacing w:val="-64"/>
        </w:rPr>
      </w:r>
      <w:r>
        <w:rPr/>
        <w:t>被投资单位宣告发放的现金股利，计入投资收益。</w:t>
      </w:r>
    </w:p>
    <w:p>
      <w:pPr>
        <w:pStyle w:val="BodyText"/>
        <w:spacing w:line="432" w:lineRule="exact" w:before="3"/>
        <w:ind w:left="573" w:right="0"/>
        <w:jc w:val="left"/>
      </w:pPr>
      <w:r>
        <w:rPr/>
        <w:t>3.金融资产减值 除了以公允价值计量且其变动计入当期损益的金融资产外，本公司在每个资产负债表日对其他金融资产的账面价值进</w:t>
      </w:r>
    </w:p>
    <w:p>
      <w:pPr>
        <w:pStyle w:val="BodyText"/>
        <w:spacing w:line="240" w:lineRule="auto" w:before="15"/>
        <w:ind w:left="153" w:right="0"/>
        <w:jc w:val="left"/>
      </w:pPr>
      <w:r>
        <w:rPr/>
        <w:t>行检查，有客观证据表明金融资产发生减值的，计提减值准备。</w:t>
      </w:r>
    </w:p>
    <w:p>
      <w:pPr>
        <w:spacing w:line="240" w:lineRule="auto" w:before="0"/>
        <w:rPr>
          <w:rFonts w:ascii="宋体" w:hAnsi="宋体" w:cs="宋体" w:eastAsia="宋体" w:hint="default"/>
          <w:sz w:val="15"/>
          <w:szCs w:val="15"/>
        </w:rPr>
      </w:pPr>
    </w:p>
    <w:p>
      <w:pPr>
        <w:pStyle w:val="BodyText"/>
        <w:spacing w:line="316" w:lineRule="auto"/>
        <w:ind w:left="153" w:right="186" w:firstLine="420"/>
        <w:jc w:val="both"/>
      </w:pPr>
      <w:r>
        <w:rPr/>
        <w:t>本公司对单项金额重大的金融资产单独进行减值测试；对单项金额不重大的金融资产，单独进行减值测试或包括在具</w:t>
      </w:r>
      <w:r>
        <w:rPr>
          <w:spacing w:val="1"/>
        </w:rPr>
        <w:t> </w:t>
      </w:r>
      <w:r>
        <w:rPr>
          <w:spacing w:val="-2"/>
        </w:rPr>
        <w:t>有类似信用风险特征的金融资产组合中进行减值测试。单独测试未发生减值的金融资产（包括单项金额重大和不重大的金融</w:t>
      </w:r>
      <w:r>
        <w:rPr>
          <w:spacing w:val="-64"/>
        </w:rPr>
        <w:t> </w:t>
      </w:r>
      <w:r>
        <w:rPr>
          <w:spacing w:val="-64"/>
        </w:rPr>
      </w:r>
      <w:r>
        <w:rPr>
          <w:spacing w:val="-2"/>
        </w:rPr>
        <w:t>资产），包括在具有类似信用风险特征的金融资产组合中再进行减值测试。已单项确认减值损失的金融资产，不包括在具有</w:t>
      </w:r>
    </w:p>
    <w:p>
      <w:pPr>
        <w:spacing w:after="0" w:line="316"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left"/>
      </w:pPr>
      <w:r>
        <w:rPr/>
        <w:t>类似信用风险特征的金融资产组合中进行减值测试。</w:t>
      </w:r>
    </w:p>
    <w:p>
      <w:pPr>
        <w:pStyle w:val="BodyText"/>
        <w:spacing w:line="430" w:lineRule="atLeast" w:before="2"/>
        <w:ind w:left="573" w:right="0"/>
        <w:jc w:val="left"/>
      </w:pPr>
      <w:r>
        <w:rPr/>
        <w:t>（1）持有至到期投资、贷款和应收款项减值 以成本或摊余成本计量的金融资产将其账面价值减记至预计未来现金流量现值，减记金额确认为减值损失，计入当期</w:t>
      </w:r>
    </w:p>
    <w:p>
      <w:pPr>
        <w:pStyle w:val="BodyText"/>
        <w:spacing w:line="316" w:lineRule="auto" w:before="76"/>
        <w:ind w:left="153" w:right="91"/>
        <w:jc w:val="left"/>
      </w:pPr>
      <w:r>
        <w:rPr/>
        <w:t>损益。金融资产在确认减值损失后，如有客观证据表明该金融资产价值已恢复，且客观上与确认该损失后发生的事项有关， </w:t>
      </w:r>
      <w:r>
        <w:rPr>
          <w:spacing w:val="-2"/>
        </w:rPr>
        <w:t>原确认的减值损失予以转回，金融资产转回减值损失后的账面价值不超过假定不计提减值准备情况下该金融资产在转回日的</w:t>
      </w:r>
      <w:r>
        <w:rPr>
          <w:spacing w:val="-64"/>
        </w:rPr>
        <w:t> </w:t>
      </w:r>
      <w:r>
        <w:rPr>
          <w:spacing w:val="-64"/>
        </w:rPr>
      </w:r>
      <w:r>
        <w:rPr/>
        <w:t>摊余成本。</w:t>
      </w:r>
    </w:p>
    <w:p>
      <w:pPr>
        <w:pStyle w:val="BodyText"/>
        <w:spacing w:line="432" w:lineRule="exact" w:before="3"/>
        <w:ind w:left="573" w:right="0"/>
        <w:jc w:val="left"/>
      </w:pPr>
      <w:r>
        <w:rPr/>
        <w:t>（2）可供出售金融资产减值 当综合相关因素判断可供出售权益工具投资公允价值下跌是严重或非暂时性下跌时，表明该可供出售权益工具投资发</w:t>
      </w:r>
    </w:p>
    <w:p>
      <w:pPr>
        <w:pStyle w:val="BodyText"/>
        <w:spacing w:line="240" w:lineRule="auto" w:before="15"/>
        <w:ind w:left="153" w:right="0"/>
        <w:jc w:val="left"/>
      </w:pPr>
      <w:r>
        <w:rPr/>
        <w:t>生减值。</w:t>
      </w:r>
    </w:p>
    <w:p>
      <w:pPr>
        <w:spacing w:line="240" w:lineRule="auto" w:before="0"/>
        <w:rPr>
          <w:rFonts w:ascii="宋体" w:hAnsi="宋体" w:cs="宋体" w:eastAsia="宋体" w:hint="default"/>
          <w:sz w:val="15"/>
          <w:szCs w:val="15"/>
        </w:rPr>
      </w:pPr>
    </w:p>
    <w:p>
      <w:pPr>
        <w:pStyle w:val="BodyText"/>
        <w:spacing w:line="316" w:lineRule="auto"/>
        <w:ind w:left="153" w:right="186" w:firstLine="420"/>
        <w:jc w:val="both"/>
      </w:pPr>
      <w:r>
        <w:rPr/>
        <w:t>可供出售金融资产发生减值时，将原计入其他综合收益的因公允价值下降形成的累计损失予以转出并计入当期损益，</w:t>
      </w:r>
      <w:r>
        <w:rPr>
          <w:spacing w:val="1"/>
        </w:rPr>
        <w:t> </w:t>
      </w:r>
      <w:r>
        <w:rPr/>
        <w:t>该转出的累计损失为该资产初始取得成本扣除已收回本金和已摊销金额、当前公允价值和原已计入损益的减值损失后的余</w:t>
      </w:r>
      <w:r>
        <w:rPr>
          <w:spacing w:val="-9"/>
        </w:rPr>
        <w:t> </w:t>
      </w:r>
      <w:r>
        <w:rPr>
          <w:spacing w:val="-9"/>
        </w:rPr>
      </w:r>
      <w:r>
        <w:rPr/>
        <w:t>额。</w:t>
      </w:r>
    </w:p>
    <w:p>
      <w:pPr>
        <w:pStyle w:val="BodyText"/>
        <w:spacing w:line="316" w:lineRule="auto" w:before="139"/>
        <w:ind w:left="153" w:right="186" w:firstLine="420"/>
        <w:jc w:val="both"/>
      </w:pPr>
      <w:r>
        <w:rPr/>
        <w:t>在确认减值损失后，期后如有客观证据表明该金融资产价值已恢复，且客观上与确认该损失后发生的事项有关，原确</w:t>
      </w:r>
      <w:r>
        <w:rPr>
          <w:spacing w:val="1"/>
        </w:rPr>
        <w:t> </w:t>
      </w:r>
      <w:r>
        <w:rPr>
          <w:spacing w:val="-2"/>
        </w:rPr>
        <w:t>认的减值损失予以转回，可供出售权益工具投资的减值损失转回确认为其他综合收益，可供出售债务工具的减值损失转回计</w:t>
      </w:r>
      <w:r>
        <w:rPr>
          <w:spacing w:val="-64"/>
        </w:rPr>
        <w:t> </w:t>
      </w:r>
      <w:r>
        <w:rPr>
          <w:spacing w:val="-64"/>
        </w:rPr>
      </w:r>
      <w:r>
        <w:rPr/>
        <w:t>入当期损益。</w:t>
      </w:r>
    </w:p>
    <w:p>
      <w:pPr>
        <w:pStyle w:val="BodyText"/>
        <w:spacing w:line="316" w:lineRule="auto" w:before="139"/>
        <w:ind w:left="153" w:right="186" w:firstLine="420"/>
        <w:jc w:val="both"/>
      </w:pPr>
      <w:r>
        <w:rPr/>
        <w:t>在活跃市场中没有报价且其公允价值不能可靠计量的权益工具投资，或与该权益工具挂钩并须通过交付该权益工具结</w:t>
      </w:r>
      <w:r>
        <w:rPr>
          <w:spacing w:val="1"/>
        </w:rPr>
        <w:t> </w:t>
      </w:r>
      <w:r>
        <w:rPr/>
        <w:t>算的衍生金融资产的减值损失，不予转回。</w:t>
      </w:r>
    </w:p>
    <w:p>
      <w:pPr>
        <w:pStyle w:val="BodyText"/>
        <w:spacing w:line="240" w:lineRule="auto" w:before="139"/>
        <w:ind w:left="573" w:right="0"/>
        <w:jc w:val="left"/>
      </w:pPr>
      <w:r>
        <w:rPr/>
        <w:t>4.金融资产转移的确认依据和计量方法</w:t>
      </w:r>
    </w:p>
    <w:p>
      <w:pPr>
        <w:spacing w:line="240" w:lineRule="auto" w:before="0"/>
        <w:rPr>
          <w:rFonts w:ascii="宋体" w:hAnsi="宋体" w:cs="宋体" w:eastAsia="宋体" w:hint="default"/>
          <w:sz w:val="15"/>
          <w:szCs w:val="15"/>
        </w:rPr>
      </w:pPr>
    </w:p>
    <w:p>
      <w:pPr>
        <w:pStyle w:val="BodyText"/>
        <w:spacing w:line="316" w:lineRule="auto"/>
        <w:ind w:left="153" w:right="80" w:firstLine="420"/>
        <w:jc w:val="left"/>
      </w:pPr>
      <w:r>
        <w:rPr/>
        <w:t>满足下列条件之一的金融资产，予以终止确认：① 收取该金融资产现金流量的合同权利终止；②</w:t>
      </w:r>
      <w:r>
        <w:rPr>
          <w:spacing w:val="-49"/>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产所有权上几乎所有的风险和报酬，但是放弃了对该金融资产控制。</w:t>
      </w:r>
    </w:p>
    <w:p>
      <w:pPr>
        <w:pStyle w:val="BodyText"/>
        <w:spacing w:line="316" w:lineRule="auto" w:before="139"/>
        <w:ind w:left="153" w:right="186" w:firstLine="420"/>
        <w:jc w:val="both"/>
      </w:pPr>
      <w:r>
        <w:rPr/>
        <w:t>若企业既没有转移也没有保留金融资产所有权上几乎所有的风险和报酬，且未放弃对该金融资产的控制的，则按照继</w:t>
      </w:r>
      <w:r>
        <w:rPr>
          <w:spacing w:val="1"/>
        </w:rPr>
        <w:t> </w:t>
      </w:r>
      <w:r>
        <w:rPr>
          <w:spacing w:val="-2"/>
        </w:rPr>
        <w:t>续涉入所转移金融资产的程度确认有关金融资产，并相应确认有关负债。继续涉入所转移金融资产的程度，是指该金融资产</w:t>
      </w:r>
      <w:r>
        <w:rPr>
          <w:spacing w:val="-66"/>
        </w:rPr>
        <w:t> </w:t>
      </w:r>
      <w:r>
        <w:rPr>
          <w:spacing w:val="-66"/>
        </w:rPr>
      </w:r>
      <w:r>
        <w:rPr/>
        <w:t>价值变动使企业面临的风险水平。</w:t>
      </w:r>
    </w:p>
    <w:p>
      <w:pPr>
        <w:pStyle w:val="BodyText"/>
        <w:spacing w:line="316" w:lineRule="auto" w:before="139"/>
        <w:ind w:left="153" w:right="186" w:firstLine="420"/>
        <w:jc w:val="both"/>
      </w:pPr>
      <w:r>
        <w:rPr/>
        <w:t>金融资产整体转移满足终止确认条件的，将所转移金融资产的账面价值及因转移而收到的对价与原计入其他综合收益</w:t>
      </w:r>
      <w:r>
        <w:rPr>
          <w:spacing w:val="1"/>
        </w:rPr>
        <w:t> </w:t>
      </w:r>
      <w:r>
        <w:rPr/>
        <w:t>的公允价值变动累计额之和的差额计入当期损益。</w:t>
      </w:r>
    </w:p>
    <w:p>
      <w:pPr>
        <w:pStyle w:val="BodyText"/>
        <w:spacing w:line="316" w:lineRule="auto" w:before="139"/>
        <w:ind w:left="153" w:right="186" w:firstLine="420"/>
        <w:jc w:val="both"/>
      </w:pPr>
      <w:r>
        <w:rPr/>
        <w:t>金融资产部分转移满足终止确认条件的，将所转移金融资产的账面价值在终止确认及未终止确认部分之间按其相对的</w:t>
      </w:r>
      <w:r>
        <w:rPr>
          <w:spacing w:val="1"/>
        </w:rPr>
        <w:t> </w:t>
      </w:r>
      <w:r>
        <w:rPr>
          <w:spacing w:val="-2"/>
        </w:rPr>
        <w:t>公允价值进行分摊，并将因转移而收到的对价与应分摊至终止确认部分的原计入其他综合收益的公允价值变动累计额之和与</w:t>
      </w:r>
      <w:r>
        <w:rPr>
          <w:spacing w:val="-64"/>
        </w:rPr>
        <w:t> </w:t>
      </w:r>
      <w:r>
        <w:rPr>
          <w:spacing w:val="-64"/>
        </w:rPr>
      </w:r>
      <w:r>
        <w:rPr/>
        <w:t>分摊的前述账面金额之差额计入当期损益。</w:t>
      </w:r>
    </w:p>
    <w:p>
      <w:pPr>
        <w:pStyle w:val="BodyText"/>
        <w:spacing w:line="316" w:lineRule="auto" w:before="139"/>
        <w:ind w:left="153" w:right="186" w:firstLine="420"/>
        <w:jc w:val="both"/>
      </w:pPr>
      <w:r>
        <w:rPr/>
        <w:t>本公司对采用附追索权方式出售的金融资产，或将持有的金融资产背书转让，需确定该金融资产所有权上几乎所有的</w:t>
      </w:r>
      <w:r>
        <w:rPr>
          <w:spacing w:val="1"/>
        </w:rPr>
        <w:t> </w:t>
      </w:r>
      <w:r>
        <w:rPr>
          <w:spacing w:val="-2"/>
        </w:rPr>
        <w:t>风险和报酬是否已经转移。已将该金融资产所有权上几乎所有的风险和报酬转移给转入方的，终止确认该金融资产；保留了</w:t>
      </w:r>
      <w:r>
        <w:rPr>
          <w:spacing w:val="-66"/>
        </w:rPr>
        <w:t> </w:t>
      </w:r>
      <w:r>
        <w:rPr>
          <w:spacing w:val="-66"/>
        </w:rPr>
      </w:r>
      <w:r>
        <w:rPr>
          <w:spacing w:val="-2"/>
        </w:rPr>
        <w:t>金融资产所有权上几乎所有的风险和报酬的，不终止确认该金融资产；既没有转移也没有保留金融资产所有权上几乎所有的</w:t>
      </w:r>
      <w:r>
        <w:rPr>
          <w:spacing w:val="-64"/>
        </w:rPr>
        <w:t> </w:t>
      </w:r>
      <w:r>
        <w:rPr>
          <w:spacing w:val="-64"/>
        </w:rPr>
      </w:r>
      <w:r>
        <w:rPr/>
        <w:t>风险和报酬的，则继续判断企业是否对该资产保留了控制，并根据前面各段所述的原则进行会计处理。</w:t>
      </w:r>
    </w:p>
    <w:p>
      <w:pPr>
        <w:pStyle w:val="BodyText"/>
        <w:spacing w:line="432" w:lineRule="exact" w:before="3"/>
        <w:ind w:left="573" w:right="83"/>
        <w:jc w:val="left"/>
      </w:pPr>
      <w:r>
        <w:rPr/>
        <w:t>5.金融负债的分类和计量 </w:t>
      </w:r>
      <w:r>
        <w:rPr>
          <w:spacing w:val="-1"/>
        </w:rPr>
        <w:t>金融负债在初始确认时划分为以公允价值计量且其变动计入当期损益的金融负债和其他金融负债。初始确认金融负债，</w:t>
      </w:r>
    </w:p>
    <w:p>
      <w:pPr>
        <w:pStyle w:val="BodyText"/>
        <w:spacing w:line="316" w:lineRule="auto" w:before="15"/>
        <w:ind w:left="153" w:right="0"/>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240" w:lineRule="auto" w:before="139"/>
        <w:ind w:left="573" w:right="0"/>
        <w:jc w:val="left"/>
      </w:pPr>
      <w:r>
        <w:rPr/>
        <w:t>（1） 以公允价值计量且其变动计入当期损益的金融负债</w:t>
      </w:r>
    </w:p>
    <w:p>
      <w:pPr>
        <w:spacing w:after="0" w:line="24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146" w:firstLine="420"/>
        <w:jc w:val="both"/>
      </w:pPr>
      <w:r>
        <w:rPr/>
        <w:t>分类为交易性金融负债和在初始确认时指定为以公允价值计量且其变动计入当期损益的金融负债的条件与分类为交易</w:t>
      </w:r>
      <w:r>
        <w:rPr>
          <w:spacing w:val="1"/>
        </w:rPr>
        <w:t> </w:t>
      </w:r>
      <w:r>
        <w:rPr>
          <w:spacing w:val="-2"/>
        </w:rPr>
        <w:t>性金融资产和在初始确认时指定为以公允价值计量且其变动计入当期损益的金融资产的条件一致。以公允价值计量且其变动</w:t>
      </w:r>
      <w:r>
        <w:rPr>
          <w:spacing w:val="-64"/>
        </w:rPr>
        <w:t> </w:t>
      </w:r>
      <w:r>
        <w:rPr>
          <w:spacing w:val="-64"/>
        </w:rPr>
      </w:r>
      <w:r>
        <w:rPr>
          <w:spacing w:val="-2"/>
        </w:rPr>
        <w:t>计入当期损益的金融负债采用公允价值进行后续计量，公允价值的变动形成的利得或损失以及与该等金融负债相关的股利和</w:t>
      </w:r>
      <w:r>
        <w:rPr>
          <w:spacing w:val="-64"/>
        </w:rPr>
        <w:t> </w:t>
      </w:r>
      <w:r>
        <w:rPr>
          <w:spacing w:val="-64"/>
        </w:rPr>
      </w:r>
      <w:r>
        <w:rPr/>
        <w:t>利息支出计入当期损益。</w:t>
      </w:r>
    </w:p>
    <w:p>
      <w:pPr>
        <w:pStyle w:val="BodyText"/>
        <w:spacing w:line="432" w:lineRule="exact" w:before="3"/>
        <w:ind w:left="574" w:right="0"/>
        <w:jc w:val="left"/>
      </w:pPr>
      <w:r>
        <w:rPr/>
        <w:t>（2）其他金融负债 与在活跃市场中没有报价、公允价值不能可靠计量的权益工具挂钩并须通过交付该权益工具结算的衍生金融负债，按</w:t>
      </w:r>
    </w:p>
    <w:p>
      <w:pPr>
        <w:pStyle w:val="BodyText"/>
        <w:spacing w:line="316" w:lineRule="auto" w:before="15"/>
        <w:ind w:right="151"/>
        <w:jc w:val="both"/>
      </w:pPr>
      <w:r>
        <w:rPr>
          <w:spacing w:val="-2"/>
        </w:rPr>
        <w:t>照成本进行后续计量。其他金融负债采用实际利率法，按摊余成本进行后续计量，终止确认或摊销产生的利得或损失计入当</w:t>
      </w:r>
      <w:r>
        <w:rPr>
          <w:spacing w:val="-66"/>
        </w:rPr>
        <w:t> </w:t>
      </w:r>
      <w:r>
        <w:rPr>
          <w:spacing w:val="-66"/>
        </w:rPr>
      </w:r>
      <w:r>
        <w:rPr/>
        <w:t>期损益。</w:t>
      </w:r>
    </w:p>
    <w:p>
      <w:pPr>
        <w:pStyle w:val="BodyText"/>
        <w:spacing w:line="432" w:lineRule="exact" w:before="3"/>
        <w:ind w:left="574" w:right="0" w:firstLine="90"/>
        <w:jc w:val="left"/>
      </w:pPr>
      <w:r>
        <w:rPr/>
        <w:t>6.金融负债的终止确认 金融负债的现时义务全部或部分已经解除的，才能终止确认该金融负债或其一部分。本公司（债务人）与债权人之间</w:t>
      </w:r>
    </w:p>
    <w:p>
      <w:pPr>
        <w:pStyle w:val="BodyText"/>
        <w:spacing w:line="316" w:lineRule="auto" w:before="15"/>
        <w:ind w:right="151"/>
        <w:jc w:val="both"/>
      </w:pPr>
      <w:r>
        <w:rPr>
          <w:spacing w:val="-2"/>
        </w:rPr>
        <w:t>签订协议，以承担新金融负债方式替换现存金融负债，且新金融负债与现存金融负债的合同条款实质上不同的，终止确认现</w:t>
      </w:r>
      <w:r>
        <w:rPr>
          <w:spacing w:val="-66"/>
        </w:rPr>
        <w:t> </w:t>
      </w:r>
      <w:r>
        <w:rPr>
          <w:spacing w:val="-66"/>
        </w:rPr>
      </w:r>
      <w:r>
        <w:rPr/>
        <w:t>存金融负债，并同时确认新金融负债。</w:t>
      </w:r>
    </w:p>
    <w:p>
      <w:pPr>
        <w:pStyle w:val="BodyText"/>
        <w:spacing w:line="316" w:lineRule="auto" w:before="139"/>
        <w:ind w:right="146" w:firstLine="420"/>
        <w:jc w:val="both"/>
      </w:pPr>
      <w:r>
        <w:rPr/>
        <w:t>金融负债全部或部分终止确认的，将终止确认部分的账面价值与支付的对价（包括转出的非现金资产或承担的新金融</w:t>
      </w:r>
      <w:r>
        <w:rPr>
          <w:spacing w:val="1"/>
        </w:rPr>
        <w:t> </w:t>
      </w:r>
      <w:r>
        <w:rPr/>
        <w:t>负债）之间的差额，计入当期损益。</w:t>
      </w:r>
    </w:p>
    <w:p>
      <w:pPr>
        <w:pStyle w:val="BodyText"/>
        <w:spacing w:line="432" w:lineRule="exact" w:before="3"/>
        <w:ind w:left="574" w:right="0"/>
        <w:jc w:val="left"/>
      </w:pPr>
      <w:r>
        <w:rPr/>
        <w:t>7.金融资产和金融负债的抵销 当本公司具有抵销已确认金融资产和金融负债的法定权利，且目前可执行该种法定权利，同时本公司计划以净额结算</w:t>
      </w:r>
    </w:p>
    <w:p>
      <w:pPr>
        <w:pStyle w:val="BodyText"/>
        <w:spacing w:line="316" w:lineRule="auto" w:before="15"/>
        <w:ind w:right="151"/>
        <w:jc w:val="both"/>
      </w:pPr>
      <w:r>
        <w:rPr>
          <w:spacing w:val="-2"/>
        </w:rPr>
        <w:t>或同时变现该金融资产和清偿该金融负债时，金融资产和金融负债以相互抵销后的金额在资产负债表内列示。除此以外，金</w:t>
      </w:r>
      <w:r>
        <w:rPr>
          <w:spacing w:val="-66"/>
        </w:rPr>
        <w:t> </w:t>
      </w:r>
      <w:r>
        <w:rPr>
          <w:spacing w:val="-66"/>
        </w:rPr>
      </w:r>
      <w:r>
        <w:rPr/>
        <w:t>融资产和金融负债在资产负债表内分别列示，不予相互抵销。</w:t>
      </w:r>
    </w:p>
    <w:p>
      <w:pPr>
        <w:pStyle w:val="BodyText"/>
        <w:spacing w:line="432" w:lineRule="exact" w:before="3"/>
        <w:ind w:left="574" w:right="0"/>
        <w:jc w:val="left"/>
      </w:pPr>
      <w:r>
        <w:rPr/>
        <w:t>8.权益工具 权益工具是指能证明拥有本公司在扣除所有负债后的资产中的剩余权益的合同。企业合并中合并方发行权益工具发生</w:t>
      </w:r>
    </w:p>
    <w:p>
      <w:pPr>
        <w:pStyle w:val="BodyText"/>
        <w:spacing w:line="316" w:lineRule="auto" w:before="15"/>
        <w:ind w:right="149"/>
        <w:jc w:val="both"/>
      </w:pPr>
      <w:r>
        <w:rPr>
          <w:spacing w:val="-2"/>
        </w:rPr>
        <w:t>的交易费用抵减权益工具的溢价收入，不足抵减的，冲减留存收益。其余权益工具，在发行时收到的对价扣除交易费用后增</w:t>
      </w:r>
      <w:r>
        <w:rPr>
          <w:spacing w:val="-66"/>
        </w:rPr>
        <w:t> </w:t>
      </w:r>
      <w:r>
        <w:rPr>
          <w:spacing w:val="-66"/>
        </w:rPr>
      </w:r>
      <w:r>
        <w:rPr>
          <w:spacing w:val="-2"/>
        </w:rPr>
        <w:t>加股东权益。本公司对权益工具持有方的各种分配（不包括股票股利），减少股东权益。本公司不确认权益工具的公允价值</w:t>
      </w:r>
      <w:r>
        <w:rPr>
          <w:spacing w:val="-66"/>
        </w:rPr>
        <w:t> </w:t>
      </w:r>
      <w:r>
        <w:rPr>
          <w:spacing w:val="-66"/>
        </w:rPr>
      </w:r>
      <w:r>
        <w:rPr/>
        <w:t>变动额。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单项金额重大是指：金额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r>
      <w:tr>
        <w:trPr>
          <w:trHeight w:val="1338"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对于单项金额重大的应收款项，于资产负债表日单独进行减 值测试。有客观证据表明其发生了减值的，根据其未来现金 流量现值低于其账面价值的差额，确认减值损失，计提坏账 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2"/>
        <w:rPr>
          <w:rFonts w:ascii="宋体" w:hAnsi="宋体" w:cs="宋体" w:eastAsia="宋体" w:hint="default"/>
          <w:b/>
          <w:bCs/>
          <w:sz w:val="24"/>
          <w:szCs w:val="24"/>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799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5;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其他组合</w:t>
                      </w:r>
                    </w:p>
                  </w:txbxContent>
                </v:textbox>
                <w10:wrap type="none"/>
              </v:shape>
              <v:shape style="position:absolute;left:4794;top:10;width:4784;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其他方法</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组合中，采用账龄分析法计提坏账准备的：</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40" w:lineRule="auto" w:before="116"/>
        <w:ind w:right="65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有客观证据表明单项金额虽不重大，但因其发生了特殊减值 的应收款应进行单项减值测试。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结合现时情况分析法确定坏账准备计提的比例</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12</w:t>
      </w:r>
      <w:r>
        <w:rPr/>
        <w:t>、存货</w:t>
      </w:r>
      <w:r>
        <w:rPr>
          <w:b w:val="0"/>
          <w:bCs w:val="0"/>
        </w:rPr>
      </w:r>
    </w:p>
    <w:p>
      <w:pPr>
        <w:pStyle w:val="BodyText"/>
        <w:spacing w:line="430" w:lineRule="atLeast" w:before="152"/>
        <w:ind w:left="574" w:right="0"/>
        <w:jc w:val="left"/>
      </w:pPr>
      <w:r>
        <w:rPr/>
        <w:t>1．存货的类别 存货包括在日常活动中持有以备出售的产成品或商品、处在生产过程中的在产品、在生产过程或提供劳务过程中耗用</w:t>
      </w:r>
    </w:p>
    <w:p>
      <w:pPr>
        <w:pStyle w:val="BodyText"/>
        <w:spacing w:line="439" w:lineRule="auto" w:before="76"/>
        <w:ind w:left="574" w:right="7500" w:hanging="420"/>
        <w:jc w:val="left"/>
      </w:pPr>
      <w:r>
        <w:rPr/>
        <w:t>的材料和物料等。 2．存货发出的计价方法</w:t>
      </w:r>
    </w:p>
    <w:p>
      <w:pPr>
        <w:pStyle w:val="BodyText"/>
        <w:spacing w:line="240" w:lineRule="auto" w:before="47"/>
        <w:ind w:left="574" w:right="0"/>
        <w:jc w:val="left"/>
      </w:pPr>
      <w:r>
        <w:rPr/>
        <w:t>原材料、半成品、产成品采用实际成本核算，发出时按加权平均法计价。</w:t>
      </w:r>
    </w:p>
    <w:p>
      <w:pPr>
        <w:pStyle w:val="BodyText"/>
        <w:spacing w:line="430" w:lineRule="atLeast" w:before="2"/>
        <w:ind w:left="574" w:right="0"/>
        <w:jc w:val="left"/>
      </w:pPr>
      <w:r>
        <w:rPr/>
        <w:t>3．确定不同类别存货可变现净值的依据及存货跌价准备的计提方法 资产负债表日，存货采用成本与可变现净值孰低计量，按照单个存货成本高于可变现净值的差额计提存货跌价准备。</w:t>
      </w:r>
    </w:p>
    <w:p>
      <w:pPr>
        <w:pStyle w:val="BodyText"/>
        <w:spacing w:line="316" w:lineRule="auto" w:before="76"/>
        <w:ind w:right="0"/>
        <w:jc w:val="left"/>
      </w:pPr>
      <w:r>
        <w:rPr>
          <w:spacing w:val="-2"/>
        </w:rPr>
        <w:t>可变现净值，是指在日常活动中，存货的估计售价减去至完工时估计将要发生的成本、估计的销售费用以及相关税费后的金</w:t>
      </w:r>
      <w:r>
        <w:rPr>
          <w:spacing w:val="-66"/>
        </w:rPr>
        <w:t> </w:t>
      </w:r>
      <w:r>
        <w:rPr>
          <w:spacing w:val="-66"/>
        </w:rPr>
      </w:r>
      <w:r>
        <w:rPr>
          <w:spacing w:val="-4"/>
        </w:rPr>
        <w:t>额。公司确定存货的可变现净值，以取得的确凿证据为基础，并且考虑持有存货的目的、资产负债表日后事项的影响等因素。</w:t>
      </w:r>
    </w:p>
    <w:p>
      <w:pPr>
        <w:pStyle w:val="BodyText"/>
        <w:spacing w:line="316" w:lineRule="auto" w:before="139"/>
        <w:ind w:right="90" w:firstLine="420"/>
        <w:jc w:val="left"/>
      </w:pPr>
      <w:r>
        <w:rPr/>
        <w:t>直接用于出售的存货，在正常生产经营过程中以该存货的估计售价减去估计的销售费用和相关税费后的金额确定其可</w:t>
      </w:r>
      <w:r>
        <w:rPr>
          <w:spacing w:val="1"/>
        </w:rPr>
        <w:t> </w:t>
      </w:r>
      <w:r>
        <w:rPr/>
        <w:t>变现净值；需要经过加工的存货，在正常生产经营过程中以所生产的产成品的估计售价减去至完工时估计将要发生的成本、</w:t>
      </w:r>
      <w:r>
        <w:rPr/>
        <w:t> </w:t>
      </w:r>
      <w:r>
        <w:rPr>
          <w:spacing w:val="-2"/>
        </w:rPr>
        <w:t>估计的销售费用和相关税费后的金额确定其可变现净值；资产负债表日，同一项存货中一部分有合同价格约定、其他部分不</w:t>
      </w:r>
      <w:r>
        <w:rPr>
          <w:spacing w:val="-66"/>
        </w:rPr>
        <w:t> </w:t>
      </w:r>
      <w:r>
        <w:rPr>
          <w:spacing w:val="-66"/>
        </w:rPr>
      </w:r>
      <w:r>
        <w:rPr/>
        <w:t>存在合同价格的，分别确定其可变现净值，并与其对应的成本进行比较，分别确定存货跌价准备的计提或转回的金额。</w:t>
      </w:r>
    </w:p>
    <w:p>
      <w:pPr>
        <w:pStyle w:val="BodyText"/>
        <w:spacing w:line="316" w:lineRule="auto" w:before="139"/>
        <w:ind w:right="0" w:firstLine="420"/>
        <w:jc w:val="left"/>
      </w:pPr>
      <w:r>
        <w:rPr/>
        <w:t>期末按照单个存货项目计提存货跌价准备；但对于数量繁多、单价较低的存货，按照存货类别计提存货跌价准备；与</w:t>
      </w:r>
      <w:r>
        <w:rPr>
          <w:spacing w:val="1"/>
        </w:rPr>
        <w:t> </w:t>
      </w:r>
      <w:r>
        <w:rPr>
          <w:spacing w:val="-2"/>
        </w:rPr>
        <w:t>在同一地区生产和销售的产品系列相关、具有相同或类似最终用途或目的，且难以与其他项目分开计量的存货，则合并计提</w:t>
      </w:r>
    </w:p>
    <w:p>
      <w:pPr>
        <w:spacing w:after="0" w:line="316"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153" w:right="0"/>
        <w:jc w:val="left"/>
      </w:pPr>
      <w:r>
        <w:rPr/>
        <w:t>存货跌价准备。</w:t>
      </w:r>
    </w:p>
    <w:p>
      <w:pPr>
        <w:spacing w:line="240" w:lineRule="auto" w:before="0"/>
        <w:rPr>
          <w:rFonts w:ascii="宋体" w:hAnsi="宋体" w:cs="宋体" w:eastAsia="宋体" w:hint="default"/>
          <w:sz w:val="15"/>
          <w:szCs w:val="15"/>
        </w:rPr>
      </w:pPr>
    </w:p>
    <w:p>
      <w:pPr>
        <w:pStyle w:val="BodyText"/>
        <w:spacing w:line="240" w:lineRule="auto"/>
        <w:ind w:left="573" w:right="0"/>
        <w:jc w:val="left"/>
      </w:pPr>
      <w:r>
        <w:rPr/>
        <w:t>4．存货的盘存制度：永续盘存制。</w:t>
      </w:r>
    </w:p>
    <w:p>
      <w:pPr>
        <w:spacing w:line="240" w:lineRule="auto" w:before="0"/>
        <w:rPr>
          <w:rFonts w:ascii="宋体" w:hAnsi="宋体" w:cs="宋体" w:eastAsia="宋体" w:hint="default"/>
          <w:sz w:val="15"/>
          <w:szCs w:val="15"/>
        </w:rPr>
      </w:pPr>
    </w:p>
    <w:p>
      <w:pPr>
        <w:pStyle w:val="BodyText"/>
        <w:spacing w:line="240" w:lineRule="auto"/>
        <w:ind w:left="573" w:right="0"/>
        <w:jc w:val="left"/>
      </w:pPr>
      <w:r>
        <w:rPr/>
        <w:t>5. 低值易耗品和包装物的摊销方法：采用一次转销法。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574" w:right="1380"/>
        <w:jc w:val="left"/>
      </w:pPr>
      <w:r>
        <w:rPr/>
        <w:t>公司将同时满足下列条件的非流动资产划分为持有待售资产： 1．该非流动资产或该处置组在其当前状况下仅根据出售此类资产或处置组的惯常条款即可立即出售；</w:t>
      </w:r>
    </w:p>
    <w:p>
      <w:pPr>
        <w:pStyle w:val="BodyText"/>
        <w:spacing w:line="240" w:lineRule="auto" w:before="47"/>
        <w:ind w:left="574" w:right="0"/>
        <w:jc w:val="left"/>
      </w:pPr>
      <w:r>
        <w:rPr/>
        <w:t>2．本公司已经就处置该非流动资产或该处置组作出决议并取得适当批准；</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t>3．本公司已经与受让方签订了不可撤销的转让协议；</w:t>
      </w:r>
    </w:p>
    <w:p>
      <w:pPr>
        <w:pStyle w:val="BodyText"/>
        <w:spacing w:line="430" w:lineRule="atLeast" w:before="2"/>
        <w:ind w:left="574" w:right="0"/>
        <w:jc w:val="left"/>
      </w:pPr>
      <w:r>
        <w:rPr/>
        <w:t>4．该项转让将在一年内完成。 被划分为持有待售的非流动资产和处置组中的资产和负债，分类为流动资产和流动负债。 终止经营为满足下列条件之一的已被处置或被划归为持有待售的、于经营上和编制财务报表时能够在本公司内单独区</w:t>
      </w:r>
    </w:p>
    <w:p>
      <w:pPr>
        <w:pStyle w:val="BodyText"/>
        <w:spacing w:line="240" w:lineRule="auto" w:before="76"/>
        <w:ind w:right="0"/>
        <w:jc w:val="left"/>
      </w:pPr>
      <w:r>
        <w:rPr/>
        <w:t>分的组成部分：</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t>1．该组成部分代表一项独立的主要业务或一个主要经营地区；</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t>2．该组成部分是拟对一项独立的主要业务或一个主要经营地区进行处置计划的一部分；</w:t>
      </w:r>
    </w:p>
    <w:p>
      <w:pPr>
        <w:pStyle w:val="BodyText"/>
        <w:spacing w:line="430" w:lineRule="atLeast" w:before="2"/>
        <w:ind w:left="574" w:right="0"/>
        <w:jc w:val="left"/>
      </w:pPr>
      <w:r>
        <w:rPr/>
        <w:t>3．该组成部分是仅仅为了再出售而取得的子公司。 对于持有待售的固定资产，公司将该项资产的预计净残值调整为反映其公允价值减去处置费用后的金额（但不得超过</w:t>
      </w:r>
    </w:p>
    <w:p>
      <w:pPr>
        <w:pStyle w:val="BodyText"/>
        <w:spacing w:line="240" w:lineRule="auto" w:before="76"/>
        <w:ind w:right="0"/>
        <w:jc w:val="left"/>
      </w:pPr>
      <w:r>
        <w:rPr>
          <w:spacing w:val="-4"/>
        </w:rPr>
        <w:t>该项资产符合持有待售条件时的原账面价值），原账面价值高于调整后预计净残值的差额，作为资产减值损失计入当期损益。</w:t>
      </w:r>
    </w:p>
    <w:p>
      <w:pPr>
        <w:spacing w:line="240" w:lineRule="auto" w:before="0"/>
        <w:rPr>
          <w:rFonts w:ascii="宋体" w:hAnsi="宋体" w:cs="宋体" w:eastAsia="宋体" w:hint="default"/>
          <w:sz w:val="15"/>
          <w:szCs w:val="15"/>
        </w:rPr>
      </w:pPr>
    </w:p>
    <w:p>
      <w:pPr>
        <w:pStyle w:val="BodyText"/>
        <w:spacing w:line="316" w:lineRule="auto"/>
        <w:ind w:right="186" w:firstLine="420"/>
        <w:jc w:val="both"/>
      </w:pPr>
      <w:r>
        <w:rPr/>
        <w:t>某项资产或处置组被划归为持有待售，但后来不再满足持有待售的固定资产的确认条件，公司停止将其划归为持有待</w:t>
      </w:r>
      <w:r>
        <w:rPr>
          <w:spacing w:val="1"/>
        </w:rPr>
        <w:t> </w:t>
      </w:r>
      <w:r>
        <w:rPr/>
        <w:t>售，并按照下列两项金额中较低者计量：（1）该资产或处置组被划归为持有待售之前的账面价值，按照其假定在没有被划</w:t>
      </w:r>
      <w:r>
        <w:rPr>
          <w:spacing w:val="-83"/>
        </w:rPr>
        <w:t> </w:t>
      </w:r>
      <w:r>
        <w:rPr>
          <w:spacing w:val="-83"/>
        </w:rPr>
      </w:r>
      <w:r>
        <w:rPr/>
        <w:t>归为持有待售的情况下原应确认的折旧、摊销或减值进行调整后的金额；（2）决定不再出售之日的再收回金额。</w:t>
      </w:r>
    </w:p>
    <w:p>
      <w:pPr>
        <w:pStyle w:val="BodyText"/>
        <w:spacing w:line="240" w:lineRule="auto" w:before="139"/>
        <w:ind w:left="574" w:right="0"/>
        <w:jc w:val="left"/>
      </w:pPr>
      <w:r>
        <w:rPr/>
        <w:t>符合持有待售条件的无形资产等其他非流动资产，按上述原则处理。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6" w:firstLine="420"/>
        <w:jc w:val="both"/>
      </w:pPr>
      <w:r>
        <w:rPr/>
        <w:t>长期股权投资是指本公司对被投资单位具有控制、重大影响的权益性投资，以及对其合营企业的权益性投资。本公司</w:t>
      </w:r>
      <w:r>
        <w:rPr>
          <w:spacing w:val="1"/>
        </w:rPr>
        <w:t> </w:t>
      </w:r>
      <w:r>
        <w:rPr>
          <w:spacing w:val="-2"/>
        </w:rPr>
        <w:t>对被投资单位不具有控制、共同控制或重大影响的权益性投资，作为可供出售金融资产或以公允价值计量且其变动计入当期</w:t>
      </w:r>
      <w:r>
        <w:rPr>
          <w:spacing w:val="-64"/>
        </w:rPr>
        <w:t> </w:t>
      </w:r>
      <w:r>
        <w:rPr>
          <w:spacing w:val="-64"/>
        </w:rPr>
      </w:r>
      <w:r>
        <w:rPr/>
        <w:t>损益的金融资产核算。</w:t>
      </w:r>
    </w:p>
    <w:p>
      <w:pPr>
        <w:pStyle w:val="BodyText"/>
        <w:spacing w:line="316" w:lineRule="auto" w:before="139"/>
        <w:ind w:right="186" w:firstLine="420"/>
        <w:jc w:val="both"/>
      </w:pPr>
      <w:r>
        <w:rPr/>
        <w:t>共同控制，是指本公司按照相关约定对某项安排所共有的控制，并且该安排的相关活动必须经过分享控制权的参与方</w:t>
      </w:r>
      <w:r>
        <w:rPr>
          <w:spacing w:val="1"/>
        </w:rPr>
        <w:t> </w:t>
      </w:r>
      <w:r>
        <w:rPr>
          <w:spacing w:val="-2"/>
        </w:rPr>
        <w:t>一致同意后才能决策。重大影响，是指本公司对被投资单位的财务和经营政策有参与决策的权力，但并不能够控制或者与其</w:t>
      </w:r>
      <w:r>
        <w:rPr>
          <w:spacing w:val="-66"/>
        </w:rPr>
        <w:t> </w:t>
      </w:r>
      <w:r>
        <w:rPr>
          <w:spacing w:val="-66"/>
        </w:rPr>
      </w:r>
      <w:r>
        <w:rPr/>
        <w:t>他方一起共同控制这些政策的制定。</w:t>
      </w:r>
    </w:p>
    <w:p>
      <w:pPr>
        <w:pStyle w:val="BodyText"/>
        <w:spacing w:line="432" w:lineRule="exact" w:before="3"/>
        <w:ind w:left="574" w:right="0"/>
        <w:jc w:val="left"/>
      </w:pPr>
      <w:r>
        <w:rPr/>
        <w:t>1.投资成本的确定 对于同一控制下的企业合并取得的长期股权投资，在合并日按照被合并方所有者权益在最终控制方合并财务报表中的</w:t>
      </w:r>
    </w:p>
    <w:p>
      <w:pPr>
        <w:pStyle w:val="BodyText"/>
        <w:spacing w:line="240" w:lineRule="auto" w:before="15"/>
        <w:ind w:right="0"/>
        <w:jc w:val="left"/>
      </w:pPr>
      <w:r>
        <w:rPr/>
        <w:t>账面价值的份额作为长期股权投资的初始投资成本。长期股权投资初始投资成本与支付的现金、转让的非现金资产以及所承</w:t>
      </w:r>
    </w:p>
    <w:p>
      <w:pPr>
        <w:spacing w:after="0" w:line="24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91"/>
        <w:jc w:val="left"/>
      </w:pPr>
      <w:r>
        <w:rPr>
          <w:spacing w:val="-2"/>
        </w:rPr>
        <w:t>担债务账面价值之间的差额，调整资本公积；资本公积不足冲减的，调整留存收益。以发行权益性证券作为合并对价的，在</w:t>
      </w:r>
      <w:r>
        <w:rPr>
          <w:spacing w:val="-66"/>
        </w:rPr>
        <w:t> </w:t>
      </w:r>
      <w:r>
        <w:rPr>
          <w:spacing w:val="-66"/>
        </w:rPr>
      </w:r>
      <w:r>
        <w:rPr/>
        <w:t>合并日按照被合并方股东权益/所有者权益在最终控制方合并财务报表中的账面价值的份额作为长期股权投资的初始投资成</w:t>
      </w:r>
      <w:r>
        <w:rPr>
          <w:spacing w:val="-83"/>
        </w:rPr>
        <w:t> </w:t>
      </w:r>
      <w:r>
        <w:rPr>
          <w:spacing w:val="-83"/>
        </w:rPr>
      </w:r>
      <w:r>
        <w:rPr>
          <w:spacing w:val="-2"/>
        </w:rPr>
        <w:t>本，按照发行股份的面值总额作为股本，长期股权投资初始投资成本与所发行股份面值总额之间的差额，调整资本公积；资</w:t>
      </w:r>
      <w:r>
        <w:rPr>
          <w:spacing w:val="-66"/>
        </w:rPr>
        <w:t> </w:t>
      </w:r>
      <w:r>
        <w:rPr>
          <w:spacing w:val="-66"/>
        </w:rPr>
      </w:r>
      <w:r>
        <w:rPr/>
        <w:t>本公积不足冲减的，调整留存收益（通过多次交易分步取得同一控制下被合并方的股权，最终形成同一控制下企业合并的， 应分别是否属于“一揽子交易”进行处理：属于“一揽子交易”的，将各项交易作为一项取得控制权的交易进行会计处理。 不属于“一揽子交易”的，在合并日按照应享有被合并方股东权益/所有者权益在最终控制方合并财务报表中的账面价值的</w:t>
      </w:r>
      <w:r>
        <w:rPr>
          <w:spacing w:val="-83"/>
        </w:rPr>
        <w:t> </w:t>
      </w:r>
      <w:r>
        <w:rPr>
          <w:spacing w:val="-83"/>
        </w:rPr>
      </w:r>
      <w:r>
        <w:rPr>
          <w:spacing w:val="-2"/>
        </w:rPr>
        <w:t>份额作为长期股权投资的初始投资成本，长期股权投资初始投资成本与达到合并前的长期股权投资账面价值加上合并日进一</w:t>
      </w:r>
      <w:r>
        <w:rPr>
          <w:spacing w:val="-64"/>
        </w:rPr>
        <w:t> </w:t>
      </w:r>
      <w:r>
        <w:rPr>
          <w:spacing w:val="-64"/>
        </w:rPr>
      </w:r>
      <w:r>
        <w:rPr>
          <w:spacing w:val="-2"/>
        </w:rPr>
        <w:t>步取得股份新支付对价的账面价值之和的差额，调整资本公积；资本公积不足冲减的，调整留存收益。合并日之前持有的股</w:t>
      </w:r>
      <w:r>
        <w:rPr>
          <w:spacing w:val="-66"/>
        </w:rPr>
        <w:t> </w:t>
      </w:r>
      <w:r>
        <w:rPr>
          <w:spacing w:val="-66"/>
        </w:rPr>
      </w:r>
      <w:r>
        <w:rPr/>
        <w:t>权投资因采用权益法核算或为可供出售金融资产而确认的其他综合收益，暂不进行会计处理）。</w:t>
      </w:r>
    </w:p>
    <w:p>
      <w:pPr>
        <w:pStyle w:val="BodyText"/>
        <w:spacing w:line="316" w:lineRule="auto" w:before="139"/>
        <w:ind w:left="153" w:right="186" w:firstLine="420"/>
        <w:jc w:val="both"/>
      </w:pPr>
      <w:r>
        <w:rPr/>
        <w:t>对于非同一控制下的企业合并取得的长期股权投资，在购买日按照合并成本作为长期股权投资的初始投资成本，合并</w:t>
      </w:r>
      <w:r>
        <w:rPr>
          <w:spacing w:val="1"/>
        </w:rPr>
        <w:t> </w:t>
      </w:r>
      <w:r>
        <w:rPr>
          <w:spacing w:val="-2"/>
        </w:rPr>
        <w:t>成本包括购买方付出的资产、发生或承担的负债、发行的权益性证券的公允价值之和（通过多次交易分步取得被购买方的股</w:t>
      </w:r>
      <w:r>
        <w:rPr>
          <w:spacing w:val="-66"/>
        </w:rPr>
        <w:t> </w:t>
      </w:r>
      <w:r>
        <w:rPr>
          <w:spacing w:val="-66"/>
        </w:rPr>
      </w:r>
      <w:r>
        <w:rPr>
          <w:spacing w:val="-2"/>
        </w:rPr>
        <w:t>权，最终形成非同一控制下的企业合并的，应分别是否属于“一揽子交易”进行处理：属于“一揽子交易”的，将各项交易</w:t>
      </w:r>
      <w:r>
        <w:rPr>
          <w:spacing w:val="-67"/>
        </w:rPr>
        <w:t> </w:t>
      </w:r>
      <w:r>
        <w:rPr>
          <w:spacing w:val="-67"/>
        </w:rPr>
      </w:r>
      <w:r>
        <w:rPr>
          <w:spacing w:val="-2"/>
        </w:rPr>
        <w:t>作为一项取得控制权的交易进行会计处理。不属于“一揽子交易”的，按照原持有被购买方的股权投资账面价值加上新增投</w:t>
      </w:r>
      <w:r>
        <w:rPr>
          <w:spacing w:val="-66"/>
        </w:rPr>
        <w:t> </w:t>
      </w:r>
      <w:r>
        <w:rPr>
          <w:spacing w:val="-66"/>
        </w:rPr>
      </w:r>
      <w:r>
        <w:rPr>
          <w:spacing w:val="-2"/>
        </w:rPr>
        <w:t>资成本之和，作为改按成本法核算的长期股权投资的初始投资成本。原持有的股权采用权益法核算的，相关其他综合收益暂</w:t>
      </w:r>
      <w:r>
        <w:rPr>
          <w:spacing w:val="-66"/>
        </w:rPr>
        <w:t> </w:t>
      </w:r>
      <w:r>
        <w:rPr>
          <w:spacing w:val="-66"/>
        </w:rPr>
      </w:r>
      <w:r>
        <w:rPr>
          <w:spacing w:val="-2"/>
        </w:rPr>
        <w:t>不进行会计处理。原持有股权投资为可供出售金融资产的，其公允价值与账面价值之间的差额，以及原计入其他综合收益的</w:t>
      </w:r>
      <w:r>
        <w:rPr>
          <w:spacing w:val="-66"/>
        </w:rPr>
        <w:t> </w:t>
      </w:r>
      <w:r>
        <w:rPr>
          <w:spacing w:val="-66"/>
        </w:rPr>
      </w:r>
      <w:r>
        <w:rPr/>
        <w:t>累计公允价值变动转入当期损益）。</w:t>
      </w:r>
    </w:p>
    <w:p>
      <w:pPr>
        <w:pStyle w:val="BodyText"/>
        <w:spacing w:line="316" w:lineRule="auto" w:before="139"/>
        <w:ind w:left="153" w:right="186" w:firstLine="420"/>
        <w:jc w:val="both"/>
      </w:pPr>
      <w:r>
        <w:rPr/>
        <w:t>合并方或购买方为企业合并发生的审计、法律服务、评估咨询等中介费用以及其他相关管理费用，于发生时计入当期</w:t>
      </w:r>
      <w:r>
        <w:rPr>
          <w:spacing w:val="1"/>
        </w:rPr>
        <w:t> </w:t>
      </w:r>
      <w:r>
        <w:rPr/>
        <w:t>损益。</w:t>
      </w:r>
    </w:p>
    <w:p>
      <w:pPr>
        <w:pStyle w:val="BodyText"/>
        <w:spacing w:line="316" w:lineRule="auto" w:before="139"/>
        <w:ind w:left="153" w:right="186" w:firstLine="420"/>
        <w:jc w:val="both"/>
      </w:pPr>
      <w:r>
        <w:rPr/>
        <w:t>除企业合并形成的长期股权投资外的其他股权投资，按成本进行初始计量，该成本视长期股权投资取得方式的不同，</w:t>
      </w:r>
      <w:r>
        <w:rPr>
          <w:spacing w:val="1"/>
        </w:rPr>
        <w:t> </w:t>
      </w:r>
      <w:r>
        <w:rPr>
          <w:spacing w:val="-2"/>
        </w:rPr>
        <w:t>分别按照本公司实际支付的现金购买价款、本公司发行的权益性证券的公允价值、投资合同或协议约定的价值、非货币性资</w:t>
      </w:r>
      <w:r>
        <w:rPr>
          <w:spacing w:val="-66"/>
        </w:rPr>
        <w:t> </w:t>
      </w:r>
      <w:r>
        <w:rPr>
          <w:spacing w:val="-66"/>
        </w:rPr>
      </w:r>
      <w:r>
        <w:rPr>
          <w:spacing w:val="-2"/>
        </w:rPr>
        <w:t>产交换交易中换出资产的公允价值或原账面价值、该项长期股权投资自身的公允价值等方式确定。与取得长期股权投资直接</w:t>
      </w:r>
      <w:r>
        <w:rPr>
          <w:spacing w:val="-64"/>
        </w:rPr>
        <w:t> </w:t>
      </w:r>
      <w:r>
        <w:rPr>
          <w:spacing w:val="-64"/>
        </w:rPr>
      </w:r>
      <w:r>
        <w:rPr>
          <w:spacing w:val="-2"/>
        </w:rPr>
        <w:t>相关的费用、税金及其他必要支出也计入投资成本。对于因追加投资能够对被投资单位实施重大影响或实施共同控制但不构</w:t>
      </w:r>
      <w:r>
        <w:rPr>
          <w:spacing w:val="-64"/>
        </w:rPr>
        <w:t> </w:t>
      </w:r>
      <w:r>
        <w:rPr>
          <w:spacing w:val="-64"/>
        </w:rPr>
      </w:r>
      <w:r>
        <w:rPr>
          <w:spacing w:val="-2"/>
        </w:rPr>
        <w:t>成控制的，长期股权投资成本为按照《企业会计准则第22号——金融工具确认和计量》确定的原持有股权投资的公允价值加</w:t>
      </w:r>
      <w:r>
        <w:rPr>
          <w:spacing w:val="-64"/>
        </w:rPr>
        <w:t> </w:t>
      </w:r>
      <w:r>
        <w:rPr>
          <w:spacing w:val="-64"/>
        </w:rPr>
      </w:r>
      <w:r>
        <w:rPr/>
        <w:t>上新增投资成本之和。</w:t>
      </w:r>
    </w:p>
    <w:p>
      <w:pPr>
        <w:pStyle w:val="BodyText"/>
        <w:spacing w:line="432" w:lineRule="exact" w:before="3"/>
        <w:ind w:left="573" w:right="0"/>
        <w:jc w:val="left"/>
      </w:pPr>
      <w:r>
        <w:rPr/>
        <w:t>2.后续计量及损益确认方法 对被投资单位具有共同控制（构成共同经营者除外）或重大影响的长期股权投资，采用权益法核算。此外，公司财务</w:t>
      </w:r>
    </w:p>
    <w:p>
      <w:pPr>
        <w:pStyle w:val="BodyText"/>
        <w:spacing w:line="240" w:lineRule="auto" w:before="15"/>
        <w:ind w:left="153" w:right="0"/>
        <w:jc w:val="left"/>
      </w:pPr>
      <w:r>
        <w:rPr/>
        <w:t>报表采用成本法核算能够对被投资单位实施控制的长期股权投资。</w:t>
      </w:r>
    </w:p>
    <w:p>
      <w:pPr>
        <w:pStyle w:val="BodyText"/>
        <w:spacing w:line="430" w:lineRule="atLeast" w:before="2"/>
        <w:ind w:left="573" w:right="0"/>
        <w:jc w:val="left"/>
      </w:pPr>
      <w:r>
        <w:rPr/>
        <w:t>（1） 成本法核算的长期股权投资 采用成本法核算时，长期股权投资按初始投资成本计价，追加或收回投资调整长期股权投资的成本。除取得投资时实</w:t>
      </w:r>
    </w:p>
    <w:p>
      <w:pPr>
        <w:pStyle w:val="BodyText"/>
        <w:spacing w:line="316" w:lineRule="auto" w:before="76"/>
        <w:ind w:left="153" w:right="0"/>
        <w:jc w:val="left"/>
      </w:pPr>
      <w:r>
        <w:rPr>
          <w:spacing w:val="-2"/>
        </w:rPr>
        <w:t>际支付的价款或者对价中包含的已宣告但尚未发放的现金股利或者利润外，当期投资收益按照享有被投资单位宣告发放的现</w:t>
      </w:r>
      <w:r>
        <w:rPr>
          <w:spacing w:val="-64"/>
        </w:rPr>
        <w:t> </w:t>
      </w:r>
      <w:r>
        <w:rPr>
          <w:spacing w:val="-64"/>
        </w:rPr>
      </w:r>
      <w:r>
        <w:rPr/>
        <w:t>金股利或利润确认。</w:t>
      </w:r>
    </w:p>
    <w:p>
      <w:pPr>
        <w:pStyle w:val="BodyText"/>
        <w:spacing w:line="432" w:lineRule="exact" w:before="3"/>
        <w:ind w:left="573" w:right="0"/>
        <w:jc w:val="left"/>
      </w:pPr>
      <w:r>
        <w:rPr/>
        <w:t>（2）权益法核算的长期股权投资 采用权益法核算时，长期股权投资的初始投资成本大于投资时应享有被投资单位可辨认净资产公允价值份额的，不调</w:t>
      </w:r>
    </w:p>
    <w:p>
      <w:pPr>
        <w:pStyle w:val="BodyText"/>
        <w:spacing w:line="316" w:lineRule="auto" w:before="15"/>
        <w:ind w:left="153" w:right="0"/>
        <w:jc w:val="left"/>
      </w:pPr>
      <w:r>
        <w:rPr>
          <w:spacing w:val="-2"/>
        </w:rPr>
        <w:t>整长期股权投资的初始投资成本；初始投资成本小于投资时应享有被投资单位可辨认净资产公允价值份额的，其差额计入当</w:t>
      </w:r>
      <w:r>
        <w:rPr>
          <w:spacing w:val="-64"/>
        </w:rPr>
        <w:t> </w:t>
      </w:r>
      <w:r>
        <w:rPr>
          <w:spacing w:val="-64"/>
        </w:rPr>
      </w:r>
      <w:r>
        <w:rPr/>
        <w:t>期损益，同时调整长期股权投资的成本。</w:t>
      </w:r>
    </w:p>
    <w:p>
      <w:pPr>
        <w:pStyle w:val="BodyText"/>
        <w:spacing w:line="316" w:lineRule="auto" w:before="139"/>
        <w:ind w:left="153" w:right="186" w:firstLine="420"/>
        <w:jc w:val="both"/>
      </w:pPr>
      <w:r>
        <w:rPr/>
        <w:t>采用权益法核算时，按照应享有或应分担的被投资单位实现的净损益和其他综合收益的份额，分别确认投资收益和其</w:t>
      </w:r>
      <w:r>
        <w:rPr>
          <w:spacing w:val="1"/>
        </w:rPr>
        <w:t> </w:t>
      </w:r>
      <w:r>
        <w:rPr>
          <w:spacing w:val="-2"/>
        </w:rPr>
        <w:t>他综合收益，同时调整长期股权投资的账面价值；按照被投资单位宣告分派的利润或现金股利计算应享有的部分，相应减少</w:t>
      </w:r>
      <w:r>
        <w:rPr>
          <w:spacing w:val="-66"/>
        </w:rPr>
        <w:t> </w:t>
      </w:r>
      <w:r>
        <w:rPr>
          <w:spacing w:val="-66"/>
        </w:rPr>
      </w:r>
      <w:r>
        <w:rPr>
          <w:spacing w:val="-2"/>
        </w:rPr>
        <w:t>长期股权投资的账面价值；对于被投资单位除净损益、其他综合收益和利润分配以外所有者权益的其他变动，调整长期股权</w:t>
      </w:r>
      <w:r>
        <w:rPr>
          <w:spacing w:val="-66"/>
        </w:rPr>
        <w:t> </w:t>
      </w:r>
      <w:r>
        <w:rPr>
          <w:spacing w:val="-66"/>
        </w:rPr>
      </w:r>
      <w:r>
        <w:rPr>
          <w:spacing w:val="-2"/>
        </w:rPr>
        <w:t>投资的账面价值并计入资本公积。在确认应享有被投资单位净损益的份额时，以取得投资时被投资单位各项可辨认资产等的</w:t>
      </w:r>
      <w:r>
        <w:rPr>
          <w:spacing w:val="-64"/>
        </w:rPr>
        <w:t> </w:t>
      </w:r>
      <w:r>
        <w:rPr>
          <w:spacing w:val="-64"/>
        </w:rPr>
      </w:r>
      <w:r>
        <w:rPr>
          <w:spacing w:val="-2"/>
        </w:rPr>
        <w:t>公允价值为基础，对被投资单位的净利润进行调整后确认。被投资单位采用的会计政策及会计期间与本公司不一致的，按照</w:t>
      </w:r>
      <w:r>
        <w:rPr>
          <w:spacing w:val="-66"/>
        </w:rPr>
        <w:t> </w:t>
      </w:r>
      <w:r>
        <w:rPr>
          <w:spacing w:val="-66"/>
        </w:rPr>
      </w:r>
      <w:r>
        <w:rPr>
          <w:spacing w:val="-2"/>
        </w:rPr>
        <w:t>本公司的会计政策及会计期间对被投资单位的财务报表进行调整，并据以确认投资收益和其他综合收益。对于本公司与联营</w:t>
      </w:r>
    </w:p>
    <w:p>
      <w:pPr>
        <w:spacing w:after="0" w:line="316"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91"/>
        <w:jc w:val="left"/>
      </w:pPr>
      <w:r>
        <w:rPr>
          <w:spacing w:val="-2"/>
        </w:rPr>
        <w:t>企业及合营企业之间发生的交易，投出或出售的资产不构成业务的，未实现内部交易损益按照享有的比例计算归属于本公司</w:t>
      </w:r>
      <w:r>
        <w:rPr>
          <w:spacing w:val="-64"/>
        </w:rPr>
        <w:t> </w:t>
      </w:r>
      <w:r>
        <w:rPr>
          <w:spacing w:val="-64"/>
        </w:rPr>
      </w:r>
      <w:r>
        <w:rPr>
          <w:spacing w:val="-2"/>
        </w:rPr>
        <w:t>的部分予以抵销，在此基础上确认投资损益。但本公司与被投资单位发生的未实现内部交易损失，属于所转让资产减值损失</w:t>
      </w:r>
      <w:r>
        <w:rPr>
          <w:spacing w:val="-66"/>
        </w:rPr>
        <w:t> </w:t>
      </w:r>
      <w:r>
        <w:rPr>
          <w:spacing w:val="-66"/>
        </w:rPr>
      </w:r>
      <w:r>
        <w:rPr/>
        <w:t>的，不予以抵销。本公司向合营企业或联营企业投出的资产构成业务的，投资方因此取得长期股权投资但未取得控制权的， </w:t>
      </w:r>
      <w:r>
        <w:rPr>
          <w:spacing w:val="-2"/>
        </w:rPr>
        <w:t>以投出业务的公允价值作为新增长期股权投资的初始投资成本，初始投资成本与投出业务的账面价值之差，全额计入当期损</w:t>
      </w:r>
      <w:r>
        <w:rPr>
          <w:spacing w:val="-64"/>
        </w:rPr>
        <w:t> </w:t>
      </w:r>
      <w:r>
        <w:rPr>
          <w:spacing w:val="-64"/>
        </w:rPr>
      </w:r>
      <w:r>
        <w:rPr>
          <w:spacing w:val="-2"/>
        </w:rPr>
        <w:t>益。本公司向合营企业或联营企业出售的资产构成业务的，取得的对价与业务的账面价值之差，全额计入当期损益。本公司</w:t>
      </w:r>
      <w:r>
        <w:rPr>
          <w:spacing w:val="-66"/>
        </w:rPr>
        <w:t> </w:t>
      </w:r>
      <w:r>
        <w:rPr>
          <w:spacing w:val="-66"/>
        </w:rPr>
      </w:r>
      <w:r>
        <w:rPr>
          <w:spacing w:val="-2"/>
        </w:rPr>
        <w:t>自联营企业及合营企业购入的资产构成业务的，按《企业会计准则第20号——企业合并》的规定进行会计处理，全额确认与</w:t>
      </w:r>
      <w:r>
        <w:rPr>
          <w:spacing w:val="-64"/>
        </w:rPr>
        <w:t> </w:t>
      </w:r>
      <w:r>
        <w:rPr>
          <w:spacing w:val="-64"/>
        </w:rPr>
      </w:r>
      <w:r>
        <w:rPr/>
        <w:t>交易相关的利得或损失。</w:t>
      </w:r>
    </w:p>
    <w:p>
      <w:pPr>
        <w:pStyle w:val="BodyText"/>
        <w:spacing w:line="316" w:lineRule="auto" w:before="139"/>
        <w:ind w:left="153" w:right="186" w:firstLine="420"/>
        <w:jc w:val="both"/>
      </w:pPr>
      <w:r>
        <w:rPr/>
        <w:t>在确认应分担被投资单位发生的净亏损时，以长期股权投资的账面价值和其他实质上构成对被投资单位净投资的长期</w:t>
      </w:r>
      <w:r>
        <w:rPr>
          <w:spacing w:val="1"/>
        </w:rPr>
        <w:t> </w:t>
      </w:r>
      <w:r>
        <w:rPr>
          <w:spacing w:val="-2"/>
        </w:rPr>
        <w:t>权益减记至零为限。此外，如本公司对被投资单位负有承担额外损失的义务，则按预计承担的义务确认预计负债，计入当期</w:t>
      </w:r>
      <w:r>
        <w:rPr>
          <w:spacing w:val="-66"/>
        </w:rPr>
        <w:t> </w:t>
      </w:r>
      <w:r>
        <w:rPr>
          <w:spacing w:val="-66"/>
        </w:rPr>
      </w:r>
      <w:r>
        <w:rPr/>
        <w:t>投资损失。被投资单位以后期间实现净利润的，本公司在收益分享额弥补未确认的亏损分担额后，恢复确认收益分享额。</w:t>
      </w:r>
    </w:p>
    <w:p>
      <w:pPr>
        <w:pStyle w:val="BodyText"/>
        <w:spacing w:line="432" w:lineRule="exact" w:before="3"/>
        <w:ind w:left="573" w:right="0"/>
        <w:jc w:val="left"/>
      </w:pPr>
      <w:r>
        <w:rPr/>
        <w:t>（3）收购少数股权 在编制合并财务报表时，因购买少数股权新增的长期股权投资与按照新增持股比例计算应享有子公司自购买日（或合</w:t>
      </w:r>
    </w:p>
    <w:p>
      <w:pPr>
        <w:pStyle w:val="BodyText"/>
        <w:spacing w:line="240" w:lineRule="auto" w:before="15"/>
        <w:ind w:left="153" w:right="0"/>
        <w:jc w:val="left"/>
      </w:pPr>
      <w:r>
        <w:rPr/>
        <w:t>并日）开始持续计算的净资产份额之间的差额，调整资本公积，资本公积不足冲减的，调整留存收益。</w:t>
      </w:r>
    </w:p>
    <w:p>
      <w:pPr>
        <w:pStyle w:val="BodyText"/>
        <w:spacing w:line="430" w:lineRule="atLeast" w:before="2"/>
        <w:ind w:left="573" w:right="0"/>
        <w:jc w:val="left"/>
      </w:pPr>
      <w:r>
        <w:rPr/>
        <w:t>（4）处置长期股权投资 在合并财务报表中，母公司在不丧失控制权的情况下部分处置对子公司的长期股权投资，处置价款与处置长期股权投</w:t>
      </w:r>
    </w:p>
    <w:p>
      <w:pPr>
        <w:pStyle w:val="BodyText"/>
        <w:spacing w:line="316" w:lineRule="auto" w:before="76"/>
        <w:ind w:left="153" w:right="0"/>
        <w:jc w:val="left"/>
      </w:pPr>
      <w:r>
        <w:rPr>
          <w:spacing w:val="-2"/>
        </w:rPr>
        <w:t>资相对应享有子公司净资产的差额计入股东权益；母公司部分处置对子公司的长期股权投资导致丧失对子公司控制权的，按</w:t>
      </w:r>
      <w:r>
        <w:rPr>
          <w:spacing w:val="-64"/>
        </w:rPr>
        <w:t> </w:t>
      </w:r>
      <w:r>
        <w:rPr>
          <w:spacing w:val="-64"/>
        </w:rPr>
      </w:r>
      <w:r>
        <w:rPr/>
        <w:t>本附注 “合并财务报表的编制方法”中所述的相关会计政策处理。</w:t>
      </w:r>
    </w:p>
    <w:p>
      <w:pPr>
        <w:pStyle w:val="BodyText"/>
        <w:spacing w:line="432" w:lineRule="exact" w:before="3"/>
        <w:ind w:left="573" w:right="0"/>
        <w:jc w:val="left"/>
      </w:pPr>
      <w:r>
        <w:rPr/>
        <w:t>其他情形下的长期股权投资处置，对于处置的股权，其账面价值与实际取得价款的差额，计入当期损益。 采用权益法核算的长期股权投资，处置后的剩余股权仍采用权益法核算的，在处置时将原计入股东权益的其他综合收</w:t>
      </w:r>
    </w:p>
    <w:p>
      <w:pPr>
        <w:pStyle w:val="BodyText"/>
        <w:spacing w:line="316" w:lineRule="auto" w:before="15"/>
        <w:ind w:left="153" w:right="0"/>
        <w:jc w:val="left"/>
      </w:pPr>
      <w:r>
        <w:rPr>
          <w:spacing w:val="-2"/>
        </w:rPr>
        <w:t>益部分按相应的比例采用与被投资单位直接处置相关资产或负债相同的基础进行会计处理。因被投资方除净损益、其他综合</w:t>
      </w:r>
      <w:r>
        <w:rPr>
          <w:spacing w:val="-64"/>
        </w:rPr>
        <w:t> </w:t>
      </w:r>
      <w:r>
        <w:rPr>
          <w:spacing w:val="-64"/>
        </w:rPr>
      </w:r>
      <w:r>
        <w:rPr/>
        <w:t>收益和利润分配以外的其他所有者权益变动而确认的所有者权益，按比例结转入当期损益。</w:t>
      </w:r>
    </w:p>
    <w:p>
      <w:pPr>
        <w:pStyle w:val="BodyText"/>
        <w:spacing w:line="316" w:lineRule="auto" w:before="139"/>
        <w:ind w:left="153" w:right="186" w:firstLine="420"/>
        <w:jc w:val="both"/>
      </w:pPr>
      <w:r>
        <w:rPr/>
        <w:t>采用成本法核算的长期股权投资，处置后剩余股权仍采用成本法核算的，其在取得对被投资单位的控制之前因采用权</w:t>
      </w:r>
      <w:r>
        <w:rPr>
          <w:spacing w:val="1"/>
        </w:rPr>
        <w:t> </w:t>
      </w:r>
      <w:r>
        <w:rPr>
          <w:spacing w:val="-2"/>
        </w:rPr>
        <w:t>益法核算或金融工具确认和计量准则核算而确认的其他综合收益，采用与被投资单位直接处置相关资产或负债相同的基础进</w:t>
      </w:r>
      <w:r>
        <w:rPr>
          <w:spacing w:val="-64"/>
        </w:rPr>
        <w:t> </w:t>
      </w:r>
      <w:r>
        <w:rPr>
          <w:spacing w:val="-64"/>
        </w:rPr>
      </w:r>
      <w:r>
        <w:rPr>
          <w:spacing w:val="-2"/>
        </w:rPr>
        <w:t>行会计处理，并按比例结转当期损益；因采用权益法核算而确认的被投资单位净资产中除净损益、其他综合收益和利润分配</w:t>
      </w:r>
      <w:r>
        <w:rPr>
          <w:spacing w:val="-66"/>
        </w:rPr>
        <w:t> </w:t>
      </w:r>
      <w:r>
        <w:rPr>
          <w:spacing w:val="-66"/>
        </w:rPr>
      </w:r>
      <w:r>
        <w:rPr/>
        <w:t>以外的其他所有者权益变动按比例结转当期损益。</w:t>
      </w:r>
    </w:p>
    <w:p>
      <w:pPr>
        <w:pStyle w:val="BodyText"/>
        <w:spacing w:line="316" w:lineRule="auto" w:before="139"/>
        <w:ind w:left="153" w:right="186" w:firstLine="420"/>
        <w:jc w:val="both"/>
      </w:pPr>
      <w:r>
        <w:rPr/>
        <w:t>本公司因处置部分股权投资丧失了对被投资单位的控制的，在编制个别财务报表时，处置后的剩余股权能够对被投资</w:t>
      </w:r>
      <w:r>
        <w:rPr>
          <w:spacing w:val="1"/>
        </w:rPr>
        <w:t> </w:t>
      </w:r>
      <w:r>
        <w:rPr>
          <w:spacing w:val="-2"/>
        </w:rPr>
        <w:t>单位实施共同控制或施加重大影响的，改按权益法核算，并对该剩余股权视同自取得时即采用权益法核算进行调整；处置后</w:t>
      </w:r>
      <w:r>
        <w:rPr>
          <w:spacing w:val="-66"/>
        </w:rPr>
        <w:t> </w:t>
      </w:r>
      <w:r>
        <w:rPr>
          <w:spacing w:val="-66"/>
        </w:rPr>
      </w:r>
      <w:r>
        <w:rPr>
          <w:spacing w:val="-2"/>
        </w:rPr>
        <w:t>的剩余股权不能对被投资单位实施共同控制或施加重大影响的，改按金融工具确认和计量准则的有关规定进行会计处理，其</w:t>
      </w:r>
      <w:r>
        <w:rPr>
          <w:spacing w:val="-64"/>
        </w:rPr>
        <w:t> </w:t>
      </w:r>
      <w:r>
        <w:rPr>
          <w:spacing w:val="-64"/>
        </w:rPr>
      </w:r>
      <w:r>
        <w:rPr>
          <w:spacing w:val="-2"/>
        </w:rPr>
        <w:t>在丧失控制之日的公允价值与账面价值之间的差额计入当期损益。对于本公司取得对被投资单位的控制之前，因采用权益法</w:t>
      </w:r>
      <w:r>
        <w:rPr>
          <w:spacing w:val="-64"/>
        </w:rPr>
        <w:t> </w:t>
      </w:r>
      <w:r>
        <w:rPr>
          <w:spacing w:val="-64"/>
        </w:rPr>
      </w:r>
      <w:r>
        <w:rPr>
          <w:spacing w:val="-2"/>
        </w:rPr>
        <w:t>核算或金融工具确认和计量准则核算而确认的其他综合收益，在丧失对被投资单位控制时采用与被投资单位直接处置相关资</w:t>
      </w:r>
      <w:r>
        <w:rPr>
          <w:spacing w:val="-64"/>
        </w:rPr>
        <w:t> </w:t>
      </w:r>
      <w:r>
        <w:rPr>
          <w:spacing w:val="-64"/>
        </w:rPr>
      </w:r>
      <w:r>
        <w:rPr>
          <w:spacing w:val="-2"/>
        </w:rPr>
        <w:t>产或负债相同的基础进行会计处理，因采用权益法核算而确认的被投资单位净资产中除净损益、其他综合收益和利润分配以</w:t>
      </w:r>
      <w:r>
        <w:rPr>
          <w:spacing w:val="-64"/>
        </w:rPr>
        <w:t> </w:t>
      </w:r>
      <w:r>
        <w:rPr>
          <w:spacing w:val="-64"/>
        </w:rPr>
      </w:r>
      <w:r>
        <w:rPr>
          <w:spacing w:val="-2"/>
        </w:rPr>
        <w:t>外的其他所有者权益变动在丧失对被投资单位控制时结转入当期损益。其中，处置后的剩余股权采用权益法核算的，其他综</w:t>
      </w:r>
      <w:r>
        <w:rPr>
          <w:spacing w:val="-66"/>
        </w:rPr>
        <w:t> </w:t>
      </w:r>
      <w:r>
        <w:rPr>
          <w:spacing w:val="-66"/>
        </w:rPr>
      </w:r>
      <w:r>
        <w:rPr>
          <w:spacing w:val="-2"/>
        </w:rPr>
        <w:t>合收益和其他所有者权益按比例结转；处置后的剩余股权改按金融工具确认和计量准则进行会计处理的，其他综合收益和其</w:t>
      </w:r>
      <w:r>
        <w:rPr>
          <w:spacing w:val="-64"/>
        </w:rPr>
        <w:t> </w:t>
      </w:r>
      <w:r>
        <w:rPr>
          <w:spacing w:val="-64"/>
        </w:rPr>
      </w:r>
      <w:r>
        <w:rPr/>
        <w:t>他所有者权益全部结转。</w:t>
      </w:r>
    </w:p>
    <w:p>
      <w:pPr>
        <w:pStyle w:val="BodyText"/>
        <w:spacing w:line="316" w:lineRule="auto" w:before="139"/>
        <w:ind w:left="153" w:right="186" w:firstLine="420"/>
        <w:jc w:val="both"/>
      </w:pPr>
      <w:r>
        <w:rPr/>
        <w:t>本公司因处置部分股权投资丧失了对被投资单位的共同控制或重大影响的，处置后的剩余股权改按金融工具确认和计</w:t>
      </w:r>
      <w:r>
        <w:rPr>
          <w:spacing w:val="1"/>
        </w:rPr>
        <w:t> </w:t>
      </w:r>
      <w:r>
        <w:rPr>
          <w:spacing w:val="-2"/>
        </w:rPr>
        <w:t>量准则核算，其在丧失共同控制或重大影响之日的公允价值与账面价值之间的差额计入当期损益。原股权投资因采用权益法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w:t>
      </w:r>
      <w:r>
        <w:rPr>
          <w:spacing w:val="-9"/>
        </w:rPr>
        <w:t> </w:t>
      </w:r>
      <w:r>
        <w:rPr>
          <w:spacing w:val="-9"/>
        </w:rPr>
      </w:r>
      <w:r>
        <w:rPr>
          <w:spacing w:val="-2"/>
        </w:rPr>
        <w:t>理，因被投资方除净损益、其他综合收益和利润分配以外的其他所有者权益变动而确认的所有者权益，在终止采用权益法时</w:t>
      </w:r>
      <w:r>
        <w:rPr>
          <w:spacing w:val="-66"/>
        </w:rPr>
        <w:t> </w:t>
      </w:r>
      <w:r>
        <w:rPr>
          <w:spacing w:val="-66"/>
        </w:rPr>
      </w:r>
      <w:r>
        <w:rPr/>
        <w:t>全部转入当期投资收益。</w:t>
      </w:r>
    </w:p>
    <w:p>
      <w:pPr>
        <w:pStyle w:val="BodyText"/>
        <w:spacing w:line="240" w:lineRule="auto" w:before="139"/>
        <w:ind w:left="573" w:right="0"/>
        <w:jc w:val="left"/>
      </w:pPr>
      <w:r>
        <w:rPr/>
        <w:t>本公司通过多次交易分步处置对子公司股权投资直至丧失控制权，如果上述交易属于一揽子交易的，将各项交易作为</w:t>
      </w:r>
    </w:p>
    <w:p>
      <w:pPr>
        <w:spacing w:after="0" w:line="24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0"/>
        <w:jc w:val="left"/>
      </w:pPr>
      <w:r>
        <w:rPr>
          <w:spacing w:val="-2"/>
        </w:rPr>
        <w:t>一项处置子公司股权投资并丧失控制权的交易进行会计处理，在丧失控制权之前每一次处置价款与所处置的股权对应的长期</w:t>
      </w:r>
      <w:r>
        <w:rPr>
          <w:spacing w:val="-64"/>
        </w:rPr>
        <w:t> </w:t>
      </w:r>
      <w:r>
        <w:rPr>
          <w:spacing w:val="-64"/>
        </w:rPr>
      </w:r>
      <w:r>
        <w:rPr/>
        <w:t>股权投资账面价值之间的差额，先确认为其他综合收益，到丧失控制权时再一并转入丧失控制权的当期损益。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574" w:right="7590"/>
        <w:jc w:val="left"/>
      </w:pPr>
      <w:r>
        <w:rPr/>
        <w:t>投资性房地产计量模式 成本法计量 折旧或摊销方法</w:t>
      </w:r>
    </w:p>
    <w:p>
      <w:pPr>
        <w:pStyle w:val="BodyText"/>
        <w:spacing w:line="439" w:lineRule="auto" w:before="47"/>
        <w:ind w:left="574" w:right="1290"/>
        <w:jc w:val="left"/>
      </w:pPr>
      <w:r>
        <w:rPr/>
        <w:t>1．投资性房地产的计量模式 本公司投资性房地产包括：出租的土地使用权、出租的建筑物、持有并准备增值后转让的土地使用权。 本公司采用成本模式对投资性房地产进行计量。</w:t>
      </w:r>
    </w:p>
    <w:p>
      <w:pPr>
        <w:pStyle w:val="BodyText"/>
        <w:spacing w:line="240" w:lineRule="auto" w:before="47"/>
        <w:ind w:left="574" w:right="0"/>
        <w:jc w:val="left"/>
      </w:pPr>
      <w:r>
        <w:rPr/>
        <w:t>2．采用成本模式的折旧或摊销方法</w:t>
      </w:r>
    </w:p>
    <w:p>
      <w:pPr>
        <w:spacing w:line="240" w:lineRule="auto" w:before="0"/>
        <w:rPr>
          <w:rFonts w:ascii="宋体" w:hAnsi="宋体" w:cs="宋体" w:eastAsia="宋体" w:hint="default"/>
          <w:sz w:val="15"/>
          <w:szCs w:val="15"/>
        </w:rPr>
      </w:pPr>
    </w:p>
    <w:p>
      <w:pPr>
        <w:pStyle w:val="BodyText"/>
        <w:spacing w:line="316" w:lineRule="auto"/>
        <w:ind w:right="186" w:firstLine="420"/>
        <w:jc w:val="both"/>
      </w:pPr>
      <w:r>
        <w:rPr/>
        <w:t>本公司投资性房地产中出租的建筑物采用年限平均法计提折旧，其折旧政策与固定资产部分相同。投资性房地产中出</w:t>
      </w:r>
      <w:r>
        <w:rPr>
          <w:spacing w:val="1"/>
        </w:rPr>
        <w:t> </w:t>
      </w:r>
      <w:r>
        <w:rPr/>
        <w:t>租的土地使用权、持有并准备增值后转让的土地使用权采用直线法摊销，具体核算政策与无形资产部分相同。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6" w:firstLine="420"/>
        <w:jc w:val="both"/>
      </w:pPr>
      <w:r>
        <w:rPr/>
        <w:t>固定资产是指为生产商品、提供劳务、出租或经营管理而持有的，使用年限超过一个会计年度的有形资产。固定资产</w:t>
      </w:r>
      <w:r>
        <w:rPr>
          <w:spacing w:val="1"/>
        </w:rPr>
        <w:t> </w:t>
      </w:r>
      <w:r>
        <w:rPr>
          <w:spacing w:val="-2"/>
        </w:rPr>
        <w:t>同时满足下列条件的，才能予以确认：（1）与该固定资产有关的经济利益很可能流入企业；（2）该固定资产的成本能够可</w:t>
      </w:r>
      <w:r>
        <w:rPr>
          <w:spacing w:val="-63"/>
        </w:rPr>
        <w:t> </w:t>
      </w:r>
      <w:r>
        <w:rPr>
          <w:spacing w:val="-63"/>
        </w:rPr>
      </w:r>
      <w:r>
        <w:rPr/>
        <w:t>靠地计量。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3.17%-1.90%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19.00%-9.50%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（1）融资租入固定资产的认定依据符合下列一项或数项标准的，认定为融资租赁：①在租赁期届满时，租赁资产的所 </w:t>
      </w:r>
      <w:r>
        <w:rPr>
          <w:spacing w:val="-4"/>
        </w:rPr>
        <w:t>有权转移给承租人；②承租人有购买租赁资产的选择权，所订立的购买价款预计将远低于行使选择权时租赁资产的公允价值，</w:t>
      </w:r>
      <w:r>
        <w:rPr>
          <w:spacing w:val="-44"/>
        </w:rPr>
        <w:t> </w:t>
      </w:r>
      <w:r>
        <w:rPr>
          <w:spacing w:val="-44"/>
        </w:rPr>
      </w:r>
      <w:r>
        <w:rPr>
          <w:spacing w:val="-2"/>
        </w:rPr>
        <w:t>因而在租赁开始日就可以合理确定承租人将会行使这种选择权；③即使资产的所有权不转移，但租赁期占租赁资产使用寿命</w:t>
      </w:r>
      <w:r>
        <w:rPr>
          <w:spacing w:val="-64"/>
        </w:rPr>
        <w:t> </w:t>
      </w:r>
      <w:r>
        <w:rPr>
          <w:spacing w:val="-64"/>
        </w:rPr>
      </w:r>
      <w:r>
        <w:rPr>
          <w:spacing w:val="-2"/>
        </w:rPr>
        <w:t>的大部分；④承租人在租赁开始日的最低租赁付款额现值，几乎相当于租赁开始日租赁资产公允价值；出租人在租赁开始日</w:t>
      </w:r>
      <w:r>
        <w:rPr>
          <w:spacing w:val="-66"/>
        </w:rPr>
        <w:t> </w:t>
      </w:r>
      <w:r>
        <w:rPr>
          <w:spacing w:val="-66"/>
        </w:rPr>
      </w:r>
      <w:r>
        <w:rPr>
          <w:spacing w:val="-2"/>
        </w:rPr>
        <w:t>的最低租赁收款额现值，几乎相当于租赁开始日租赁资产公允价值；⑤租赁资产性质特殊，如果不作较大改造，只有承租人</w:t>
      </w:r>
    </w:p>
    <w:p>
      <w:pPr>
        <w:spacing w:after="0" w:line="316"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181"/>
        <w:jc w:val="left"/>
      </w:pPr>
      <w:r>
        <w:rPr/>
        <w:t>才能使用。（2）融资租入的固定资产的计价：融资租入的固定资产按租赁开始日租赁资产的公允价值与最低租赁付款额的</w:t>
      </w:r>
      <w:r>
        <w:rPr>
          <w:spacing w:val="-83"/>
        </w:rPr>
        <w:t> </w:t>
      </w:r>
      <w:r>
        <w:rPr>
          <w:spacing w:val="-83"/>
        </w:rPr>
      </w:r>
      <w:r>
        <w:rPr/>
        <w:t>现值中较低者入账。（3）融资租入的固定资产折旧方法：按自有固定资产的折旧政策计提折旧。</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72" w:firstLine="420"/>
        <w:jc w:val="left"/>
      </w:pPr>
      <w:r>
        <w:rPr>
          <w:spacing w:val="-1"/>
        </w:rPr>
        <w:t>1．在建工程同时满足经济利益很可能流入、成本能够可靠计量时予以确认。在建工程按建造该项资产达到预定可使用</w:t>
      </w:r>
      <w:r>
        <w:rPr/>
        <w:t> 状态前所发生的实际成本计量。</w:t>
      </w:r>
    </w:p>
    <w:p>
      <w:pPr>
        <w:pStyle w:val="BodyText"/>
        <w:spacing w:line="316" w:lineRule="auto" w:before="139"/>
        <w:ind w:right="120" w:firstLine="420"/>
        <w:jc w:val="left"/>
      </w:pPr>
      <w:r>
        <w:rPr/>
        <w:t>2．在建工程达到预定可使用状态时，按工程实际成本转入固定资产。已达到预定可使用状态但尚未办理竣工决算的，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pStyle w:val="BodyText"/>
        <w:spacing w:line="430" w:lineRule="atLeast" w:before="152"/>
        <w:ind w:left="574" w:right="0"/>
        <w:jc w:val="left"/>
      </w:pPr>
      <w:r>
        <w:rPr/>
        <w:t>1．借款费用资本化的确认原则 公司发生的借款费用，可直接归属于符合资本化条件的资产的购建或者生产的，予以资本化，计入相关资产成本；其</w:t>
      </w:r>
    </w:p>
    <w:p>
      <w:pPr>
        <w:pStyle w:val="BodyText"/>
        <w:spacing w:line="439" w:lineRule="auto" w:before="76"/>
        <w:ind w:left="574" w:right="5670" w:hanging="420"/>
        <w:jc w:val="left"/>
      </w:pPr>
      <w:r>
        <w:rPr/>
        <w:t>他借款费用，在发生时确认为费用，计入当期损益。 2．借款费用资本化期间</w:t>
      </w:r>
    </w:p>
    <w:p>
      <w:pPr>
        <w:pStyle w:val="BodyText"/>
        <w:spacing w:line="316" w:lineRule="auto" w:before="47"/>
        <w:ind w:right="0" w:firstLine="420"/>
        <w:jc w:val="left"/>
      </w:pPr>
      <w:r>
        <w:rPr/>
        <w:t>（1）当借款费用同时满足下列条件时，开始资本化：1）资产支出已经发生；2）借款费用已经发生；3）为使资产达 到预定可使用或可销售状态所必要的购建或者生产活动已经开始。</w:t>
      </w:r>
    </w:p>
    <w:p>
      <w:pPr>
        <w:pStyle w:val="BodyText"/>
        <w:spacing w:line="316" w:lineRule="auto" w:before="139"/>
        <w:ind w:right="0" w:firstLine="420"/>
        <w:jc w:val="left"/>
      </w:pPr>
      <w:r>
        <w:rPr/>
        <w:t>（2）若符合资本化条件的资产在购建或者生产过程中发生非正常中断，并且中断时间连续超过3个月，暂停借款费用</w:t>
      </w:r>
      <w:r>
        <w:rPr>
          <w:spacing w:val="1"/>
        </w:rPr>
        <w:t> </w:t>
      </w:r>
      <w:r>
        <w:rPr/>
        <w:t>的资本化；中断期间发生的借款费用确认为当期费用，直至资产的购建或者生产活动重新开始。</w:t>
      </w:r>
    </w:p>
    <w:p>
      <w:pPr>
        <w:pStyle w:val="BodyText"/>
        <w:spacing w:line="432" w:lineRule="exact" w:before="3"/>
        <w:ind w:left="574" w:right="0"/>
        <w:jc w:val="left"/>
      </w:pPr>
      <w:r>
        <w:rPr/>
        <w:t>（3）当所购建或者生产符合资本化条件的资产达到预定可使用或可销售状态时，借款费用停止资本化。 3．借款费用资本化率以及资本化金额的计算方法 为购建或者生产符合资本化条件的资产而借入专门借款的，以专门借款当期实际发生的利息费用（包括按照实际利率</w:t>
      </w:r>
    </w:p>
    <w:p>
      <w:pPr>
        <w:pStyle w:val="BodyText"/>
        <w:spacing w:line="316" w:lineRule="auto" w:before="15"/>
        <w:ind w:right="190"/>
        <w:jc w:val="both"/>
      </w:pPr>
      <w:r>
        <w:rPr>
          <w:spacing w:val="-2"/>
        </w:rPr>
        <w:t>法确定的折价或溢价的摊销），减去将尚未动用的借款资金存入银行取得的利息收入或进行暂时性投资取得的投资收益后的</w:t>
      </w:r>
      <w:r>
        <w:rPr>
          <w:spacing w:val="-64"/>
        </w:rPr>
        <w:t> </w:t>
      </w:r>
      <w:r>
        <w:rPr>
          <w:spacing w:val="-64"/>
        </w:rPr>
      </w:r>
      <w:r>
        <w:rPr>
          <w:spacing w:val="-2"/>
        </w:rPr>
        <w:t>金额，确定应予资本化的利息金额；为购建或者生产符合资本化条件的资产占用了一般借款的，根据累计资产支出超过专门</w:t>
      </w:r>
      <w:r>
        <w:rPr>
          <w:spacing w:val="-66"/>
        </w:rPr>
        <w:t> </w:t>
      </w:r>
      <w:r>
        <w:rPr>
          <w:spacing w:val="-66"/>
        </w:rPr>
      </w:r>
      <w:r>
        <w:rPr/>
        <w:t>借款的资产支出加权平均数乘以占用一般借款的资本化率，计算确定一般借款应予资本化的利息金额。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（1）无形资产包括土地使用权、非专利技术等，按成本进行初始计量。</w:t>
      </w:r>
    </w:p>
    <w:p>
      <w:pPr>
        <w:spacing w:line="240" w:lineRule="auto" w:before="0"/>
        <w:rPr>
          <w:rFonts w:ascii="宋体" w:hAnsi="宋体" w:cs="宋体" w:eastAsia="宋体" w:hint="default"/>
          <w:sz w:val="15"/>
          <w:szCs w:val="15"/>
        </w:rPr>
      </w:pPr>
    </w:p>
    <w:p>
      <w:pPr>
        <w:pStyle w:val="BodyText"/>
        <w:spacing w:line="316" w:lineRule="auto"/>
        <w:ind w:right="90" w:firstLine="420"/>
        <w:jc w:val="left"/>
      </w:pPr>
      <w:r>
        <w:rPr/>
        <w:t>（2）本公司于取得无形资产时分析判断其使用寿命。无形资产的使用寿命为有限的，估计该使用寿命的年限或者构成 使用寿命的产量等类似计量单位数量；无法预见无形资产为本公司带来经济利益期限的，视为使用寿命不确定的无形资产。</w:t>
      </w:r>
    </w:p>
    <w:p>
      <w:pPr>
        <w:spacing w:after="0" w:line="316"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574" w:right="0"/>
        <w:jc w:val="left"/>
      </w:pPr>
      <w:r>
        <w:rPr/>
        <w:t>（3）无形资产使用寿命的估计方法</w:t>
      </w:r>
    </w:p>
    <w:p>
      <w:pPr>
        <w:spacing w:line="240" w:lineRule="auto" w:before="0"/>
        <w:rPr>
          <w:rFonts w:ascii="宋体" w:hAnsi="宋体" w:cs="宋体" w:eastAsia="宋体" w:hint="default"/>
          <w:sz w:val="15"/>
          <w:szCs w:val="15"/>
        </w:rPr>
      </w:pPr>
    </w:p>
    <w:p>
      <w:pPr>
        <w:pStyle w:val="BodyText"/>
        <w:spacing w:line="316" w:lineRule="auto"/>
        <w:ind w:right="0" w:firstLine="420"/>
        <w:jc w:val="left"/>
      </w:pPr>
      <w:r>
        <w:rPr/>
        <w:t>1）本公司对使用寿命有限的无形资产，估计其使用寿命时通常考虑以下因素：①运用该资产生产的产品通常的寿命周 </w:t>
      </w:r>
      <w:r>
        <w:rPr>
          <w:spacing w:val="-2"/>
        </w:rPr>
        <w:t>期、可获得的类似资产使用寿命的信息；②技术、工艺等方面的现阶段情况及对未来发展趋势的估计；③以该资产生产的产</w:t>
      </w:r>
      <w:r>
        <w:rPr>
          <w:spacing w:val="-66"/>
        </w:rPr>
        <w:t> </w:t>
      </w:r>
      <w:r>
        <w:rPr>
          <w:spacing w:val="-66"/>
        </w:rPr>
      </w:r>
      <w:r>
        <w:rPr>
          <w:spacing w:val="-4"/>
        </w:rPr>
        <w:t>品或提供劳务的市场需求情况；④现在或潜在的竞争者预期采取的行动；⑤为维持该资产带来经济利益能力的预期维护支出，</w:t>
      </w:r>
      <w:r>
        <w:rPr>
          <w:spacing w:val="-44"/>
        </w:rPr>
        <w:t> </w:t>
      </w:r>
      <w:r>
        <w:rPr>
          <w:spacing w:val="-44"/>
        </w:rPr>
      </w:r>
      <w:r>
        <w:rPr>
          <w:spacing w:val="-2"/>
        </w:rPr>
        <w:t>以及公司预计支付有关支出的能力；⑥对该资产控制期限的相关法律规定或类似限制，如特许使用期、租赁期等；⑦与公司</w:t>
      </w:r>
      <w:r>
        <w:rPr>
          <w:spacing w:val="-66"/>
        </w:rPr>
        <w:t> </w:t>
      </w:r>
      <w:r>
        <w:rPr>
          <w:spacing w:val="-66"/>
        </w:rPr>
      </w:r>
      <w:r>
        <w:rPr/>
        <w:t>持有其他资产使用寿命的关联性等。</w:t>
      </w:r>
    </w:p>
    <w:p>
      <w:pPr>
        <w:pStyle w:val="BodyText"/>
        <w:spacing w:line="240" w:lineRule="auto" w:before="139"/>
        <w:ind w:left="574" w:right="0"/>
        <w:jc w:val="left"/>
      </w:pPr>
      <w:r>
        <w:rPr/>
        <w:t>2）使用寿命不确定的无形资产，使用寿命不确定的判断依据以及对其寿命的复核程序</w:t>
      </w:r>
    </w:p>
    <w:p>
      <w:pPr>
        <w:spacing w:line="240" w:lineRule="auto" w:before="8"/>
        <w:rPr>
          <w:rFonts w:ascii="宋体" w:hAnsi="宋体" w:cs="宋体" w:eastAsia="宋体" w:hint="default"/>
          <w:sz w:val="11"/>
          <w:szCs w:val="11"/>
        </w:rPr>
      </w:pPr>
    </w:p>
    <w:p>
      <w:pPr>
        <w:pStyle w:val="BodyText"/>
        <w:spacing w:line="240" w:lineRule="auto" w:before="44"/>
        <w:ind w:left="574" w:right="0"/>
        <w:jc w:val="left"/>
      </w:pPr>
      <w:r>
        <w:rPr/>
        <w:t>本公司将无法预见该资产为公司带来经济利益的期限，或使用期限不确定等无形资产确定为使用寿命不确定的无形资</w:t>
      </w:r>
    </w:p>
    <w:p>
      <w:pPr>
        <w:pStyle w:val="BodyText"/>
        <w:spacing w:line="240" w:lineRule="auto" w:before="76"/>
        <w:ind w:right="0"/>
        <w:jc w:val="left"/>
      </w:pPr>
      <w:r>
        <w:rPr/>
        <w:t>产。</w:t>
      </w:r>
    </w:p>
    <w:p>
      <w:pPr>
        <w:spacing w:line="240" w:lineRule="auto" w:before="8"/>
        <w:rPr>
          <w:rFonts w:ascii="宋体" w:hAnsi="宋体" w:cs="宋体" w:eastAsia="宋体" w:hint="default"/>
          <w:sz w:val="11"/>
          <w:szCs w:val="11"/>
        </w:rPr>
      </w:pPr>
    </w:p>
    <w:p>
      <w:pPr>
        <w:pStyle w:val="BodyText"/>
        <w:spacing w:line="316" w:lineRule="auto" w:before="44"/>
        <w:ind w:right="0" w:firstLine="420"/>
        <w:jc w:val="left"/>
      </w:pPr>
      <w:r>
        <w:rPr/>
        <w:t>使用寿命不确定的判断依据：①来源于合同性权利或其他法定权利，但合同规定或法律规定无明确使用年限；②综合</w:t>
      </w:r>
      <w:r>
        <w:rPr>
          <w:spacing w:val="1"/>
        </w:rPr>
        <w:t> </w:t>
      </w:r>
      <w:r>
        <w:rPr/>
        <w:t>同行业情况或相关专家论证等，仍无法判断无形资产为公司带来经济利益的期限。</w:t>
      </w:r>
    </w:p>
    <w:p>
      <w:pPr>
        <w:pStyle w:val="BodyText"/>
        <w:spacing w:line="316" w:lineRule="auto" w:before="139"/>
        <w:ind w:right="0" w:firstLine="420"/>
        <w:jc w:val="left"/>
      </w:pPr>
      <w:r>
        <w:rPr/>
        <w:t>每年年末，对使用寿命不确定无形资产使用寿命进行复核，主要采取自下而上的方式，由无形资产使用相关部门进行</w:t>
      </w:r>
      <w:r>
        <w:rPr>
          <w:spacing w:val="1"/>
        </w:rPr>
        <w:t> </w:t>
      </w:r>
      <w:r>
        <w:rPr/>
        <w:t>基础复核，评价使用寿命不确定判断依据是否存在变化等。</w:t>
      </w:r>
    </w:p>
    <w:p>
      <w:pPr>
        <w:pStyle w:val="BodyText"/>
        <w:spacing w:line="432" w:lineRule="exact" w:before="3"/>
        <w:ind w:left="574" w:right="0"/>
        <w:jc w:val="left"/>
      </w:pPr>
      <w:r>
        <w:rPr/>
        <w:t>（4）无形资产价值摊销方法 使用寿命有限的无形资产，在使用寿命内按照与该项无形资产有关的经济利益的预期实现方式系统合理地摊销，无法</w:t>
      </w:r>
    </w:p>
    <w:p>
      <w:pPr>
        <w:pStyle w:val="BodyText"/>
        <w:spacing w:line="439" w:lineRule="auto" w:before="15"/>
        <w:ind w:left="574" w:right="1830" w:hanging="420"/>
        <w:jc w:val="left"/>
      </w:pPr>
      <w:r>
        <w:rPr/>
        <w:t>可靠确定预期实现方式的，采用直线法摊销。 使用寿命不确定的无形资产不摊销，公司在每个会计期间均对该无形资产的使用寿命进行复核。</w:t>
      </w:r>
    </w:p>
    <w:p>
      <w:pPr>
        <w:pStyle w:val="BodyText"/>
        <w:spacing w:line="316" w:lineRule="auto" w:before="47"/>
        <w:ind w:right="0" w:firstLine="420"/>
        <w:jc w:val="left"/>
      </w:pPr>
      <w:r>
        <w:rPr/>
        <w:t>（5）使用寿命确定的无形资产，在资产负债表日有迹象表明发生减值的，按照账面价值与可收回金额的差额计提相应 </w:t>
      </w:r>
      <w:r>
        <w:rPr>
          <w:spacing w:val="-4"/>
        </w:rPr>
        <w:t>的减值准备；使用寿命不确定的无形资产和尚未达到可使用状态的无形资产，无论是否存在减值迹象，每年均进行减值测试。</w:t>
      </w:r>
    </w:p>
    <w:p>
      <w:pPr>
        <w:pStyle w:val="BodyText"/>
        <w:spacing w:line="240" w:lineRule="auto" w:before="139"/>
        <w:ind w:left="574" w:right="0"/>
        <w:jc w:val="left"/>
      </w:pPr>
      <w:r>
        <w:rPr/>
        <w:t>使用寿命有限的无形资产摊销方法如下：</w:t>
      </w:r>
    </w:p>
    <w:p>
      <w:pPr>
        <w:spacing w:line="240" w:lineRule="auto" w:before="3"/>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1080"/>
        <w:gridCol w:w="1920"/>
        <w:gridCol w:w="1920"/>
        <w:gridCol w:w="1920"/>
        <w:gridCol w:w="1680"/>
      </w:tblGrid>
      <w:tr>
        <w:trPr>
          <w:trHeight w:val="347"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使用寿命</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摊销方法</w:t>
            </w:r>
          </w:p>
        </w:tc>
        <w:tc>
          <w:tcPr>
            <w:tcW w:w="16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47"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Times New Roman" w:hAnsi="Times New Roman" w:cs="Times New Roman" w:eastAsia="Times New Roman" w:hint="default"/>
                <w:sz w:val="18"/>
                <w:szCs w:val="18"/>
              </w:rPr>
            </w:pPr>
            <w:r>
              <w:rPr>
                <w:rFonts w:ascii="Times New Roman"/>
                <w:sz w:val="18"/>
              </w:rPr>
              <w:t>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以土地使用证为限</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直线法</w:t>
            </w:r>
          </w:p>
        </w:tc>
        <w:tc>
          <w:tcPr>
            <w:tcW w:w="1680"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Times New Roman" w:hAnsi="Times New Roman" w:cs="Times New Roman" w:eastAsia="Times New Roman" w:hint="default"/>
                <w:sz w:val="18"/>
                <w:szCs w:val="18"/>
              </w:rPr>
            </w:pPr>
            <w:r>
              <w:rPr>
                <w:rFonts w:ascii="Times New Roman"/>
                <w:sz w:val="18"/>
              </w:rPr>
              <w:t>2</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直线法</w:t>
            </w:r>
          </w:p>
        </w:tc>
        <w:tc>
          <w:tcPr>
            <w:tcW w:w="1680"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Times New Roman" w:hAnsi="Times New Roman" w:cs="Times New Roman" w:eastAsia="Times New Roman" w:hint="default"/>
                <w:sz w:val="18"/>
                <w:szCs w:val="18"/>
              </w:rPr>
            </w:pPr>
            <w:r>
              <w:rPr>
                <w:rFonts w:ascii="Times New Roman"/>
                <w:sz w:val="18"/>
              </w:rPr>
              <w:t>3</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直线法</w:t>
            </w:r>
          </w:p>
        </w:tc>
        <w:tc>
          <w:tcPr>
            <w:tcW w:w="1680"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2" w:right="0"/>
              <w:jc w:val="left"/>
              <w:rPr>
                <w:rFonts w:ascii="Times New Roman" w:hAnsi="Times New Roman" w:cs="Times New Roman" w:eastAsia="Times New Roman" w:hint="default"/>
                <w:sz w:val="18"/>
                <w:szCs w:val="18"/>
              </w:rPr>
            </w:pPr>
            <w:r>
              <w:rPr>
                <w:rFonts w:ascii="Times New Roman"/>
                <w:sz w:val="18"/>
              </w:rPr>
              <w:t>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技术软件</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直线法</w:t>
            </w:r>
          </w:p>
        </w:tc>
        <w:tc>
          <w:tcPr>
            <w:tcW w:w="1680"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Times New Roman" w:hAnsi="Times New Roman" w:cs="Times New Roman" w:eastAsia="Times New Roman" w:hint="default"/>
                <w:sz w:val="18"/>
                <w:szCs w:val="18"/>
              </w:rPr>
            </w:pPr>
            <w:r>
              <w:rPr>
                <w:rFonts w:ascii="Times New Roman"/>
                <w:sz w:val="18"/>
              </w:rPr>
              <w:t>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直线法</w:t>
            </w:r>
          </w:p>
        </w:tc>
        <w:tc>
          <w:tcPr>
            <w:tcW w:w="1680"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86" w:firstLine="420"/>
        <w:jc w:val="both"/>
      </w:pPr>
      <w:r>
        <w:rPr/>
        <w:t>内部研究开发项目研究阶段的支出，于发生时计入当期损益。内部研究开发项目开发阶段的支出，同时满足下列条件</w:t>
      </w:r>
      <w:r>
        <w:rPr>
          <w:spacing w:val="1"/>
        </w:rPr>
        <w:t> </w:t>
      </w:r>
      <w:r>
        <w:rPr>
          <w:spacing w:val="-2"/>
        </w:rPr>
        <w:t>的，确认为无形资产：（1）完成该无形资产以使其能够使用或出售在技术上具有可行性；（2）具有完成该无形资产并使用</w:t>
      </w:r>
      <w:r>
        <w:rPr>
          <w:spacing w:val="-62"/>
        </w:rPr>
        <w:t> </w:t>
      </w:r>
      <w:r>
        <w:rPr>
          <w:spacing w:val="-62"/>
        </w:rPr>
      </w:r>
      <w:r>
        <w:rPr/>
        <w:t>或出售的意图；（3）无形资产产生经济利益的方式，包括能够证明运用该无形资产生产的产品存在市场或无形资产自身存</w:t>
      </w:r>
      <w:r>
        <w:rPr>
          <w:spacing w:val="-83"/>
        </w:rPr>
        <w:t> </w:t>
      </w:r>
      <w:r>
        <w:rPr>
          <w:spacing w:val="-83"/>
        </w:rPr>
      </w:r>
      <w:r>
        <w:rPr/>
        <w:t>在市场，无形资产将在内部使用的，能证明其有用性；（4）有足够的技术、财务资源和其他资源支持，以完成该无形资产</w:t>
      </w:r>
      <w:r>
        <w:rPr>
          <w:spacing w:val="-83"/>
        </w:rPr>
        <w:t> </w:t>
      </w:r>
      <w:r>
        <w:rPr>
          <w:spacing w:val="-83"/>
        </w:rPr>
      </w:r>
      <w:r>
        <w:rPr/>
        <w:t>的开发，并有能力使用或出售该无形资产；（5）归属于该无形资产开发阶段的支出能够可靠地计量。</w:t>
      </w:r>
    </w:p>
    <w:p>
      <w:pPr>
        <w:pStyle w:val="BodyText"/>
        <w:spacing w:line="316" w:lineRule="auto" w:before="139"/>
        <w:ind w:right="188" w:firstLine="420"/>
        <w:jc w:val="both"/>
      </w:pPr>
      <w:r>
        <w:rPr>
          <w:spacing w:val="-1"/>
        </w:rPr>
        <w:t>公司划分内部研究开发项目的研究阶段和开发阶段的具体标准：（1）为获取新的技术和知识等进行的有计划的调查阶</w:t>
      </w:r>
      <w:r>
        <w:rPr/>
        <w:t> 段，应确定为研究阶段，该阶段具有计划性和探索性等特点；（2）在进行商业性生产或使用前，将研究成果或其他知识应</w:t>
      </w:r>
      <w:r>
        <w:rPr>
          <w:spacing w:val="-83"/>
        </w:rPr>
        <w:t> </w:t>
      </w:r>
      <w:r>
        <w:rPr>
          <w:spacing w:val="-83"/>
        </w:rPr>
      </w:r>
      <w:r>
        <w:rPr>
          <w:spacing w:val="-2"/>
        </w:rPr>
        <w:t>用于某项计划或设计，以生产出新的或具有实质性改进的材料、装置、产品等阶段，应确定为开发阶段，该阶段具有针对性</w:t>
      </w:r>
      <w:r>
        <w:rPr>
          <w:spacing w:val="-66"/>
        </w:rPr>
        <w:t> </w:t>
      </w:r>
      <w:r>
        <w:rPr>
          <w:spacing w:val="-66"/>
        </w:rPr>
      </w:r>
      <w:r>
        <w:rPr/>
        <w:t>和形成成果的可能性较大等特点。</w:t>
      </w:r>
    </w:p>
    <w:p>
      <w:pPr>
        <w:spacing w:after="0" w:line="316" w:lineRule="auto"/>
        <w:jc w:val="both"/>
        <w:sectPr>
          <w:pgSz w:w="11910" w:h="16840"/>
          <w:pgMar w:header="877" w:footer="982" w:top="110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3"/>
        <w:spacing w:line="240" w:lineRule="auto" w:before="35"/>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6" w:firstLine="420"/>
        <w:jc w:val="both"/>
      </w:pPr>
      <w:r>
        <w:rPr/>
        <w:t>本公司在资产负债表日判断长期股权投资、采用成本模式计量的投资性房地产、固定资产、在建工程、采用成本模式</w:t>
      </w:r>
      <w:r>
        <w:rPr>
          <w:spacing w:val="1"/>
        </w:rPr>
        <w:t> </w:t>
      </w:r>
      <w:r>
        <w:rPr>
          <w:spacing w:val="-2"/>
        </w:rPr>
        <w:t>计量的生产性生物资产、油气资产、使用寿命有限的无形资产等长期资产是否存在可能发生减值的迹象，如果有确凿证据表</w:t>
      </w:r>
      <w:r>
        <w:rPr>
          <w:spacing w:val="-66"/>
        </w:rPr>
        <w:t> </w:t>
      </w:r>
      <w:r>
        <w:rPr>
          <w:spacing w:val="-66"/>
        </w:rPr>
      </w:r>
      <w:r>
        <w:rPr>
          <w:spacing w:val="-2"/>
        </w:rPr>
        <w:t>明长期资产存在减值迹象，应当进行减值测试长期资产存在减值迹象的，应当估计其可收回金额，将所估计的资产可收回金</w:t>
      </w:r>
      <w:r>
        <w:rPr>
          <w:spacing w:val="-66"/>
        </w:rPr>
        <w:t> </w:t>
      </w:r>
      <w:r>
        <w:rPr>
          <w:spacing w:val="-66"/>
        </w:rPr>
      </w:r>
      <w:r>
        <w:rPr>
          <w:spacing w:val="-2"/>
        </w:rPr>
        <w:t>额与其账面价值相比较，以确定资产是否发生了减值，以及是否需要计提资产减值准备并确认相应的减值损失。资产可收回</w:t>
      </w:r>
      <w:r>
        <w:rPr>
          <w:spacing w:val="-66"/>
        </w:rPr>
        <w:t> </w:t>
      </w:r>
      <w:r>
        <w:rPr>
          <w:spacing w:val="-66"/>
        </w:rPr>
      </w:r>
      <w:r>
        <w:rPr/>
        <w:t>金额的估计，应当根据其公允价值减去处置费用后的净额与资产预计未来现金流量的现值两者之间较高者确定。</w:t>
      </w:r>
    </w:p>
    <w:p>
      <w:pPr>
        <w:pStyle w:val="BodyText"/>
        <w:spacing w:line="316" w:lineRule="auto" w:before="139"/>
        <w:ind w:right="146" w:firstLine="420"/>
        <w:jc w:val="both"/>
      </w:pPr>
      <w:r>
        <w:rPr/>
        <w:t>因企业合并形成的商誉和使用寿命不确定的无形资产，对于这些资产，无论是否存在减值迹象，都应当至少于每年年</w:t>
      </w:r>
      <w:r>
        <w:rPr>
          <w:spacing w:val="1"/>
        </w:rPr>
        <w:t> </w:t>
      </w:r>
      <w:r>
        <w:rPr/>
        <w:t>度终了进行减值测试。</w:t>
      </w:r>
    </w:p>
    <w:p>
      <w:pPr>
        <w:pStyle w:val="BodyText"/>
        <w:spacing w:line="240" w:lineRule="auto" w:before="139"/>
        <w:ind w:left="574" w:right="0"/>
        <w:jc w:val="left"/>
      </w:pPr>
      <w:r>
        <w:rPr/>
        <w:t>长期资产减值损失一经确认，在以后会计期间不得转回。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6" w:firstLine="420"/>
        <w:jc w:val="both"/>
      </w:pPr>
      <w:r>
        <w:rPr/>
        <w:t>长期待摊费用是指公司已经发生但应由本期和以后各期分担的分摊期限在一年以上（不含一年）的各项费用，包括以</w:t>
      </w:r>
      <w:r>
        <w:rPr>
          <w:spacing w:val="1"/>
        </w:rPr>
        <w:t> </w:t>
      </w:r>
      <w:r>
        <w:rPr/>
        <w:t>经营租赁方式租入的固定资产改良支出等。</w:t>
      </w:r>
    </w:p>
    <w:p>
      <w:pPr>
        <w:pStyle w:val="BodyText"/>
        <w:spacing w:line="316" w:lineRule="auto" w:before="139"/>
        <w:ind w:right="146" w:firstLine="420"/>
        <w:jc w:val="both"/>
      </w:pPr>
      <w:r>
        <w:rPr/>
        <w:t>长期待摊费用按实际发生额入账，在受益期或规定的期限内分期平均摊销。如果长期待摊的费用项目不能使以后会计</w:t>
      </w:r>
      <w:r>
        <w:rPr>
          <w:spacing w:val="1"/>
        </w:rPr>
        <w:t> </w:t>
      </w:r>
      <w:r>
        <w:rPr/>
        <w:t>期间受益则将尚未摊销的该项目的摊余价值全部转入当期损益。</w:t>
      </w:r>
    </w:p>
    <w:p>
      <w:pPr>
        <w:pStyle w:val="BodyText"/>
        <w:spacing w:line="240" w:lineRule="auto" w:before="139"/>
        <w:ind w:left="574" w:right="0"/>
        <w:jc w:val="left"/>
      </w:pPr>
      <w:r>
        <w:rPr/>
        <w:t>长期待摊费用的摊销方法如下：</w:t>
      </w:r>
    </w:p>
    <w:p>
      <w:pPr>
        <w:spacing w:line="240" w:lineRule="auto" w:before="3"/>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1080"/>
        <w:gridCol w:w="1920"/>
        <w:gridCol w:w="1920"/>
        <w:gridCol w:w="1920"/>
        <w:gridCol w:w="1680"/>
      </w:tblGrid>
      <w:tr>
        <w:trPr>
          <w:trHeight w:val="347"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摊销方法</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使用寿命</w:t>
            </w:r>
          </w:p>
        </w:tc>
        <w:tc>
          <w:tcPr>
            <w:tcW w:w="16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47"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Times New Roman" w:hAnsi="Times New Roman" w:cs="Times New Roman" w:eastAsia="Times New Roman" w:hint="default"/>
                <w:sz w:val="18"/>
                <w:szCs w:val="18"/>
              </w:rPr>
            </w:pPr>
            <w:r>
              <w:rPr>
                <w:rFonts w:ascii="Times New Roman"/>
                <w:sz w:val="18"/>
              </w:rPr>
              <w:t>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直线法</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680"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Times New Roman" w:hAnsi="Times New Roman" w:cs="Times New Roman" w:eastAsia="Times New Roman" w:hint="default"/>
                <w:sz w:val="18"/>
                <w:szCs w:val="18"/>
              </w:rPr>
            </w:pPr>
            <w:r>
              <w:rPr>
                <w:rFonts w:ascii="Times New Roman"/>
                <w:sz w:val="18"/>
              </w:rPr>
              <w:t>2</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直线法</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1680"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本公司在职工提供服务的会计期间，将实际发生的短期薪酬确认为负债，并按照受益对象计入当期损益或相关资产成</w:t>
      </w:r>
      <w:r>
        <w:rPr>
          <w:spacing w:val="1"/>
        </w:rPr>
        <w:t> </w:t>
      </w:r>
      <w:r>
        <w:rPr/>
        <w:t>本；其中，非货币性福利按照公允价值计量。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离职后福利计划按照承担的风险和义务情况，可以分为设定提存计划和设定受益计划。</w:t>
      </w:r>
    </w:p>
    <w:p>
      <w:pPr>
        <w:pStyle w:val="BodyText"/>
        <w:spacing w:line="430" w:lineRule="atLeast" w:before="2"/>
        <w:ind w:left="574" w:right="0"/>
        <w:jc w:val="left"/>
      </w:pPr>
      <w:r>
        <w:rPr/>
        <w:t>（1）设定提存计划 公司根据在资产负债表日为换取职工在会计期间提供的服务而向单独主体缴存的提存金，确认为负债，并按照受益对</w:t>
      </w:r>
    </w:p>
    <w:p>
      <w:pPr>
        <w:pStyle w:val="BodyText"/>
        <w:spacing w:line="240" w:lineRule="auto" w:before="76"/>
        <w:ind w:right="0"/>
        <w:jc w:val="left"/>
      </w:pPr>
      <w:r>
        <w:rPr/>
        <w:t>象计人当期损益或相关资产成本。</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47" w:firstLine="420"/>
        <w:jc w:val="both"/>
      </w:pPr>
      <w:r>
        <w:rPr/>
        <w:t>公司向职工提供的辞退福利，在下列两者孰早日确认辞退福利产生的职工薪酬负债，并计入当期损益：(1)</w:t>
      </w:r>
      <w:r>
        <w:rPr>
          <w:spacing w:val="-1"/>
        </w:rPr>
        <w:t> </w:t>
      </w:r>
      <w:r>
        <w:rPr/>
        <w:t>公司不能</w:t>
      </w:r>
      <w:r>
        <w:rPr/>
        <w:t> </w:t>
      </w:r>
      <w:r>
        <w:rPr>
          <w:spacing w:val="-3"/>
        </w:rPr>
        <w:t>单方面撤回因解除劳动关系计划或裁减建议所提供的辞退福利时；(2)</w:t>
      </w:r>
      <w:r>
        <w:rPr>
          <w:spacing w:val="12"/>
        </w:rPr>
        <w:t> </w:t>
      </w:r>
      <w:r>
        <w:rPr/>
        <w:t>公司确认与涉及支付辞退福利的重组相关的成本或费</w:t>
      </w:r>
      <w:r>
        <w:rPr/>
        <w:t> 用时。</w:t>
      </w:r>
    </w:p>
    <w:p>
      <w:pPr>
        <w:pStyle w:val="BodyText"/>
        <w:spacing w:line="316" w:lineRule="auto" w:before="139"/>
        <w:ind w:left="153" w:right="146" w:firstLine="420"/>
        <w:jc w:val="both"/>
      </w:pPr>
      <w:r>
        <w:rPr/>
        <w:t>在公司不能单方面撤回解除劳动关系计划或裁减建议时和确认与涉及支付辞退福利的重组相关的成本费用时两者孰早</w:t>
      </w:r>
      <w:r>
        <w:rPr>
          <w:spacing w:val="1"/>
        </w:rPr>
        <w:t> </w:t>
      </w:r>
      <w:r>
        <w:rPr>
          <w:spacing w:val="-2"/>
        </w:rPr>
        <w:t>日，确认因解除与职工的劳动关系给予补偿而产生的负债，同时计入当期损益。公司按照辞退计划条款的规定，合理预计并</w:t>
      </w:r>
      <w:r>
        <w:rPr>
          <w:spacing w:val="-66"/>
        </w:rPr>
        <w:t> </w:t>
      </w:r>
      <w:r>
        <w:rPr>
          <w:spacing w:val="-66"/>
        </w:rPr>
      </w:r>
      <w:r>
        <w:rPr>
          <w:spacing w:val="-2"/>
        </w:rPr>
        <w:t>确认辞退福利产生的应付职工薪酬。辞退福利预期在其确认的年度报告期结束后十二个月内完全支付的，适用短期薪酬的相</w:t>
      </w:r>
      <w:r>
        <w:rPr>
          <w:spacing w:val="-64"/>
        </w:rPr>
        <w:t> </w:t>
      </w:r>
      <w:r>
        <w:rPr>
          <w:spacing w:val="-64"/>
        </w:rPr>
      </w:r>
      <w:r>
        <w:rPr/>
        <w:t>关规定；辞退福利预期在年度报告期结束后十二个月内不能完全支付的，适用其他长期职工福利的有关规定。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6" w:firstLine="420"/>
        <w:jc w:val="both"/>
      </w:pPr>
      <w:r>
        <w:rPr/>
        <w:t>公司向职工提供的其他长期职工福利，符合设定提存计划条件的，按照设定提存计划进行会计处理；除此之外的其他</w:t>
      </w:r>
      <w:r>
        <w:rPr>
          <w:spacing w:val="1"/>
        </w:rPr>
        <w:t> </w:t>
      </w:r>
      <w:r>
        <w:rPr>
          <w:spacing w:val="-2"/>
        </w:rPr>
        <w:t>长期福利，按照设定受益计划进行会计处理，但是重新计量其他长期职工福利净负债或净资产所产生的变动计入当期损益或</w:t>
      </w:r>
      <w:r>
        <w:rPr>
          <w:spacing w:val="-64"/>
        </w:rPr>
        <w:t> </w:t>
      </w:r>
      <w:r>
        <w:rPr>
          <w:spacing w:val="-64"/>
        </w:rPr>
      </w:r>
      <w:r>
        <w:rPr/>
        <w:t>相关资产成本。</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25</w:t>
      </w:r>
      <w:r>
        <w:rPr/>
        <w:t>、预计负债</w:t>
      </w:r>
      <w:r>
        <w:rPr>
          <w:b w:val="0"/>
          <w:bCs w:val="0"/>
        </w:rPr>
      </w:r>
    </w:p>
    <w:p>
      <w:pPr>
        <w:pStyle w:val="BodyText"/>
        <w:spacing w:line="430" w:lineRule="atLeast" w:before="152"/>
        <w:ind w:left="574" w:right="0"/>
        <w:jc w:val="left"/>
      </w:pPr>
      <w:r>
        <w:rPr/>
        <w:t>1．预计负债的确认标准 当与对外担保、未决诉讼或仲裁、产品质量保证、裁员计划、亏损合同、重组义务、固定资产弃置义务等或有事项相</w:t>
      </w:r>
    </w:p>
    <w:p>
      <w:pPr>
        <w:pStyle w:val="BodyText"/>
        <w:spacing w:line="240" w:lineRule="auto" w:before="76"/>
        <w:ind w:right="0"/>
        <w:jc w:val="left"/>
      </w:pPr>
      <w:r>
        <w:rPr/>
        <w:t>关的业务同时符合以下条件时，确认为负债：</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t>（1）该义务是本公司承担的现时义务。</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t>（2）该义务的履行很可能导致经济利益流出企业。</w:t>
      </w:r>
    </w:p>
    <w:p>
      <w:pPr>
        <w:spacing w:line="240" w:lineRule="auto" w:before="0"/>
        <w:rPr>
          <w:rFonts w:ascii="宋体" w:hAnsi="宋体" w:cs="宋体" w:eastAsia="宋体" w:hint="default"/>
          <w:sz w:val="15"/>
          <w:szCs w:val="15"/>
        </w:rPr>
      </w:pPr>
    </w:p>
    <w:p>
      <w:pPr>
        <w:pStyle w:val="BodyText"/>
        <w:spacing w:line="439" w:lineRule="auto"/>
        <w:ind w:left="574" w:right="6380"/>
        <w:jc w:val="left"/>
      </w:pPr>
      <w:r>
        <w:rPr/>
        <w:t>（3）该义务的金额能够可靠地计量。 2．预计负债的计量方法</w:t>
      </w:r>
    </w:p>
    <w:p>
      <w:pPr>
        <w:pStyle w:val="BodyText"/>
        <w:spacing w:line="316" w:lineRule="auto" w:before="47"/>
        <w:ind w:right="146" w:firstLine="420"/>
        <w:jc w:val="both"/>
      </w:pPr>
      <w:r>
        <w:rPr/>
        <w:t>预计负债按照履行现时义务所需支出的最佳估计数进行初始计量。所需支出存在一个连续范围，且该范围内各种结果</w:t>
      </w:r>
      <w:r>
        <w:rPr>
          <w:spacing w:val="1"/>
        </w:rPr>
        <w:t> </w:t>
      </w:r>
      <w:r>
        <w:rPr/>
        <w:t>发生的可能性相同的最佳估计数按该范围的中间值确定；在其他情况下，最佳估计数按如下方法确定：</w:t>
      </w:r>
    </w:p>
    <w:p>
      <w:pPr>
        <w:pStyle w:val="BodyText"/>
        <w:spacing w:line="240" w:lineRule="auto" w:before="139"/>
        <w:ind w:left="574" w:right="0"/>
        <w:jc w:val="left"/>
      </w:pPr>
      <w:r>
        <w:rPr/>
        <w:t>（1）或有事项涉及单个项目时，最佳估计数按最可能发生金额确定。</w:t>
      </w:r>
    </w:p>
    <w:p>
      <w:pPr>
        <w:pStyle w:val="BodyText"/>
        <w:spacing w:line="430" w:lineRule="atLeast" w:before="2"/>
        <w:ind w:left="574" w:right="0"/>
        <w:jc w:val="left"/>
      </w:pPr>
      <w:r>
        <w:rPr/>
        <w:t>（2）或有事项涉及多个项目时，最佳估计数按各种可能发生金额及其发生概率计算确定。 公司清偿预计负债所需支出全部或部分预期由第三方或其他方补偿的，则补偿金额在基本确定能收到时，作为资产单</w:t>
      </w:r>
    </w:p>
    <w:p>
      <w:pPr>
        <w:pStyle w:val="BodyText"/>
        <w:spacing w:line="240" w:lineRule="auto" w:before="76"/>
        <w:ind w:right="0"/>
        <w:jc w:val="left"/>
      </w:pPr>
      <w:r>
        <w:rPr/>
        <w:t>独确认。确认的补偿金额不超过所确认预计负债的账面价值。</w:t>
      </w:r>
    </w:p>
    <w:p>
      <w:pPr>
        <w:spacing w:line="240" w:lineRule="auto" w:before="0"/>
        <w:rPr>
          <w:rFonts w:ascii="宋体" w:hAnsi="宋体" w:cs="宋体" w:eastAsia="宋体" w:hint="default"/>
          <w:sz w:val="15"/>
          <w:szCs w:val="15"/>
        </w:rPr>
      </w:pPr>
    </w:p>
    <w:p>
      <w:pPr>
        <w:pStyle w:val="BodyText"/>
        <w:spacing w:line="316" w:lineRule="auto"/>
        <w:ind w:right="146" w:firstLine="420"/>
        <w:jc w:val="both"/>
      </w:pPr>
      <w:r>
        <w:rPr/>
        <w:t>公司资产负债表日对预计负债账面价值进行复核，有确凿证据表明该账面价值不能真实反映当前最佳估计数，按照当</w:t>
      </w:r>
      <w:r>
        <w:rPr>
          <w:spacing w:val="1"/>
        </w:rPr>
        <w:t> </w:t>
      </w:r>
      <w:r>
        <w:rPr/>
        <w:t>前最佳估计数对该账面价值进行调整。</w:t>
      </w:r>
    </w:p>
    <w:p>
      <w:pPr>
        <w:spacing w:after="0" w:line="316" w:lineRule="auto"/>
        <w:jc w:val="both"/>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1．收入确认原则</w:t>
      </w:r>
    </w:p>
    <w:p>
      <w:pPr>
        <w:pStyle w:val="BodyText"/>
        <w:spacing w:line="430" w:lineRule="atLeast" w:before="2"/>
        <w:ind w:left="574" w:right="0"/>
        <w:jc w:val="left"/>
      </w:pPr>
      <w:r>
        <w:rPr/>
        <w:t>（1）销售商品 销售商品收入在同时满足下列条件时予以确认：将商品所有权上的主要风险和报酬转移给购货方；公司不再保留通常</w:t>
      </w:r>
    </w:p>
    <w:p>
      <w:pPr>
        <w:pStyle w:val="BodyText"/>
        <w:spacing w:line="316" w:lineRule="auto" w:before="76"/>
        <w:ind w:right="151"/>
        <w:jc w:val="both"/>
      </w:pPr>
      <w:r>
        <w:rPr>
          <w:spacing w:val="-2"/>
        </w:rPr>
        <w:t>与所有权相联系的继续管理权，也不再对已售出的商品实施有效控制；收入的金额能够可靠地计量；相关的经济利益很可能</w:t>
      </w:r>
      <w:r>
        <w:rPr>
          <w:spacing w:val="-66"/>
        </w:rPr>
        <w:t> </w:t>
      </w:r>
      <w:r>
        <w:rPr>
          <w:spacing w:val="-66"/>
        </w:rPr>
      </w:r>
      <w:r>
        <w:rPr/>
        <w:t>流入；相关的已发生或将发生的成本能够可靠地计量。</w:t>
      </w:r>
    </w:p>
    <w:p>
      <w:pPr>
        <w:pStyle w:val="BodyText"/>
        <w:spacing w:line="432" w:lineRule="exact" w:before="3"/>
        <w:ind w:left="574" w:right="0"/>
        <w:jc w:val="left"/>
      </w:pPr>
      <w:r>
        <w:rPr/>
        <w:t>（2）提供劳务 提供劳务交易的结果在资产负债表日能够可靠估计的（同时满足收入的金额能够可靠地计量、相关经济利益很可能流</w:t>
      </w:r>
    </w:p>
    <w:p>
      <w:pPr>
        <w:pStyle w:val="BodyText"/>
        <w:spacing w:line="316" w:lineRule="auto" w:before="15"/>
        <w:ind w:right="149"/>
        <w:jc w:val="both"/>
      </w:pPr>
      <w:r>
        <w:rPr>
          <w:spacing w:val="-2"/>
        </w:rPr>
        <w:t>入、交易的完工进度能够可靠地确定、交易中已发生和将发生的成本能够可靠地计量），采用完工百分比法确认提供劳务的</w:t>
      </w:r>
      <w:r>
        <w:rPr>
          <w:spacing w:val="-66"/>
        </w:rPr>
        <w:t> </w:t>
      </w:r>
      <w:r>
        <w:rPr>
          <w:spacing w:val="-66"/>
        </w:rPr>
      </w:r>
      <w:r>
        <w:rPr>
          <w:spacing w:val="-2"/>
        </w:rPr>
        <w:t>收入，并按已经发生的成本占估计总成本的比例确定提供劳务交易的完工进度。提供劳务交易的结果在资产负债表日不能够</w:t>
      </w:r>
      <w:r>
        <w:rPr>
          <w:spacing w:val="-64"/>
        </w:rPr>
        <w:t> </w:t>
      </w:r>
      <w:r>
        <w:rPr>
          <w:spacing w:val="-64"/>
        </w:rPr>
      </w:r>
      <w:r>
        <w:rPr>
          <w:spacing w:val="-2"/>
        </w:rPr>
        <w:t>可靠估计的，若已经发生的劳务成本预计能够得到补偿，按已经发生的劳务成本金额确认提供劳务收入，并按相同金额结转</w:t>
      </w:r>
      <w:r>
        <w:rPr>
          <w:spacing w:val="-66"/>
        </w:rPr>
        <w:t> </w:t>
      </w:r>
      <w:r>
        <w:rPr>
          <w:spacing w:val="-66"/>
        </w:rPr>
      </w:r>
      <w:r>
        <w:rPr/>
        <w:t>劳务成本；若已经发生的劳务成本预计不能够得到补偿，将已经发生的劳务成本计入当期损益，不确认劳务收入。</w:t>
      </w:r>
    </w:p>
    <w:p>
      <w:pPr>
        <w:pStyle w:val="BodyText"/>
        <w:spacing w:line="432" w:lineRule="exact" w:before="3"/>
        <w:ind w:left="574" w:right="0"/>
        <w:jc w:val="left"/>
      </w:pPr>
      <w:r>
        <w:rPr/>
        <w:t>（3）让渡资产使用权 让渡资产使用权在同时满足相关的经济利益很可能流入、收入金额能够可靠计量时，确认让渡资产使用权的收入。利</w:t>
      </w:r>
    </w:p>
    <w:p>
      <w:pPr>
        <w:pStyle w:val="BodyText"/>
        <w:spacing w:line="316" w:lineRule="auto" w:before="15"/>
        <w:ind w:right="151"/>
        <w:jc w:val="both"/>
      </w:pPr>
      <w:r>
        <w:rPr>
          <w:spacing w:val="-2"/>
        </w:rPr>
        <w:t>息收入按照他人使用本公司货币资金的时间和实际利率计算确定；使用费收入按有关合同或协议约定的收费时间和方法计算</w:t>
      </w:r>
      <w:r>
        <w:rPr>
          <w:spacing w:val="-64"/>
        </w:rPr>
        <w:t> </w:t>
      </w:r>
      <w:r>
        <w:rPr>
          <w:spacing w:val="-64"/>
        </w:rPr>
      </w:r>
      <w:r>
        <w:rPr/>
        <w:t>确定。</w:t>
      </w:r>
    </w:p>
    <w:p>
      <w:pPr>
        <w:pStyle w:val="BodyText"/>
        <w:spacing w:line="432" w:lineRule="exact" w:before="3"/>
        <w:ind w:left="573" w:right="0"/>
        <w:jc w:val="left"/>
      </w:pPr>
      <w:r>
        <w:rPr/>
        <w:t>2．收入确认的具体方法 公司主要销售电表、安检设备、通信模块等产品。内销产品收入确认需满足以下条件：公司已根据合同约定将产品交</w:t>
      </w:r>
    </w:p>
    <w:p>
      <w:pPr>
        <w:pStyle w:val="BodyText"/>
        <w:spacing w:line="316" w:lineRule="auto" w:before="15"/>
        <w:ind w:right="151"/>
        <w:jc w:val="both"/>
      </w:pPr>
      <w:r>
        <w:rPr>
          <w:spacing w:val="-2"/>
        </w:rPr>
        <w:t>付给购货方，且产品销售收入金额已确定，已经收回货款或取得了收款凭证且相关的经济利益很可能流入，产品相关的成本</w:t>
      </w:r>
      <w:r>
        <w:rPr>
          <w:spacing w:val="-66"/>
        </w:rPr>
        <w:t> </w:t>
      </w:r>
      <w:r>
        <w:rPr>
          <w:spacing w:val="-66"/>
        </w:rPr>
      </w:r>
      <w:r>
        <w:rPr>
          <w:spacing w:val="-2"/>
        </w:rPr>
        <w:t>能够可靠地计量。外销产品收入确认需满足以下条件：公司已根据合同约定将产品报关、离港，取得提单，且产品销售收入</w:t>
      </w:r>
      <w:r>
        <w:rPr>
          <w:spacing w:val="-66"/>
        </w:rPr>
        <w:t> </w:t>
      </w:r>
      <w:r>
        <w:rPr>
          <w:spacing w:val="-66"/>
        </w:rPr>
      </w:r>
      <w:r>
        <w:rPr/>
        <w:t>金额已确定，已经收回货款或取得了收款凭证且相关的经济利益很可能流入，产品相关的成本能够可靠地计量。</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574" w:right="1610"/>
        <w:jc w:val="left"/>
      </w:pPr>
      <w:r>
        <w:rPr/>
        <w:t>本公司取得的、用于购建或以其他方式形成长期资产的政府补助，确认为与资产相关的政府补助。 与资产相关的政府补助，确认为递延收益，在相关资产使用寿命内平均分配，计入当期损益。</w:t>
      </w:r>
    </w:p>
    <w:p>
      <w:pPr>
        <w:spacing w:line="240" w:lineRule="auto" w:before="7"/>
        <w:rPr>
          <w:rFonts w:ascii="宋体" w:hAnsi="宋体" w:cs="宋体" w:eastAsia="宋体" w:hint="default"/>
          <w:sz w:val="15"/>
          <w:szCs w:val="15"/>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pStyle w:val="BodyText"/>
        <w:spacing w:line="430" w:lineRule="atLeast" w:before="152"/>
        <w:ind w:left="574" w:right="0"/>
        <w:jc w:val="left"/>
      </w:pPr>
      <w:r>
        <w:rPr/>
        <w:t>本公司取得的除与资产相关的政府补助之外的政府补助，确认为与收益相关的政府补助。 若政府文件未明确规定补助对象，将该政府补助划分为与资产相关或与收益相关的判断依据：①政府文件明确了补助</w:t>
      </w:r>
    </w:p>
    <w:p>
      <w:pPr>
        <w:pStyle w:val="BodyText"/>
        <w:spacing w:line="316" w:lineRule="auto" w:before="76"/>
        <w:ind w:right="149"/>
        <w:jc w:val="both"/>
      </w:pPr>
      <w:r>
        <w:rPr>
          <w:spacing w:val="-2"/>
        </w:rPr>
        <w:t>所针对的特定项目的，根据该特定项目的预算中将形成资产的支出金额和计入费用的支出金额的相对比例进行划分，对该划</w:t>
      </w:r>
      <w:r>
        <w:rPr>
          <w:spacing w:val="-64"/>
        </w:rPr>
        <w:t> </w:t>
      </w:r>
      <w:r>
        <w:rPr>
          <w:spacing w:val="-64"/>
        </w:rPr>
      </w:r>
      <w:r>
        <w:rPr>
          <w:spacing w:val="-2"/>
        </w:rPr>
        <w:t>分比例需在每个资产负债表日进行复核，必要时进行变更；②政府文件中对用途仅作一般性表述，没有指明特定项目的，作</w:t>
      </w:r>
      <w:r>
        <w:rPr>
          <w:spacing w:val="-66"/>
        </w:rPr>
        <w:t> </w:t>
      </w:r>
      <w:r>
        <w:rPr>
          <w:spacing w:val="-66"/>
        </w:rPr>
      </w:r>
      <w:r>
        <w:rPr/>
        <w:t>为与收益相关的政府补助。</w:t>
      </w:r>
    </w:p>
    <w:p>
      <w:pPr>
        <w:spacing w:after="0" w:line="316" w:lineRule="auto"/>
        <w:jc w:val="both"/>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16" w:lineRule="auto" w:before="44"/>
        <w:ind w:right="186" w:firstLine="420"/>
        <w:jc w:val="both"/>
      </w:pPr>
      <w:r>
        <w:rPr/>
        <w:t>与收益相关的政府补助，用于补偿以后期间的相关费用或损失的，确认为递延收益，在确认相关费用的期间，计入当</w:t>
      </w:r>
      <w:r>
        <w:rPr>
          <w:spacing w:val="1"/>
        </w:rPr>
        <w:t> </w:t>
      </w:r>
      <w:r>
        <w:rPr/>
        <w:t>期损益；用于补偿已发生的相关费用或损失的，直接计入当期损益。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430" w:lineRule="atLeast" w:before="152"/>
        <w:ind w:left="573" w:right="0" w:firstLine="84"/>
        <w:jc w:val="left"/>
      </w:pPr>
      <w:r>
        <w:rPr/>
        <w:t>1.暂时性差异 暂时性差异包括资产与负债的账面价值与计税基础之间的差额，以及未作为资产和负债确认，但按照税法规定可以确</w:t>
      </w:r>
    </w:p>
    <w:p>
      <w:pPr>
        <w:pStyle w:val="BodyText"/>
        <w:spacing w:line="439" w:lineRule="auto" w:before="76"/>
        <w:ind w:left="573" w:right="0" w:hanging="420"/>
        <w:jc w:val="left"/>
      </w:pPr>
      <w:r>
        <w:rPr/>
        <w:t>定其计税基础的项目的账面价值与计税基础之间的差额。暂时性差异分为应纳税暂时性差异和可抵扣暂时性差异。 2．递延所得税资产的确认依据</w:t>
      </w:r>
    </w:p>
    <w:p>
      <w:pPr>
        <w:pStyle w:val="BodyText"/>
        <w:spacing w:line="316" w:lineRule="auto" w:before="47"/>
        <w:ind w:right="186" w:firstLine="420"/>
        <w:jc w:val="both"/>
      </w:pPr>
      <w:r>
        <w:rPr/>
        <w:t>对于可抵扣暂时性差异、能够结转以后年度的可抵扣亏损和税款抵减，本公司以很可能取得用来抵扣可抵扣暂时性差</w:t>
      </w:r>
      <w:r>
        <w:rPr>
          <w:spacing w:val="1"/>
        </w:rPr>
        <w:t> </w:t>
      </w:r>
      <w:r>
        <w:rPr/>
        <w:t>异、可抵扣亏损和税款抵减的未来应纳税所得额为限，确认由此产生的递延所得税资产。</w:t>
      </w:r>
    </w:p>
    <w:p>
      <w:pPr>
        <w:pStyle w:val="BodyText"/>
        <w:spacing w:line="240" w:lineRule="auto" w:before="139"/>
        <w:ind w:left="573" w:right="0"/>
        <w:jc w:val="left"/>
      </w:pPr>
      <w:r>
        <w:rPr/>
        <w:t>同时具有下列特征的交易中因资产或负债的初始确认所产生的递延所得税资产不予确认：（1）该交易不是企业合并；</w:t>
      </w:r>
    </w:p>
    <w:p>
      <w:pPr>
        <w:pStyle w:val="BodyText"/>
        <w:spacing w:line="240" w:lineRule="auto" w:before="76"/>
        <w:ind w:right="0"/>
        <w:jc w:val="both"/>
      </w:pPr>
      <w:r>
        <w:rPr/>
        <w:t>（2）交易发生时既不影响会计利润也不影响应纳税所得额（或可抵扣亏损）；</w:t>
      </w:r>
    </w:p>
    <w:p>
      <w:pPr>
        <w:spacing w:line="240" w:lineRule="auto" w:before="0"/>
        <w:rPr>
          <w:rFonts w:ascii="宋体" w:hAnsi="宋体" w:cs="宋体" w:eastAsia="宋体" w:hint="default"/>
          <w:sz w:val="15"/>
          <w:szCs w:val="15"/>
        </w:rPr>
      </w:pPr>
    </w:p>
    <w:p>
      <w:pPr>
        <w:pStyle w:val="BodyText"/>
        <w:spacing w:line="316" w:lineRule="auto"/>
        <w:ind w:right="108" w:firstLine="420"/>
        <w:jc w:val="both"/>
      </w:pPr>
      <w:r>
        <w:rPr/>
        <w:t>公司对于与子公司、联营企业及合营企业投资相关的可抵扣暂时性差异，同时满足下列条件的，确认相应的递延所得</w:t>
      </w:r>
      <w:r>
        <w:rPr>
          <w:spacing w:val="1"/>
        </w:rPr>
        <w:t> </w:t>
      </w:r>
      <w:r>
        <w:rPr/>
        <w:t>税资产：（1）暂时性差异在可预见的未来很可能转回；（2）未来很可能获得用来抵扣可抵扣暂时性差异的应纳税所得额。</w:t>
      </w:r>
    </w:p>
    <w:p>
      <w:pPr>
        <w:pStyle w:val="BodyText"/>
        <w:spacing w:line="439" w:lineRule="auto" w:before="139"/>
        <w:ind w:left="574" w:right="4890"/>
        <w:jc w:val="left"/>
      </w:pPr>
      <w:r>
        <w:rPr/>
        <w:t>3．递延所得税负债的确认依据 对于各种应纳税暂时性差异均据以确认递延所得税负债。</w:t>
      </w:r>
    </w:p>
    <w:p>
      <w:pPr>
        <w:pStyle w:val="BodyText"/>
        <w:spacing w:line="316" w:lineRule="auto" w:before="47"/>
        <w:ind w:right="188" w:firstLine="420"/>
        <w:jc w:val="both"/>
      </w:pPr>
      <w:r>
        <w:rPr/>
        <w:t>但公司对在以下交易中产生的应纳税暂时性差异不确认递延所得税负债：（1）商誉的初始确认；（2）同时具有以下 </w:t>
      </w:r>
      <w:r>
        <w:rPr>
          <w:spacing w:val="-2"/>
        </w:rPr>
        <w:t>特征的交易中产生的资产或负债的初始确认：该交易不是企业合并；并且交易发生时既不影响会计利润也不影响应纳税所得</w:t>
      </w:r>
      <w:r>
        <w:rPr>
          <w:spacing w:val="-64"/>
        </w:rPr>
        <w:t> </w:t>
      </w:r>
      <w:r>
        <w:rPr>
          <w:spacing w:val="-64"/>
        </w:rPr>
      </w:r>
      <w:r>
        <w:rPr/>
        <w:t>额（或可抵扣亏损）；</w:t>
      </w:r>
    </w:p>
    <w:p>
      <w:pPr>
        <w:pStyle w:val="BodyText"/>
        <w:spacing w:line="316" w:lineRule="auto" w:before="139"/>
        <w:ind w:right="186" w:firstLine="420"/>
        <w:jc w:val="both"/>
      </w:pPr>
      <w:r>
        <w:rPr/>
        <w:t>对于与子公司、联营企业及合营企业投资相关的应纳税暂时性差异，应当确认相应的递延所得税负债。但同时满足下</w:t>
      </w:r>
      <w:r>
        <w:rPr>
          <w:spacing w:val="1"/>
        </w:rPr>
        <w:t> </w:t>
      </w:r>
      <w:r>
        <w:rPr/>
        <w:t>列条件的除外：（1）投资企业能够控制暂时性差异转回的时间；（2）该暂时性差异在可预见的未来很可能不会转回。</w:t>
      </w:r>
    </w:p>
    <w:p>
      <w:pPr>
        <w:pStyle w:val="BodyText"/>
        <w:spacing w:line="432" w:lineRule="exact" w:before="3"/>
        <w:ind w:left="574" w:right="0"/>
        <w:jc w:val="left"/>
      </w:pPr>
      <w:r>
        <w:rPr/>
        <w:t>4．递延所得税资产的减值 在资产负债表日应当对递延所得税资产的账面价值进行复核。如果未来期间很可能无法取得足够的应纳税所得额用以</w:t>
      </w:r>
    </w:p>
    <w:p>
      <w:pPr>
        <w:pStyle w:val="BodyText"/>
        <w:spacing w:line="316" w:lineRule="auto" w:before="15"/>
        <w:ind w:right="191"/>
        <w:jc w:val="both"/>
      </w:pPr>
      <w:r>
        <w:rPr>
          <w:spacing w:val="-2"/>
        </w:rPr>
        <w:t>抵扣递延所得税资产的利益，则减记递延所得税资产的账面价值。除原确认时计入所有者权益的递延所得税资产部分，其减</w:t>
      </w:r>
      <w:r>
        <w:rPr>
          <w:spacing w:val="-66"/>
        </w:rPr>
        <w:t> </w:t>
      </w:r>
      <w:r>
        <w:rPr>
          <w:spacing w:val="-66"/>
        </w:rPr>
      </w:r>
      <w:r>
        <w:rPr>
          <w:spacing w:val="-2"/>
        </w:rPr>
        <w:t>记金额也应计入所有者权益外，其他的情况应计入当期的所得税费用。在很可能取得足够的应纳税所得额时，减记的递延所</w:t>
      </w:r>
      <w:r>
        <w:rPr>
          <w:spacing w:val="-66"/>
        </w:rPr>
        <w:t> </w:t>
      </w:r>
      <w:r>
        <w:rPr>
          <w:spacing w:val="-66"/>
        </w:rPr>
      </w:r>
      <w:r>
        <w:rPr/>
        <w:t>得税资产账面价值可以恢复。</w:t>
      </w:r>
    </w:p>
    <w:p>
      <w:pPr>
        <w:pStyle w:val="BodyText"/>
        <w:spacing w:line="439" w:lineRule="auto" w:before="139"/>
        <w:ind w:left="574" w:right="5970"/>
        <w:jc w:val="left"/>
      </w:pPr>
      <w:r>
        <w:rPr/>
        <w:t>5．所得税费用 所得税费用包括当期所得税和递延所得税。</w:t>
      </w:r>
    </w:p>
    <w:p>
      <w:pPr>
        <w:pStyle w:val="BodyText"/>
        <w:spacing w:line="316" w:lineRule="auto" w:before="47"/>
        <w:ind w:right="186" w:firstLine="420"/>
        <w:jc w:val="both"/>
      </w:pPr>
      <w:r>
        <w:rPr/>
        <w:t>除确认为其他综合收益或直接计入股东权益的交易和事项相关的当期所得税和递延所得税计入其他综合收益或股东权</w:t>
      </w:r>
      <w:r>
        <w:rPr>
          <w:spacing w:val="1"/>
        </w:rPr>
        <w:t> </w:t>
      </w:r>
      <w:r>
        <w:rPr/>
        <w:t>益，以及企业合并产生的递延所得税调整商誉的账面价值外，其余当期所得税和递延所得税费用或收益计入当期损益。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1" w:firstLine="420"/>
        <w:jc w:val="both"/>
      </w:pPr>
      <w:r>
        <w:rPr>
          <w:spacing w:val="-2"/>
        </w:rPr>
        <w:t>公司为承租人时，在租赁期内各个期间按照直线法将租金计入相关资产成本或确认为当期损益，发生的初始直接费用，</w:t>
      </w:r>
      <w:r>
        <w:rPr/>
        <w:t> 直接计入当期损益。或有租金在实际发生时计入当期损益。</w:t>
      </w:r>
    </w:p>
    <w:p>
      <w:pPr>
        <w:spacing w:after="0" w:line="316"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146" w:firstLine="420"/>
        <w:jc w:val="both"/>
      </w:pPr>
      <w:r>
        <w:rPr/>
        <w:t>公司为出租人时，在租赁期内各个期间按照直线法将租金确认为当期损益，发生的初始直接费用，除金额较大的予以</w:t>
      </w:r>
      <w:r>
        <w:rPr>
          <w:spacing w:val="1"/>
        </w:rPr>
        <w:t> </w:t>
      </w:r>
      <w:r>
        <w:rPr/>
        <w:t>资本化并分期计入损益外，均直接计入当期损益。或有租金在实际发生时计入当期损益。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6" w:firstLine="420"/>
        <w:jc w:val="both"/>
      </w:pPr>
      <w:r>
        <w:rPr/>
        <w:t>公司为承租人时，在租赁期开始日，公司以租赁开始日租赁资产公允价值与最低租赁付款额现值中两者较低者作为租</w:t>
      </w:r>
      <w:r>
        <w:rPr>
          <w:spacing w:val="1"/>
        </w:rPr>
        <w:t> </w:t>
      </w:r>
      <w:r>
        <w:rPr>
          <w:spacing w:val="-2"/>
        </w:rPr>
        <w:t>入资产的入账价值，将最低租赁付款额作为长期应付款的入账价值，其差额为未确认融资费用，发生的初始直接费用，计入</w:t>
      </w:r>
      <w:r>
        <w:rPr>
          <w:spacing w:val="-66"/>
        </w:rPr>
        <w:t> </w:t>
      </w:r>
      <w:r>
        <w:rPr>
          <w:spacing w:val="-66"/>
        </w:rPr>
      </w:r>
      <w:r>
        <w:rPr/>
        <w:t>租赁资产价值。在租赁期各个期间，采用实际利率法计算确认当期的融资费用。</w:t>
      </w:r>
    </w:p>
    <w:p>
      <w:pPr>
        <w:pStyle w:val="BodyText"/>
        <w:spacing w:line="316" w:lineRule="auto" w:before="139"/>
        <w:ind w:right="146" w:firstLine="420"/>
        <w:jc w:val="both"/>
      </w:pPr>
      <w:r>
        <w:rPr/>
        <w:t>公司为出租人时，在租赁期开始日，公司以租赁开始日最低租赁收款额与初始直接费用之和作为应收融资租赁款的入</w:t>
      </w:r>
      <w:r>
        <w:rPr>
          <w:spacing w:val="1"/>
        </w:rPr>
        <w:t> </w:t>
      </w:r>
      <w:r>
        <w:rPr>
          <w:spacing w:val="-2"/>
        </w:rPr>
        <w:t>账价值，同时记录未担保余值；将最低租赁收款额、初始直接费用及未担保余值之和与其现值之和的差额确认为未实现融资</w:t>
      </w:r>
      <w:r>
        <w:rPr>
          <w:spacing w:val="-66"/>
        </w:rPr>
        <w:t> </w:t>
      </w:r>
      <w:r>
        <w:rPr>
          <w:spacing w:val="-66"/>
        </w:rPr>
      </w:r>
      <w:r>
        <w:rPr/>
        <w:t>收益。在租赁期各个期间，采用实际利率法计算确认当期的融资收入。</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pStyle w:val="BodyText"/>
        <w:spacing w:line="430" w:lineRule="atLeast" w:before="152"/>
        <w:ind w:left="574" w:right="0"/>
        <w:jc w:val="left"/>
      </w:pPr>
      <w:r>
        <w:rPr/>
        <w:t>1．终止经营的确认标准、会计处理方法 满足下列条件之一的已被企业处置或被企业划归为持有待售的、在经营的和编制财务报表时能够单独区分的组成部分</w:t>
      </w:r>
    </w:p>
    <w:p>
      <w:pPr>
        <w:pStyle w:val="BodyText"/>
        <w:spacing w:line="240" w:lineRule="auto" w:before="76"/>
        <w:ind w:right="0"/>
        <w:jc w:val="left"/>
      </w:pPr>
      <w:r>
        <w:rPr/>
        <w:t>确认为终止经营：</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t>（1）该组成部分代表一项独立的主要业务或一个主要经营地区；</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t>（2）该组成部分是拟对一项独立的主要业务或一个主要经营地区进行处置计划的一部分；</w:t>
      </w:r>
    </w:p>
    <w:p>
      <w:pPr>
        <w:spacing w:line="240" w:lineRule="auto" w:before="0"/>
        <w:rPr>
          <w:rFonts w:ascii="宋体" w:hAnsi="宋体" w:cs="宋体" w:eastAsia="宋体" w:hint="default"/>
          <w:sz w:val="15"/>
          <w:szCs w:val="15"/>
        </w:rPr>
      </w:pPr>
    </w:p>
    <w:p>
      <w:pPr>
        <w:pStyle w:val="BodyText"/>
        <w:spacing w:line="439" w:lineRule="auto"/>
        <w:ind w:left="574" w:right="3410"/>
        <w:jc w:val="left"/>
      </w:pPr>
      <w:r>
        <w:rPr/>
        <w:t>（3）该组成部分是仅仅为了再出售而取得的子公司。 本公司终止经营的情况见本财务报表附注其他重要事项之终止经营的说明。 2． 与回购公司股份相关的会计处理方法</w:t>
      </w:r>
    </w:p>
    <w:p>
      <w:pPr>
        <w:pStyle w:val="BodyText"/>
        <w:spacing w:line="316" w:lineRule="auto" w:before="47"/>
        <w:ind w:right="146" w:firstLine="420"/>
        <w:jc w:val="both"/>
      </w:pPr>
      <w:r>
        <w:rPr/>
        <w:t>因减少注册资本或奖励职工等原因收购本公司股份的，按实际支付的金额作为库存股处理，同时进行备查登记。如果</w:t>
      </w:r>
      <w:r>
        <w:rPr>
          <w:spacing w:val="1"/>
        </w:rPr>
        <w:t> </w:t>
      </w:r>
      <w:r>
        <w:rPr/>
        <w:t>将回购的股份注销，则将按注销股票面值和注销股数计算的股票面值总额与实际回购所支付的金额之间的差额冲减资本公</w:t>
      </w:r>
      <w:r>
        <w:rPr>
          <w:spacing w:val="-9"/>
        </w:rPr>
        <w:t> </w:t>
      </w:r>
      <w:r>
        <w:rPr>
          <w:spacing w:val="-9"/>
        </w:rPr>
      </w:r>
      <w:r>
        <w:rPr>
          <w:spacing w:val="-2"/>
        </w:rPr>
        <w:t>积，资本公积不足冲减的，冲减留存收益；如果将回购的股份奖励给本公司职工属于以权益结算的股份支付，于职工行权购</w:t>
      </w:r>
      <w:r>
        <w:rPr>
          <w:spacing w:val="-66"/>
        </w:rPr>
        <w:t> </w:t>
      </w:r>
      <w:r>
        <w:rPr>
          <w:spacing w:val="-66"/>
        </w:rPr>
      </w:r>
      <w:r>
        <w:rPr>
          <w:spacing w:val="-2"/>
        </w:rPr>
        <w:t>买本公司股份收到价款时，转销交付职工的库存股成本和等待期内资本公积（其他资本公积）累计金额，同时，按照其差额</w:t>
      </w:r>
      <w:r>
        <w:rPr>
          <w:spacing w:val="-66"/>
        </w:rPr>
        <w:t> </w:t>
      </w:r>
      <w:r>
        <w:rPr>
          <w:spacing w:val="-66"/>
        </w:rPr>
      </w:r>
      <w:r>
        <w:rPr/>
        <w:t>调整资本公积（股本溢价）。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spacing w:line="487" w:lineRule="auto" w:before="35"/>
        <w:ind w:left="154" w:right="79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实际缴纳流转税税额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both"/>
              <w:rPr>
                <w:rFonts w:ascii="宋体" w:hAnsi="宋体" w:cs="宋体" w:eastAsia="宋体" w:hint="default"/>
                <w:sz w:val="18"/>
                <w:szCs w:val="18"/>
              </w:rPr>
            </w:pPr>
            <w:r>
              <w:rPr>
                <w:rFonts w:ascii="宋体" w:hAnsi="宋体" w:cs="宋体" w:eastAsia="宋体" w:hint="default"/>
                <w:spacing w:val="-5"/>
                <w:sz w:val="18"/>
                <w:szCs w:val="18"/>
              </w:rPr>
              <w:t>从价计征的，按房产原值一次减除</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后余</w:t>
            </w:r>
            <w:r>
              <w:rPr>
                <w:rFonts w:ascii="宋体" w:hAnsi="宋体" w:cs="宋体" w:eastAsia="宋体" w:hint="default"/>
                <w:spacing w:val="-76"/>
                <w:sz w:val="18"/>
                <w:szCs w:val="18"/>
              </w:rPr>
              <w:t> </w:t>
            </w:r>
            <w:r>
              <w:rPr>
                <w:rFonts w:ascii="宋体" w:hAnsi="宋体" w:cs="宋体" w:eastAsia="宋体" w:hint="default"/>
                <w:sz w:val="18"/>
                <w:szCs w:val="18"/>
              </w:rPr>
              <w:t>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计缴；从租计征的，按租金收 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原值扣除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之后余值的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缴纳</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有偿转让国有土地使用权及地上建筑物 和其他附着物产权产生的增值额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超额累进税率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城镇土地使用税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实际占用的面积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实际缴纳流转税税额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实际缴纳流转税税额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firstLine="420"/>
        <w:jc w:val="left"/>
      </w:pPr>
      <w:r>
        <w:rPr/>
        <w:t>1．上海英迈吉东影图像设备有限公司2014年获得上海市高新技术企业认定，有效期三年，2015年度按15%的税率缴纳 企业所得税。</w:t>
      </w:r>
    </w:p>
    <w:p>
      <w:pPr>
        <w:pStyle w:val="BodyText"/>
        <w:spacing w:line="240" w:lineRule="auto" w:before="139"/>
        <w:ind w:left="573" w:right="0"/>
        <w:jc w:val="left"/>
      </w:pPr>
      <w:r>
        <w:rPr/>
        <w:t>2．深圳市思达仪表有限公司2014年获得深圳市高新技术企业认定，有效期三年，2015年度按15%的税率缴纳企业所得</w:t>
      </w:r>
    </w:p>
    <w:p>
      <w:pPr>
        <w:pStyle w:val="BodyText"/>
        <w:spacing w:line="240" w:lineRule="auto" w:before="76"/>
        <w:ind w:left="153" w:right="0"/>
        <w:jc w:val="left"/>
      </w:pPr>
      <w:r>
        <w:rPr/>
        <w:t>税。</w:t>
      </w:r>
    </w:p>
    <w:p>
      <w:pPr>
        <w:spacing w:line="240" w:lineRule="auto" w:before="8"/>
        <w:rPr>
          <w:rFonts w:ascii="宋体" w:hAnsi="宋体" w:cs="宋体" w:eastAsia="宋体" w:hint="default"/>
          <w:sz w:val="11"/>
          <w:szCs w:val="11"/>
        </w:rPr>
      </w:pPr>
    </w:p>
    <w:p>
      <w:pPr>
        <w:pStyle w:val="BodyText"/>
        <w:spacing w:line="316" w:lineRule="auto" w:before="44"/>
        <w:ind w:left="153" w:right="137" w:firstLine="420"/>
        <w:jc w:val="left"/>
      </w:pPr>
      <w:r>
        <w:rPr>
          <w:spacing w:val="-1"/>
        </w:rPr>
        <w:t>3．深圳市思达仪表有限公司之子公司深圳思达光电通信技术有限公司2014年获得深圳市高新技术企业认定，2015年度</w:t>
      </w:r>
      <w:r>
        <w:rPr/>
        <w:t> 按15%的税率缴纳企业所得税</w:t>
      </w:r>
    </w:p>
    <w:p>
      <w:pPr>
        <w:spacing w:line="240" w:lineRule="auto" w:before="7"/>
        <w:rPr>
          <w:rFonts w:ascii="宋体" w:hAnsi="宋体" w:cs="宋体" w:eastAsia="宋体" w:hint="default"/>
          <w:sz w:val="22"/>
          <w:szCs w:val="22"/>
        </w:rPr>
      </w:pPr>
    </w:p>
    <w:p>
      <w:pPr>
        <w:spacing w:line="487" w:lineRule="auto" w:before="0"/>
        <w:ind w:left="154" w:right="6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53,405.94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108,556.97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87,780,879.52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58,866,300.50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9,836,007.01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35,227,612.41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97,670,292.47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94,202,469.88</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5"/>
          <w:szCs w:val="15"/>
        </w:rPr>
      </w:pPr>
    </w:p>
    <w:p>
      <w:pPr>
        <w:pStyle w:val="BodyText"/>
        <w:tabs>
          <w:tab w:pos="7984" w:val="left" w:leader="none"/>
        </w:tabs>
        <w:spacing w:line="316" w:lineRule="auto"/>
        <w:ind w:left="153" w:right="151" w:firstLine="420"/>
        <w:jc w:val="left"/>
      </w:pPr>
      <w:r>
        <w:rPr/>
        <w:t>截至2015年12月31日，本公司因质押、银行承兑保证金等受限制的资金合计</w:t>
      </w:r>
      <w:r>
        <w:rPr>
          <w:spacing w:val="-5"/>
        </w:rPr>
        <w:t> </w:t>
      </w:r>
      <w:r>
        <w:rPr/>
        <w:t>9,836,007.01</w:t>
        <w:tab/>
        <w:t>元，其中定期存单作为</w:t>
      </w:r>
      <w:r>
        <w:rPr/>
        <w:t> 质押的其他货币资金2,000,000.00元,银行承兑保证金、出口保函保证金的其他货币资金7,836,007.01 元。</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1,756,722.15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1,806,322.11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21,471,883.68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3,563,044.26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22,421,883.68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1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2,255,115.00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2,255,115.00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2"/>
        <w:rPr>
          <w:rFonts w:ascii="宋体" w:hAnsi="宋体" w:cs="宋体" w:eastAsia="宋体" w:hint="default"/>
          <w:sz w:val="24"/>
          <w:szCs w:val="24"/>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799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1581"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其他说明</w:t>
      </w:r>
    </w:p>
    <w:p>
      <w:pPr>
        <w:spacing w:line="240" w:lineRule="auto" w:before="1"/>
        <w:rPr>
          <w:rFonts w:ascii="宋体" w:hAnsi="宋体" w:cs="宋体" w:eastAsia="宋体" w:hint="default"/>
          <w:sz w:val="13"/>
          <w:szCs w:val="13"/>
        </w:rPr>
      </w:pPr>
    </w:p>
    <w:p>
      <w:pPr>
        <w:pStyle w:val="Heading4"/>
        <w:spacing w:line="240" w:lineRule="auto"/>
        <w:ind w:left="574" w:right="0"/>
        <w:jc w:val="left"/>
      </w:pPr>
      <w:r>
        <w:rPr/>
        <w:t>期末公司已经背书给他方但尚未到期的票据，其中前五名列示如下：</w:t>
      </w:r>
    </w:p>
    <w:p>
      <w:pPr>
        <w:spacing w:line="240" w:lineRule="auto" w:before="2"/>
        <w:rPr>
          <w:rFonts w:ascii="宋体" w:hAnsi="宋体" w:cs="宋体" w:eastAsia="宋体" w:hint="default"/>
          <w:sz w:val="13"/>
          <w:szCs w:val="13"/>
        </w:rPr>
      </w:pPr>
    </w:p>
    <w:tbl>
      <w:tblPr>
        <w:tblW w:w="0" w:type="auto"/>
        <w:jc w:val="left"/>
        <w:tblInd w:w="714" w:type="dxa"/>
        <w:tblLayout w:type="fixed"/>
        <w:tblCellMar>
          <w:top w:w="0" w:type="dxa"/>
          <w:left w:w="0" w:type="dxa"/>
          <w:bottom w:w="0" w:type="dxa"/>
          <w:right w:w="0" w:type="dxa"/>
        </w:tblCellMar>
        <w:tblLook w:val="01E0"/>
      </w:tblPr>
      <w:tblGrid>
        <w:gridCol w:w="2396"/>
        <w:gridCol w:w="1507"/>
        <w:gridCol w:w="1384"/>
        <w:gridCol w:w="1813"/>
        <w:gridCol w:w="1403"/>
      </w:tblGrid>
      <w:tr>
        <w:trPr>
          <w:trHeight w:val="3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出票单位</w:t>
            </w:r>
            <w:r>
              <w:rPr>
                <w:rFonts w:ascii="宋体" w:hAnsi="宋体" w:cs="宋体" w:eastAsia="宋体" w:hint="default"/>
                <w:sz w:val="18"/>
                <w:szCs w:val="18"/>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b/>
                <w:bCs/>
                <w:sz w:val="18"/>
                <w:szCs w:val="18"/>
              </w:rPr>
              <w:t>出票日期</w:t>
            </w:r>
            <w:r>
              <w:rPr>
                <w:rFonts w:ascii="宋体" w:hAnsi="宋体" w:cs="宋体" w:eastAsia="宋体" w:hint="default"/>
                <w:sz w:val="18"/>
                <w:szCs w:val="18"/>
              </w:rPr>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2" w:right="0"/>
              <w:jc w:val="left"/>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7"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北京南瑞捷鸿科技有限公司</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2015.12.29</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2016.06.28</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2396" w:type="dxa"/>
            <w:vMerge/>
            <w:tcBorders>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2015.12.29</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2016.06.28</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300,000.00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济源市鑫炀矿业有限公司</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2015.09.24</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2016.03.24</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40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396" w:type="dxa"/>
            <w:vMerge/>
            <w:tcBorders>
              <w:left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2015.09.24</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2016.03.24</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40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96" w:type="dxa"/>
            <w:vMerge/>
            <w:tcBorders>
              <w:left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2015.09.24</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2016.03.24</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100,000.00</w:t>
            </w:r>
          </w:p>
        </w:tc>
        <w:tc>
          <w:tcPr>
            <w:tcW w:w="140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96" w:type="dxa"/>
            <w:vMerge/>
            <w:tcBorders>
              <w:left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2015.09.24</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2016.03.24</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40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96" w:type="dxa"/>
            <w:vMerge/>
            <w:tcBorders>
              <w:left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2015.09.24</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2016.03.24</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40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96" w:type="dxa"/>
            <w:vMerge/>
            <w:tcBorders>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2015.09.24</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2016.03.24</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403"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成都市利诚建筑装饰工程有限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2015.11.11</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2016.05.11</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200,000.00</w:t>
            </w:r>
          </w:p>
        </w:tc>
        <w:tc>
          <w:tcPr>
            <w:tcW w:w="140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济源市煤炭高压开关有限公司</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2015.12.17</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2016.06.17</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40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96" w:type="dxa"/>
            <w:vMerge/>
            <w:tcBorders>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2015.12.17</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2016.06.17</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100,000.00</w:t>
            </w:r>
          </w:p>
        </w:tc>
        <w:tc>
          <w:tcPr>
            <w:tcW w:w="140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长兴县永丰纺织品有限公司</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2015.10.09</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2016.04.09</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40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宁夏华辉活性炭股份有限公司</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2015.10.20</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2016.04.20</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40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2,000,000.00</w:t>
            </w:r>
            <w:r>
              <w:rPr>
                <w:rFonts w:ascii="Times New Roman"/>
                <w:spacing w:val="-1"/>
                <w:sz w:val="18"/>
              </w:rPr>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85"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19,169,</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648.64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19,169,64</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8.64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49,600,6</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28.31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94.73%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1,894,80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47,705,82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204,271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,006.05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80.43%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77,953,32</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6.99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126,317,67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9.06</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2,760,43</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6.51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5.27%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2,760,43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30,541,</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473.05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30,541,47</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3.05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85"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52,361,0</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64.82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4,655,23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6.81</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47,705,82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253,982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,127.74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127,664,4</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48.68</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126,317,67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9.06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0"/>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392"/>
        <w:gridCol w:w="2392"/>
        <w:gridCol w:w="2392"/>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42,582,546.03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851,650.92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42,582,546.03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851,650.92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4,511,591.41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225,579.57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1,788,458.29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178,845.83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94,109.07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18,821.81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8,042.68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4,021.34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615,880.83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615,880.83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49,600,628.31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1,894,800.30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3" w:right="5451"/>
        <w:jc w:val="left"/>
      </w:pPr>
      <w:r>
        <w:rPr/>
        <w:t>确定该组合依据的说明： 组合中，采用余额百分比法计提坏账准备的应收账款：</w:t>
      </w:r>
    </w:p>
    <w:p>
      <w:pPr>
        <w:pStyle w:val="BodyText"/>
        <w:spacing w:line="338" w:lineRule="auto" w:before="29"/>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Heading4"/>
        <w:spacing w:line="240" w:lineRule="auto" w:before="15"/>
        <w:ind w:left="574" w:right="0"/>
        <w:jc w:val="left"/>
      </w:pPr>
      <w:r>
        <w:rPr/>
        <w:t>期末单项金额虽不重大但单项计提坏账准备的应收账款</w:t>
      </w:r>
    </w:p>
    <w:p>
      <w:pPr>
        <w:spacing w:line="240" w:lineRule="auto" w:before="2"/>
        <w:rPr>
          <w:rFonts w:ascii="宋体" w:hAnsi="宋体" w:cs="宋体" w:eastAsia="宋体" w:hint="default"/>
          <w:sz w:val="13"/>
          <w:szCs w:val="13"/>
        </w:rPr>
      </w:pPr>
    </w:p>
    <w:tbl>
      <w:tblPr>
        <w:tblW w:w="0" w:type="auto"/>
        <w:jc w:val="left"/>
        <w:tblInd w:w="594" w:type="dxa"/>
        <w:tblLayout w:type="fixed"/>
        <w:tblCellMar>
          <w:top w:w="0" w:type="dxa"/>
          <w:left w:w="0" w:type="dxa"/>
          <w:bottom w:w="0" w:type="dxa"/>
          <w:right w:w="0" w:type="dxa"/>
        </w:tblCellMar>
        <w:tblLook w:val="01E0"/>
      </w:tblPr>
      <w:tblGrid>
        <w:gridCol w:w="1774"/>
        <w:gridCol w:w="1843"/>
        <w:gridCol w:w="1703"/>
        <w:gridCol w:w="1465"/>
        <w:gridCol w:w="1958"/>
      </w:tblGrid>
      <w:tr>
        <w:trPr>
          <w:trHeight w:val="347"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应收款项内容</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5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660"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应收货款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2,760,436.51</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2,760,436.51</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62" w:right="0" w:hanging="160"/>
              <w:jc w:val="left"/>
              <w:rPr>
                <w:rFonts w:ascii="宋体" w:hAnsi="宋体" w:cs="宋体" w:eastAsia="宋体" w:hint="default"/>
                <w:sz w:val="18"/>
                <w:szCs w:val="18"/>
              </w:rPr>
            </w:pPr>
            <w:r>
              <w:rPr>
                <w:rFonts w:ascii="宋体" w:hAnsi="宋体" w:cs="宋体" w:eastAsia="宋体" w:hint="default"/>
                <w:spacing w:val="-4"/>
                <w:sz w:val="18"/>
                <w:szCs w:val="18"/>
              </w:rPr>
              <w:t>长期挂账无业务往来，预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计收不回应收账款。</w:t>
            </w:r>
          </w:p>
        </w:tc>
      </w:tr>
      <w:tr>
        <w:trPr>
          <w:trHeight w:val="347"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b/>
                <w:spacing w:val="-1"/>
                <w:sz w:val="18"/>
              </w:rPr>
              <w:t>2,760,436.51</w:t>
            </w:r>
            <w:r>
              <w:rPr>
                <w:rFonts w:ascii="Times New Roman"/>
                <w:spacing w:val="-1"/>
                <w:sz w:val="18"/>
              </w:rPr>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b/>
                <w:spacing w:val="-1"/>
                <w:sz w:val="18"/>
              </w:rPr>
              <w:t>2,760,436.51</w:t>
            </w:r>
            <w:r>
              <w:rPr>
                <w:rFonts w:ascii="Times New Roman"/>
                <w:spacing w:val="-1"/>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10"/>
        <w:ind w:right="148"/>
        <w:jc w:val="both"/>
      </w:pPr>
      <w:r>
        <w:rPr>
          <w:spacing w:val="-2"/>
        </w:rPr>
        <w:t>注：期末单项金额虽不重大但单项计提坏账准备的应收账款合计金额有为2,760,436.51元，单独单项计提坏账准备的主要原</w:t>
      </w:r>
      <w:r>
        <w:rPr>
          <w:spacing w:val="-52"/>
        </w:rPr>
        <w:t> </w:t>
      </w:r>
      <w:r>
        <w:rPr>
          <w:spacing w:val="-52"/>
        </w:rPr>
      </w:r>
      <w:r>
        <w:rPr/>
        <w:t>因：应收账款账龄在3年以上，且与公司无业务往来，预计将来收回的可能性较小，单独单项个别认定全额计提坏账准备，</w:t>
      </w:r>
      <w:r>
        <w:rPr>
          <w:spacing w:val="-83"/>
        </w:rPr>
        <w:t> </w:t>
      </w:r>
      <w:r>
        <w:rPr>
          <w:spacing w:val="-83"/>
        </w:rPr>
      </w:r>
      <w:r>
        <w:rPr/>
        <w:t>包括陕西机械进出口公司等60家公司，应收账款合计金额为2,760,436.51元。</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40" w:lineRule="auto" w:before="44"/>
        <w:ind w:right="-16"/>
        <w:jc w:val="left"/>
      </w:pPr>
      <w:r>
        <w:rPr/>
        <w:t>本期计提坏账准备金额</w:t>
      </w:r>
      <w:r>
        <w:rPr>
          <w:spacing w:val="-46"/>
        </w:rPr>
        <w:t> </w:t>
      </w:r>
      <w:r>
        <w:rPr>
          <w:rFonts w:ascii="Times New Roman" w:hAnsi="Times New Roman" w:cs="Times New Roman" w:eastAsia="Times New Roman" w:hint="default"/>
        </w:rPr>
        <w:t>585,838.96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485,740.00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815" w:space="201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江西监狱管理局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追偿款</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江西景德镇市第三人民医院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追偿款</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咸阳供电局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追偿款</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山西汇众世达科技有限公司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追偿款</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367,600.00</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Heading4"/>
        <w:spacing w:line="276" w:lineRule="exact"/>
        <w:ind w:right="0"/>
        <w:jc w:val="left"/>
      </w:pPr>
      <w:r>
        <w:rPr/>
        <w:t>本期因处置子公司减少坏账准备</w:t>
      </w:r>
      <w:r>
        <w:rPr>
          <w:rFonts w:ascii="Times New Roman" w:hAnsi="Times New Roman" w:cs="Times New Roman" w:eastAsia="Times New Roman" w:hint="default"/>
        </w:rPr>
        <w:t>123,109,310.83</w:t>
      </w:r>
      <w:r>
        <w:rPr>
          <w:rFonts w:ascii="Times New Roman" w:hAnsi="Times New Roman" w:cs="Times New Roman" w:eastAsia="Times New Roman" w:hint="default"/>
          <w:spacing w:val="25"/>
        </w:rPr>
        <w:t> </w:t>
      </w:r>
      <w:r>
        <w:rPr/>
        <w:t>元。</w:t>
      </w:r>
    </w:p>
    <w:p>
      <w:pPr>
        <w:spacing w:line="240" w:lineRule="auto" w:before="8"/>
        <w:rPr>
          <w:rFonts w:ascii="宋体" w:hAnsi="宋体" w:cs="宋体" w:eastAsia="宋体" w:hint="default"/>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4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4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其中重要的应收账款核销情况：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153" w:right="7431"/>
        <w:jc w:val="left"/>
      </w:pPr>
      <w:r>
        <w:rPr/>
        <w:t>应收账款核销说明： 本期无实际核销的应收账款。</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966" w:type="dxa"/>
        <w:tblLayout w:type="fixed"/>
        <w:tblCellMar>
          <w:top w:w="0" w:type="dxa"/>
          <w:left w:w="0" w:type="dxa"/>
          <w:bottom w:w="0" w:type="dxa"/>
          <w:right w:w="0" w:type="dxa"/>
        </w:tblCellMar>
        <w:tblLook w:val="01E0"/>
      </w:tblPr>
      <w:tblGrid>
        <w:gridCol w:w="3546"/>
        <w:gridCol w:w="2100"/>
        <w:gridCol w:w="2352"/>
      </w:tblGrid>
      <w:tr>
        <w:trPr>
          <w:trHeight w:val="34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13"/>
              <w:jc w:val="center"/>
              <w:rPr>
                <w:rFonts w:ascii="宋体" w:hAnsi="宋体" w:cs="宋体" w:eastAsia="宋体" w:hint="default"/>
                <w:sz w:val="18"/>
                <w:szCs w:val="18"/>
              </w:rPr>
            </w:pPr>
            <w:r>
              <w:rPr>
                <w:rFonts w:ascii="宋体" w:hAnsi="宋体" w:cs="宋体" w:eastAsia="宋体" w:hint="default"/>
                <w:b/>
                <w:bCs/>
                <w:sz w:val="18"/>
                <w:szCs w:val="18"/>
              </w:rPr>
              <w:t>占应收账款总额的比例（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HUU HONG Machinery Joint Stock</w:t>
            </w:r>
            <w:r>
              <w:rPr>
                <w:rFonts w:ascii="Times New Roman"/>
                <w:spacing w:val="-17"/>
                <w:sz w:val="18"/>
              </w:rPr>
              <w:t> </w:t>
            </w:r>
            <w:r>
              <w:rPr>
                <w:rFonts w:ascii="Times New Roman"/>
                <w:sz w:val="18"/>
              </w:rPr>
              <w:t>Company</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14"/>
              <w:jc w:val="right"/>
              <w:rPr>
                <w:rFonts w:ascii="Times New Roman" w:hAnsi="Times New Roman" w:cs="Times New Roman" w:eastAsia="Times New Roman" w:hint="default"/>
                <w:sz w:val="18"/>
                <w:szCs w:val="18"/>
              </w:rPr>
            </w:pPr>
            <w:r>
              <w:rPr>
                <w:rFonts w:ascii="Times New Roman"/>
                <w:spacing w:val="-1"/>
                <w:sz w:val="18"/>
              </w:rPr>
              <w:t>28,867,712.77</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55.13</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ELECTROCABLE</w:t>
            </w:r>
            <w:r>
              <w:rPr>
                <w:rFonts w:ascii="Times New Roman"/>
                <w:spacing w:val="-2"/>
                <w:sz w:val="18"/>
              </w:rPr>
              <w:t> </w:t>
            </w:r>
            <w:r>
              <w:rPr>
                <w:rFonts w:ascii="Times New Roman"/>
                <w:sz w:val="18"/>
              </w:rPr>
              <w:t>ALUCONSA,S.A.</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14"/>
              <w:jc w:val="right"/>
              <w:rPr>
                <w:rFonts w:ascii="Times New Roman" w:hAnsi="Times New Roman" w:cs="Times New Roman" w:eastAsia="Times New Roman" w:hint="default"/>
                <w:sz w:val="18"/>
                <w:szCs w:val="18"/>
              </w:rPr>
            </w:pPr>
            <w:r>
              <w:rPr>
                <w:rFonts w:ascii="Times New Roman"/>
                <w:spacing w:val="-1"/>
                <w:sz w:val="18"/>
              </w:rPr>
              <w:t>3,139,843.33</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6.00</w:t>
            </w:r>
          </w:p>
        </w:tc>
      </w:tr>
      <w:tr>
        <w:trPr>
          <w:trHeight w:val="34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常德市沃特市政工程总公司</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14"/>
              <w:jc w:val="right"/>
              <w:rPr>
                <w:rFonts w:ascii="Times New Roman" w:hAnsi="Times New Roman" w:cs="Times New Roman" w:eastAsia="Times New Roman" w:hint="default"/>
                <w:sz w:val="18"/>
                <w:szCs w:val="18"/>
              </w:rPr>
            </w:pPr>
            <w:r>
              <w:rPr>
                <w:rFonts w:ascii="Times New Roman"/>
                <w:spacing w:val="-1"/>
                <w:sz w:val="18"/>
              </w:rPr>
              <w:t>2,386,420.00</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4.56</w:t>
            </w:r>
          </w:p>
        </w:tc>
      </w:tr>
      <w:tr>
        <w:trPr>
          <w:trHeight w:val="34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庆豪兴业有限公司</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14"/>
              <w:jc w:val="right"/>
              <w:rPr>
                <w:rFonts w:ascii="Times New Roman" w:hAnsi="Times New Roman" w:cs="Times New Roman" w:eastAsia="Times New Roman" w:hint="default"/>
                <w:sz w:val="18"/>
                <w:szCs w:val="18"/>
              </w:rPr>
            </w:pPr>
            <w:r>
              <w:rPr>
                <w:rFonts w:ascii="Times New Roman"/>
                <w:spacing w:val="-1"/>
                <w:sz w:val="18"/>
              </w:rPr>
              <w:t>1,563,828.95</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2.99</w:t>
            </w:r>
          </w:p>
        </w:tc>
      </w:tr>
      <w:tr>
        <w:trPr>
          <w:trHeight w:val="347"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江苏省电力公司</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14"/>
              <w:jc w:val="right"/>
              <w:rPr>
                <w:rFonts w:ascii="Times New Roman" w:hAnsi="Times New Roman" w:cs="Times New Roman" w:eastAsia="Times New Roman" w:hint="default"/>
                <w:sz w:val="18"/>
                <w:szCs w:val="18"/>
              </w:rPr>
            </w:pPr>
            <w:r>
              <w:rPr>
                <w:rFonts w:ascii="Times New Roman"/>
                <w:spacing w:val="-1"/>
                <w:sz w:val="18"/>
              </w:rPr>
              <w:t>1,503,846.26</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2.87</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14"/>
              <w:jc w:val="right"/>
              <w:rPr>
                <w:rFonts w:ascii="Times New Roman" w:hAnsi="Times New Roman" w:cs="Times New Roman" w:eastAsia="Times New Roman" w:hint="default"/>
                <w:sz w:val="18"/>
                <w:szCs w:val="18"/>
              </w:rPr>
            </w:pPr>
            <w:r>
              <w:rPr>
                <w:rFonts w:ascii="Times New Roman"/>
                <w:b/>
                <w:spacing w:val="-1"/>
                <w:sz w:val="18"/>
              </w:rPr>
              <w:t>37,461,651.31</w:t>
            </w:r>
            <w:r>
              <w:rPr>
                <w:rFonts w:ascii="Times New Roman"/>
                <w:spacing w:val="-1"/>
                <w:sz w:val="18"/>
              </w:rPr>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55"/>
              <w:jc w:val="center"/>
              <w:rPr>
                <w:rFonts w:ascii="Times New Roman" w:hAnsi="Times New Roman" w:cs="Times New Roman" w:eastAsia="Times New Roman" w:hint="default"/>
                <w:sz w:val="18"/>
                <w:szCs w:val="18"/>
              </w:rPr>
            </w:pPr>
            <w:r>
              <w:rPr>
                <w:rFonts w:ascii="Times New Roman"/>
                <w:b/>
                <w:sz w:val="18"/>
              </w:rPr>
              <w:t>71.55</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本期末无终止确认的应收账款情况。</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870"/>
        <w:jc w:val="left"/>
      </w:pPr>
      <w:r>
        <w:rPr/>
        <w:t>无。 其他说明：</w:t>
      </w:r>
    </w:p>
    <w:p>
      <w:pPr>
        <w:spacing w:after="0" w:line="36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987,666.92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1,524,744.85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26.32%</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44,656.54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327,008.99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5.64%</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133,394.63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957,536.92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16.53%</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62,135.18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2,984,344.74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51.51%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1,227,853.27</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5,793,635.50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612" w:type="dxa"/>
        <w:tblLayout w:type="fixed"/>
        <w:tblCellMar>
          <w:top w:w="0" w:type="dxa"/>
          <w:left w:w="0" w:type="dxa"/>
          <w:bottom w:w="0" w:type="dxa"/>
          <w:right w:w="0" w:type="dxa"/>
        </w:tblCellMar>
        <w:tblLook w:val="01E0"/>
      </w:tblPr>
      <w:tblGrid>
        <w:gridCol w:w="2814"/>
        <w:gridCol w:w="1736"/>
        <w:gridCol w:w="1732"/>
        <w:gridCol w:w="2425"/>
      </w:tblGrid>
      <w:tr>
        <w:trPr>
          <w:trHeight w:val="348" w:hRule="exact"/>
        </w:trPr>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债务单位</w:t>
            </w:r>
            <w:r>
              <w:rPr>
                <w:rFonts w:ascii="宋体" w:hAnsi="宋体" w:cs="宋体" w:eastAsia="宋体" w:hint="default"/>
                <w:sz w:val="18"/>
                <w:szCs w:val="18"/>
              </w:rPr>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未结算的原因</w:t>
            </w:r>
            <w:r>
              <w:rPr>
                <w:rFonts w:ascii="宋体" w:hAnsi="宋体" w:cs="宋体" w:eastAsia="宋体" w:hint="default"/>
                <w:sz w:val="18"/>
                <w:szCs w:val="18"/>
              </w:rPr>
            </w:r>
          </w:p>
        </w:tc>
      </w:tr>
      <w:tr>
        <w:trPr>
          <w:trHeight w:val="347" w:hRule="exact"/>
        </w:trPr>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肖日亮</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213,592.24</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发票未到</w:t>
            </w:r>
          </w:p>
        </w:tc>
      </w:tr>
      <w:tr>
        <w:trPr>
          <w:trHeight w:val="347" w:hRule="exact"/>
        </w:trPr>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冷氏五金制品（深圳）有限公司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82,407.06</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发票未到</w:t>
            </w:r>
          </w:p>
        </w:tc>
      </w:tr>
      <w:tr>
        <w:trPr>
          <w:trHeight w:val="347" w:hRule="exact"/>
        </w:trPr>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朗通电子（香港）有限公司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62,021.33</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发票未到</w:t>
            </w:r>
          </w:p>
        </w:tc>
      </w:tr>
      <w:tr>
        <w:trPr>
          <w:trHeight w:val="347" w:hRule="exact"/>
        </w:trPr>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创浩科技有限公司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51,636.56</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发票未到</w:t>
            </w:r>
          </w:p>
        </w:tc>
      </w:tr>
      <w:tr>
        <w:trPr>
          <w:trHeight w:val="347" w:hRule="exact"/>
        </w:trPr>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香港富泰科技有限公司</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44,108.08</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发票未到</w:t>
            </w:r>
          </w:p>
        </w:tc>
      </w:tr>
      <w:tr>
        <w:trPr>
          <w:trHeight w:val="348" w:hRule="exact"/>
        </w:trPr>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453,765.27</w:t>
            </w:r>
            <w:r>
              <w:rPr>
                <w:rFonts w:ascii="Times New Roman"/>
                <w:sz w:val="18"/>
              </w:rPr>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806" w:type="dxa"/>
        <w:tblLayout w:type="fixed"/>
        <w:tblCellMar>
          <w:top w:w="0" w:type="dxa"/>
          <w:left w:w="0" w:type="dxa"/>
          <w:bottom w:w="0" w:type="dxa"/>
          <w:right w:w="0" w:type="dxa"/>
        </w:tblCellMar>
        <w:tblLook w:val="01E0"/>
      </w:tblPr>
      <w:tblGrid>
        <w:gridCol w:w="2483"/>
        <w:gridCol w:w="1459"/>
        <w:gridCol w:w="1459"/>
        <w:gridCol w:w="1406"/>
        <w:gridCol w:w="1510"/>
      </w:tblGrid>
      <w:tr>
        <w:trPr>
          <w:trHeight w:val="347"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348"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肖日亮</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213,592.24</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发票未到</w:t>
            </w:r>
          </w:p>
        </w:tc>
      </w:tr>
      <w:tr>
        <w:trPr>
          <w:trHeight w:val="347"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北京中宸泓昌科技有限公司</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198,720.00</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7"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深圳市立雄科技有限公司</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96,000.00</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7"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5"/>
                <w:sz w:val="18"/>
                <w:szCs w:val="18"/>
              </w:rPr>
              <w:t>冷氏五金制品（深圳）有限公司</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82,407.06</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发票未到</w:t>
            </w:r>
          </w:p>
        </w:tc>
      </w:tr>
      <w:tr>
        <w:trPr>
          <w:trHeight w:val="659"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8"/>
                <w:sz w:val="18"/>
                <w:szCs w:val="18"/>
              </w:rPr>
              <w:t>深圳市迪比亚塑胶五金制品有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81,000.00</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8"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671,719.30</w:t>
            </w:r>
            <w:r>
              <w:rPr>
                <w:rFonts w:ascii="Times New Roman"/>
                <w:sz w:val="18"/>
              </w:rPr>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footerReference w:type="default" r:id="rId20"/>
          <w:pgSz w:w="11910" w:h="16840"/>
          <w:pgMar w:footer="982" w:header="877"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85"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7,248,9</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47.09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7,248,947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8,300,29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8,091,051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27,977,</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133.04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17,117,30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10,859,823.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98</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890,636.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890,636.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43,234,</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126.94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43,234,12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center"/>
              <w:rPr>
                <w:rFonts w:ascii="Times New Roman" w:hAnsi="Times New Roman" w:cs="Times New Roman" w:eastAsia="Times New Roman" w:hint="default"/>
                <w:sz w:val="18"/>
                <w:szCs w:val="18"/>
              </w:rPr>
            </w:pPr>
            <w:r>
              <w:rPr>
                <w:rFonts w:ascii="Times New Roman"/>
                <w:sz w:val="18"/>
              </w:rPr>
              <w:t>9,190,92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5" w:right="0"/>
              <w:jc w:val="center"/>
              <w:rPr>
                <w:rFonts w:ascii="Times New Roman" w:hAnsi="Times New Roman" w:cs="Times New Roman" w:eastAsia="Times New Roman" w:hint="default"/>
                <w:sz w:val="18"/>
                <w:szCs w:val="18"/>
              </w:rPr>
            </w:pPr>
            <w:r>
              <w:rPr>
                <w:rFonts w:ascii="Times New Roman"/>
                <w:sz w:val="18"/>
              </w:rPr>
              <w:t>1,099,87</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8,091,051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78,460,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8" w:right="0"/>
              <w:jc w:val="center"/>
              <w:rPr>
                <w:rFonts w:ascii="Times New Roman" w:hAnsi="Times New Roman" w:cs="Times New Roman" w:eastAsia="Times New Roman" w:hint="default"/>
                <w:sz w:val="18"/>
                <w:szCs w:val="18"/>
              </w:rPr>
            </w:pPr>
            <w:r>
              <w:rPr>
                <w:rFonts w:ascii="Times New Roman"/>
                <w:sz w:val="18"/>
              </w:rPr>
              <w:t>67,600,38</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10,859,823.</w:t>
            </w:r>
          </w:p>
        </w:tc>
      </w:tr>
    </w:tbl>
    <w:p>
      <w:pPr>
        <w:spacing w:after="0" w:line="240" w:lineRule="auto"/>
        <w:jc w:val="left"/>
        <w:rPr>
          <w:rFonts w:ascii="Times New Roman" w:hAnsi="Times New Roman" w:cs="Times New Roman" w:eastAsia="Times New Roman" w:hint="default"/>
          <w:sz w:val="18"/>
          <w:szCs w:val="18"/>
        </w:rPr>
        <w:sectPr>
          <w:footerReference w:type="default" r:id="rId21"/>
          <w:pgSz w:w="11910" w:h="16840"/>
          <w:pgMar w:footer="982" w:header="877" w:top="1100" w:bottom="1180" w:left="980" w:right="980"/>
          <w:pgNumType w:start="101"/>
        </w:sectPr>
      </w:pPr>
    </w:p>
    <w:p>
      <w:pPr>
        <w:spacing w:line="240" w:lineRule="auto" w:before="6"/>
        <w:rPr>
          <w:rFonts w:ascii="宋体" w:hAnsi="宋体" w:cs="宋体" w:eastAsia="宋体" w:hint="default"/>
          <w:sz w:val="24"/>
          <w:szCs w:val="24"/>
        </w:rPr>
      </w:pPr>
    </w:p>
    <w:tbl>
      <w:tblPr>
        <w:tblW w:w="0" w:type="auto"/>
        <w:jc w:val="left"/>
        <w:tblInd w:w="185"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Times New Roman" w:hAnsi="Times New Roman" w:cs="Times New Roman" w:eastAsia="Times New Roman" w:hint="default"/>
                <w:sz w:val="18"/>
                <w:szCs w:val="18"/>
              </w:rPr>
            </w:pPr>
            <w:r>
              <w:rPr>
                <w:rFonts w:ascii="Times New Roman"/>
                <w:sz w:val="18"/>
              </w:rPr>
              <w:t>9.00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7.74</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0"/>
              <w:jc w:val="left"/>
              <w:rPr>
                <w:rFonts w:ascii="Times New Roman" w:hAnsi="Times New Roman" w:cs="Times New Roman" w:eastAsia="Times New Roman" w:hint="default"/>
                <w:sz w:val="18"/>
                <w:szCs w:val="18"/>
              </w:rPr>
            </w:pPr>
            <w:r>
              <w:rPr>
                <w:rFonts w:ascii="Times New Roman"/>
                <w:sz w:val="18"/>
              </w:rPr>
              <w:t>207.07</w:t>
            </w: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5" w:right="0"/>
              <w:jc w:val="left"/>
              <w:rPr>
                <w:rFonts w:ascii="Times New Roman" w:hAnsi="Times New Roman" w:cs="Times New Roman" w:eastAsia="Times New Roman" w:hint="default"/>
                <w:sz w:val="18"/>
                <w:szCs w:val="18"/>
              </w:rPr>
            </w:pPr>
            <w:r>
              <w:rPr>
                <w:rFonts w:ascii="Times New Roman"/>
                <w:sz w:val="18"/>
              </w:rPr>
              <w:t>3.09</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2392"/>
        <w:gridCol w:w="2393"/>
        <w:gridCol w:w="2392"/>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7,871,754.54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158,653.04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7,871,754.54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158,653.04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301,015.12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15,050.76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102,206.00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10,220.60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25,316.50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25,316.50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8,300,292.16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209,240.90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3" w:right="5271"/>
        <w:jc w:val="left"/>
      </w:pPr>
      <w:r>
        <w:rPr/>
        <w:t>确定该组合依据的说明： 组合中，采用余额百分比法计提坏账准备的其他应收款：</w:t>
      </w:r>
    </w:p>
    <w:p>
      <w:pPr>
        <w:pStyle w:val="BodyText"/>
        <w:spacing w:line="340" w:lineRule="auto" w:before="26"/>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432" w:lineRule="exact" w:before="46"/>
        <w:ind w:left="574" w:right="0"/>
        <w:jc w:val="left"/>
      </w:pPr>
      <w:r>
        <w:rPr/>
        <w:t>期末单项金额虽不重大但单项计提坏账准备的其他应收款 期末单项金额虽不重大但单项计提坏账准备的其他应收款合计890,636.84元。该部分其他应收款主要系单位往来款和</w:t>
      </w:r>
    </w:p>
    <w:p>
      <w:pPr>
        <w:pStyle w:val="BodyText"/>
        <w:spacing w:line="316" w:lineRule="auto" w:before="15"/>
        <w:ind w:right="0"/>
        <w:jc w:val="left"/>
      </w:pPr>
      <w:r>
        <w:rPr>
          <w:spacing w:val="-2"/>
        </w:rPr>
        <w:t>个人暂借款，账龄较长，且与对方单位长期没有业务往来，本期期末经测试，上述款项因收回风险较大，单项个别认定计提</w:t>
      </w:r>
      <w:r>
        <w:rPr>
          <w:spacing w:val="-66"/>
        </w:rPr>
        <w:t> </w:t>
      </w:r>
      <w:r>
        <w:rPr>
          <w:spacing w:val="-66"/>
        </w:rPr>
      </w:r>
      <w:r>
        <w:rPr/>
        <w:t>减值准备，合计计提减值准备890,636.84元。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38" w:lineRule="auto" w:before="44"/>
        <w:ind w:right="-16"/>
        <w:jc w:val="left"/>
      </w:pPr>
      <w:r>
        <w:rPr/>
        <w:t>本期计提坏账准备金额</w:t>
      </w:r>
      <w:r>
        <w:rPr>
          <w:spacing w:val="-46"/>
        </w:rPr>
        <w:t> </w:t>
      </w:r>
      <w:r>
        <w:rPr>
          <w:rFonts w:ascii="Times New Roman" w:hAnsi="Times New Roman" w:cs="Times New Roman" w:eastAsia="Times New Roman" w:hint="default"/>
        </w:rPr>
        <w:t>85,244.30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160,101.21</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725" w:space="2104"/>
            <w:col w:w="1121"/>
          </w:cols>
        </w:sectPr>
      </w:pP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7"/>
        <w:gridCol w:w="3191"/>
        <w:gridCol w:w="3192"/>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秦福斌</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50,020.77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追偿款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卢承启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追偿款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赵红军</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追偿款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钱彬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18,135.90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追偿款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贾猛</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追偿款</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139,306.67</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Heading4"/>
        <w:spacing w:line="276" w:lineRule="exact"/>
        <w:ind w:right="0"/>
        <w:jc w:val="left"/>
      </w:pPr>
      <w:r>
        <w:rPr/>
        <w:t>本期因处置子公司减少坏账准备</w:t>
      </w:r>
      <w:r>
        <w:rPr>
          <w:spacing w:val="-30"/>
        </w:rPr>
        <w:t> </w:t>
      </w:r>
      <w:r>
        <w:rPr>
          <w:rFonts w:ascii="Times New Roman" w:hAnsi="Times New Roman" w:cs="Times New Roman" w:eastAsia="Times New Roman" w:hint="default"/>
        </w:rPr>
        <w:t>66,425,648.44</w:t>
      </w:r>
      <w:r>
        <w:rPr/>
        <w:t>元。</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2;top:14;width:23;height:393" coordorigin="4762,14" coordsize="23,393">
              <v:shape style="position:absolute;left:4762;top:14;width:23;height:393" coordorigin="4762,14" coordsize="23,393" path="m4762,407l4784,407,4784,14,4762,14,4762,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5;height:393" coordorigin="37,14" coordsize="4725,393">
              <v:shape style="position:absolute;left:37;top:14;width:4725;height:393" coordorigin="37,14" coordsize="4725,393" path="m37,407l4762,407,4762,14,37,14,37,407xe" filled="true" fillcolor="#d3d3d3" stroked="false">
                <v:path arrowok="t"/>
                <v:fill type="solid"/>
              </v:shape>
            </v:group>
            <v:group style="position:absolute;left:4794;top:14;width:24;height:393" coordorigin="4794,14" coordsize="24,393">
              <v:shape style="position:absolute;left:4794;top:14;width:24;height:393" coordorigin="4794,14" coordsize="24,393" path="m4794,407l4818,407,4818,14,4794,14,4794,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18;top:14;width:4732;height:393" coordorigin="4818,14" coordsize="4732,393">
              <v:shape style="position:absolute;left:4818;top:14;width:4732;height:393" coordorigin="4818,14" coordsize="4732,393" path="m4818,407l9550,407,9550,14,4818,14,4818,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0;height:2" coordorigin="5,412" coordsize="4780,2">
              <v:shape style="position:absolute;left:5;top:412;width:4780;height:2" coordorigin="5,412" coordsize="4780,0" path="m5,412l4784,412e" filled="false" stroked="true" strokeweight=".47998pt" strokecolor="#000000">
                <v:path arrowok="t"/>
              </v:shape>
            </v:group>
            <v:group style="position:absolute;left:4789;top:14;width:2;height:402" coordorigin="4789,14" coordsize="2,402">
              <v:shape style="position:absolute;left:4789;top:14;width:2;height:402" coordorigin="4789,14" coordsize="0,402" path="m4789,14l4789,416e" filled="false" stroked="true" strokeweight=".48001pt" strokecolor="#000000">
                <v:path arrowok="t"/>
              </v:shape>
            </v:group>
            <v:group style="position:absolute;left:4794;top:412;width:4779;height:2" coordorigin="4794,412" coordsize="4779,2">
              <v:shape style="position:absolute;left:4794;top:412;width:4779;height:2" coordorigin="4794,412" coordsize="4779,0" path="m4794,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9;top:10;width:4788;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其中重要的其他应收款核销情况：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其他应收款核销说明：</w:t>
      </w:r>
    </w:p>
    <w:p>
      <w:pPr>
        <w:pStyle w:val="Heading4"/>
        <w:spacing w:line="240" w:lineRule="auto" w:before="90"/>
        <w:ind w:right="0"/>
        <w:jc w:val="left"/>
      </w:pPr>
      <w:r>
        <w:rPr/>
        <w:t>本期无实际核销的其他应收款情况。</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2,507,203.10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61,288,153.95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6,683,725.90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17,172,053.12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9,190,929.00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78,460,207.07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张雄文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587,732.78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419,842.57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李国华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350,654.40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7,013.09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冷氏五金制品（深 圳）有限公司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315,782.28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315,782.28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彭胜男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301,348.00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6,026.96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1,855,517.46</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768,664.90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8"/>
        <w:rPr>
          <w:rFonts w:ascii="宋体" w:hAnsi="宋体" w:cs="宋体" w:eastAsia="宋体" w:hint="default"/>
          <w:sz w:val="6"/>
          <w:szCs w:val="6"/>
        </w:rPr>
      </w:pPr>
    </w:p>
    <w:p>
      <w:pPr>
        <w:pStyle w:val="BodyText"/>
        <w:spacing w:line="240" w:lineRule="auto" w:before="44"/>
        <w:ind w:left="574" w:right="0"/>
        <w:jc w:val="left"/>
      </w:pPr>
      <w:r>
        <w:rPr/>
        <w:t>本报告期无涉及政府补助的应收款项。</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本报告期无因金融资产转移而终止确认的其他应收。</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441" w:lineRule="auto"/>
        <w:ind w:right="4310" w:firstLine="420"/>
        <w:jc w:val="left"/>
      </w:pPr>
      <w:r>
        <w:rPr/>
        <w:t>本报告期无转移其他应收款且继续涉入形成的资产、负债金额。 其他说明：</w:t>
      </w:r>
    </w:p>
    <w:p>
      <w:pPr>
        <w:spacing w:line="240" w:lineRule="auto" w:before="4"/>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21,178,944.37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5,289,505.16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15,889,439.21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40,090,103.50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9,571,832.74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30,518,270.76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8,887,398.20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1,152,290.87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7,735,107.33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18,449,520.24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1,415,020.81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17,034,499.43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13,015,050.17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2,139,346.19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10,875,703.98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54,365,049.90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6,256,791.12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48,108,258.78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18,759.95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18,759.95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67,592.44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67,592.44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1,795,346.76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630,337.69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1,165,009.07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8,889,738.66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3,671,581.59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5,218,157.07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2,017.97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2,017.97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770,586.39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770,586.39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913,676.44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248,670.91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665,005.53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1,526,841.66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1,526,841.66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496,687.94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496,687.94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45,811,193.86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9,460,150.82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36,351,043.04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124,656,120.73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20,915,226.26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103,740,894.47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9,571,832.74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714,684.64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3,567,642.94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5,289,505.16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1,415,020.81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262,729.95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1,152,290.87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6,256,791.12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306,444.90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4,423,889.82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2,139,346.19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3,671,581.59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318,715.80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3,359,959.70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630,337.69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248,670.91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248,670.91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20,915,226.26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873,831.61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714,684.64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11,614,222.41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9,460,150.82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存货期末余额未含有借款费用资本化金额。</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4;top:14;width:24;height:393" coordorigin="4764,14" coordsize="24,393">
              <v:shape style="position:absolute;left:4764;top:14;width:24;height:393" coordorigin="4764,14" coordsize="24,393" path="m4764,407l4788,407,4788,14,4764,14,4764,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7;height:393" coordorigin="37,14" coordsize="4727,393">
              <v:shape style="position:absolute;left:37;top:14;width:4727;height:393" coordorigin="37,14" coordsize="4727,393" path="m37,407l4764,407,4764,14,37,14,37,407xe" filled="true" fillcolor="#d3d3d3" stroked="false">
                <v:path arrowok="t"/>
                <v:fill type="solid"/>
              </v:shape>
            </v:group>
            <v:group style="position:absolute;left:4798;top:14;width:23;height:393" coordorigin="4798,14" coordsize="23,393">
              <v:shape style="position:absolute;left:4798;top:14;width:23;height:393" coordorigin="4798,14" coordsize="23,393" path="m4798,407l4820,407,4820,14,4798,14,4798,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20;top:14;width:4730;height:393" coordorigin="4820,14" coordsize="4730,393">
              <v:shape style="position:absolute;left:4820;top:14;width:4730;height:393" coordorigin="4820,14" coordsize="4730,393" path="m4820,407l9550,407,9550,14,4820,14,4820,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4;height:2" coordorigin="5,412" coordsize="4784,2">
              <v:shape style="position:absolute;left:5;top:412;width:4784;height:2" coordorigin="5,412" coordsize="4784,0" path="m5,412l4788,412e" filled="false" stroked="true" strokeweight=".47998pt" strokecolor="#000000">
                <v:path arrowok="t"/>
              </v:shape>
            </v:group>
            <v:group style="position:absolute;left:4793;top:14;width:2;height:402" coordorigin="4793,14" coordsize="2,402">
              <v:shape style="position:absolute;left:4793;top:14;width:2;height:402" coordorigin="4793,14" coordsize="0,402" path="m4793,14l4793,416e" filled="false" stroked="true" strokeweight=".48001pt" strokecolor="#000000">
                <v:path arrowok="t"/>
              </v:shape>
            </v:group>
            <v:group style="position:absolute;left:4798;top:412;width:4775;height:2" coordorigin="4798,412" coordsize="4775,2">
              <v:shape style="position:absolute;left:4798;top:412;width:4775;height:2" coordorigin="4798,412" coordsize="4775,0" path="m4798,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2,408,279.73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266,147.12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2,408,279.73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266,147.12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3587"/>
        <w:gridCol w:w="3982"/>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1,649,648.02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1,649,648.02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3,493,267.55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3,493,267.55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1,649,648.02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1,649,648.02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3,493,267.55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3,493,267.55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1,649,648.02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1,649,648.02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3,493,267.55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3,493,267.55</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1,649,648.02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1,649,648.02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1,649,648.02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1,649,648.02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64"/>
              <w:jc w:val="left"/>
              <w:rPr>
                <w:rFonts w:ascii="Times New Roman" w:hAnsi="Times New Roman" w:cs="Times New Roman" w:eastAsia="Times New Roman" w:hint="default"/>
                <w:sz w:val="18"/>
                <w:szCs w:val="18"/>
              </w:rPr>
            </w:pPr>
            <w:r>
              <w:rPr>
                <w:rFonts w:ascii="Times New Roman"/>
                <w:spacing w:val="-3"/>
                <w:sz w:val="18"/>
              </w:rPr>
              <w:t>UNISTAR</w:t>
            </w:r>
            <w:r>
              <w:rPr>
                <w:rFonts w:ascii="Times New Roman"/>
                <w:spacing w:val="-1"/>
                <w:sz w:val="18"/>
              </w:rPr>
              <w:t> </w:t>
            </w:r>
            <w:r>
              <w:rPr>
                <w:rFonts w:ascii="Times New Roman"/>
                <w:sz w:val="18"/>
              </w:rPr>
              <w:t>HI-TECH</w:t>
            </w:r>
            <w:r>
              <w:rPr>
                <w:rFonts w:ascii="Times New Roman"/>
                <w:spacing w:val="-1"/>
                <w:sz w:val="18"/>
              </w:rPr>
              <w:t> </w:t>
            </w:r>
            <w:r>
              <w:rPr>
                <w:rFonts w:ascii="Times New Roman"/>
                <w:sz w:val="18"/>
              </w:rPr>
              <w:t>SYSTEM</w:t>
            </w:r>
            <w:r>
              <w:rPr>
                <w:rFonts w:ascii="Times New Roman"/>
                <w:sz w:val="18"/>
              </w:rPr>
              <w:t> S LIMITED</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1,649,648.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1,649,648.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1,649,648.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1,649,648.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上海思达 东影电力 技术有限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1,843,619.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1,843,619.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1,843,619.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1,843,619.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3,493,267.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1,843,619.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1,649,648.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3,493,267.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1,843,619.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1,649,648.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02</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可供出售权益工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公允价值相对于</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39" w:right="0"/>
              <w:jc w:val="left"/>
              <w:rPr>
                <w:rFonts w:ascii="宋体" w:hAnsi="宋体" w:cs="宋体" w:eastAsia="宋体" w:hint="default"/>
                <w:sz w:val="18"/>
                <w:szCs w:val="18"/>
              </w:rPr>
            </w:pPr>
            <w:r>
              <w:rPr>
                <w:rFonts w:ascii="宋体" w:hAnsi="宋体" w:cs="宋体" w:eastAsia="宋体" w:hint="default"/>
                <w:sz w:val="18"/>
                <w:szCs w:val="18"/>
              </w:rPr>
              <w:t>持续下跌时间</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07" w:right="0"/>
              <w:jc w:val="left"/>
              <w:rPr>
                <w:rFonts w:ascii="宋体" w:hAnsi="宋体" w:cs="宋体" w:eastAsia="宋体" w:hint="default"/>
                <w:sz w:val="18"/>
                <w:szCs w:val="18"/>
              </w:rPr>
            </w:pPr>
            <w:r>
              <w:rPr>
                <w:rFonts w:ascii="宋体" w:hAnsi="宋体" w:cs="宋体" w:eastAsia="宋体" w:hint="default"/>
                <w:sz w:val="18"/>
                <w:szCs w:val="18"/>
              </w:rPr>
              <w:t>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7" w:right="0"/>
              <w:jc w:val="left"/>
              <w:rPr>
                <w:rFonts w:ascii="宋体" w:hAnsi="宋体" w:cs="宋体" w:eastAsia="宋体" w:hint="default"/>
                <w:sz w:val="18"/>
                <w:szCs w:val="18"/>
              </w:rPr>
            </w:pPr>
            <w:r>
              <w:rPr>
                <w:rFonts w:ascii="宋体" w:hAnsi="宋体" w:cs="宋体" w:eastAsia="宋体" w:hint="default"/>
                <w:sz w:val="18"/>
                <w:szCs w:val="18"/>
              </w:rPr>
              <w:t>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19"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6"/>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3D3D3"/>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sz w:val="24"/>
          <w:szCs w:val="24"/>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65pt;height:20.1pt;mso-position-horizontal-relative:char;mso-position-vertical-relative:line" type="#_x0000_t202" filled="true" fillcolor="#d3d3d3" stroked="true" strokeweight=".47998pt" strokecolor="#000000">
            <w10:anchorlock/>
            <v:textbox inset="0,0,0,0">
              <w:txbxContent>
                <w:p>
                  <w:pPr>
                    <w:pStyle w:val="BodyText"/>
                    <w:spacing w:line="240" w:lineRule="auto" w:before="51"/>
                    <w:ind w:left="22" w:right="0"/>
                    <w:jc w:val="left"/>
                  </w:pPr>
                  <w:r>
                    <w:rPr/>
                    <w:t>二、联营企业</w:t>
                  </w:r>
                </w:p>
              </w:txbxContent>
            </v:textbox>
            <v:fill type="solid"/>
          </v:shape>
        </w:pict>
      </w:r>
      <w:r>
        <w:rPr>
          <w:rFonts w:ascii="宋体" w:hAnsi="宋体" w:cs="宋体" w:eastAsia="宋体" w:hint="default"/>
          <w:position w:val="-7"/>
          <w:sz w:val="20"/>
          <w:szCs w:val="20"/>
        </w:rPr>
      </w:r>
    </w:p>
    <w:p>
      <w:pPr>
        <w:pStyle w:val="BodyText"/>
        <w:spacing w:line="240" w:lineRule="auto" w:before="5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75,860,494.42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75,860,494.42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4"/>
                <w:sz w:val="18"/>
                <w:szCs w:val="18"/>
              </w:rPr>
              <w:t>）</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68,498,025.33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68,498,025.33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57,492,308.70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57,492,308.70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）转入固定资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11,005,716.63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11,005,716.63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7,362,469.09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7,362,469.09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12,859,071.08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12,859,071.08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3,081,159.84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3,081,159.84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3,081,159.84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3,081,159.84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13,608,791.33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13,608,791.33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10,705,326.13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10,705,326.13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）转入固定资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2,903,465.20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2,903,465.20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2,331,439.59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2,331,439.59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5,031,029.50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5,031,029.50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63,001,423.34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63,001,423.34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73" w:right="0"/>
        <w:jc w:val="left"/>
      </w:pPr>
      <w:r>
        <w:rPr/>
        <w:t>本期不存在未办妥产权证书的投资性房地产情况。</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158,695,976.14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35,703,502.34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10,481,033.93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45,706,134.54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250,586,646.95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11,829,613.63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2,578,067.45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854,636.55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4,824,794.15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20,087,111.78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823,897.00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2,578,067.45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854,636.55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4,824,794.15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9,081,395.15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2"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）投资性房 地产转入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11,005,716.63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11,005,716.63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62,392,696.55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9,950,807.01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6,605,191.45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22,027,122.07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100,975,817.08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14,316,191.11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3,751,094.93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1,685,506.76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5,015,692.73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24,768,485.53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48,076,505.44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6,199,712.08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4,919,684.69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17,011,429.34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76,207,331.55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108,132,893.22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28,330,762.78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4,730,479.03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28,503,806.62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169,697,941.65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34,938,510.61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27,599,752.89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4,970,293.22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25,570,941.96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93,079,498.68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9,331,054.55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2,686,612.30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1,142,353.86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4,577,649.40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17,737,670.11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6,427,589.35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2,686,612.30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1,142,353.86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4,577,649.40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14,834,204.91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2" w:lineRule="auto" w:before="51"/>
              <w:ind w:left="22" w:right="89" w:firstLine="45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投资性房 地产转入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2,903,465.20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2,903,465.20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12,641,926.67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7,598,885.49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4,163,401.65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14,073,605.48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38,477,819.29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2,969,669.42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3,382,129.88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1,085,372.55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1,570,229.53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9,007,401.38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9,672,257.25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4,216,755.61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3,078,029.10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12,503,375.95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29,470,417.91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31,627,638.49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22,687,479.70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1,949,245.43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16,074,985.88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72,339,349.50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329,037.31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3,642,614.80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3,971,652.11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150,427.08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3,642,614.80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3,793,041.88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150,427.08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3,642,614.80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3,793,041.88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178,610.23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178,610.23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76,505,254.73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5,464,672.85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2,781,233.60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12,428,820.74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97,179,981.92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123,757,465.53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7,774,712.14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5,510,740.71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16,492,577.78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153,535,496.16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2;top:14;width:23;height:393" coordorigin="4762,14" coordsize="23,393">
              <v:shape style="position:absolute;left:4762;top:14;width:23;height:393" coordorigin="4762,14" coordsize="23,393" path="m4762,407l4784,407,4784,14,4762,14,4762,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5;height:393" coordorigin="37,14" coordsize="4725,393">
              <v:shape style="position:absolute;left:37;top:14;width:4725;height:393" coordorigin="37,14" coordsize="4725,393" path="m37,407l4762,407,4762,14,37,14,37,407xe" filled="true" fillcolor="#d3d3d3" stroked="false">
                <v:path arrowok="t"/>
                <v:fill type="solid"/>
              </v:shape>
            </v:group>
            <v:group style="position:absolute;left:4794;top:14;width:24;height:393" coordorigin="4794,14" coordsize="24,393">
              <v:shape style="position:absolute;left:4794;top:14;width:24;height:393" coordorigin="4794,14" coordsize="24,393" path="m4794,407l4818,407,4818,14,4794,14,4794,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18;top:14;width:4732;height:393" coordorigin="4818,14" coordsize="4732,393">
              <v:shape style="position:absolute;left:4818;top:14;width:4732;height:393" coordorigin="4818,14" coordsize="4732,393" path="m4818,407l9550,407,9550,14,4818,14,4818,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0;height:2" coordorigin="5,412" coordsize="4780,2">
              <v:shape style="position:absolute;left:5;top:412;width:4780;height:2" coordorigin="5,412" coordsize="4780,0" path="m5,412l4784,412e" filled="false" stroked="true" strokeweight=".48004pt" strokecolor="#000000">
                <v:path arrowok="t"/>
              </v:shape>
            </v:group>
            <v:group style="position:absolute;left:4789;top:14;width:2;height:402" coordorigin="4789,14" coordsize="2,402">
              <v:shape style="position:absolute;left:4789;top:14;width:2;height:402" coordorigin="4789,14" coordsize="0,402" path="m4789,14l4789,416e" filled="false" stroked="true" strokeweight=".48001pt" strokecolor="#000000">
                <v:path arrowok="t"/>
              </v:shape>
            </v:group>
            <v:group style="position:absolute;left:4794;top:412;width:4779;height:2" coordorigin="4794,412" coordsize="4779,2">
              <v:shape style="position:absolute;left:4794;top:412;width:4779;height:2" coordorigin="4794,412" coordsize="4779,0" path="m4794,412l9572,412e" filled="false" stroked="true" strokeweight=".48004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9;top:10;width:4788;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73" w:right="0"/>
        <w:jc w:val="left"/>
      </w:pPr>
      <w:r>
        <w:rPr/>
        <w:t>本期减少为处置上海英迈吉东影图像设备有限公司、河南思达软件工程有限公司股权导致。</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0"/>
        <w:jc w:val="left"/>
      </w:pPr>
      <w:r>
        <w:rPr/>
        <w:t>其他说明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工业园大门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55,400.00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55,400.00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管理软件等</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53,878,465.52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21,721,192.85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1,157,138.72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77,876,797.09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75,128.21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75,128.21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75,128.21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75,128.21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39,866,702.00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17,721,192.85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355,920.07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59,063,814.92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39,866,702.00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17,721,192.85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355,920.07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59,063,814.92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14,011,763.52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876,346.86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18,888,110.38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7,824,173.74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951,999.87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20,855,359.12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409,315.62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30,040,848.35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1,095,456.60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233,333.70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140,591.40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1,469,381.70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1,095,456.60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233,333.70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140,591.40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1,469,381.70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5,913,560.79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951,999.87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17,088,692.82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299,819.72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24,254,073.20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5,913,560.79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951,999.87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17,088,692.82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299,819.72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24,254,073.20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3,006,069.55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250,087.30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7,256,156.85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168,000.13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632,500.00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800,500.13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168,000.13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632,500.00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800,500.13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168,000.13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632,500.00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800,500.13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11,005,693.97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626,259.56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11,631,953.53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46,054,291.78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233,333.73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747,823.10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47,035,448.61</w:t>
            </w:r>
          </w:p>
        </w:tc>
      </w:tr>
    </w:tbl>
    <w:p>
      <w:pPr>
        <w:pStyle w:val="BodyText"/>
        <w:spacing w:line="240" w:lineRule="auto" w:before="51"/>
        <w:ind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pStyle w:val="Heading4"/>
        <w:spacing w:line="240" w:lineRule="auto" w:before="90"/>
        <w:ind w:right="0"/>
        <w:jc w:val="left"/>
      </w:pPr>
      <w:r>
        <w:rPr/>
        <w:t>注：本期减少为处置上海英迈吉东影图像设备有限公司、河南思达软件工程有限公司股权导致。</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3"/>
        <w:gridCol w:w="3188"/>
        <w:gridCol w:w="3190"/>
        <w:gridCol w:w="1063"/>
      </w:tblGrid>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上海英迈吉东影</w:t>
            </w: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r>
      <w:tr>
        <w:trPr>
          <w:trHeight w:val="316" w:hRule="exact"/>
        </w:trPr>
        <w:tc>
          <w:tcPr>
            <w:tcW w:w="1367" w:type="dxa"/>
            <w:tcBorders>
              <w:top w:val="nil" w:sz="6" w:space="0" w:color="auto"/>
              <w:left w:val="single" w:sz="4" w:space="0" w:color="000000"/>
              <w:bottom w:val="nil" w:sz="6" w:space="0" w:color="auto"/>
              <w:right w:val="single" w:sz="4" w:space="0" w:color="000000"/>
            </w:tcBorders>
            <w:shd w:val="clear" w:color="auto" w:fill="E1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图像设备有限公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36,770.69</w:t>
            </w: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36,770.69</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353" w:hRule="exact"/>
        </w:trPr>
        <w:tc>
          <w:tcPr>
            <w:tcW w:w="1367" w:type="dxa"/>
            <w:tcBorders>
              <w:top w:val="nil" w:sz="6" w:space="0" w:color="auto"/>
              <w:left w:val="single" w:sz="4" w:space="0" w:color="000000"/>
              <w:bottom w:val="single" w:sz="4" w:space="0" w:color="000000"/>
              <w:right w:val="single" w:sz="4" w:space="0" w:color="000000"/>
            </w:tcBorders>
            <w:shd w:val="clear" w:color="auto" w:fill="E1FFFF"/>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36,770.69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36,770.69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358"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5"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3"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5"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bl>
    <w:p>
      <w:pPr>
        <w:pStyle w:val="BodyText"/>
        <w:spacing w:line="357" w:lineRule="auto" w:before="52"/>
        <w:ind w:left="153" w:right="5091"/>
        <w:jc w:val="left"/>
      </w:pPr>
      <w:r>
        <w:rPr/>
        <w:t>说明商誉减值测试过程、参数及商誉减值损失的确认方法：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85"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134,155.88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119,385.81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6,330.11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宽带互联专线项目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128,301.88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42,767.29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85,534.59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134,155.88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128,301.88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51,207.25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119,385.81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91,864.70</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73" w:right="0"/>
        <w:jc w:val="left"/>
      </w:pPr>
      <w:r>
        <w:rPr/>
        <w:t>注：其他减少额为处置河南思达软件工程有限公司股权导致。</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10,392,294.00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1,558,844.10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10,173,011.73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1,525,951.76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10,392,294.00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1,558,844.10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10,173,011.73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1,525,951.76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2" w:right="4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2" w:right="4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7" w:right="0"/>
              <w:jc w:val="left"/>
              <w:rPr>
                <w:rFonts w:ascii="Times New Roman" w:hAnsi="Times New Roman" w:cs="Times New Roman" w:eastAsia="Times New Roman" w:hint="default"/>
                <w:sz w:val="18"/>
                <w:szCs w:val="18"/>
              </w:rPr>
            </w:pPr>
            <w:r>
              <w:rPr>
                <w:rFonts w:ascii="Times New Roman"/>
                <w:sz w:val="18"/>
              </w:rPr>
              <w:t>1,558,844.10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7" w:right="0"/>
              <w:jc w:val="left"/>
              <w:rPr>
                <w:rFonts w:ascii="Times New Roman" w:hAnsi="Times New Roman" w:cs="Times New Roman" w:eastAsia="Times New Roman" w:hint="default"/>
                <w:sz w:val="18"/>
                <w:szCs w:val="18"/>
              </w:rPr>
            </w:pPr>
            <w:r>
              <w:rPr>
                <w:rFonts w:ascii="Times New Roman"/>
                <w:sz w:val="18"/>
              </w:rPr>
              <w:t>1,525,951.76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7"/>
        <w:gridCol w:w="3193"/>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5,425,523.28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41,735,743.30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5,425,523.28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41,735,743.30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保证加抵押借款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179,300,000.00</w:t>
            </w:r>
          </w:p>
        </w:tc>
      </w:tr>
    </w:tbl>
    <w:p>
      <w:pPr>
        <w:pStyle w:val="BodyText"/>
        <w:spacing w:line="240" w:lineRule="auto" w:before="51"/>
        <w:ind w:right="0"/>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right="0" w:firstLine="420"/>
        <w:jc w:val="left"/>
      </w:pPr>
      <w:r>
        <w:rPr/>
        <w:t>截止2015年12月31日，公司无已到期尚未归还的短期借款。</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7"/>
        <w:gridCol w:w="3193"/>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5,688,251.53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4,837,193.01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5,688,251.53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4,837,193.01</w:t>
            </w:r>
          </w:p>
        </w:tc>
      </w:tr>
    </w:tbl>
    <w:p>
      <w:pPr>
        <w:pStyle w:val="BodyText"/>
        <w:spacing w:line="240" w:lineRule="auto" w:before="51"/>
        <w:ind w:right="0"/>
        <w:jc w:val="left"/>
      </w:pPr>
      <w:r>
        <w:rPr/>
        <w:t>本期末已到期未支付的应付票据总额为元。</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24,821,104.11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83,361,205.95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1,234,024.91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8,270,233.40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60,214.66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3,223,410.82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4,837,627.15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16,688,626.66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30,952,970.83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111,543,476.83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PREMIUM CONSTRUCTION</w:t>
            </w:r>
            <w:r>
              <w:rPr>
                <w:rFonts w:ascii="Times New Roman"/>
                <w:spacing w:val="-4"/>
                <w:sz w:val="18"/>
              </w:rPr>
              <w:t> </w:t>
            </w:r>
            <w:r>
              <w:rPr>
                <w:rFonts w:ascii="Times New Roman"/>
                <w:sz w:val="18"/>
              </w:rPr>
              <w:t>S.R.L.</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3,445,453.90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安装款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中色六冶深圳公司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1,057,426.43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4,502,880.33</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3,609,284.53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6,073,909.75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438,225.99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98,607.15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669,133.36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114,540.00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2,812,921.82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4,162,050.52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9,654,572.08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元千虎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预收货款，客户未提货</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国网西藏电力有限公司电力科学研究院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79,243.59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预收货款，客户未提货</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179,243.59</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0;top:14;width:23;height:393" coordorigin="4760,14" coordsize="23,393">
              <v:shape style="position:absolute;left:4760;top:14;width:23;height:393" coordorigin="4760,14" coordsize="23,393" path="m4760,407l4783,407,4783,14,4760,14,4760,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4;height:393" coordorigin="37,14" coordsize="4724,393">
              <v:shape style="position:absolute;left:37;top:14;width:4724;height:393" coordorigin="37,14" coordsize="4724,393" path="m37,407l4760,407,4760,14,37,14,37,407xe" filled="true" fillcolor="#d3d3d3" stroked="false">
                <v:path arrowok="t"/>
                <v:fill type="solid"/>
              </v:shape>
            </v:group>
            <v:group style="position:absolute;left:4794;top:14;width:23;height:393" coordorigin="4794,14" coordsize="23,393">
              <v:shape style="position:absolute;left:4794;top:14;width:23;height:393" coordorigin="4794,14" coordsize="23,393" path="m4794,407l4817,407,4817,14,4794,14,4794,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17;top:14;width:4733;height:393" coordorigin="4817,14" coordsize="4733,393">
              <v:shape style="position:absolute;left:4817;top:14;width:4733;height:393" coordorigin="4817,14" coordsize="4733,393" path="m4817,407l9550,407,9550,14,4817,14,481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0;height:2" coordorigin="5,412" coordsize="4780,2">
              <v:shape style="position:absolute;left:5;top:412;width:4780;height:2" coordorigin="5,412" coordsize="4780,0" path="m5,412l4784,412e" filled="false" stroked="true" strokeweight=".47998pt" strokecolor="#000000">
                <v:path arrowok="t"/>
              </v:shape>
            </v:group>
            <v:group style="position:absolute;left:4789;top:14;width:2;height:402" coordorigin="4789,14" coordsize="2,402">
              <v:shape style="position:absolute;left:4789;top:14;width:2;height:402" coordorigin="4789,14" coordsize="0,402" path="m4789,14l4789,416e" filled="false" stroked="true" strokeweight=".48001pt" strokecolor="#000000">
                <v:path arrowok="t"/>
              </v:shape>
            </v:group>
            <v:group style="position:absolute;left:4794;top:412;width:4779;height:2" coordorigin="4794,412" coordsize="4779,2">
              <v:shape style="position:absolute;left:4794;top:412;width:4779;height:2" coordorigin="4794,412" coordsize="4779,0" path="m4794,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3;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5,066,047.95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85,554,598.06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85,948,155.77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4,672,490.24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102,862.90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4,740,350.47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4,843,213.37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5,168,910.85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90,294,948.53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90,791,369.14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4,672,490.24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1,068,841.50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79,981,305.80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76,377,657.06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4,672,490.24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68,568.60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68,568.60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1,842,387.79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1,842,387.79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1,461,508.38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1,461,508.38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140,836.49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140,836.49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240,042.92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240,042.92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综合保险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1,625,028.05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1,714,756.05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3,907,478.45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41,273.62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3,948,752.07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、因解除劳动关系给予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的补偿</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1,996,034.20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1,996,034.20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5,066,047.95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85,554,598.06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85,948,155.77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4,672,490.24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102,862.90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4,299,736.33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4,402,599.23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440,614.14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440,614.14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102,862.90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4,740,350.47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4,843,213.37</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2,032,990.42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2,622,551.78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309,225.30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224,429.84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2,199,062.23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1,190,197.56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266,209.19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316,039.47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318,041.16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321,444.44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140,695.99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140,695.99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295,346.63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295,346.63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223,726.45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147,312.42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河道费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82,917.12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102,122.74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5,868,214.49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5,360,176.52</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25,666.67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166,997.89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360,364.31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166,997.89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386,030.98</w:t>
            </w:r>
          </w:p>
        </w:tc>
      </w:tr>
    </w:tbl>
    <w:p>
      <w:pPr>
        <w:pStyle w:val="BodyText"/>
        <w:spacing w:line="240" w:lineRule="auto" w:before="51"/>
        <w:ind w:right="0"/>
        <w:jc w:val="left"/>
      </w:pPr>
      <w:r>
        <w:rPr/>
        <w:t>重要的已逾期未支付的利息情况：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587,799.88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587,799.88</w:t>
            </w:r>
          </w:p>
        </w:tc>
      </w:tr>
    </w:tbl>
    <w:p>
      <w:pPr>
        <w:pStyle w:val="BodyText"/>
        <w:spacing w:line="240" w:lineRule="auto" w:before="51"/>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20,079,611.63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133,931,952.75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290,935.64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1,363,822.00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74,461.56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460,474.14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20,313,073.19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136,047,184.53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湖南凯联投资管理有限公司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2,526,428.39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业务往来款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深圳市爱派环保物联科技有限公司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2,685,428.39</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3"/>
        <w:rPr>
          <w:rFonts w:ascii="宋体" w:hAnsi="宋体" w:cs="宋体" w:eastAsia="宋体" w:hint="default"/>
          <w:sz w:val="12"/>
          <w:szCs w:val="12"/>
        </w:rPr>
      </w:pPr>
    </w:p>
    <w:p>
      <w:pPr>
        <w:pStyle w:val="Heading4"/>
        <w:spacing w:line="240" w:lineRule="auto"/>
        <w:ind w:left="574" w:right="0"/>
        <w:jc w:val="left"/>
      </w:pPr>
      <w:r>
        <w:rPr/>
        <w:t>本期末应付持有本公司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）以上表决权股份股东单位的款项情况。</w:t>
      </w:r>
    </w:p>
    <w:p>
      <w:pPr>
        <w:spacing w:line="240" w:lineRule="auto" w:before="12"/>
        <w:rPr>
          <w:rFonts w:ascii="宋体" w:hAnsi="宋体" w:cs="宋体" w:eastAsia="宋体" w:hint="default"/>
          <w:sz w:val="11"/>
          <w:szCs w:val="11"/>
        </w:rPr>
      </w:pPr>
    </w:p>
    <w:tbl>
      <w:tblPr>
        <w:tblW w:w="0" w:type="auto"/>
        <w:jc w:val="left"/>
        <w:tblInd w:w="536" w:type="dxa"/>
        <w:tblLayout w:type="fixed"/>
        <w:tblCellMar>
          <w:top w:w="0" w:type="dxa"/>
          <w:left w:w="0" w:type="dxa"/>
          <w:bottom w:w="0" w:type="dxa"/>
          <w:right w:w="0" w:type="dxa"/>
        </w:tblCellMar>
        <w:tblLook w:val="01E0"/>
      </w:tblPr>
      <w:tblGrid>
        <w:gridCol w:w="3827"/>
        <w:gridCol w:w="2588"/>
        <w:gridCol w:w="2443"/>
      </w:tblGrid>
      <w:tr>
        <w:trPr>
          <w:trHeight w:val="347" w:hRule="exact"/>
        </w:trPr>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债权人名称</w:t>
            </w:r>
            <w:r>
              <w:rPr>
                <w:rFonts w:ascii="宋体" w:hAnsi="宋体" w:cs="宋体" w:eastAsia="宋体" w:hint="default"/>
                <w:sz w:val="18"/>
                <w:szCs w:val="18"/>
              </w:rPr>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r>
      <w:tr>
        <w:trPr>
          <w:trHeight w:val="347" w:hRule="exact"/>
        </w:trPr>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河南正弘置业有限公司</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7,771,805.26</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暂借款</w:t>
            </w:r>
          </w:p>
        </w:tc>
      </w:tr>
      <w:tr>
        <w:trPr>
          <w:trHeight w:val="348" w:hRule="exact"/>
        </w:trPr>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68"/>
              <w:jc w:val="right"/>
              <w:rPr>
                <w:rFonts w:ascii="Times New Roman" w:hAnsi="Times New Roman" w:cs="Times New Roman" w:eastAsia="Times New Roman" w:hint="default"/>
                <w:sz w:val="18"/>
                <w:szCs w:val="18"/>
              </w:rPr>
            </w:pPr>
            <w:r>
              <w:rPr>
                <w:rFonts w:ascii="Times New Roman"/>
                <w:b/>
                <w:spacing w:val="-1"/>
                <w:sz w:val="18"/>
              </w:rPr>
              <w:t>7,771,805.26</w:t>
            </w:r>
            <w:r>
              <w:rPr>
                <w:rFonts w:ascii="Times New Roman"/>
                <w:spacing w:val="-1"/>
                <w:sz w:val="18"/>
              </w:rPr>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419,771.89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419,771.89</w:t>
            </w:r>
          </w:p>
        </w:tc>
      </w:tr>
    </w:tbl>
    <w:p>
      <w:pPr>
        <w:pStyle w:val="BodyText"/>
        <w:spacing w:line="240" w:lineRule="auto" w:before="51"/>
        <w:ind w:right="0"/>
        <w:jc w:val="left"/>
      </w:pPr>
      <w:r>
        <w:rPr/>
        <w:t>短期应付债券的增减变动：</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3" w:right="32"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7"/>
        <w:gridCol w:w="3193"/>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1,090,910.00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1,090,910.00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1,090,910.00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15,090,910.00</w:t>
            </w:r>
          </w:p>
        </w:tc>
      </w:tr>
    </w:tbl>
    <w:p>
      <w:pPr>
        <w:pStyle w:val="BodyText"/>
        <w:spacing w:line="240" w:lineRule="auto" w:before="51"/>
        <w:ind w:left="135" w:right="7969"/>
        <w:jc w:val="center"/>
      </w:pPr>
      <w:r>
        <w:rPr/>
        <w:t>长期借款分类的说明：</w:t>
      </w:r>
    </w:p>
    <w:p>
      <w:pPr>
        <w:pStyle w:val="Heading4"/>
        <w:spacing w:line="240" w:lineRule="auto" w:before="90"/>
        <w:ind w:left="15" w:right="7969"/>
        <w:jc w:val="center"/>
      </w:pPr>
      <w:r>
        <w:rPr/>
        <w:t>信用借款</w:t>
      </w:r>
    </w:p>
    <w:p>
      <w:pPr>
        <w:spacing w:line="240" w:lineRule="auto" w:before="12"/>
        <w:rPr>
          <w:rFonts w:ascii="宋体" w:hAnsi="宋体" w:cs="宋体" w:eastAsia="宋体" w:hint="default"/>
          <w:sz w:val="15"/>
          <w:szCs w:val="15"/>
        </w:rPr>
      </w:pPr>
    </w:p>
    <w:tbl>
      <w:tblPr>
        <w:tblW w:w="0" w:type="auto"/>
        <w:jc w:val="left"/>
        <w:tblInd w:w="782" w:type="dxa"/>
        <w:tblLayout w:type="fixed"/>
        <w:tblCellMar>
          <w:top w:w="0" w:type="dxa"/>
          <w:left w:w="0" w:type="dxa"/>
          <w:bottom w:w="0" w:type="dxa"/>
          <w:right w:w="0" w:type="dxa"/>
        </w:tblCellMar>
        <w:tblLook w:val="01E0"/>
      </w:tblPr>
      <w:tblGrid>
        <w:gridCol w:w="4140"/>
        <w:gridCol w:w="2636"/>
        <w:gridCol w:w="1590"/>
      </w:tblGrid>
      <w:tr>
        <w:trPr>
          <w:trHeight w:val="446"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借款余额</w:t>
            </w:r>
            <w:r>
              <w:rPr>
                <w:rFonts w:ascii="宋体" w:hAnsi="宋体" w:cs="宋体" w:eastAsia="宋体" w:hint="default"/>
                <w:sz w:val="18"/>
                <w:szCs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担保人</w:t>
            </w:r>
            <w:r>
              <w:rPr>
                <w:rFonts w:ascii="宋体" w:hAnsi="宋体" w:cs="宋体" w:eastAsia="宋体" w:hint="default"/>
                <w:sz w:val="18"/>
                <w:szCs w:val="18"/>
              </w:rPr>
            </w:r>
          </w:p>
        </w:tc>
      </w:tr>
      <w:tr>
        <w:trPr>
          <w:trHeight w:val="448"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年国债专项转贷资金</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8"/>
              <w:jc w:val="right"/>
              <w:rPr>
                <w:rFonts w:ascii="Times New Roman" w:hAnsi="Times New Roman" w:cs="Times New Roman" w:eastAsia="Times New Roman" w:hint="default"/>
                <w:sz w:val="18"/>
                <w:szCs w:val="18"/>
              </w:rPr>
            </w:pPr>
            <w:r>
              <w:rPr>
                <w:rFonts w:ascii="Times New Roman"/>
                <w:spacing w:val="-1"/>
                <w:sz w:val="18"/>
              </w:rPr>
              <w:t>1,090,910.00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w:t>
            </w:r>
          </w:p>
        </w:tc>
      </w:tr>
      <w:tr>
        <w:trPr>
          <w:trHeight w:val="448"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88"/>
              <w:jc w:val="right"/>
              <w:rPr>
                <w:rFonts w:ascii="Times New Roman" w:hAnsi="Times New Roman" w:cs="Times New Roman" w:eastAsia="Times New Roman" w:hint="default"/>
                <w:sz w:val="18"/>
                <w:szCs w:val="18"/>
              </w:rPr>
            </w:pPr>
            <w:r>
              <w:rPr>
                <w:rFonts w:ascii="Times New Roman"/>
                <w:b/>
                <w:spacing w:val="-1"/>
                <w:sz w:val="18"/>
              </w:rPr>
              <w:t>1,090,910.00</w:t>
            </w:r>
            <w:r>
              <w:rPr>
                <w:rFonts w:ascii="Times New Roman"/>
                <w:spacing w:val="-1"/>
                <w:sz w:val="18"/>
              </w:rPr>
            </w:r>
          </w:p>
        </w:tc>
        <w:tc>
          <w:tcPr>
            <w:tcW w:w="159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4"/>
          <w:szCs w:val="24"/>
        </w:rPr>
      </w:pPr>
    </w:p>
    <w:p>
      <w:pPr>
        <w:pStyle w:val="BodyText"/>
        <w:spacing w:line="439" w:lineRule="auto" w:before="44"/>
        <w:ind w:left="573" w:right="4671" w:hanging="420"/>
        <w:jc w:val="left"/>
      </w:pPr>
      <w:r>
        <w:rPr/>
        <w:t>其他说明，包括利率区间： 截止2015年12月31日，公司无已到期尚未归还的长期借款。</w:t>
      </w:r>
    </w:p>
    <w:p>
      <w:pPr>
        <w:spacing w:after="0" w:line="439"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BodyText"/>
        <w:spacing w:line="357" w:lineRule="auto" w:before="44"/>
        <w:ind w:left="153"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655" w:space="417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3" w:right="6531"/>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设定受益计划义务现值：</w:t>
      </w:r>
    </w:p>
    <w:p>
      <w:pPr>
        <w:pStyle w:val="BodyText"/>
        <w:spacing w:line="240" w:lineRule="auto" w:before="116"/>
        <w:ind w:left="0" w:right="151"/>
        <w:jc w:val="right"/>
      </w:pPr>
      <w:r>
        <w:rPr/>
        <w:t>单位： 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计划资产：</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设定受益计划净负债（净资产）</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left="153" w:right="2571"/>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left="15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12,060,000.00</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7"/>
              <w:jc w:val="left"/>
              <w:rPr>
                <w:rFonts w:ascii="宋体" w:hAnsi="宋体" w:cs="宋体" w:eastAsia="宋体" w:hint="default"/>
                <w:sz w:val="18"/>
                <w:szCs w:val="18"/>
              </w:rPr>
            </w:pPr>
            <w:r>
              <w:rPr>
                <w:rFonts w:ascii="Times New Roman" w:hAnsi="Times New Roman" w:cs="Times New Roman" w:eastAsia="Times New Roman" w:hint="default"/>
                <w:sz w:val="18"/>
                <w:szCs w:val="18"/>
              </w:rPr>
              <w:t>CT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式行李安全 检查设备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大中型系列安检 装备技术改造项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9"/>
              <w:jc w:val="center"/>
              <w:rPr>
                <w:rFonts w:ascii="宋体" w:hAnsi="宋体" w:cs="宋体" w:eastAsia="宋体" w:hint="default"/>
                <w:sz w:val="18"/>
                <w:szCs w:val="18"/>
              </w:rPr>
            </w:pPr>
            <w:r>
              <w:rPr>
                <w:rFonts w:ascii="宋体" w:hAnsi="宋体" w:cs="宋体" w:eastAsia="宋体" w:hint="default"/>
                <w:sz w:val="18"/>
                <w:szCs w:val="18"/>
              </w:rPr>
              <w:t>国家中小企业发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展专项资金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大中型系列安检 设备技术改造尾 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安全检查设备背 散射技术创新与 示范运用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深圳市战略性新 兴产业发展专项 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深圳新能源及节 能技术项目专项 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节能环保项目拨 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深圳财政委付智 能化用电信息采 集系统产业化资 助款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12,060,000.00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314,586,699.00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314,586,699.00</w:t>
            </w:r>
          </w:p>
        </w:tc>
      </w:tr>
    </w:tbl>
    <w:p>
      <w:pPr>
        <w:pStyle w:val="BodyText"/>
        <w:spacing w:line="240" w:lineRule="auto" w:before="51"/>
        <w:ind w:right="0"/>
        <w:jc w:val="left"/>
      </w:pPr>
      <w:r>
        <w:rPr/>
        <w:t>其他说明：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3" w:right="3651"/>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13,660,886.71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13,660,886.71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53,247,434.89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871,176.07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52,376,258.82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66,908,321.60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871,176.07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66,037,145.53</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1"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31,771,673.94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31,771,673.94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31,771,673.94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31,771,673.94</w:t>
            </w:r>
          </w:p>
        </w:tc>
      </w:tr>
    </w:tbl>
    <w:p>
      <w:pPr>
        <w:pStyle w:val="BodyText"/>
        <w:spacing w:line="240" w:lineRule="auto" w:before="51"/>
        <w:ind w:right="0"/>
        <w:jc w:val="left"/>
      </w:pPr>
      <w:r>
        <w:rPr/>
        <w:t>盈余公积说明，包括本期增减变动情况、变动原因说明：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-271,285,585.89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-202,695,787.60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-271,285,585.89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-202,695,787.60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3,503,549.39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-68,589,798.29</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-267,782,036.50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-271,285,585.89</w:t>
            </w:r>
          </w:p>
        </w:tc>
      </w:tr>
    </w:tbl>
    <w:p>
      <w:pPr>
        <w:pStyle w:val="BodyText"/>
        <w:spacing w:line="240" w:lineRule="auto" w:before="51"/>
        <w:ind w:right="0"/>
        <w:jc w:val="left"/>
      </w:pPr>
      <w:r>
        <w:rPr/>
        <w:t>调整期初未分配利润明细：</w:t>
      </w:r>
    </w:p>
    <w:p>
      <w:pPr>
        <w:pStyle w:val="BodyText"/>
        <w:spacing w:line="240" w:lineRule="auto" w:before="116"/>
        <w:ind w:left="153"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left="153"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left="153"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53"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left="153"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306,865,553.69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198,187,109.27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362,492,023.12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240,083,754.24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10,717,633.04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9,667,900.14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10,583,611.89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7,934,030.89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317,583,186.73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207,855,009.41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373,075,635.01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248,017,785.13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557,454.26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1,172,018.91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1,982,700.70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2,113,433.49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857,189.67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991,184.49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571,459.78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660,789.66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5,885.94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33,221.26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3,974,690.35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4,970,647.81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12,746,128.97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10,914,707.49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1,889,063.30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1,826,597.29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1,480,711.09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2,537,563.45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报关商检费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2,110,030.26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2,237,264.14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788,413.01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792,565.37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6,868,591.19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5,677,907.56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2,183,475.78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1,964,037.67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978,352.23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1,062,967.43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192,994.34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332,143.47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3,929,849.29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2,852,609.10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718,133.89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1,042,688.12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15,921,122.63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22,584,279.74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4,195,804.92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9,073,205.15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54,002,670.90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62,898,535.98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28,498,645.37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31,619,140.75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工资、福利费等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17,313,015.93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14,307,347.50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工会经费、职工教育经费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87,342.10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208,865.97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2,282,120.39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2,799,325.71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4,809,521.95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5,205,046.93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791,731.24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2,571,698.55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674,371.63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822,772.12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126,733.62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54,122.82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2,027,305.33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3,036,953.02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1,035,615.57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676,612.63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1,655,366.50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1,796,032.94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95,202.47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39,754.86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14,564,540.86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9,051,713.25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986,522.31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1,157,128.96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1,693,081.12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1,746,264.01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1,407,804.30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1,522,657.31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367,847.34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428,812.52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离职补偿金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5,663,689.56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350,961.16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综合楼维修费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802,547.80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519,560.42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134,992.70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906,946.81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2,031,296.96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5,208,666.55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87,049,295.05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84,030,384.79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11,664,568.76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21,381,009.88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1,123,902.62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1,559,467.74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-4,338,606.01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-1,080,953.30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555,794.89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1,342,583.86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6,757,855.02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20,083,172.70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405,162.12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21,436,097.83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5,150,925.27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14,687,732.46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364,386.60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5,556,087.39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36,488,216.89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33,117,211.59</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82,444.98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227,452.72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33,199,656.57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227,452.72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2"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13,528,075.21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76,872.96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13,528,075.21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13,528,075.21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76,872.96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13,528,075.21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4,121,938.32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7,803,066.88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4,121,938.32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11,389.00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341,615.30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171,213.47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341,615.30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18,003,017.83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8,052,153.31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18,003,017.83</w:t>
            </w:r>
          </w:p>
        </w:tc>
      </w:tr>
    </w:tbl>
    <w:p>
      <w:pPr>
        <w:pStyle w:val="BodyText"/>
        <w:spacing w:line="240" w:lineRule="auto" w:before="51"/>
        <w:ind w:right="0"/>
        <w:jc w:val="left"/>
      </w:pPr>
      <w:r>
        <w:rPr/>
        <w:t>计入当期损益的政府补助：</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02" w:lineRule="auto" w:before="146"/>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CT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式行李安 全检查设备</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319" w:lineRule="auto" w:before="146"/>
              <w:ind w:left="22" w:right="127"/>
              <w:jc w:val="left"/>
              <w:rPr>
                <w:rFonts w:ascii="宋体" w:hAnsi="宋体" w:cs="宋体" w:eastAsia="宋体" w:hint="default"/>
                <w:sz w:val="18"/>
                <w:szCs w:val="18"/>
              </w:rPr>
            </w:pPr>
            <w:r>
              <w:rPr>
                <w:rFonts w:ascii="宋体" w:hAnsi="宋体" w:cs="宋体" w:eastAsia="宋体" w:hint="default"/>
                <w:sz w:val="18"/>
                <w:szCs w:val="18"/>
              </w:rPr>
              <w:t>上海市科学 技术委员会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540,000.00</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540,000.00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pacing w:val="-74"/>
                <w:sz w:val="18"/>
                <w:szCs w:val="18"/>
              </w:rPr>
              <w:t>助</w:t>
            </w:r>
            <w:r>
              <w:rPr>
                <w:rFonts w:ascii="宋体" w:hAnsi="宋体" w:cs="宋体" w:eastAsia="宋体" w:hint="default"/>
                <w:sz w:val="18"/>
                <w:szCs w:val="18"/>
              </w:rPr>
              <w:t>（按国家</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31"/>
              <w:jc w:val="both"/>
              <w:rPr>
                <w:rFonts w:ascii="宋体" w:hAnsi="宋体" w:cs="宋体" w:eastAsia="宋体" w:hint="default"/>
                <w:sz w:val="18"/>
                <w:szCs w:val="18"/>
              </w:rPr>
            </w:pPr>
            <w:r>
              <w:rPr>
                <w:rFonts w:ascii="宋体" w:hAnsi="宋体" w:cs="宋体" w:eastAsia="宋体" w:hint="default"/>
                <w:sz w:val="18"/>
                <w:szCs w:val="18"/>
              </w:rPr>
              <w:t>中小企业国 际市场开拓 资金</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上海市商务 委员会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32,800.00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07"/>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上海市国库</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特定行业</w:t>
            </w:r>
            <w:r>
              <w:rPr>
                <w:rFonts w:ascii="宋体" w:hAnsi="宋体" w:cs="宋体" w:eastAsia="宋体" w:hint="default"/>
                <w:spacing w:val="-74"/>
                <w:sz w:val="18"/>
                <w:szCs w:val="18"/>
              </w:rPr>
              <w:t>、</w:t>
            </w:r>
            <w:r>
              <w:rPr>
                <w:rFonts w:ascii="宋体" w:hAnsi="宋体" w:cs="宋体" w:eastAsia="宋体" w:hint="default"/>
                <w:sz w:val="18"/>
                <w:szCs w:val="18"/>
              </w:rPr>
              <w:t>产</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收付中心零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业而获得的</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8,949.00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余额专户</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pacing w:val="-74"/>
                <w:sz w:val="18"/>
                <w:szCs w:val="18"/>
              </w:rPr>
              <w:t>助</w:t>
            </w:r>
            <w:r>
              <w:rPr>
                <w:rFonts w:ascii="宋体" w:hAnsi="宋体" w:cs="宋体" w:eastAsia="宋体" w:hint="default"/>
                <w:sz w:val="18"/>
                <w:szCs w:val="18"/>
              </w:rPr>
              <w:t>（按国家</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07"/>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浦东新区职</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上海市浦东</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特定行业</w:t>
            </w:r>
            <w:r>
              <w:rPr>
                <w:rFonts w:ascii="宋体" w:hAnsi="宋体" w:cs="宋体" w:eastAsia="宋体" w:hint="default"/>
                <w:spacing w:val="-74"/>
                <w:sz w:val="18"/>
                <w:szCs w:val="18"/>
              </w:rPr>
              <w:t>、</w:t>
            </w:r>
            <w:r>
              <w:rPr>
                <w:rFonts w:ascii="宋体" w:hAnsi="宋体" w:cs="宋体" w:eastAsia="宋体" w:hint="default"/>
                <w:sz w:val="18"/>
                <w:szCs w:val="18"/>
              </w:rPr>
              <w:t>产</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业职工培训</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新区国库收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业而获得的</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19,520.00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付中心</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pacing w:val="-74"/>
                <w:sz w:val="18"/>
                <w:szCs w:val="18"/>
              </w:rPr>
              <w:t>助</w:t>
            </w:r>
            <w:r>
              <w:rPr>
                <w:rFonts w:ascii="宋体" w:hAnsi="宋体" w:cs="宋体" w:eastAsia="宋体" w:hint="default"/>
                <w:sz w:val="18"/>
                <w:szCs w:val="18"/>
              </w:rPr>
              <w:t>（按国家</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07"/>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国家中小企</w:t>
            </w: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特定行业</w:t>
            </w:r>
            <w:r>
              <w:rPr>
                <w:rFonts w:ascii="宋体" w:hAnsi="宋体" w:cs="宋体" w:eastAsia="宋体" w:hint="default"/>
                <w:spacing w:val="-74"/>
                <w:sz w:val="18"/>
                <w:szCs w:val="18"/>
              </w:rPr>
              <w:t>、</w:t>
            </w:r>
            <w:r>
              <w:rPr>
                <w:rFonts w:ascii="宋体" w:hAnsi="宋体" w:cs="宋体" w:eastAsia="宋体" w:hint="default"/>
                <w:sz w:val="18"/>
                <w:szCs w:val="18"/>
              </w:rPr>
              <w:t>产</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业发展专项</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上海经信委</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业而获得的</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8"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pacing w:val="-74"/>
                <w:sz w:val="18"/>
                <w:szCs w:val="18"/>
              </w:rPr>
              <w:t>助</w:t>
            </w:r>
            <w:r>
              <w:rPr>
                <w:rFonts w:ascii="宋体" w:hAnsi="宋体" w:cs="宋体" w:eastAsia="宋体" w:hint="default"/>
                <w:sz w:val="18"/>
                <w:szCs w:val="18"/>
              </w:rPr>
              <w:t>（按国家</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07"/>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高新技术转 化财政扶持</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上海市财政 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33,000.00</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57,000.00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07"/>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61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31"/>
              <w:jc w:val="both"/>
              <w:rPr>
                <w:rFonts w:ascii="宋体" w:hAnsi="宋体" w:cs="宋体" w:eastAsia="宋体" w:hint="default"/>
                <w:sz w:val="18"/>
                <w:szCs w:val="18"/>
              </w:rPr>
            </w:pPr>
            <w:r>
              <w:rPr>
                <w:rFonts w:ascii="宋体" w:hAnsi="宋体" w:cs="宋体" w:eastAsia="宋体" w:hint="default"/>
                <w:sz w:val="18"/>
                <w:szCs w:val="18"/>
              </w:rPr>
              <w:t>大中型系列 安检装备技 术改造项目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上海市浦东 新区经济和 信息化委员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上海市国库 收付中心零 余额专户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490.82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高新区管委 会财政局河 南省著名企 业奖励资金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河南高薪管 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批外经贸区 域协调发展 促进资金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深圳市战略 性新兴产业 发展专项资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深圳市发展 和改革委员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中小企业发 展专项资金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新型智能电 能表产业化 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借款贴息</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深圳市龙岗 区经济促进</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因符合地方 政府招商引</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8"/>
              <w:jc w:val="both"/>
              <w:rPr>
                <w:rFonts w:ascii="宋体" w:hAnsi="宋体" w:cs="宋体" w:eastAsia="宋体" w:hint="default"/>
                <w:sz w:val="18"/>
                <w:szCs w:val="18"/>
              </w:rPr>
            </w:pPr>
            <w:r>
              <w:rPr>
                <w:rFonts w:ascii="宋体" w:hAnsi="宋体" w:cs="宋体" w:eastAsia="宋体" w:hint="default"/>
                <w:sz w:val="18"/>
                <w:szCs w:val="18"/>
              </w:rPr>
              <w:t>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自主创新培 育资助项目</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07"/>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知识产权创 造扶持</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27"/>
              <w:jc w:val="both"/>
              <w:rPr>
                <w:rFonts w:ascii="宋体" w:hAnsi="宋体" w:cs="宋体" w:eastAsia="宋体" w:hint="default"/>
                <w:sz w:val="18"/>
                <w:szCs w:val="18"/>
              </w:rPr>
            </w:pPr>
            <w:r>
              <w:rPr>
                <w:rFonts w:ascii="宋体" w:hAnsi="宋体" w:cs="宋体" w:eastAsia="宋体" w:hint="default"/>
                <w:sz w:val="18"/>
                <w:szCs w:val="18"/>
              </w:rPr>
              <w:t>深圳市龙岗 区科技创新 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8"/>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38,000.00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社保局工伤 险奖金</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27"/>
              <w:jc w:val="both"/>
              <w:rPr>
                <w:rFonts w:ascii="宋体" w:hAnsi="宋体" w:cs="宋体" w:eastAsia="宋体" w:hint="default"/>
                <w:sz w:val="18"/>
                <w:szCs w:val="18"/>
              </w:rPr>
            </w:pPr>
            <w:r>
              <w:rPr>
                <w:rFonts w:ascii="宋体" w:hAnsi="宋体" w:cs="宋体" w:eastAsia="宋体" w:hint="default"/>
                <w:sz w:val="18"/>
                <w:szCs w:val="18"/>
              </w:rPr>
              <w:t>深圳市劳动 和社会保障 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8"/>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深圳市场监 督管理局专 利申请资助 经费</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07"/>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深圳市科技</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深圳市龙岗</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政府招商引</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创新扶持资</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区科技创新</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资等地方性</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245,000.00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9"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助资金</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局</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7"/>
              <w:jc w:val="center"/>
              <w:rPr>
                <w:rFonts w:ascii="宋体" w:hAnsi="宋体" w:cs="宋体" w:eastAsia="宋体" w:hint="default"/>
                <w:sz w:val="18"/>
                <w:szCs w:val="18"/>
              </w:rPr>
            </w:pPr>
            <w:r>
              <w:rPr>
                <w:rFonts w:ascii="宋体" w:hAnsi="宋体" w:cs="宋体" w:eastAsia="宋体" w:hint="default"/>
                <w:sz w:val="18"/>
                <w:szCs w:val="18"/>
              </w:rPr>
              <w:t>扶持政策而</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美国</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深圳市经济</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政府招商引</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ACE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国际展</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贸易和信息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7"/>
              <w:jc w:val="center"/>
              <w:rPr>
                <w:rFonts w:ascii="宋体" w:hAnsi="宋体" w:cs="宋体" w:eastAsia="宋体" w:hint="default"/>
                <w:sz w:val="18"/>
                <w:szCs w:val="18"/>
              </w:rPr>
            </w:pPr>
            <w:r>
              <w:rPr>
                <w:rFonts w:ascii="宋体" w:hAnsi="宋体" w:cs="宋体" w:eastAsia="宋体" w:hint="default"/>
                <w:sz w:val="18"/>
                <w:szCs w:val="18"/>
              </w:rPr>
              <w:t>资等地方性</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20,820.00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会政府补助</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化委员会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7"/>
              <w:jc w:val="center"/>
              <w:rPr>
                <w:rFonts w:ascii="宋体" w:hAnsi="宋体" w:cs="宋体" w:eastAsia="宋体" w:hint="default"/>
                <w:sz w:val="18"/>
                <w:szCs w:val="18"/>
              </w:rPr>
            </w:pPr>
            <w:r>
              <w:rPr>
                <w:rFonts w:ascii="宋体" w:hAnsi="宋体" w:cs="宋体" w:eastAsia="宋体" w:hint="default"/>
                <w:sz w:val="18"/>
                <w:szCs w:val="18"/>
              </w:rPr>
              <w:t>扶持政策而</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48"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45"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龙岗财政局 知识产权补 贴</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深圳市龙岗 区财政局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8"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pacing w:val="-74"/>
                <w:sz w:val="18"/>
                <w:szCs w:val="18"/>
              </w:rPr>
              <w:t>助</w:t>
            </w:r>
            <w:r>
              <w:rPr>
                <w:rFonts w:ascii="宋体" w:hAnsi="宋体" w:cs="宋体" w:eastAsia="宋体" w:hint="default"/>
                <w:sz w:val="18"/>
                <w:szCs w:val="18"/>
              </w:rPr>
              <w:t>（按国家</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r>
        <w:rPr/>
        <w:pict>
          <v:group style="position:absolute;margin-left:269.640015pt;margin-top:447.299988pt;width:52.7pt;height:66.45pt;mso-position-horizontal-relative:page;mso-position-vertical-relative:page;z-index:-836968" coordorigin="5393,8946" coordsize="1054,1329">
            <v:group style="position:absolute;left:5393;top:8946;width:1054;height:1329" coordorigin="5393,8946" coordsize="1054,1329">
              <v:shape style="position:absolute;left:5393;top:8946;width:1054;height:1329" coordorigin="5393,8946" coordsize="1054,1329" path="m5393,10274l6446,10274,6446,8946,5393,8946,5393,10274xe" filled="true" fillcolor="#ffffff" stroked="false">
                <v:path arrowok="t"/>
                <v:fill type="solid"/>
              </v:shape>
            </v:group>
            <v:group style="position:absolute;left:5416;top:9414;width:1007;height:393" coordorigin="5416,9414" coordsize="1007,393">
              <v:shape style="position:absolute;left:5416;top:9414;width:1007;height:393" coordorigin="5416,9414" coordsize="1007,393" path="m5416,9806l6422,9806,6422,9414,5416,9414,5416,9806xe" filled="true" fillcolor="#ffffff" stroked="false">
                <v:path arrowok="t"/>
                <v:fill type="solid"/>
              </v:shape>
            </v:group>
            <w10:wrap type="none"/>
          </v:group>
        </w:pict>
      </w:r>
      <w:r>
        <w:rPr/>
        <w:pict>
          <v:group style="position:absolute;margin-left:269.640015pt;margin-top:679.200012pt;width:52.7pt;height:66.45pt;mso-position-horizontal-relative:page;mso-position-vertical-relative:page;z-index:-836944" coordorigin="5393,13584" coordsize="1054,1329">
            <v:group style="position:absolute;left:5393;top:13584;width:1054;height:1329" coordorigin="5393,13584" coordsize="1054,1329">
              <v:shape style="position:absolute;left:5393;top:13584;width:1054;height:1329" coordorigin="5393,13584" coordsize="1054,1329" path="m5393,14912l6446,14912,6446,13584,5393,13584,5393,14912xe" filled="true" fillcolor="#ffffff" stroked="false">
                <v:path arrowok="t"/>
                <v:fill type="solid"/>
              </v:shape>
            </v:group>
            <v:group style="position:absolute;left:5416;top:14052;width:1007;height:393" coordorigin="5416,14052" coordsize="1007,393">
              <v:shape style="position:absolute;left:5416;top:14052;width:1007;height:393" coordorigin="5416,14052" coordsize="1007,393" path="m5416,14444l6422,14444,6422,14052,5416,14052,5416,1444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增值税即征 即退</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税务局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9" w:right="0"/>
              <w:jc w:val="left"/>
              <w:rPr>
                <w:rFonts w:ascii="Times New Roman" w:hAnsi="Times New Roman" w:cs="Times New Roman" w:eastAsia="Times New Roman" w:hint="default"/>
                <w:sz w:val="18"/>
                <w:szCs w:val="18"/>
              </w:rPr>
            </w:pPr>
            <w:r>
              <w:rPr>
                <w:rFonts w:ascii="Times New Roman"/>
                <w:sz w:val="18"/>
              </w:rPr>
              <w:t>889,217.88</w:t>
            </w:r>
          </w:p>
        </w:tc>
        <w:tc>
          <w:tcPr>
            <w:tcW w:w="1063" w:type="dxa"/>
            <w:vMerge/>
            <w:tcBorders>
              <w:left w:val="single" w:sz="4" w:space="0" w:color="000000"/>
              <w:right w:val="single" w:sz="4" w:space="0" w:color="000000"/>
            </w:tcBorders>
          </w:tcPr>
          <w:p>
            <w:pP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零余额专户 专利资助费</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652.50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新能源及节 能技术项目</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深圳市科技 创新委员会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170,000.00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新型智能表 产业化技术 改造项目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深圳市龙岗 区科技创新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185,000.00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知识产权创</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深圳市龙岗</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政府招商引</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造扶持金项</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区科技创新</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资等地方性</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24,000.00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9"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局</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扶持政策而</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提升国</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深圳市经济</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政府招商引</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际化经营能</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贸易和信息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资等地方性</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11,666.00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9"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力资金</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化委员会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扶持政策而</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STAR-NET</w:t>
            </w:r>
          </w:p>
          <w:p>
            <w:pPr>
              <w:pStyle w:val="TableParagraph"/>
              <w:spacing w:line="319" w:lineRule="auto" w:before="64"/>
              <w:ind w:left="22" w:right="131"/>
              <w:jc w:val="left"/>
              <w:rPr>
                <w:rFonts w:ascii="宋体" w:hAnsi="宋体" w:cs="宋体" w:eastAsia="宋体" w:hint="default"/>
                <w:sz w:val="18"/>
                <w:szCs w:val="18"/>
              </w:rPr>
            </w:pPr>
            <w:r>
              <w:rPr>
                <w:rFonts w:ascii="宋体" w:hAnsi="宋体" w:cs="宋体" w:eastAsia="宋体" w:hint="default"/>
                <w:sz w:val="18"/>
                <w:szCs w:val="18"/>
              </w:rPr>
              <w:t>微功率无限 自组网项目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深圳市龙岗 区科技创新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深圳市中小</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深圳市中小</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318"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企业服务署</w:t>
            </w:r>
          </w:p>
        </w:tc>
        <w:tc>
          <w:tcPr>
            <w:tcW w:w="10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企业服务署</w:t>
            </w: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政府招商引</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转信息化建</w:t>
            </w:r>
          </w:p>
        </w:tc>
        <w:tc>
          <w:tcPr>
            <w:tcW w:w="1062"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资等地方性</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1062"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扶持政策而</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71"/>
              <w:jc w:val="both"/>
              <w:rPr>
                <w:rFonts w:ascii="Times New Roman" w:hAnsi="Times New Roman" w:cs="Times New Roman" w:eastAsia="Times New Roman" w:hint="default"/>
                <w:sz w:val="18"/>
                <w:szCs w:val="18"/>
              </w:rPr>
            </w:pPr>
            <w:r>
              <w:rPr>
                <w:rFonts w:ascii="宋体" w:hAnsi="宋体" w:cs="宋体" w:eastAsia="宋体" w:hint="default"/>
                <w:sz w:val="18"/>
                <w:szCs w:val="18"/>
              </w:rPr>
              <w:t>自主创新型 企业培育扶 持资金</w:t>
            </w:r>
            <w:r>
              <w:rPr>
                <w:rFonts w:ascii="Times New Roman" w:hAnsi="Times New Roman" w:cs="Times New Roman" w:eastAsia="Times New Roman" w:hint="default"/>
                <w:sz w:val="18"/>
                <w:szCs w:val="18"/>
              </w:rPr>
              <w:t>(</w:t>
            </w:r>
            <w:r>
              <w:rPr>
                <w:rFonts w:ascii="宋体" w:hAnsi="宋体" w:cs="宋体" w:eastAsia="宋体" w:hint="default"/>
                <w:sz w:val="18"/>
                <w:szCs w:val="18"/>
              </w:rPr>
              <w:t>龙岗 财政局</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深圳市龙岗 区科技创新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年提升</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深圳市经济</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政府招商引</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国际化经营</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贸易和信息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7"/>
              <w:jc w:val="center"/>
              <w:rPr>
                <w:rFonts w:ascii="宋体" w:hAnsi="宋体" w:cs="宋体" w:eastAsia="宋体" w:hint="default"/>
                <w:sz w:val="18"/>
                <w:szCs w:val="18"/>
              </w:rPr>
            </w:pPr>
            <w:r>
              <w:rPr>
                <w:rFonts w:ascii="宋体" w:hAnsi="宋体" w:cs="宋体" w:eastAsia="宋体" w:hint="default"/>
                <w:sz w:val="18"/>
                <w:szCs w:val="18"/>
              </w:rPr>
              <w:t>资等地方性</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95,044.00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9"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能力资金</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化委员会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7"/>
              <w:jc w:val="center"/>
              <w:rPr>
                <w:rFonts w:ascii="宋体" w:hAnsi="宋体" w:cs="宋体" w:eastAsia="宋体" w:hint="default"/>
                <w:sz w:val="18"/>
                <w:szCs w:val="18"/>
              </w:rPr>
            </w:pPr>
            <w:r>
              <w:rPr>
                <w:rFonts w:ascii="宋体" w:hAnsi="宋体" w:cs="宋体" w:eastAsia="宋体" w:hint="default"/>
                <w:sz w:val="18"/>
                <w:szCs w:val="18"/>
              </w:rPr>
              <w:t>扶持政策而</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深圳经贸信 息委第六批 境外展览资 助金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23,485.00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深圳市市场</w:t>
            </w: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质量监督管</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深圳市市场</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政府招商引</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理委员会专</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质量监督管</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资等地方性</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10,000.00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9"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利申请资助</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理委员会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7"/>
              <w:jc w:val="center"/>
              <w:rPr>
                <w:rFonts w:ascii="宋体" w:hAnsi="宋体" w:cs="宋体" w:eastAsia="宋体" w:hint="default"/>
                <w:sz w:val="18"/>
                <w:szCs w:val="18"/>
              </w:rPr>
            </w:pPr>
            <w:r>
              <w:rPr>
                <w:rFonts w:ascii="宋体" w:hAnsi="宋体" w:cs="宋体" w:eastAsia="宋体" w:hint="default"/>
                <w:sz w:val="18"/>
                <w:szCs w:val="18"/>
              </w:rPr>
              <w:t>扶持政策而</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年俄罗</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深圳市经济</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政府招商引</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斯国外展会</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贸易和信息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7"/>
              <w:jc w:val="center"/>
              <w:rPr>
                <w:rFonts w:ascii="宋体" w:hAnsi="宋体" w:cs="宋体" w:eastAsia="宋体" w:hint="default"/>
                <w:sz w:val="18"/>
                <w:szCs w:val="18"/>
              </w:rPr>
            </w:pPr>
            <w:r>
              <w:rPr>
                <w:rFonts w:ascii="宋体" w:hAnsi="宋体" w:cs="宋体" w:eastAsia="宋体" w:hint="default"/>
                <w:sz w:val="18"/>
                <w:szCs w:val="18"/>
              </w:rPr>
              <w:t>资等地方性</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8,600.00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9"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化委员会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7"/>
              <w:jc w:val="center"/>
              <w:rPr>
                <w:rFonts w:ascii="宋体" w:hAnsi="宋体" w:cs="宋体" w:eastAsia="宋体" w:hint="default"/>
                <w:sz w:val="18"/>
                <w:szCs w:val="18"/>
              </w:rPr>
            </w:pPr>
            <w:r>
              <w:rPr>
                <w:rFonts w:ascii="宋体" w:hAnsi="宋体" w:cs="宋体" w:eastAsia="宋体" w:hint="default"/>
                <w:sz w:val="18"/>
                <w:szCs w:val="18"/>
              </w:rPr>
              <w:t>扶持政策而</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经贸信伟</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深圳市经济</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政府招商引</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年展会</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贸易和信息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资等地方性</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60,000.00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补助款</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化委员会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7"/>
              <w:jc w:val="center"/>
              <w:rPr>
                <w:rFonts w:ascii="宋体" w:hAnsi="宋体" w:cs="宋体" w:eastAsia="宋体" w:hint="default"/>
                <w:sz w:val="18"/>
                <w:szCs w:val="18"/>
              </w:rPr>
            </w:pPr>
            <w:r>
              <w:rPr>
                <w:rFonts w:ascii="宋体" w:hAnsi="宋体" w:cs="宋体" w:eastAsia="宋体" w:hint="default"/>
                <w:sz w:val="18"/>
                <w:szCs w:val="18"/>
              </w:rPr>
              <w:t>扶持政策而</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4,121,938.32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7,803,066.88</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10"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83" w:type="dxa"/>
        <w:tblLayout w:type="fixed"/>
        <w:tblCellMar>
          <w:top w:w="0" w:type="dxa"/>
          <w:left w:w="0" w:type="dxa"/>
          <w:bottom w:w="0" w:type="dxa"/>
          <w:right w:w="0" w:type="dxa"/>
        </w:tblCellMar>
        <w:tblLook w:val="01E0"/>
      </w:tblPr>
      <w:tblGrid>
        <w:gridCol w:w="2389"/>
        <w:gridCol w:w="2395"/>
        <w:gridCol w:w="2392"/>
        <w:gridCol w:w="2393"/>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3,790,932.25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1,195,758.48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3,790,932.25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3,790,932.25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1,195,758.48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3,790,932.25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罚款支出及违约金支出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1,872,107.51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202,427.71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1,872,107.51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存货盘亏</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94,093.35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94,093.35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18,848.50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73,869.83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18,848.50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5,775,981.61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1,472,056.02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5,775,981.61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2,067,643.18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2,477,338.35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-32,892.34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3,076,410.05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2,034,750.84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5,553,748.40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-2,185,728.60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-546,432.15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-2,292,882.88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320,586.66</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1,150,283.11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-1,511,419.00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4,914,615.10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2,034,750.84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详见附注。</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1,123,902.62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1,538,927.53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1,481,938.32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4,924,666.88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资金往来及其他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65,481,207.02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137,094,841.23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68,087,047.96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143,558,435.64</w:t>
            </w:r>
          </w:p>
        </w:tc>
      </w:tr>
    </w:tbl>
    <w:p>
      <w:pPr>
        <w:pStyle w:val="BodyText"/>
        <w:spacing w:line="240" w:lineRule="auto" w:before="51"/>
        <w:ind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管理费用和销售费用的付现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72,582,154.39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65,595,993.28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1,865,212.28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580,157.50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资金往来及其他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61,738,392.09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30,808,970.36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136,185,758.76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96,985,121.14</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1"/>
        <w:ind w:left="153" w:right="6531"/>
        <w:jc w:val="left"/>
      </w:pPr>
      <w:r>
        <w:rPr/>
        <w:t>收到的其他与投资活动有关的现金说明：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1"/>
        <w:ind w:left="153" w:right="6531"/>
        <w:jc w:val="left"/>
      </w:pPr>
      <w:r>
        <w:rPr/>
        <w:t>支付的其他与投资活动有关的现金说明：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定期存单借款质押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1,747,853.42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银行承兑汇票保证金转回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5,834,219.76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25,295,710.06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3,948,805.00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176,038.72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39,019,063.48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34,843,563.48</w:t>
            </w:r>
          </w:p>
        </w:tc>
      </w:tr>
    </w:tbl>
    <w:p>
      <w:pPr>
        <w:pStyle w:val="BodyText"/>
        <w:spacing w:line="240" w:lineRule="auto" w:before="51"/>
        <w:ind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10,547,920.36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22,408,146.41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定期存单借款质押</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3,597,002.25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292,129.47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872,800.00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14,437,052.08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45,280,946.41</w:t>
            </w: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-4,220,479.44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-82,159,306.68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5,556,087.39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36,488,216.89</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14,834,204.91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18,420,618.44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1,469,381.70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1,699,525.52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51,207.25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27,695.76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-9,769,838.84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1,118,885.52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32,695.88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11,090,960.91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20,632,448.11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r>
        <w:rPr/>
        <w:pict>
          <v:shape style="position:absolute;margin-left:190.140594pt;margin-top:92.580002pt;width:185.55pt;height:19.650pt;mso-position-horizontal-relative:page;mso-position-vertical-relative:page;z-index:-836920" type="#_x0000_t202" filled="false" stroked="false">
            <v:textbox inset="0,0,0,0">
              <w:txbxContent>
                <w:p>
                  <w:pPr>
                    <w:pStyle w:val="BodyText"/>
                    <w:spacing w:line="240" w:lineRule="auto" w:before="51"/>
                    <w:ind w:left="0" w:right="0"/>
                    <w:jc w:val="left"/>
                  </w:pPr>
                  <w:r>
                    <w:rPr/>
                    <w:t>号填列）</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-33,199,656.57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-227,452.72</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32,892.34</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3,076,410.05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12,839,843.38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10,953,618.87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187,311,021.81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-11,488,255.41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-152,051,930.37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74,150,031.12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-2,880,000.00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31,336,390.35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69,812,435.47</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28" w:type="dxa"/>
            <w:vMerge/>
            <w:tcBorders>
              <w:left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87,834,285.46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58,974,857.47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58,974,857.47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145,375,692.68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28,859,427.99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-86,400,835.21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36,313,087.64</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上海英迈吉东影图像设备有限公司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27,280,901.17</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河南思达软件工程有限公司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9,032,186.47</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4,758,564.00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上海英迈吉东影图像设备有限公司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4,264,600.34</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河南思达软件工程有限公司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493,963.66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31,554,523.64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87,834,285.46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58,974,857.47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53,405.94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108,556.97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87,780,879.52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58,866,300.50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87,834,285.46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58,974,857.47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4" w:right="43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spacing w:val="1"/>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9,836,007.01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银行借款抵押、履约保证金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62,670,438.36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5,031,029.50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77,537,474.87</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15,378,822.60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2,345,620.66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15,231,522.32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20,741.77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147,167.01</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center"/>
              <w:rPr>
                <w:rFonts w:ascii="宋体" w:hAnsi="宋体" w:cs="宋体" w:eastAsia="宋体" w:hint="default"/>
                <w:sz w:val="18"/>
                <w:szCs w:val="18"/>
              </w:rPr>
            </w:pPr>
            <w:r>
              <w:rPr>
                <w:rFonts w:ascii="宋体" w:hAnsi="宋体" w:cs="宋体" w:eastAsia="宋体" w:hint="default"/>
                <w:sz w:val="18"/>
                <w:szCs w:val="18"/>
              </w:rPr>
              <w:t>其他币种</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118.93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29"/>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35,297,663.93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5,435,761.97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35,297,663.93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29"/>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2,508,112.39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391,653.47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2,490,338.91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17,773.48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54" w:right="7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left="15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e1ffff"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e1ffff"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799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3" w:right="5091"/>
        <w:jc w:val="left"/>
      </w:pPr>
      <w:r>
        <w:rPr/>
        <w:t>合并成本公允价值的确定方法、或有对价及其变动的说明： 大额商誉形成的主要原因：</w:t>
      </w:r>
    </w:p>
    <w:p>
      <w:pPr>
        <w:pStyle w:val="BodyText"/>
        <w:spacing w:line="240" w:lineRule="auto" w:before="26"/>
        <w:ind w:left="153" w:right="0"/>
        <w:jc w:val="left"/>
      </w:pPr>
      <w:r>
        <w:rPr/>
        <w:t>其他说明：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2"/>
        <w:ind w:left="153" w:right="6548"/>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left="153"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4"/>
        <w:gridCol w:w="1064"/>
        <w:gridCol w:w="1063"/>
        <w:gridCol w:w="1064"/>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e1ffff"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e1ffff"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3" w:right="7611"/>
        <w:jc w:val="left"/>
      </w:pPr>
      <w:r>
        <w:rPr/>
        <w:t>或有对价及其变动的说明：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824" w:lineRule="exact"/>
        <w:ind w:left="14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5pt;mso-position-horizontal-relative:char;mso-position-vertical-relative:line" coordorigin="0,0" coordsize="9590,825">
            <v:group style="position:absolute;left:3172;top:16;width:23;height:392" coordorigin="3172,16" coordsize="23,392">
              <v:shape style="position:absolute;left:3172;top:16;width:23;height:392" coordorigin="3172,16" coordsize="23,392" path="m3172,407l3194,407,3194,16,3172,16,3172,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3135;height:392" coordorigin="37,16" coordsize="3135,392">
              <v:shape style="position:absolute;left:37;top:16;width:3135;height:392" coordorigin="37,16" coordsize="3135,392" path="m37,407l3172,407,3172,16,37,16,37,407xe" filled="true" fillcolor="#d3d3d3" stroked="false">
                <v:path arrowok="t"/>
                <v:fill type="solid"/>
              </v:shape>
            </v:group>
            <v:group style="position:absolute;left:3204;top:16;width:24;height:392" coordorigin="3204,16" coordsize="24,392">
              <v:shape style="position:absolute;left:3204;top:16;width:24;height:392" coordorigin="3204,16" coordsize="24,392" path="m3204,407l3228,407,3228,16,3204,16,3204,407xe" filled="true" fillcolor="#e1ffff" stroked="false">
                <v:path arrowok="t"/>
                <v:fill type="solid"/>
              </v:shape>
            </v:group>
            <v:group style="position:absolute;left:9552;top:16;width:23;height:392" coordorigin="9552,16" coordsize="23,392">
              <v:shape style="position:absolute;left:9552;top:16;width:23;height:392" coordorigin="9552,16" coordsize="23,392" path="m9552,407l9575,407,9575,16,9552,16,9552,407xe" filled="true" fillcolor="#e1ffff" stroked="false">
                <v:path arrowok="t"/>
                <v:fill type="solid"/>
              </v:shape>
            </v:group>
            <v:group style="position:absolute;left:3228;top:16;width:6324;height:392" coordorigin="3228,16" coordsize="6324,392">
              <v:shape style="position:absolute;left:3228;top:16;width:6324;height:392" coordorigin="3228,16" coordsize="6324,392" path="m3228,407l9552,407,9552,16,3228,16,3228,407xe" filled="true" fillcolor="#e1ffff"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001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3199;top:14;width:2;height:393" coordorigin="3199,14" coordsize="2,393">
              <v:shape style="position:absolute;left:3199;top:14;width:2;height:393" coordorigin="3199,14" coordsize="0,393" path="m3199,14l3199,407e" filled="false" stroked="true" strokeweight=".48pt" strokecolor="#000000">
                <v:path arrowok="t"/>
              </v:shape>
            </v:group>
            <v:group style="position:absolute;left:9580;top:5;width:2;height:402" coordorigin="9580,5" coordsize="2,402">
              <v:shape style="position:absolute;left:9580;top:5;width:2;height:402" coordorigin="9580,5" coordsize="0,402" path="m9580,5l9580,407e" filled="false" stroked="true" strokeweight=".47998pt" strokecolor="#000000">
                <v:path arrowok="t"/>
              </v:shape>
            </v:group>
            <v:group style="position:absolute;left:3172;top:418;width:23;height:392" coordorigin="3172,418" coordsize="23,392">
              <v:shape style="position:absolute;left:3172;top:418;width:23;height:392" coordorigin="3172,418" coordsize="23,392" path="m3172,809l3194,809,3194,418,3172,418,3172,809xe" filled="true" fillcolor="#d3d3d3" stroked="false">
                <v:path arrowok="t"/>
                <v:fill type="solid"/>
              </v:shape>
            </v:group>
            <v:group style="position:absolute;left:14;top:418;width:23;height:392" coordorigin="14,418" coordsize="23,392">
              <v:shape style="position:absolute;left:14;top:418;width:23;height:392" coordorigin="14,418" coordsize="23,392" path="m14,809l37,809,37,418,14,418,14,809xe" filled="true" fillcolor="#d3d3d3" stroked="false">
                <v:path arrowok="t"/>
                <v:fill type="solid"/>
              </v:shape>
            </v:group>
            <v:group style="position:absolute;left:37;top:418;width:3135;height:392" coordorigin="37,418" coordsize="3135,392">
              <v:shape style="position:absolute;left:37;top:418;width:3135;height:392" coordorigin="37,418" coordsize="3135,392" path="m37,809l3172,809,3172,418,37,418,37,809xe" filled="true" fillcolor="#d3d3d3" stroked="false">
                <v:path arrowok="t"/>
                <v:fill type="solid"/>
              </v:shape>
            </v:group>
            <v:group style="position:absolute;left:6361;top:418;width:23;height:392" coordorigin="6361,418" coordsize="23,392">
              <v:shape style="position:absolute;left:6361;top:418;width:23;height:392" coordorigin="6361,418" coordsize="23,392" path="m6361,809l6384,809,6384,418,6361,418,6361,809xe" filled="true" fillcolor="#d3d3d3" stroked="false">
                <v:path arrowok="t"/>
                <v:fill type="solid"/>
              </v:shape>
            </v:group>
            <v:group style="position:absolute;left:3204;top:418;width:24;height:392" coordorigin="3204,418" coordsize="24,392">
              <v:shape style="position:absolute;left:3204;top:418;width:24;height:392" coordorigin="3204,418" coordsize="24,392" path="m3204,809l3228,809,3228,418,3204,418,3204,809xe" filled="true" fillcolor="#d3d3d3" stroked="false">
                <v:path arrowok="t"/>
                <v:fill type="solid"/>
              </v:shape>
            </v:group>
            <v:group style="position:absolute;left:3228;top:418;width:3134;height:392" coordorigin="3228,418" coordsize="3134,392">
              <v:shape style="position:absolute;left:3228;top:418;width:3134;height:392" coordorigin="3228,418" coordsize="3134,392" path="m3228,809l6361,809,6361,418,3228,418,3228,809xe" filled="true" fillcolor="#d3d3d3" stroked="false">
                <v:path arrowok="t"/>
                <v:fill type="solid"/>
              </v:shape>
            </v:group>
            <v:group style="position:absolute;left:9552;top:418;width:23;height:392" coordorigin="9552,418" coordsize="23,392">
              <v:shape style="position:absolute;left:9552;top:418;width:23;height:392" coordorigin="9552,418" coordsize="23,392" path="m9552,809l9575,809,9575,418,9552,418,9552,809xe" filled="true" fillcolor="#d3d3d3" stroked="false">
                <v:path arrowok="t"/>
                <v:fill type="solid"/>
              </v:shape>
            </v:group>
            <v:group style="position:absolute;left:6395;top:418;width:23;height:392" coordorigin="6395,418" coordsize="23,392">
              <v:shape style="position:absolute;left:6395;top:418;width:23;height:392" coordorigin="6395,418" coordsize="23,392" path="m6395,809l6418,809,6418,418,6395,418,6395,809xe" filled="true" fillcolor="#d3d3d3" stroked="false">
                <v:path arrowok="t"/>
                <v:fill type="solid"/>
              </v:shape>
            </v:group>
            <v:group style="position:absolute;left:6418;top:418;width:3135;height:392" coordorigin="6418,418" coordsize="3135,392">
              <v:shape style="position:absolute;left:6418;top:418;width:3135;height:392" coordorigin="6418,418" coordsize="3135,392" path="m6418,809l9552,809,9552,418,6418,418,6418,809xe" filled="true" fillcolor="#d3d3d3" stroked="false">
                <v:path arrowok="t"/>
                <v:fill type="solid"/>
              </v:shape>
            </v:group>
            <v:group style="position:absolute;left:5;top:412;width:9580;height:2" coordorigin="5,412" coordsize="9580,2">
              <v:shape style="position:absolute;left:5;top:412;width:9580;height:2" coordorigin="5,412" coordsize="9580,0" path="m5,412l9584,412e" filled="false" stroked="true" strokeweight=".48001pt" strokecolor="#000000">
                <v:path arrowok="t"/>
              </v:shape>
            </v:group>
            <v:group style="position:absolute;left:10;top:416;width:2;height:404" coordorigin="10,416" coordsize="2,404">
              <v:shape style="position:absolute;left:10;top:416;width:2;height:404" coordorigin="10,416" coordsize="0,404" path="m10,416l10,820e" filled="false" stroked="true" strokeweight=".48001pt" strokecolor="#000000">
                <v:path arrowok="t"/>
              </v:shape>
            </v:group>
            <v:group style="position:absolute;left:5;top:815;width:3190;height:2" coordorigin="5,815" coordsize="3190,2">
              <v:shape style="position:absolute;left:5;top:815;width:3190;height:2" coordorigin="5,815" coordsize="3190,0" path="m5,815l3194,815e" filled="false" stroked="true" strokeweight=".48001pt" strokecolor="#000000">
                <v:path arrowok="t"/>
              </v:shape>
            </v:group>
            <v:group style="position:absolute;left:3199;top:416;width:2;height:404" coordorigin="3199,416" coordsize="2,404">
              <v:shape style="position:absolute;left:3199;top:416;width:2;height:404" coordorigin="3199,416" coordsize="0,404" path="m3199,416l3199,820e" filled="false" stroked="true" strokeweight=".48pt" strokecolor="#000000">
                <v:path arrowok="t"/>
              </v:shape>
            </v:group>
            <v:group style="position:absolute;left:3204;top:815;width:3182;height:2" coordorigin="3204,815" coordsize="3182,2">
              <v:shape style="position:absolute;left:3204;top:815;width:3182;height:2" coordorigin="3204,815" coordsize="3182,0" path="m3204,815l6385,815e" filled="false" stroked="true" strokeweight=".48001pt" strokecolor="#000000">
                <v:path arrowok="t"/>
              </v:shape>
            </v:group>
            <v:group style="position:absolute;left:6390;top:416;width:2;height:404" coordorigin="6390,416" coordsize="2,404">
              <v:shape style="position:absolute;left:6390;top:416;width:2;height:404" coordorigin="6390,416" coordsize="0,404" path="m6390,416l6390,820e" filled="false" stroked="true" strokeweight=".47998pt" strokecolor="#000000">
                <v:path arrowok="t"/>
              </v:shape>
            </v:group>
            <v:group style="position:absolute;left:6395;top:815;width:3180;height:2" coordorigin="6395,815" coordsize="3180,2">
              <v:shape style="position:absolute;left:6395;top:815;width:3180;height:2" coordorigin="6395,815" coordsize="3180,0" path="m6395,815l9575,815e" filled="false" stroked="true" strokeweight=".48001pt" strokecolor="#000000">
                <v:path arrowok="t"/>
              </v:shape>
            </v:group>
            <v:group style="position:absolute;left:9580;top:416;width:2;height:404" coordorigin="9580,416" coordsize="2,404">
              <v:shape style="position:absolute;left:9580;top:416;width:2;height:404" coordorigin="9580,416" coordsize="0,404" path="m9580,416l9580,820e" filled="false" stroked="true" strokeweight=".47998pt" strokecolor="#000000">
                <v:path arrowok="t"/>
              </v:shape>
              <v:shape style="position:absolute;left:3199;top:412;width:3191;height:402" type="#_x0000_t202" filled="false" stroked="false">
                <v:textbox inset="0,0,0,0">
                  <w:txbxContent>
                    <w:p>
                      <w:pPr>
                        <w:spacing w:before="56"/>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412;width:3190;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after="0" w:line="824" w:lineRule="exact"/>
        <w:rPr>
          <w:rFonts w:ascii="宋体" w:hAnsi="宋体" w:cs="宋体" w:eastAsia="宋体" w:hint="default"/>
          <w:sz w:val="20"/>
          <w:szCs w:val="20"/>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357" w:lineRule="auto" w:before="44"/>
        <w:ind w:left="153" w:right="6571"/>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40"/>
        </w:sectPr>
      </w:pPr>
    </w:p>
    <w:p>
      <w:pPr>
        <w:pStyle w:val="BodyText"/>
        <w:spacing w:line="240" w:lineRule="auto" w:before="44"/>
        <w:ind w:right="-20"/>
        <w:jc w:val="left"/>
      </w:pPr>
      <w:r>
        <w:rPr/>
        <w:t>是否存在单次处置对子公司投资即丧失控制权的情形</w:t>
      </w:r>
    </w:p>
    <w:p>
      <w:pPr>
        <w:pStyle w:val="BodyText"/>
        <w:spacing w:line="240" w:lineRule="auto" w:before="117"/>
        <w:ind w:left="153"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40"/>
          <w:cols w:num="2" w:equalWidth="0">
            <w:col w:w="4295" w:space="4534"/>
            <w:col w:w="116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58" w:hRule="exact"/>
        </w:trPr>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处置价</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0" w:hRule="exact"/>
        </w:trPr>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2" w:right="90"/>
              <w:jc w:val="both"/>
              <w:rPr>
                <w:rFonts w:ascii="宋体" w:hAnsi="宋体" w:cs="宋体" w:eastAsia="宋体" w:hint="default"/>
                <w:sz w:val="18"/>
                <w:szCs w:val="18"/>
              </w:rPr>
            </w:pPr>
            <w:r>
              <w:rPr>
                <w:rFonts w:ascii="宋体" w:hAnsi="宋体" w:cs="宋体" w:eastAsia="宋体" w:hint="default"/>
                <w:sz w:val="18"/>
                <w:szCs w:val="18"/>
              </w:rPr>
              <w:t>款与处 置投资 对应的 合并财 务报表 层面享 有该子 公司净 资产份 额的差</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控制权</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上海英</w:t>
            </w: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转移，收</w:t>
            </w:r>
          </w:p>
        </w:tc>
        <w:tc>
          <w:tcPr>
            <w:tcW w:w="734"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迈吉东 影图像 设备有</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27,529,7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88.53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70.00%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现金转 让</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到全额 处置价 款并完</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29,400,9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65.07</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无剩余 股权</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0.00</w:t>
            </w: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成工商</w:t>
            </w:r>
          </w:p>
        </w:tc>
        <w:tc>
          <w:tcPr>
            <w:tcW w:w="734"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控制权</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河南思 达软件 工程有 限公司</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7,815,49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6.84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现金转 让</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11"/>
                <w:sz w:val="18"/>
                <w:szCs w:val="18"/>
              </w:rPr>
              <w:t>转移，收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到全额 处置价 款并完 成工商</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3,716,24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6.52</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无剩余 股权</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2"/>
        <w:rPr>
          <w:rFonts w:ascii="宋体" w:hAnsi="宋体" w:cs="宋体" w:eastAsia="宋体" w:hint="default"/>
          <w:sz w:val="14"/>
          <w:szCs w:val="14"/>
        </w:rPr>
      </w:pPr>
    </w:p>
    <w:p>
      <w:pPr>
        <w:pStyle w:val="BodyText"/>
        <w:spacing w:line="316" w:lineRule="auto"/>
        <w:ind w:right="90" w:firstLine="420"/>
        <w:jc w:val="left"/>
      </w:pPr>
      <w:r>
        <w:rPr/>
        <w:t>2015年12月10日，智度投资股份有限公司召开了第七届董事会第十次会议，审议通过了《关于转让控股子公司股权暨</w:t>
      </w:r>
      <w:r>
        <w:rPr>
          <w:spacing w:val="1"/>
        </w:rPr>
        <w:t> </w:t>
      </w:r>
      <w:r>
        <w:rPr/>
        <w:t>关联交易的议案》、《关于转让全资子公司股权暨关联交易的议案》以及《关于子公司转让部分房产暨关联交易的公告》，</w:t>
      </w:r>
      <w:r>
        <w:rPr/>
        <w:t> 同意将公司持有的上海英迈吉东影图像设备有限公司70%的股权、河南思达软件工程有限公司100%股权以及公司全资子公司</w:t>
      </w:r>
    </w:p>
    <w:p>
      <w:pPr>
        <w:spacing w:after="0" w:line="316" w:lineRule="auto"/>
        <w:jc w:val="left"/>
        <w:sectPr>
          <w:type w:val="continuous"/>
          <w:pgSz w:w="11910" w:h="16840"/>
          <w:pgMar w:top="106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141"/>
        <w:jc w:val="left"/>
      </w:pPr>
      <w:r>
        <w:rPr/>
        <w:t>深圳市思达仪表有限公司持有的5处房产，一并转让给公司的控股股东北京智度德普股权投资中心（有限合伙）的全资子公</w:t>
      </w:r>
      <w:r>
        <w:rPr>
          <w:spacing w:val="-83"/>
        </w:rPr>
        <w:t> </w:t>
      </w:r>
      <w:r>
        <w:rPr>
          <w:spacing w:val="-83"/>
        </w:rPr>
      </w:r>
      <w:r>
        <w:rPr/>
        <w:t>司深圳市思达高科投资有限公司。</w:t>
      </w:r>
    </w:p>
    <w:p>
      <w:pPr>
        <w:pStyle w:val="BodyText"/>
        <w:spacing w:line="316" w:lineRule="auto" w:before="139"/>
        <w:ind w:left="153" w:right="148" w:firstLine="420"/>
        <w:jc w:val="both"/>
      </w:pPr>
      <w:r>
        <w:rPr>
          <w:spacing w:val="-8"/>
        </w:rPr>
        <w:t>其中，中瑞国际资产评估（北京）有限公司出具了中瑞评报字【2015】120011495、【2015】120011496、【2015】120011494</w:t>
      </w:r>
      <w:r>
        <w:rPr/>
        <w:t> 分别对上海英迈吉东影图像设备有限公司70%的股权、河南思达软件工程有限公司100%股权以及公司全资子公司深圳市思达</w:t>
      </w:r>
      <w:r>
        <w:rPr>
          <w:spacing w:val="-83"/>
        </w:rPr>
        <w:t> </w:t>
      </w:r>
      <w:r>
        <w:rPr>
          <w:spacing w:val="-83"/>
        </w:rPr>
      </w:r>
      <w:r>
        <w:rPr/>
        <w:t>仪表有限公司持有的5处房产进行了评估。</w:t>
      </w:r>
    </w:p>
    <w:p>
      <w:pPr>
        <w:pStyle w:val="BodyText"/>
        <w:spacing w:line="316" w:lineRule="auto" w:before="139"/>
        <w:ind w:left="153" w:right="150" w:firstLine="420"/>
        <w:jc w:val="both"/>
      </w:pPr>
      <w:r>
        <w:rPr/>
        <w:t>上述议案已于2015年12月28日经公司2015年第四次临时股东大会审议通过，截止2015年12月31日，上述股权转让的工 商变更登记手续及房产出售过户手续均已完成。</w:t>
      </w:r>
    </w:p>
    <w:p>
      <w:pPr>
        <w:pStyle w:val="BodyText"/>
        <w:spacing w:line="240" w:lineRule="auto" w:before="140"/>
        <w:ind w:left="153" w:right="0"/>
        <w:jc w:val="left"/>
      </w:pPr>
      <w:r>
        <w:rPr/>
        <w:t>是否存在通过多次交易分步处置对子公司投资且在本期丧失控制权的情形</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11"/>
        <w:rPr>
          <w:rFonts w:ascii="宋体" w:hAnsi="宋体" w:cs="宋体" w:eastAsia="宋体" w:hint="default"/>
          <w:sz w:val="26"/>
          <w:szCs w:val="26"/>
        </w:rPr>
      </w:pPr>
    </w:p>
    <w:p>
      <w:pPr>
        <w:spacing w:line="487" w:lineRule="auto" w:before="0"/>
        <w:ind w:left="154" w:right="7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深圳市思达仪表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仪表制造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深圳思达光电通 信技术有限公司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光电子器件制造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8" w:right="0"/>
              <w:jc w:val="lef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7"/>
              <w:jc w:val="left"/>
              <w:rPr>
                <w:rFonts w:ascii="宋体" w:hAnsi="宋体" w:cs="宋体" w:eastAsia="宋体" w:hint="default"/>
                <w:sz w:val="18"/>
                <w:szCs w:val="18"/>
              </w:rPr>
            </w:pPr>
            <w:r>
              <w:rPr>
                <w:rFonts w:ascii="宋体" w:hAnsi="宋体" w:cs="宋体" w:eastAsia="宋体" w:hint="default"/>
                <w:sz w:val="18"/>
                <w:szCs w:val="18"/>
              </w:rPr>
              <w:t>智度投资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投资与资产管理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51"/>
        <w:ind w:left="153" w:right="1851"/>
        <w:jc w:val="left"/>
      </w:pPr>
      <w:r>
        <w:rPr/>
        <w:pict>
          <v:shape style="position:absolute;margin-left:92.340302pt;margin-top:-35.717987pt;width:101.05pt;height:35.25pt;mso-position-horizontal-relative:page;mso-position-vertical-relative:paragraph;z-index:-836728" type="#_x0000_t202" filled="false" stroked="false">
            <v:textbox inset="0,0,0,0">
              <w:txbxContent>
                <w:p>
                  <w:pPr>
                    <w:pStyle w:val="BodyText"/>
                    <w:spacing w:line="240" w:lineRule="auto" w:before="51"/>
                    <w:ind w:left="0" w:right="0"/>
                    <w:jc w:val="left"/>
                  </w:pPr>
                  <w:r>
                    <w:rPr/>
                    <w:t>（香港）</w:t>
                  </w:r>
                </w:p>
              </w:txbxContent>
            </v:textbox>
            <w10:wrap type="none"/>
          </v:shape>
        </w:pict>
      </w:r>
      <w:r>
        <w:rPr/>
        <w:pict>
          <v:group style="position:absolute;margin-left:125.519997pt;margin-top:-35.717987pt;width:67.9pt;height:35.25pt;mso-position-horizontal-relative:page;mso-position-vertical-relative:paragraph;z-index:-836704" coordorigin="2510,-714" coordsize="1358,705">
            <v:group style="position:absolute;left:2510;top:-714;width:1358;height:705" coordorigin="2510,-714" coordsize="1358,705">
              <v:shape style="position:absolute;left:2510;top:-714;width:1358;height:705" coordorigin="2510,-714" coordsize="1358,705" path="m2510,-10l3868,-10,3868,-714,2510,-714,2510,-10xe" filled="true" fillcolor="#ffffff" stroked="false">
                <v:path arrowok="t"/>
                <v:fill type="solid"/>
              </v:shape>
            </v:group>
            <v:group style="position:absolute;left:2533;top:-558;width:1311;height:393" coordorigin="2533,-558" coordsize="1311,393">
              <v:shape style="position:absolute;left:2533;top:-558;width:1311;height:393" coordorigin="2533,-558" coordsize="1311,393" path="m2533,-166l3844,-166,3844,-558,2533,-558,2533,-166xe" filled="true" fillcolor="#ffffff" stroked="false">
                <v:path arrowok="t"/>
                <v:fill type="solid"/>
              </v:shape>
            </v:group>
            <w10:wrap type="none"/>
          </v:group>
        </w:pict>
      </w: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left="153" w:right="6711"/>
        <w:jc w:val="left"/>
      </w:pPr>
      <w:r>
        <w:rPr/>
        <w:t>确定公司是代理人还是委托人的依据：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76"/>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深圳思达光电通信技术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7" w:right="0"/>
              <w:jc w:val="left"/>
              <w:rPr>
                <w:rFonts w:ascii="Times New Roman" w:hAnsi="Times New Roman" w:cs="Times New Roman" w:eastAsia="Times New Roman" w:hint="default"/>
                <w:sz w:val="18"/>
                <w:szCs w:val="18"/>
              </w:rPr>
            </w:pPr>
            <w:r>
              <w:rPr>
                <w:rFonts w:ascii="Times New Roman"/>
                <w:sz w:val="18"/>
              </w:rPr>
              <w:t>-515,011.81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1,252,751.72</w:t>
            </w:r>
          </w:p>
        </w:tc>
      </w:tr>
    </w:tbl>
    <w:p>
      <w:pPr>
        <w:pStyle w:val="BodyText"/>
        <w:spacing w:line="360" w:lineRule="auto" w:before="51"/>
        <w:ind w:left="153" w:right="5451"/>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深圳思</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达光电 通信技 术有限</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9,407,46</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5.42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1,654,63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3.84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11,062,0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99.26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4,798,34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0.54</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4,798,34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0.54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14,873,5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82.07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2,639,55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2.39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17,513,1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34.46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8,674,31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6.68</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8,674,31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6.68</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7"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深圳思达光 电通信技术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7,606,259.50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-2,575,059.06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-2,575,059.06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-349,424.98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14,553,680.9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-3,336,184.49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-3,336,184.49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702,301.84</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e1ffff"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e1ffff"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1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7"/>
        <w:ind w:left="153"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50" w:right="20"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7"/>
        <w:gridCol w:w="1594"/>
        <w:gridCol w:w="1595"/>
        <w:gridCol w:w="1594"/>
        <w:gridCol w:w="1594"/>
        <w:gridCol w:w="1594"/>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left="153" w:right="4551"/>
        <w:jc w:val="left"/>
      </w:pPr>
      <w:r>
        <w:rPr/>
        <w:t>在共同经营中的持股比例或享有的份额不同于表决权比例的说明： 共同经营为单独主体的，分类为共同经营的依据：</w:t>
      </w:r>
    </w:p>
    <w:p>
      <w:pPr>
        <w:pStyle w:val="BodyText"/>
        <w:spacing w:line="240" w:lineRule="auto" w:before="26"/>
        <w:ind w:left="153"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5"/>
          <w:szCs w:val="25"/>
        </w:rPr>
      </w:pPr>
    </w:p>
    <w:tbl>
      <w:tblPr>
        <w:tblW w:w="0" w:type="auto"/>
        <w:jc w:val="left"/>
        <w:tblInd w:w="735" w:type="dxa"/>
        <w:tblLayout w:type="fixed"/>
        <w:tblCellMar>
          <w:top w:w="0" w:type="dxa"/>
          <w:left w:w="0" w:type="dxa"/>
          <w:bottom w:w="0" w:type="dxa"/>
          <w:right w:w="0" w:type="dxa"/>
        </w:tblCellMar>
        <w:tblLook w:val="01E0"/>
      </w:tblPr>
      <w:tblGrid>
        <w:gridCol w:w="2567"/>
        <w:gridCol w:w="1559"/>
        <w:gridCol w:w="1702"/>
        <w:gridCol w:w="2633"/>
      </w:tblGrid>
      <w:tr>
        <w:trPr>
          <w:trHeight w:val="348"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股权取得方式</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成立时间</w:t>
            </w:r>
            <w:r>
              <w:rPr>
                <w:rFonts w:ascii="宋体" w:hAnsi="宋体" w:cs="宋体" w:eastAsia="宋体" w:hint="default"/>
                <w:sz w:val="18"/>
                <w:szCs w:val="18"/>
              </w:rPr>
            </w:r>
          </w:p>
        </w:tc>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登记证号码</w:t>
            </w:r>
            <w:r>
              <w:rPr>
                <w:rFonts w:ascii="宋体" w:hAnsi="宋体" w:cs="宋体" w:eastAsia="宋体" w:hint="default"/>
                <w:sz w:val="18"/>
                <w:szCs w:val="18"/>
              </w:rPr>
            </w:r>
          </w:p>
        </w:tc>
      </w:tr>
      <w:tr>
        <w:trPr>
          <w:trHeight w:val="347" w:hRule="exact"/>
        </w:trPr>
        <w:tc>
          <w:tcPr>
            <w:tcW w:w="2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智度投资（香港）有限公司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64883351-000-06-15-0</w:t>
            </w:r>
          </w:p>
        </w:tc>
      </w:tr>
    </w:tbl>
    <w:p>
      <w:pPr>
        <w:spacing w:line="240" w:lineRule="auto" w:before="8"/>
        <w:rPr>
          <w:rFonts w:ascii="宋体" w:hAnsi="宋体" w:cs="宋体" w:eastAsia="宋体" w:hint="default"/>
          <w:b/>
          <w:bCs/>
          <w:sz w:val="6"/>
          <w:szCs w:val="6"/>
        </w:rPr>
      </w:pPr>
    </w:p>
    <w:p>
      <w:pPr>
        <w:pStyle w:val="BodyText"/>
        <w:spacing w:line="240" w:lineRule="auto" w:before="44"/>
        <w:ind w:left="574" w:right="0"/>
        <w:jc w:val="left"/>
      </w:pPr>
      <w:r>
        <w:rPr/>
        <w:t>注：截止到2015年12月31日，未向智度投资（香港）有限公司拨付投资款，未建账，因此没有纳入合并。</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46" w:firstLine="420"/>
        <w:jc w:val="both"/>
      </w:pPr>
      <w:r>
        <w:rPr/>
        <w:t>本公司的主要金融工具包括：以公允价值计量且其变动计入当期损益的金融资产及负债、应收款项、应付款项。上述</w:t>
      </w:r>
      <w:r>
        <w:rPr>
          <w:spacing w:val="1"/>
        </w:rPr>
        <w:t> </w:t>
      </w:r>
      <w:r>
        <w:rPr/>
        <w:t>金融工具产生的主要风险如下：</w:t>
      </w:r>
    </w:p>
    <w:p>
      <w:pPr>
        <w:pStyle w:val="BodyText"/>
        <w:spacing w:line="432" w:lineRule="exact" w:before="3"/>
        <w:ind w:left="664" w:right="0" w:firstLine="90"/>
        <w:jc w:val="left"/>
      </w:pPr>
      <w:r>
        <w:rPr/>
        <w:t>1、信用风险 </w:t>
      </w:r>
      <w:r>
        <w:rPr>
          <w:spacing w:val="-2"/>
        </w:rPr>
        <w:t>信用风险是指金融工具的一方不履行义务，造成另一方发生财务损失的风险。本公司主要面临赊销导致的客户信用风</w:t>
      </w:r>
    </w:p>
    <w:p>
      <w:pPr>
        <w:pStyle w:val="BodyText"/>
        <w:spacing w:line="316" w:lineRule="auto" w:before="15"/>
        <w:ind w:right="0"/>
        <w:jc w:val="left"/>
      </w:pPr>
      <w:r>
        <w:rPr>
          <w:spacing w:val="-2"/>
        </w:rPr>
        <w:t>险。在签订新合同之前，本公司会对新客户的信用风险进行评估，包括外部信用评级和在某些情况下的银行资信证明（当此</w:t>
      </w:r>
      <w:r>
        <w:rPr>
          <w:spacing w:val="-66"/>
        </w:rPr>
        <w:t> </w:t>
      </w:r>
      <w:r>
        <w:rPr>
          <w:spacing w:val="-66"/>
        </w:rPr>
      </w:r>
      <w:r>
        <w:rPr/>
        <w:t>信息可获取时）。公司对每一客户均设置了赊销限额，该限额为无需获得额外批准的最大额度。</w:t>
      </w:r>
    </w:p>
    <w:p>
      <w:pPr>
        <w:pStyle w:val="BodyText"/>
        <w:spacing w:line="316" w:lineRule="auto" w:before="139"/>
        <w:ind w:right="146" w:firstLine="420"/>
        <w:jc w:val="both"/>
      </w:pPr>
      <w:r>
        <w:rPr/>
        <w:t>公司通过对已有客户信用评级的季度监控以及应收账款账龄分析的月度审核来确保公司的整体信用风险在可控的范围</w:t>
      </w:r>
      <w:r>
        <w:rPr>
          <w:spacing w:val="1"/>
        </w:rPr>
        <w:t> </w:t>
      </w:r>
      <w:r>
        <w:rPr>
          <w:spacing w:val="-2"/>
        </w:rPr>
        <w:t>内。在监控客户的信用风险时，按照客户的信用特征对其分组。被评为“高风险”级别的客户会放在受限制客户名单里，并</w:t>
      </w:r>
      <w:r>
        <w:rPr>
          <w:spacing w:val="-67"/>
        </w:rPr>
        <w:t> </w:t>
      </w:r>
      <w:r>
        <w:rPr>
          <w:spacing w:val="-67"/>
        </w:rPr>
      </w:r>
      <w:r>
        <w:rPr/>
        <w:t>且只有在额外批准的前提下，公司才可在未来期间内对其赊销，否则必须要求其提前支付相应款项。</w:t>
      </w:r>
    </w:p>
    <w:p>
      <w:pPr>
        <w:pStyle w:val="BodyText"/>
        <w:spacing w:line="432" w:lineRule="exact" w:before="3"/>
        <w:ind w:left="574" w:right="0" w:firstLine="90"/>
        <w:jc w:val="left"/>
      </w:pPr>
      <w:r>
        <w:rPr/>
        <w:t>2、流动性风险 流动风险，是指企业在履行以交付现金或其他金融资产的方式结算的义务时发生资金短缺的风险。本公司的政策是确</w:t>
      </w:r>
    </w:p>
    <w:p>
      <w:pPr>
        <w:pStyle w:val="BodyText"/>
        <w:spacing w:line="316" w:lineRule="auto" w:before="15"/>
        <w:ind w:right="0"/>
        <w:jc w:val="left"/>
      </w:pPr>
      <w:r>
        <w:rPr>
          <w:spacing w:val="-2"/>
        </w:rPr>
        <w:t>保拥有充足的现金以偿还到期债务。流动性风险由本公司的财务部门集中控制。财务部门通过监控现金余额、可随时变现的</w:t>
      </w:r>
      <w:r>
        <w:rPr>
          <w:spacing w:val="-66"/>
        </w:rPr>
        <w:t> </w:t>
      </w:r>
      <w:r>
        <w:rPr>
          <w:spacing w:val="-66"/>
        </w:rPr>
      </w:r>
      <w:r>
        <w:rPr/>
        <w:t>有价证券以及对未来12个月现金流量的滚动预测，确保公司在所有合理预测的情况下拥有充足的资金偿还债务。</w:t>
      </w:r>
    </w:p>
    <w:p>
      <w:pPr>
        <w:spacing w:after="0" w:line="316"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574" w:right="0"/>
        <w:jc w:val="left"/>
      </w:pPr>
      <w:r>
        <w:rPr/>
        <w:t>3、市场风险</w:t>
      </w:r>
    </w:p>
    <w:p>
      <w:pPr>
        <w:spacing w:line="240" w:lineRule="auto" w:before="0"/>
        <w:rPr>
          <w:rFonts w:ascii="宋体" w:hAnsi="宋体" w:cs="宋体" w:eastAsia="宋体" w:hint="default"/>
          <w:sz w:val="15"/>
          <w:szCs w:val="15"/>
        </w:rPr>
      </w:pPr>
    </w:p>
    <w:p>
      <w:pPr>
        <w:pStyle w:val="BodyText"/>
        <w:spacing w:line="316" w:lineRule="auto"/>
        <w:ind w:right="146" w:firstLine="420"/>
        <w:jc w:val="both"/>
      </w:pPr>
      <w:r>
        <w:rPr/>
        <w:t>金融工具的市场风险，是指金融工具的公允价值或未来现金流量因市场价格变动而发生波动的风险，包括外汇风险、</w:t>
      </w:r>
      <w:r>
        <w:rPr>
          <w:spacing w:val="1"/>
        </w:rPr>
        <w:t> </w:t>
      </w:r>
      <w:r>
        <w:rPr/>
        <w:t>利率风险和其他价格风险。</w:t>
      </w:r>
    </w:p>
    <w:p>
      <w:pPr>
        <w:pStyle w:val="BodyText"/>
        <w:spacing w:line="316" w:lineRule="auto" w:before="139"/>
        <w:ind w:right="146" w:firstLine="420"/>
        <w:jc w:val="both"/>
      </w:pPr>
      <w:r>
        <w:rPr/>
        <w:t>公司董事会全面负责风险管理目标和政策的确定，并对风险管理目标和政策承担最终责任，但是董事会已授权本公司</w:t>
      </w:r>
      <w:r>
        <w:rPr>
          <w:spacing w:val="1"/>
        </w:rPr>
        <w:t> </w:t>
      </w:r>
      <w:r>
        <w:rPr>
          <w:spacing w:val="-2"/>
        </w:rPr>
        <w:t>总经理办公室设计和实施能确保风险管理目标和政策得以有效执行的程序。董事会通过总经理办公室递交的报告来审查已执</w:t>
      </w:r>
      <w:r>
        <w:rPr>
          <w:spacing w:val="-64"/>
        </w:rPr>
        <w:t> </w:t>
      </w:r>
      <w:r>
        <w:rPr>
          <w:spacing w:val="-64"/>
        </w:rPr>
      </w:r>
      <w:r>
        <w:rPr>
          <w:spacing w:val="-2"/>
        </w:rPr>
        <w:t>行程序的有效性以及风险管理目标和政策的合理性。本公司的内部审计师也会审计风险管理的政策和程序，并且将有关发现</w:t>
      </w:r>
      <w:r>
        <w:rPr>
          <w:spacing w:val="-64"/>
        </w:rPr>
        <w:t> </w:t>
      </w:r>
      <w:r>
        <w:rPr>
          <w:spacing w:val="-64"/>
        </w:rPr>
      </w:r>
      <w:r>
        <w:rPr>
          <w:spacing w:val="-2"/>
        </w:rPr>
        <w:t>汇报给审计委员会。本公司风险管理的总体目标是在不过度影响公司竞争力和应变力的情况下，制定尽可能降低风险的风险</w:t>
      </w:r>
      <w:r>
        <w:rPr>
          <w:spacing w:val="-64"/>
        </w:rPr>
        <w:t> </w:t>
      </w:r>
      <w:r>
        <w:rPr>
          <w:spacing w:val="-64"/>
        </w:rPr>
      </w:r>
      <w:r>
        <w:rPr/>
        <w:t>管理政策。</w:t>
      </w:r>
    </w:p>
    <w:p>
      <w:pPr>
        <w:pStyle w:val="BodyText"/>
        <w:spacing w:line="432" w:lineRule="exact" w:before="3"/>
        <w:ind w:left="574" w:right="0"/>
        <w:jc w:val="left"/>
      </w:pPr>
      <w:r>
        <w:rPr/>
        <w:t>4、外汇风险 对于不是以记账本位币计价的应收账款和应付账款，如果出现短期的失衡情况，本公司会在必要时按市场汇率买卖外</w:t>
      </w:r>
    </w:p>
    <w:p>
      <w:pPr>
        <w:pStyle w:val="BodyText"/>
        <w:spacing w:line="240" w:lineRule="auto" w:before="15"/>
        <w:ind w:right="0"/>
        <w:jc w:val="left"/>
      </w:pPr>
      <w:r>
        <w:rPr/>
        <w:t>币，以确保将净风险敞口维持在可接受的水平。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2"/>
        <w:spacing w:line="240" w:lineRule="auto"/>
        <w:ind w:right="0"/>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85"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1"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357" w:hRule="exact"/>
        </w:trPr>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北京智度德普股权</w:t>
            </w: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投资中心（有限合</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433"/>
              <w:jc w:val="right"/>
              <w:rPr>
                <w:rFonts w:ascii="Times New Roman" w:hAnsi="Times New Roman" w:cs="Times New Roman" w:eastAsia="Times New Roman" w:hint="default"/>
                <w:sz w:val="18"/>
                <w:szCs w:val="18"/>
              </w:rPr>
            </w:pPr>
            <w:r>
              <w:rPr>
                <w:rFonts w:ascii="Times New Roman"/>
                <w:spacing w:val="-1"/>
                <w:sz w:val="18"/>
              </w:rPr>
              <w:t>391,681,000.00</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06" w:right="0"/>
              <w:jc w:val="left"/>
              <w:rPr>
                <w:rFonts w:ascii="Times New Roman" w:hAnsi="Times New Roman" w:cs="Times New Roman" w:eastAsia="Times New Roman" w:hint="default"/>
                <w:sz w:val="18"/>
                <w:szCs w:val="18"/>
              </w:rPr>
            </w:pPr>
            <w:r>
              <w:rPr>
                <w:rFonts w:ascii="Times New Roman"/>
                <w:sz w:val="18"/>
              </w:rPr>
              <w:t>20.03%</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06" w:right="0"/>
              <w:jc w:val="left"/>
              <w:rPr>
                <w:rFonts w:ascii="Times New Roman" w:hAnsi="Times New Roman" w:cs="Times New Roman" w:eastAsia="Times New Roman" w:hint="default"/>
                <w:sz w:val="18"/>
                <w:szCs w:val="18"/>
              </w:rPr>
            </w:pPr>
            <w:r>
              <w:rPr>
                <w:rFonts w:ascii="Times New Roman"/>
                <w:sz w:val="18"/>
              </w:rPr>
              <w:t>20.03%</w:t>
            </w:r>
          </w:p>
        </w:tc>
      </w:tr>
      <w:tr>
        <w:trPr>
          <w:trHeight w:val="353" w:hRule="exact"/>
        </w:trPr>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本企业的母公司情况的说明</w:t>
      </w:r>
    </w:p>
    <w:p>
      <w:pPr>
        <w:spacing w:line="240" w:lineRule="auto" w:before="0"/>
        <w:rPr>
          <w:rFonts w:ascii="宋体" w:hAnsi="宋体" w:cs="宋体" w:eastAsia="宋体" w:hint="default"/>
          <w:sz w:val="15"/>
          <w:szCs w:val="15"/>
        </w:rPr>
      </w:pPr>
    </w:p>
    <w:p>
      <w:pPr>
        <w:pStyle w:val="BodyText"/>
        <w:spacing w:line="316" w:lineRule="auto"/>
        <w:ind w:left="153" w:right="0" w:firstLine="420"/>
        <w:jc w:val="left"/>
      </w:pPr>
      <w:r>
        <w:rPr/>
        <w:t>注：2014年12月31日之前，河南正弘置业有限公司持有本公司29.24%的股权，是本公司第一大股东；2014年12月31日 北京智度德普股权投资中心（有限合伙）从河南正弘置业有限公司购入本公司20.03%的股权，成为本公司的第一大股东。</w:t>
      </w:r>
    </w:p>
    <w:p>
      <w:pPr>
        <w:pStyle w:val="BodyText"/>
        <w:spacing w:line="439" w:lineRule="auto" w:before="139"/>
        <w:ind w:left="573" w:right="5391"/>
        <w:jc w:val="left"/>
      </w:pPr>
      <w:r>
        <w:rPr/>
        <w:t>2014年12月31日公司的实际控制人变更为吴红心。 本企业最终控制方是吴红心。</w:t>
      </w:r>
    </w:p>
    <w:p>
      <w:pPr>
        <w:pStyle w:val="BodyText"/>
        <w:spacing w:line="240" w:lineRule="auto" w:before="48"/>
        <w:ind w:left="153"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本企业子公司的情况详见附注七（一）在子公司中的权益。</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1311"/>
        <w:jc w:val="left"/>
      </w:pPr>
      <w:r>
        <w:rPr/>
        <w:t>本企业重要的合营或联营企业详见附注七（三）在合营企业或联营企业中的权益。 本期与本公司发生关联方交易，或前期与本公司发生关联方交易形成余额的其他合营或联营企业情况如下：</w:t>
      </w: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4764;top:16;width:23;height:392" coordorigin="4764,16" coordsize="23,392">
              <v:shape style="position:absolute;left:4764;top:16;width:23;height:392" coordorigin="4764,16" coordsize="23,392" path="m4764,407l4787,407,4787,16,4764,16,4764,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727;height:392" coordorigin="37,16" coordsize="4727,392">
              <v:shape style="position:absolute;left:37;top:16;width:4727;height:392" coordorigin="37,16" coordsize="4727,392" path="m37,407l4764,407,4764,16,37,16,37,407xe" filled="true" fillcolor="#d3d3d3" stroked="false">
                <v:path arrowok="t"/>
                <v:fill type="solid"/>
              </v:shape>
            </v:group>
            <v:group style="position:absolute;left:4796;top:16;width:23;height:392" coordorigin="4796,16" coordsize="23,392">
              <v:shape style="position:absolute;left:4796;top:16;width:23;height:392" coordorigin="4796,16" coordsize="23,392" path="m4796,407l4819,407,4819,16,4796,16,4796,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4819;top:16;width:4731;height:392" coordorigin="4819,16" coordsize="4731,392">
              <v:shape style="position:absolute;left:4819;top:16;width:4731;height:392" coordorigin="4819,16" coordsize="4731,392" path="m4819,407l9550,407,9550,16,4819,16,4819,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782;height:2" coordorigin="5,413" coordsize="4782,2">
              <v:shape style="position:absolute;left:5;top:413;width:4782;height:2" coordorigin="5,413" coordsize="4782,0" path="m5,413l4787,413e" filled="false" stroked="true" strokeweight=".48001pt" strokecolor="#000000">
                <v:path arrowok="t"/>
              </v:shape>
            </v:group>
            <v:group style="position:absolute;left:4792;top:14;width:2;height:404" coordorigin="4792,14" coordsize="2,404">
              <v:shape style="position:absolute;left:4792;top:14;width:2;height:404" coordorigin="4792,14" coordsize="0,404" path="m4792,14l4792,418e" filled="false" stroked="true" strokeweight=".48001pt" strokecolor="#000000">
                <v:path arrowok="t"/>
              </v:shape>
            </v:group>
            <v:group style="position:absolute;left:4796;top:413;width:4776;height:2" coordorigin="4796,413" coordsize="4776,2">
              <v:shape style="position:absolute;left:4796;top:413;width:4776;height:2" coordorigin="4796,413" coordsize="4776,0" path="m4796,413l9572,413e" filled="false" stroked="true" strokeweight=".48001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10;top:10;width:4782;height:402" type="#_x0000_t202" filled="false" stroked="false">
                <v:textbox inset="0,0,0,0">
                  <w:txbxContent>
                    <w:p>
                      <w:pPr>
                        <w:spacing w:before="56"/>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pStyle w:val="BodyText"/>
        <w:spacing w:line="240" w:lineRule="auto" w:before="58"/>
        <w:ind w:right="0"/>
        <w:jc w:val="left"/>
      </w:pPr>
      <w:r>
        <w:rPr/>
        <w:t>其他说明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郑州佳裕置业有限公司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原同一实际控制人</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河南正弘实业有限公司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原同一实际控制人</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河南正弘高新实业有限公司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原同一实际控制人</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河南正弘物业管理有限公司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原实际控制人亲属控制企业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河南科诚置业有限公司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金基不动产</w:t>
            </w:r>
            <w:r>
              <w:rPr>
                <w:rFonts w:ascii="Times New Roman" w:hAnsi="Times New Roman" w:cs="Times New Roman" w:eastAsia="Times New Roman" w:hint="default"/>
                <w:sz w:val="18"/>
                <w:szCs w:val="18"/>
              </w:rPr>
              <w:t>(</w:t>
            </w:r>
            <w:r>
              <w:rPr>
                <w:rFonts w:ascii="宋体" w:hAnsi="宋体" w:cs="宋体" w:eastAsia="宋体" w:hint="default"/>
                <w:sz w:val="18"/>
                <w:szCs w:val="18"/>
              </w:rPr>
              <w:t>郑州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原同一实际控制人</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中原华信商贸集团有限公司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原实际控制人亲属控制企业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郑州卓峰制药有限公司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原实际控制人亲属控制企业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UNISTAR </w:t>
            </w:r>
            <w:r>
              <w:rPr>
                <w:rFonts w:ascii="Times New Roman"/>
                <w:sz w:val="18"/>
              </w:rPr>
              <w:t>HI-TECH SYSTEMS</w:t>
            </w:r>
            <w:r>
              <w:rPr>
                <w:rFonts w:ascii="Times New Roman"/>
                <w:spacing w:val="7"/>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深圳正弘星科技有限公司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原同一实际控制人</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浙江中胜实业集团有限公司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上海胜福威热投资中心（有限合伙）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西藏智度投资有限公司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杭州路招网络科技有限公司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北京凤凰财富成长投资中心（有限合伙）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北京惠旭财智投资中心（有限合伙）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深圳市思达高科投资有限公司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98"/>
              <w:jc w:val="left"/>
              <w:rPr>
                <w:rFonts w:ascii="Times New Roman" w:hAnsi="Times New Roman" w:cs="Times New Roman" w:eastAsia="Times New Roman" w:hint="default"/>
                <w:sz w:val="18"/>
                <w:szCs w:val="18"/>
              </w:rPr>
            </w:pPr>
            <w:r>
              <w:rPr>
                <w:rFonts w:ascii="Times New Roman"/>
                <w:spacing w:val="-3"/>
                <w:sz w:val="18"/>
              </w:rPr>
              <w:t>UNISTAR</w:t>
            </w:r>
            <w:r>
              <w:rPr>
                <w:rFonts w:ascii="Times New Roman"/>
                <w:spacing w:val="5"/>
                <w:sz w:val="18"/>
              </w:rPr>
              <w:t> </w:t>
            </w:r>
            <w:r>
              <w:rPr>
                <w:rFonts w:ascii="Times New Roman"/>
                <w:sz w:val="18"/>
              </w:rPr>
              <w:t>HI-TECH</w:t>
            </w:r>
            <w:r>
              <w:rPr>
                <w:rFonts w:ascii="Times New Roman"/>
                <w:spacing w:val="-1"/>
                <w:sz w:val="18"/>
              </w:rPr>
              <w:t> </w:t>
            </w:r>
            <w:r>
              <w:rPr>
                <w:rFonts w:ascii="Times New Roman"/>
                <w:sz w:val="18"/>
              </w:rPr>
              <w:t>SYSTEMS</w:t>
            </w:r>
            <w:r>
              <w:rPr>
                <w:rFonts w:ascii="Times New Roman"/>
                <w:spacing w:val="-3"/>
                <w:sz w:val="18"/>
              </w:rPr>
              <w:t> </w:t>
            </w:r>
            <w:r>
              <w:rPr>
                <w:rFonts w:ascii="Times New Roman"/>
                <w:sz w:val="18"/>
              </w:rPr>
              <w:t>LIMITED</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销售产品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2,787,186.82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河南正弘物业管理有限公司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销售产品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157,183.76</w:t>
            </w:r>
          </w:p>
        </w:tc>
      </w:tr>
    </w:tbl>
    <w:p>
      <w:pPr>
        <w:pStyle w:val="BodyText"/>
        <w:spacing w:line="240" w:lineRule="auto" w:before="51"/>
        <w:ind w:right="0"/>
        <w:jc w:val="left"/>
      </w:pPr>
      <w:r>
        <w:rPr/>
        <w:t>购销商品、提供和接受劳务的关联交易说明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7"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2545" w:space="628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本公司作为被担保方</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河南正弘置业有限公司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363" w:hRule="exact"/>
        </w:trPr>
        <w:tc>
          <w:tcPr>
            <w:tcW w:w="1913"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r>
      <w:tr>
        <w:trPr>
          <w:trHeight w:val="932"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2" w:right="78"/>
              <w:jc w:val="left"/>
              <w:rPr>
                <w:rFonts w:ascii="宋体" w:hAnsi="宋体" w:cs="宋体" w:eastAsia="宋体" w:hint="default"/>
                <w:sz w:val="18"/>
                <w:szCs w:val="18"/>
              </w:rPr>
            </w:pPr>
            <w:r>
              <w:rPr>
                <w:rFonts w:ascii="宋体" w:hAnsi="宋体" w:cs="宋体" w:eastAsia="宋体" w:hint="default"/>
                <w:sz w:val="18"/>
                <w:szCs w:val="18"/>
              </w:rPr>
              <w:t>北京智度德普股权投资 中心（有限合伙）</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9"/>
              <w:jc w:val="both"/>
              <w:rPr>
                <w:rFonts w:ascii="宋体" w:hAnsi="宋体" w:cs="宋体" w:eastAsia="宋体" w:hint="default"/>
                <w:sz w:val="18"/>
                <w:szCs w:val="18"/>
              </w:rPr>
            </w:pPr>
            <w:r>
              <w:rPr>
                <w:rFonts w:ascii="宋体" w:hAnsi="宋体" w:cs="宋体" w:eastAsia="宋体" w:hint="default"/>
                <w:sz w:val="18"/>
                <w:szCs w:val="18"/>
              </w:rPr>
              <w:t>日，智度投资股份有限 公司已将拆入资金还给 北京智度德普股权投资</w:t>
            </w:r>
          </w:p>
        </w:tc>
      </w:tr>
      <w:tr>
        <w:trPr>
          <w:trHeight w:val="356" w:hRule="exact"/>
        </w:trPr>
        <w:tc>
          <w:tcPr>
            <w:tcW w:w="1913"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中心（有限合伙</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63" w:hRule="exact"/>
        </w:trPr>
        <w:tc>
          <w:tcPr>
            <w:tcW w:w="1913"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r>
      <w:tr>
        <w:trPr>
          <w:trHeight w:val="932"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2" w:right="78"/>
              <w:jc w:val="left"/>
              <w:rPr>
                <w:rFonts w:ascii="宋体" w:hAnsi="宋体" w:cs="宋体" w:eastAsia="宋体" w:hint="default"/>
                <w:sz w:val="18"/>
                <w:szCs w:val="18"/>
              </w:rPr>
            </w:pPr>
            <w:r>
              <w:rPr>
                <w:rFonts w:ascii="宋体" w:hAnsi="宋体" w:cs="宋体" w:eastAsia="宋体" w:hint="default"/>
                <w:sz w:val="18"/>
                <w:szCs w:val="18"/>
              </w:rPr>
              <w:t>北京智度德普股权投资 中心（有限合伙）</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9"/>
              <w:jc w:val="both"/>
              <w:rPr>
                <w:rFonts w:ascii="宋体" w:hAnsi="宋体" w:cs="宋体" w:eastAsia="宋体" w:hint="default"/>
                <w:sz w:val="18"/>
                <w:szCs w:val="18"/>
              </w:rPr>
            </w:pPr>
            <w:r>
              <w:rPr>
                <w:rFonts w:ascii="宋体" w:hAnsi="宋体" w:cs="宋体" w:eastAsia="宋体" w:hint="default"/>
                <w:sz w:val="18"/>
                <w:szCs w:val="18"/>
              </w:rPr>
              <w:t>日，智度投资股份有限 公司已将拆入资金还给 北京智度德普股权投资</w:t>
            </w:r>
          </w:p>
        </w:tc>
      </w:tr>
      <w:tr>
        <w:trPr>
          <w:trHeight w:val="356" w:hRule="exact"/>
        </w:trPr>
        <w:tc>
          <w:tcPr>
            <w:tcW w:w="1913"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中心（有限合伙</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深圳市思达高科投资有限公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上海英迈吉东影图像设备有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27,529,788.53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深圳市思达高科投资有限公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河南思达软件工程有限公司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7,815,496.84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深圳市思达高科投资有限公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深圳市思达仪表有限公司持 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处房产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29,197,520.00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98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22" w:right="751"/>
              <w:jc w:val="both"/>
              <w:rPr>
                <w:rFonts w:ascii="Times New Roman" w:hAnsi="Times New Roman" w:cs="Times New Roman" w:eastAsia="Times New Roman" w:hint="default"/>
                <w:sz w:val="18"/>
                <w:szCs w:val="18"/>
              </w:rPr>
            </w:pPr>
            <w:r>
              <w:rPr>
                <w:rFonts w:ascii="Times New Roman"/>
                <w:spacing w:val="-3"/>
                <w:sz w:val="18"/>
              </w:rPr>
              <w:t>UNISTAR</w:t>
            </w:r>
            <w:r>
              <w:rPr>
                <w:rFonts w:ascii="Times New Roman"/>
                <w:spacing w:val="-1"/>
                <w:sz w:val="18"/>
              </w:rPr>
              <w:t> </w:t>
            </w:r>
            <w:r>
              <w:rPr>
                <w:rFonts w:ascii="Times New Roman"/>
                <w:sz w:val="18"/>
              </w:rPr>
              <w:t>HI-TECH</w:t>
            </w:r>
            <w:r>
              <w:rPr>
                <w:rFonts w:ascii="Times New Roman"/>
                <w:spacing w:val="-1"/>
                <w:sz w:val="18"/>
              </w:rPr>
              <w:t> </w:t>
            </w:r>
            <w:r>
              <w:rPr>
                <w:rFonts w:ascii="Times New Roman"/>
                <w:sz w:val="18"/>
              </w:rPr>
              <w:t>SYSTEMS</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16" w:right="0"/>
              <w:jc w:val="left"/>
              <w:rPr>
                <w:rFonts w:ascii="Times New Roman" w:hAnsi="Times New Roman" w:cs="Times New Roman" w:eastAsia="Times New Roman" w:hint="default"/>
                <w:sz w:val="18"/>
                <w:szCs w:val="18"/>
              </w:rPr>
            </w:pPr>
            <w:r>
              <w:rPr>
                <w:rFonts w:ascii="Times New Roman"/>
                <w:sz w:val="18"/>
              </w:rPr>
              <w:t>4,428,769.39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52" w:right="0"/>
              <w:jc w:val="left"/>
              <w:rPr>
                <w:rFonts w:ascii="Times New Roman" w:hAnsi="Times New Roman" w:cs="Times New Roman" w:eastAsia="Times New Roman" w:hint="default"/>
                <w:sz w:val="18"/>
                <w:szCs w:val="18"/>
              </w:rPr>
            </w:pPr>
            <w:r>
              <w:rPr>
                <w:rFonts w:ascii="Times New Roman"/>
                <w:sz w:val="18"/>
              </w:rPr>
              <w:t>221,438.47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LIMITED</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51"/>
              <w:jc w:val="both"/>
              <w:rPr>
                <w:rFonts w:ascii="Times New Roman" w:hAnsi="Times New Roman" w:cs="Times New Roman" w:eastAsia="Times New Roman" w:hint="default"/>
                <w:sz w:val="18"/>
                <w:szCs w:val="18"/>
              </w:rPr>
            </w:pPr>
            <w:r>
              <w:rPr>
                <w:rFonts w:ascii="Times New Roman"/>
                <w:spacing w:val="-3"/>
                <w:sz w:val="18"/>
              </w:rPr>
              <w:t>UNISTAR</w:t>
            </w:r>
            <w:r>
              <w:rPr>
                <w:rFonts w:ascii="Times New Roman"/>
                <w:spacing w:val="-1"/>
                <w:sz w:val="18"/>
              </w:rPr>
              <w:t> </w:t>
            </w:r>
            <w:r>
              <w:rPr>
                <w:rFonts w:ascii="Times New Roman"/>
                <w:sz w:val="18"/>
              </w:rPr>
              <w:t>HI-TECH</w:t>
            </w:r>
            <w:r>
              <w:rPr>
                <w:rFonts w:ascii="Times New Roman"/>
                <w:spacing w:val="-1"/>
                <w:sz w:val="18"/>
              </w:rPr>
              <w:t> </w:t>
            </w:r>
            <w:r>
              <w:rPr>
                <w:rFonts w:ascii="Times New Roman"/>
                <w:sz w:val="18"/>
              </w:rPr>
              <w:t>SYSTEMS</w:t>
            </w:r>
            <w:r>
              <w:rPr>
                <w:rFonts w:ascii="Times New Roman"/>
                <w:sz w:val="18"/>
              </w:rPr>
              <w:t> LIMITED</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516,424.84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10,328.50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河南正弘置业有限公司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7,771,805.26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40" w:right="0"/>
              <w:jc w:val="left"/>
              <w:rPr>
                <w:rFonts w:ascii="Times New Roman" w:hAnsi="Times New Roman" w:cs="Times New Roman" w:eastAsia="Times New Roman" w:hint="default"/>
                <w:sz w:val="18"/>
                <w:szCs w:val="18"/>
              </w:rPr>
            </w:pPr>
            <w:r>
              <w:rPr>
                <w:rFonts w:ascii="Times New Roman"/>
                <w:sz w:val="18"/>
              </w:rPr>
              <w:t>119,000,000.00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深圳市思达高科投资有限公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967,802.27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7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3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439" w:lineRule="auto" w:before="109"/>
        <w:ind w:left="573" w:right="4581" w:hanging="420"/>
        <w:jc w:val="left"/>
      </w:pPr>
      <w:r>
        <w:rPr/>
        <w:t>资产负债表日存在的重要承诺 1．思达高科（现“智度投资”）与新乡远东公司的案件纠纷</w:t>
      </w:r>
    </w:p>
    <w:p>
      <w:pPr>
        <w:pStyle w:val="BodyText"/>
        <w:spacing w:line="240" w:lineRule="auto" w:before="47"/>
        <w:ind w:left="573" w:right="0"/>
        <w:jc w:val="left"/>
      </w:pPr>
      <w:r>
        <w:rPr/>
        <w:t>新乡远东公司2012年3月31日向法院起诉，起诉思达高科偿还设备款78万元。该事项事由为新乡远东公司向深圳银思奇</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16" w:lineRule="auto" w:before="44"/>
        <w:ind w:left="153" w:right="91"/>
        <w:jc w:val="left"/>
      </w:pPr>
      <w:r>
        <w:rPr>
          <w:spacing w:val="-2"/>
        </w:rPr>
        <w:t>电子有限公司（以下简称“深圳银思奇”）出售设备，设备款为78万元，深圳银思奇未支付该款项且申请了破产，新乡远东</w:t>
      </w:r>
      <w:r>
        <w:rPr>
          <w:spacing w:val="-63"/>
        </w:rPr>
        <w:t> </w:t>
      </w:r>
      <w:r>
        <w:rPr>
          <w:spacing w:val="-63"/>
        </w:rPr>
      </w:r>
      <w:r>
        <w:rPr>
          <w:spacing w:val="-2"/>
        </w:rPr>
        <w:t>公司以思达高科作为银思奇股东抽逃出资为由要求追加思达高科为被告并承担连带责任，目前案件一审已开庭，正在对对方</w:t>
      </w:r>
      <w:r>
        <w:rPr>
          <w:spacing w:val="-64"/>
        </w:rPr>
        <w:t> </w:t>
      </w:r>
      <w:r>
        <w:rPr>
          <w:spacing w:val="-64"/>
        </w:rPr>
      </w:r>
      <w:r>
        <w:rPr/>
        <w:t>提供的购销合同传真件进行鉴定过程中，处于暂时休庭状态。依据案件代理律师河南金学苑律师事务所以及本公司的判断， 新乡远东公司的诉讼理由不成立，公司败诉可能性较小。</w:t>
      </w:r>
    </w:p>
    <w:p>
      <w:pPr>
        <w:pStyle w:val="BodyText"/>
        <w:spacing w:line="240" w:lineRule="auto" w:before="139"/>
        <w:ind w:left="573" w:right="0"/>
        <w:jc w:val="left"/>
      </w:pPr>
      <w:r>
        <w:rPr/>
        <w:t>2．思达高科（现“智度投资”）与中信国安盟固利电源技术有限公司的案件纠纷</w:t>
      </w:r>
    </w:p>
    <w:p>
      <w:pPr>
        <w:spacing w:line="240" w:lineRule="auto" w:before="0"/>
        <w:rPr>
          <w:rFonts w:ascii="宋体" w:hAnsi="宋体" w:cs="宋体" w:eastAsia="宋体" w:hint="default"/>
          <w:sz w:val="15"/>
          <w:szCs w:val="15"/>
        </w:rPr>
      </w:pPr>
    </w:p>
    <w:p>
      <w:pPr>
        <w:pStyle w:val="BodyText"/>
        <w:spacing w:line="316" w:lineRule="auto"/>
        <w:ind w:left="153" w:right="0" w:firstLine="420"/>
        <w:jc w:val="left"/>
      </w:pPr>
      <w:r>
        <w:rPr/>
        <w:t>2014年12月思达高科公司收到深圳市福田区人民法院民事诉状、（2014）深福法民二初字第7433号传票等诉讼材料， 诉讼内容如下：</w:t>
      </w:r>
    </w:p>
    <w:p>
      <w:pPr>
        <w:pStyle w:val="BodyText"/>
        <w:spacing w:line="316" w:lineRule="auto" w:before="139"/>
        <w:ind w:left="153" w:right="6151" w:firstLine="420"/>
        <w:jc w:val="left"/>
      </w:pPr>
      <w:r>
        <w:rPr/>
        <w:t>原告：中信国安盟固利电源技术有限公司 被告一:黄永宏</w:t>
      </w:r>
    </w:p>
    <w:p>
      <w:pPr>
        <w:pStyle w:val="BodyText"/>
        <w:spacing w:line="439" w:lineRule="auto" w:before="139"/>
        <w:ind w:left="573" w:right="6331"/>
        <w:jc w:val="left"/>
      </w:pPr>
      <w:r>
        <w:rPr/>
        <w:t>被告二：曲绍强 被告三：河南思奇科技投资有限公司 被告四：河南思达高科技股份有限公司 被告五：深圳联创立信会计师事务所</w:t>
      </w:r>
    </w:p>
    <w:p>
      <w:pPr>
        <w:pStyle w:val="BodyText"/>
        <w:spacing w:line="316" w:lineRule="auto" w:before="47"/>
        <w:ind w:left="153" w:right="189" w:firstLine="420"/>
        <w:jc w:val="both"/>
      </w:pPr>
      <w:r>
        <w:rPr>
          <w:spacing w:val="-1"/>
        </w:rPr>
        <w:t>诉讼请求：（1）判令被告一、二、三对（2012）深宝法民二初字第1824号《民事判决书》所确定的深圳银思奇电子有</w:t>
      </w:r>
      <w:r>
        <w:rPr/>
        <w:t> 限公司所欠原告的债务【包括贷款本金人民币8,709,199.23元及逾期付款违约金（违约金按日万分之四，暂计至2012年9月</w:t>
      </w:r>
      <w:r>
        <w:rPr>
          <w:spacing w:val="-84"/>
        </w:rPr>
        <w:t> </w:t>
      </w:r>
      <w:r>
        <w:rPr>
          <w:spacing w:val="-84"/>
        </w:rPr>
      </w:r>
      <w:r>
        <w:rPr/>
        <w:t>10日为人民币1,014,980.36元，应计至清偿日）、诉讼费人民币86,000元】承担连带清偿责任；</w:t>
      </w:r>
    </w:p>
    <w:p>
      <w:pPr>
        <w:pStyle w:val="BodyText"/>
        <w:spacing w:line="316" w:lineRule="auto" w:before="139"/>
        <w:ind w:left="153" w:right="175" w:firstLine="420"/>
        <w:jc w:val="left"/>
      </w:pPr>
      <w:r>
        <w:rPr>
          <w:spacing w:val="-1"/>
        </w:rPr>
        <w:t>（2）判令被告四在人民币1100万元的范围内，就上述第一项请求债务向原告承担赔偿责任，被告一与被告四承担连带</w:t>
      </w:r>
      <w:r>
        <w:rPr/>
        <w:t> 责任；</w:t>
      </w:r>
    </w:p>
    <w:p>
      <w:pPr>
        <w:pStyle w:val="BodyText"/>
        <w:spacing w:line="240" w:lineRule="auto" w:before="139"/>
        <w:ind w:left="573" w:right="0"/>
        <w:jc w:val="left"/>
      </w:pPr>
      <w:r>
        <w:rPr/>
        <w:t>（3）判令被告五在人民币3000万元的范围内，就上述第一项请求债务向原告承担赔偿责任；</w:t>
      </w:r>
    </w:p>
    <w:p>
      <w:pPr>
        <w:pStyle w:val="BodyText"/>
        <w:spacing w:line="430" w:lineRule="atLeast" w:before="2"/>
        <w:ind w:left="573" w:right="0"/>
        <w:jc w:val="left"/>
      </w:pPr>
      <w:r>
        <w:rPr/>
        <w:t>（4）由五被告承担本案全部诉讼费用。 思达高科（现“智度投资”）已聘请律师积极应诉，依据广东华商律师事务所以及公司的判断，原告人的诉讼理由不</w:t>
      </w:r>
    </w:p>
    <w:p>
      <w:pPr>
        <w:pStyle w:val="BodyText"/>
        <w:spacing w:line="439" w:lineRule="auto" w:before="76"/>
        <w:ind w:left="573" w:right="4441" w:hanging="420"/>
        <w:jc w:val="left"/>
      </w:pPr>
      <w:r>
        <w:rPr/>
        <w:t>成立，公司败诉的可能性较小。 3．思达高科（现“智度投资”）与快乐屋的土地纠纷诉讼案件</w:t>
      </w:r>
    </w:p>
    <w:p>
      <w:pPr>
        <w:pStyle w:val="BodyText"/>
        <w:spacing w:line="240" w:lineRule="auto" w:before="47"/>
        <w:ind w:left="573" w:right="0"/>
        <w:jc w:val="left"/>
      </w:pPr>
      <w:r>
        <w:rPr/>
        <w:t>快乐屋因土地使用权转让纠纷提起仲裁，要求思达高科（现“智度投资”）继续履行《房地产买卖契约》，将郑国用</w:t>
      </w:r>
    </w:p>
    <w:p>
      <w:pPr>
        <w:pStyle w:val="BodyText"/>
        <w:spacing w:line="316" w:lineRule="auto" w:before="76"/>
        <w:ind w:left="153" w:right="188"/>
        <w:jc w:val="both"/>
      </w:pPr>
      <w:r>
        <w:rPr/>
        <w:t>【1996】字第1296号国有土地使用权证过户至其名下。郑州仲裁委员会</w:t>
      </w:r>
      <w:r>
        <w:rPr>
          <w:spacing w:val="7"/>
        </w:rPr>
        <w:t> </w:t>
      </w:r>
      <w:r>
        <w:rPr/>
        <w:t>裁决支持快乐屋的请求。现快乐屋向郑州市中级人</w:t>
      </w:r>
      <w:r>
        <w:rPr/>
        <w:t> </w:t>
      </w:r>
      <w:r>
        <w:rPr>
          <w:spacing w:val="-5"/>
        </w:rPr>
        <w:t>民法院申请执行，要求思达高科（现“智度投资”）履行裁决，并向其支付仲裁费20000元、执行费200元。思达高科（现“智</w:t>
      </w:r>
      <w:r>
        <w:rPr>
          <w:spacing w:val="-64"/>
        </w:rPr>
        <w:t> </w:t>
      </w:r>
      <w:r>
        <w:rPr>
          <w:spacing w:val="-64"/>
        </w:rPr>
      </w:r>
      <w:r>
        <w:rPr/>
        <w:t>度投资”）已聘请河南明商律师事务所积极应诉，该案件目前仍正在该法院处理过程中。</w:t>
      </w:r>
    </w:p>
    <w:p>
      <w:pPr>
        <w:pStyle w:val="BodyText"/>
        <w:spacing w:line="432" w:lineRule="exact" w:before="3"/>
        <w:ind w:left="573" w:right="175"/>
        <w:jc w:val="left"/>
      </w:pPr>
      <w:r>
        <w:rPr/>
        <w:t>4.思达高科（现“智度投资”）与河南天视达通信技术有限公司的案件纠纷 </w:t>
      </w:r>
      <w:r>
        <w:rPr>
          <w:spacing w:val="-1"/>
        </w:rPr>
        <w:t>河南天视达通信技术有限公司2012年1月向河南省郑州市中级人民法院提起诉讼，以思达高科抽逃对河南天视达通信技</w:t>
      </w:r>
    </w:p>
    <w:p>
      <w:pPr>
        <w:pStyle w:val="BodyText"/>
        <w:spacing w:line="240" w:lineRule="auto" w:before="15"/>
        <w:ind w:left="153" w:right="0"/>
        <w:jc w:val="left"/>
      </w:pPr>
      <w:r>
        <w:rPr>
          <w:spacing w:val="2"/>
        </w:rPr>
        <w:t>术有限公司的出资款794万元为由，要求思达高科返还出资额794万元。2014年2月28日，河南省郑州市中级人民法院出具</w:t>
      </w:r>
      <w:r>
        <w:rPr/>
      </w:r>
    </w:p>
    <w:p>
      <w:pPr>
        <w:pStyle w:val="BodyText"/>
        <w:spacing w:line="316" w:lineRule="auto" w:before="76"/>
        <w:ind w:left="153" w:right="0"/>
        <w:jc w:val="left"/>
      </w:pPr>
      <w:r>
        <w:rPr>
          <w:spacing w:val="-2"/>
        </w:rPr>
        <w:t>（2013）郑民四初字第208号判决书，判决驳回对方的诉讼请求。河南天视达通信技术有限公司对一审判决不服，进行上诉，</w:t>
      </w:r>
      <w:r>
        <w:rPr>
          <w:spacing w:val="-58"/>
        </w:rPr>
        <w:t> </w:t>
      </w:r>
      <w:r>
        <w:rPr>
          <w:spacing w:val="-58"/>
        </w:rPr>
      </w:r>
      <w:r>
        <w:rPr>
          <w:spacing w:val="-2"/>
        </w:rPr>
        <w:t>目前该案件正在二审中，依据案件代理律师河南金学苑律师事务所以及本公司的判断，河南天视达通信技术有限公司的诉讼</w:t>
      </w:r>
      <w:r>
        <w:rPr>
          <w:spacing w:val="-64"/>
        </w:rPr>
        <w:t> </w:t>
      </w:r>
      <w:r>
        <w:rPr>
          <w:spacing w:val="-64"/>
        </w:rPr>
      </w:r>
      <w:r>
        <w:rPr/>
        <w:t>理由不成立，公司二审败诉可能性较小。</w:t>
      </w:r>
    </w:p>
    <w:p>
      <w:pPr>
        <w:spacing w:after="0" w:line="316" w:lineRule="auto"/>
        <w:jc w:val="left"/>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6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2"/>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48" w:firstLine="420"/>
        <w:jc w:val="both"/>
      </w:pPr>
      <w:r>
        <w:rPr>
          <w:spacing w:val="-1"/>
        </w:rPr>
        <w:t>经中国证监会上市公司并购重组审核委员会于2015年12月31日召开的2015年第113次工作会议审核，智度投资股份有限</w:t>
      </w:r>
      <w:r>
        <w:rPr/>
        <w:t> 公司重大资产重组事项未获得通过。2016年1月22日，公司正式收到中国证监会《关于不予核准智度投资股份有限公司向上</w:t>
      </w:r>
      <w:r>
        <w:rPr>
          <w:spacing w:val="-83"/>
        </w:rPr>
        <w:t> </w:t>
      </w:r>
      <w:r>
        <w:rPr>
          <w:spacing w:val="-83"/>
        </w:rPr>
      </w:r>
      <w:r>
        <w:rPr/>
        <w:t>海易晋网络科技有限公司等发行股份购买资产并募集配套资金的决定》（证监许可[2016]120号），证监会上市公司并购重</w:t>
      </w:r>
      <w:r>
        <w:rPr>
          <w:spacing w:val="-84"/>
        </w:rPr>
        <w:t> </w:t>
      </w:r>
      <w:r>
        <w:rPr>
          <w:spacing w:val="-84"/>
        </w:rPr>
      </w:r>
      <w:r>
        <w:rPr>
          <w:spacing w:val="-2"/>
        </w:rPr>
        <w:t>组审核委员会根据《公司法》、《证券法》、《上市公司重大资产重组管理办法》等有关规定，对公司本次发行股份购买资</w:t>
      </w:r>
      <w:r>
        <w:rPr>
          <w:spacing w:val="-69"/>
        </w:rPr>
        <w:t> </w:t>
      </w:r>
      <w:r>
        <w:rPr>
          <w:spacing w:val="-69"/>
        </w:rPr>
      </w:r>
      <w:r>
        <w:rPr/>
        <w:t>产并募集配套资金申请作出不予核准的决定。</w:t>
      </w:r>
    </w:p>
    <w:p>
      <w:pPr>
        <w:pStyle w:val="BodyText"/>
        <w:spacing w:line="316" w:lineRule="auto" w:before="139"/>
        <w:ind w:left="153" w:right="146" w:firstLine="420"/>
        <w:jc w:val="both"/>
      </w:pPr>
      <w:r>
        <w:rPr/>
        <w:t>本次重大资产重组事项的实施有利于提升公司核心竞争力，保障公司长期可持续发展，符合公司和全体股东利益。公</w:t>
      </w:r>
      <w:r>
        <w:rPr>
          <w:spacing w:val="1"/>
        </w:rPr>
        <w:t> </w:t>
      </w:r>
      <w:r>
        <w:rPr>
          <w:spacing w:val="-2"/>
        </w:rPr>
        <w:t>司董事会决定继续推进本次重大资产重组事项，并已于2016年1月3日召开了董事会第七届第十二次会议，审议通过了《关于</w:t>
      </w:r>
      <w:r>
        <w:rPr>
          <w:spacing w:val="-60"/>
        </w:rPr>
        <w:t> </w:t>
      </w:r>
      <w:r>
        <w:rPr>
          <w:spacing w:val="-60"/>
        </w:rPr>
      </w:r>
      <w:r>
        <w:rPr>
          <w:spacing w:val="-2"/>
        </w:rPr>
        <w:t>继续推进公司本次重大资产重组事项的议案》。目前，公司正积极推动本次重大资产重组涉及的各方面工作，协同相关中介</w:t>
      </w:r>
      <w:r>
        <w:rPr>
          <w:spacing w:val="-66"/>
        </w:rPr>
        <w:t> </w:t>
      </w:r>
      <w:r>
        <w:rPr>
          <w:spacing w:val="-66"/>
        </w:rPr>
      </w:r>
      <w:r>
        <w:rPr/>
        <w:t>机构对申报材料进行修订、补充和完善，待相关工作完成后提交中国证监会审核。</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09" w:right="0"/>
              <w:jc w:val="left"/>
              <w:rPr>
                <w:rFonts w:ascii="宋体" w:hAnsi="宋体" w:cs="宋体" w:eastAsia="宋体" w:hint="default"/>
                <w:sz w:val="18"/>
                <w:szCs w:val="18"/>
              </w:rPr>
            </w:pPr>
            <w:r>
              <w:rPr>
                <w:rFonts w:ascii="宋体" w:hAnsi="宋体" w:cs="宋体" w:eastAsia="宋体" w:hint="default"/>
                <w:sz w:val="18"/>
                <w:szCs w:val="18"/>
              </w:rPr>
              <w:t>受影响的各个比较期间报表</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36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58"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归属于母公司所</w:t>
            </w:r>
          </w:p>
        </w:tc>
      </w:tr>
      <w:tr>
        <w:trPr>
          <w:trHeight w:val="313"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有者的终止经营</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2"/>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59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12,794,</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422.64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12,794,42</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2.64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136,985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,154.72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81.84%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70,348,63</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1.82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66,636,522.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17,603,</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602.40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17,603,60</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2.40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167,383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,179.76</w:t>
            </w: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100,746,6</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56.86</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66,636,522.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r>
    </w:tbl>
    <w:p>
      <w:pPr>
        <w:pStyle w:val="BodyText"/>
        <w:spacing w:line="240" w:lineRule="auto" w:before="51"/>
        <w:ind w:right="0"/>
        <w:jc w:val="left"/>
      </w:pPr>
      <w:r>
        <w:rPr/>
        <w:t>期末单项金额重大并单项计提坏账准备的应收账款：</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38" w:lineRule="auto" w:before="43"/>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48" w:lineRule="auto" w:before="42"/>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after="0" w:line="348"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BodyText"/>
        <w:spacing w:line="338" w:lineRule="auto" w:before="44"/>
        <w:ind w:right="-18"/>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5823" w:space="3005"/>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964;top:14;width:23;height:393" coordorigin="4964,14" coordsize="23,393">
              <v:shape style="position:absolute;left:4964;top:14;width:23;height:393" coordorigin="4964,14" coordsize="23,393" path="m4964,407l4987,407,4987,14,4964,14,4964,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928;height:393" coordorigin="37,14" coordsize="4928,393">
              <v:shape style="position:absolute;left:37;top:14;width:4928;height:393" coordorigin="37,14" coordsize="4928,393" path="m37,407l4964,407,4964,14,37,14,37,407xe" filled="true" fillcolor="#d3d3d3" stroked="false">
                <v:path arrowok="t"/>
                <v:fill type="solid"/>
              </v:shape>
            </v:group>
            <v:group style="position:absolute;left:4998;top:14;width:23;height:393" coordorigin="4998,14" coordsize="23,393">
              <v:shape style="position:absolute;left:4998;top:14;width:23;height:393" coordorigin="4998,14" coordsize="23,393" path="m4998,407l5021,407,5021,14,4998,14,4998,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5021;top:14;width:4529;height:393" coordorigin="5021,14" coordsize="4529,393">
              <v:shape style="position:absolute;left:5021;top:14;width:4529;height:393" coordorigin="5021,14" coordsize="4529,393" path="m5021,407l9550,407,9550,14,5021,14,5021,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984;height:2" coordorigin="5,412" coordsize="4984,2">
              <v:shape style="position:absolute;left:5;top:412;width:4984;height:2" coordorigin="5,412" coordsize="4984,0" path="m5,412l4988,412e" filled="false" stroked="true" strokeweight=".47998pt" strokecolor="#000000">
                <v:path arrowok="t"/>
              </v:shape>
            </v:group>
            <v:group style="position:absolute;left:4993;top:14;width:2;height:402" coordorigin="4993,14" coordsize="2,402">
              <v:shape style="position:absolute;left:4993;top:14;width:2;height:402" coordorigin="4993,14" coordsize="0,402" path="m4993,14l4993,416e" filled="false" stroked="true" strokeweight=".47998pt" strokecolor="#000000">
                <v:path arrowok="t"/>
              </v:shape>
            </v:group>
            <v:group style="position:absolute;left:4998;top:412;width:4575;height:2" coordorigin="4998,412" coordsize="4575,2">
              <v:shape style="position:absolute;left:4998;top:412;width:4575;height:2" coordorigin="4998,412" coordsize="4575,0" path="m4998,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3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其中重要的应收账款核销情况：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85"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7,248,9</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47.09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11.67%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7,248,947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5,004,46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4,904,374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18,764,</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353.65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30.22%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15,796,76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2,967,590.4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36,078,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58.11%</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8" w:right="0"/>
              <w:jc w:val="center"/>
              <w:rPr>
                <w:rFonts w:ascii="Times New Roman" w:hAnsi="Times New Roman" w:cs="Times New Roman" w:eastAsia="Times New Roman" w:hint="default"/>
                <w:sz w:val="18"/>
                <w:szCs w:val="18"/>
              </w:rPr>
            </w:pPr>
            <w:r>
              <w:rPr>
                <w:rFonts w:ascii="Times New Roman"/>
                <w:sz w:val="18"/>
              </w:rPr>
              <w:t>36,078,54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85"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0"/>
              <w:jc w:val="left"/>
              <w:rPr>
                <w:rFonts w:ascii="Times New Roman" w:hAnsi="Times New Roman" w:cs="Times New Roman" w:eastAsia="Times New Roman" w:hint="default"/>
                <w:sz w:val="18"/>
                <w:szCs w:val="18"/>
              </w:rPr>
            </w:pPr>
            <w:r>
              <w:rPr>
                <w:rFonts w:ascii="Times New Roman"/>
                <w:sz w:val="18"/>
              </w:rPr>
              <w:t>542.72</w:t>
            </w: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5" w:right="0"/>
              <w:jc w:val="left"/>
              <w:rPr>
                <w:rFonts w:ascii="Times New Roman" w:hAnsi="Times New Roman" w:cs="Times New Roman" w:eastAsia="Times New Roman" w:hint="default"/>
                <w:sz w:val="18"/>
                <w:szCs w:val="18"/>
              </w:rPr>
            </w:pPr>
            <w:r>
              <w:rPr>
                <w:rFonts w:ascii="Times New Roman"/>
                <w:sz w:val="18"/>
              </w:rPr>
              <w:t>2.72</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5,004,46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3.81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4,904,374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62,091,</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843.46</w:t>
            </w: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59,124,25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3.06</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2,967,590.4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5,004,463.81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100,089.28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5,004,463.81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100,089.28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5,004,463.81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100,089.28</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3" w:right="5271"/>
        <w:jc w:val="left"/>
      </w:pPr>
      <w:r>
        <w:rPr/>
        <w:t>确定该组合依据的说明： 组合中，采用余额百分比法计提坏账准备的其他应收款：</w:t>
      </w:r>
    </w:p>
    <w:p>
      <w:pPr>
        <w:pStyle w:val="BodyText"/>
        <w:spacing w:line="340" w:lineRule="auto" w:before="26"/>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38" w:lineRule="auto" w:before="44"/>
        <w:ind w:right="-17"/>
        <w:jc w:val="left"/>
      </w:pPr>
      <w:r>
        <w:rPr/>
        <w:t>本期计提坏账准备金额</w:t>
      </w:r>
      <w:r>
        <w:rPr>
          <w:spacing w:val="-46"/>
        </w:rPr>
        <w:t> </w:t>
      </w:r>
      <w:r>
        <w:rPr>
          <w:rFonts w:ascii="Times New Roman" w:hAnsi="Times New Roman" w:cs="Times New Roman" w:eastAsia="Times New Roman" w:hint="default"/>
        </w:rPr>
        <w:t>100,089.28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319" w:space="2509"/>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964;top:14;width:23;height:393" coordorigin="4964,14" coordsize="23,393">
              <v:shape style="position:absolute;left:4964;top:14;width:23;height:393" coordorigin="4964,14" coordsize="23,393" path="m4964,407l4987,407,4987,14,4964,14,4964,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928;height:393" coordorigin="37,14" coordsize="4928,393">
              <v:shape style="position:absolute;left:37;top:14;width:4928;height:393" coordorigin="37,14" coordsize="4928,393" path="m37,407l4964,407,4964,14,37,14,37,407xe" filled="true" fillcolor="#d3d3d3" stroked="false">
                <v:path arrowok="t"/>
                <v:fill type="solid"/>
              </v:shape>
            </v:group>
            <v:group style="position:absolute;left:4998;top:14;width:23;height:393" coordorigin="4998,14" coordsize="23,393">
              <v:shape style="position:absolute;left:4998;top:14;width:23;height:393" coordorigin="4998,14" coordsize="23,393" path="m4998,407l5021,407,5021,14,4998,14,4998,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5021;top:14;width:4529;height:393" coordorigin="5021,14" coordsize="4529,393">
              <v:shape style="position:absolute;left:5021;top:14;width:4529;height:393" coordorigin="5021,14" coordsize="4529,393" path="m5021,407l9550,407,9550,14,5021,14,5021,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984;height:2" coordorigin="5,412" coordsize="4984,2">
              <v:shape style="position:absolute;left:5;top:412;width:4984;height:2" coordorigin="5,412" coordsize="4984,0" path="m5,412l4988,412e" filled="false" stroked="true" strokeweight=".48001pt" strokecolor="#000000">
                <v:path arrowok="t"/>
              </v:shape>
            </v:group>
            <v:group style="position:absolute;left:4993;top:14;width:2;height:402" coordorigin="4993,14" coordsize="2,402">
              <v:shape style="position:absolute;left:4993;top:14;width:2;height:402" coordorigin="4993,14" coordsize="0,402" path="m4993,14l4993,416e" filled="false" stroked="true" strokeweight=".47998pt" strokecolor="#000000">
                <v:path arrowok="t"/>
              </v:shape>
            </v:group>
            <v:group style="position:absolute;left:4998;top:412;width:4575;height:2" coordorigin="4998,412" coordsize="4575,2">
              <v:shape style="position:absolute;left:4998;top:412;width:4575;height:2" coordorigin="4998,412" coordsize="4575,0" path="m4998,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3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其中重要的其他应收款核销情况：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其他应收款核销说明：</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25,973.24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54,411,546.99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4,978,490.57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7,680,296.47</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5,004,463.81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62,091,843.46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华泰联合证券有限责 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71.94%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（特殊普通合伙）</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566,037.74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中勤万信会计事务所</w:t>
            </w:r>
          </w:p>
          <w:p>
            <w:pPr>
              <w:pStyle w:val="TableParagraph"/>
              <w:spacing w:line="319" w:lineRule="auto" w:before="76"/>
              <w:ind w:left="22" w:right="29"/>
              <w:jc w:val="left"/>
              <w:rPr>
                <w:rFonts w:ascii="宋体" w:hAnsi="宋体" w:cs="宋体" w:eastAsia="宋体" w:hint="default"/>
                <w:sz w:val="18"/>
                <w:szCs w:val="18"/>
              </w:rPr>
            </w:pPr>
            <w:r>
              <w:rPr>
                <w:rFonts w:ascii="宋体" w:hAnsi="宋体" w:cs="宋体" w:eastAsia="宋体" w:hint="default"/>
                <w:sz w:val="18"/>
                <w:szCs w:val="18"/>
              </w:rPr>
              <w:t>（特殊普通合伙）河 南分所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415,094.33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北京国枫律师事务所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377,358.50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4,973,490.57</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99.38%</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7"/>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5"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53,208,995.26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53,208,995.26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88,269,765.95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88,269,765.95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53,208,995.26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53,208,995.26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88,269,765.95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88,269,765.95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深圳市思达仪表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53,208,995.26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53,208,995.26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河南思达软件工 程有限公司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10,400,000.00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10,400,000.00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上海英迈吉东影 图像设备有限公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24,660,770.69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24,660,770.69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88,269,765.95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35,060,770.69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53,208,995.26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56,786,514.64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47,364,090.37</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1,033,706.33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305,165.69</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57,820,220.97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47,669,256.06</w:t>
            </w:r>
          </w:p>
        </w:tc>
      </w:tr>
    </w:tbl>
    <w:p>
      <w:pPr>
        <w:pStyle w:val="BodyText"/>
        <w:spacing w:line="240" w:lineRule="auto" w:before="51"/>
        <w:ind w:right="0"/>
        <w:jc w:val="left"/>
      </w:pPr>
      <w:r>
        <w:rPr/>
        <w:t>其他说明：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284,514.68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6,523.73</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284,514.68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6,523.73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42,854,354.55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4,121,938.32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82,444.98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645,841.21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-1,632,045.06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2,166,129.80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650,990.71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43,255,413.49</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382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0.0111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0.0111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-0.1264</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right="135"/>
        <w:jc w:val="center"/>
        <w:rPr>
          <w:b w:val="0"/>
          <w:bCs w:val="0"/>
        </w:rPr>
      </w:pPr>
      <w:bookmarkStart w:name="_TOC_250000" w:id="11"/>
      <w:r>
        <w:rPr/>
        <w:t>第十一节</w:t>
      </w:r>
      <w:r>
        <w:rPr>
          <w:spacing w:val="-9"/>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t>（一）载有法定代表人、主管会计工作负责人（总会计师）、会计机构负责人（会计主管人员）签名并盖章的会计报表。</w:t>
      </w:r>
    </w:p>
    <w:p>
      <w:pPr>
        <w:pStyle w:val="BodyText"/>
        <w:spacing w:line="240" w:lineRule="auto" w:before="76"/>
        <w:ind w:right="0"/>
        <w:jc w:val="left"/>
      </w:pPr>
      <w:r>
        <w:rPr/>
        <w:t>（二）载有会计师事务所盖章、注册会计师签名并盖章的审计报告原件。</w:t>
      </w:r>
    </w:p>
    <w:p>
      <w:pPr>
        <w:pStyle w:val="BodyText"/>
        <w:spacing w:line="240" w:lineRule="auto" w:before="76"/>
        <w:ind w:right="0"/>
        <w:jc w:val="left"/>
      </w:pPr>
      <w:r>
        <w:rPr/>
        <w:t>（三）报告期内在中国证监会指定报纸上公开披露过的所有公司文件的正本及公告。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pStyle w:val="BodyText"/>
        <w:spacing w:line="717" w:lineRule="auto"/>
        <w:ind w:left="6817" w:right="410" w:hanging="4"/>
        <w:jc w:val="left"/>
      </w:pPr>
      <w:r>
        <w:rPr/>
        <w:t>智度投资股份有限公司 </w:t>
      </w:r>
      <w:r>
        <w:rPr>
          <w:spacing w:val="-12"/>
        </w:rPr>
        <w:t>董事长（签名）：</w:t>
      </w:r>
      <w:r>
        <w:rPr>
          <w:spacing w:val="2"/>
        </w:rPr>
        <w:t> </w:t>
      </w:r>
      <w:r>
        <w:rPr/>
        <w:t>赵立仁</w:t>
      </w:r>
      <w:r>
        <w:rPr/>
        <w:t> 二〇一六年二月二十九日</w:t>
      </w:r>
    </w:p>
    <w:sectPr>
      <w:pgSz w:w="11910" w:h="16840"/>
      <w:pgMar w:header="877" w:footer="982"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8380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38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838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37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8379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837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19995pt;margin-top:36.325325pt;width:177.5pt;height:11.5pt;mso-position-horizontal-relative:page;mso-position-vertical-relative:page;z-index:-838120" type="#_x0000_t202" filled="false" stroked="false">
          <v:textbox inset="0,0,0,0">
            <w:txbxContent>
              <w:p>
                <w:pPr>
                  <w:pStyle w:val="BodyText"/>
                  <w:spacing w:line="214" w:lineRule="exact"/>
                  <w:ind w:left="20" w:right="0"/>
                  <w:jc w:val="left"/>
                </w:pPr>
                <w:r>
                  <w:rPr/>
                  <w:t>智度投资股份有限公司</w:t>
                </w:r>
                <w:r>
                  <w:rPr>
                    <w:spacing w:val="-46"/>
                  </w:rPr>
                  <w:t> </w:t>
                </w:r>
                <w:r>
                  <w:rPr>
                    <w:rFonts w:ascii="Times New Roman" w:hAnsi="Times New Roman" w:cs="Times New Roman" w:eastAsia="Times New Roman" w:hint="default"/>
                  </w:rPr>
                  <w:t>2015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3.410522pt;margin-top:42.865623pt;width:177.5pt;height:11.5pt;mso-position-horizontal-relative:page;mso-position-vertical-relative:page;z-index:-838048" type="#_x0000_t202" filled="false" stroked="false">
          <v:textbox inset="0,0,0,0">
            <w:txbxContent>
              <w:p>
                <w:pPr>
                  <w:pStyle w:val="BodyText"/>
                  <w:spacing w:line="214" w:lineRule="exact"/>
                  <w:ind w:left="20" w:right="0"/>
                  <w:jc w:val="left"/>
                </w:pPr>
                <w:r>
                  <w:rPr/>
                  <w:t>智度投资股份有限公司</w:t>
                </w:r>
                <w:r>
                  <w:rPr>
                    <w:spacing w:val="-46"/>
                  </w:rPr>
                  <w:t> </w:t>
                </w:r>
                <w:r>
                  <w:rPr>
                    <w:rFonts w:ascii="Times New Roman" w:hAnsi="Times New Roman" w:cs="Times New Roman" w:eastAsia="Times New Roman" w:hint="default"/>
                  </w:rPr>
                  <w:t>2015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838000"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62.119995pt;margin-top:42.865326pt;width:177.5pt;height:11.5pt;mso-position-horizontal-relative:page;mso-position-vertical-relative:page;z-index:-837976" type="#_x0000_t202" filled="false" stroked="false">
          <v:textbox inset="0,0,0,0">
            <w:txbxContent>
              <w:p>
                <w:pPr>
                  <w:pStyle w:val="BodyText"/>
                  <w:spacing w:line="214" w:lineRule="exact"/>
                  <w:ind w:left="20" w:right="0"/>
                  <w:jc w:val="left"/>
                </w:pPr>
                <w:r>
                  <w:rPr/>
                  <w:t>智度投资股份有限公司</w:t>
                </w:r>
                <w:r>
                  <w:rPr>
                    <w:spacing w:val="-46"/>
                  </w:rPr>
                  <w:t> </w:t>
                </w:r>
                <w:r>
                  <w:rPr>
                    <w:rFonts w:ascii="Times New Roman" w:hAnsi="Times New Roman" w:cs="Times New Roman" w:eastAsia="Times New Roman" w:hint="default"/>
                  </w:rPr>
                  <w:t>2015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4"/>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13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4"/>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hnstar.com/" TargetMode="External"/><Relationship Id="rId10" Type="http://schemas.openxmlformats.org/officeDocument/2006/relationships/hyperlink" Target="mailto:zdtz@genimous.com" TargetMode="External"/><Relationship Id="rId11" Type="http://schemas.openxmlformats.org/officeDocument/2006/relationships/hyperlink" Target="mailto:xjx9656@163.com" TargetMode="External"/><Relationship Id="rId12" Type="http://schemas.openxmlformats.org/officeDocument/2006/relationships/hyperlink" Target="http://www.cninfo.com.cn/" TargetMode="External"/><Relationship Id="rId13" Type="http://schemas.openxmlformats.org/officeDocument/2006/relationships/hyperlink" Target="http://w/" TargetMode="External"/><Relationship Id="rId14" Type="http://schemas.openxmlformats.org/officeDocument/2006/relationships/image" Target="media/image2.jpeg"/><Relationship Id="rId15" Type="http://schemas.openxmlformats.org/officeDocument/2006/relationships/hyperlink" Target="http://www.cninfo.co/" TargetMode="External"/><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luoguilan</dc:creator>
  <dc:title>&lt;4D6963726F736F667420576F7264202D2031A1A232303135C4EAC4EAB6C8B1A8B8E6C8ABCEC42E646F63&gt;</dc:title>
  <dcterms:created xsi:type="dcterms:W3CDTF">2020-05-04T10:39:46Z</dcterms:created>
  <dcterms:modified xsi:type="dcterms:W3CDTF">2020-05-04T10:39:46Z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2016-02-29T00:00:00Z</vt:filetime>
  </property>
  <property fmtid="{D5CDD505-2E9C-101B-9397-08002B2CF9AE}" pid="3" name="Creator">
    <vt:lpwstr>PScript5.dll Version 5.2.2</vt:lpwstr>
  </property>
  <property fmtid="{D5CDD505-2E9C-101B-9397-08002B2CF9AE}" pid="4" name="LastSaved">
    <vt:filetime>2020-05-04T00:00:00Z</vt:filetime>
  </property>
</Properties>
</file>