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422" w:lineRule="exact"/>
        <w:ind w:left="397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
          <w:sz w:val="20"/>
          <w:szCs w:val="20"/>
        </w:rPr>
        <w:drawing>
          <wp:inline distT="0" distB="0" distL="0" distR="0">
            <wp:extent cx="1269364" cy="90297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269364" cy="902970"/>
                    </a:xfrm>
                    <a:prstGeom prst="rect">
                      <a:avLst/>
                    </a:prstGeom>
                  </pic:spPr>
                </pic:pic>
              </a:graphicData>
            </a:graphic>
          </wp:inline>
        </w:drawing>
      </w:r>
      <w:r>
        <w:rPr>
          <w:rFonts w:ascii="Times New Roman" w:hAnsi="Times New Roman" w:cs="Times New Roman" w:eastAsia="Times New Roman" w:hint="default"/>
          <w:position w:val="-27"/>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615" w:right="1592" w:firstLine="0"/>
        <w:jc w:val="center"/>
        <w:rPr>
          <w:rFonts w:ascii="宋体" w:hAnsi="宋体" w:cs="宋体" w:eastAsia="宋体" w:hint="default"/>
          <w:sz w:val="36"/>
          <w:szCs w:val="36"/>
        </w:rPr>
      </w:pPr>
      <w:r>
        <w:rPr>
          <w:rFonts w:ascii="宋体" w:hAnsi="宋体" w:cs="宋体" w:eastAsia="宋体" w:hint="default"/>
          <w:b/>
          <w:bCs/>
          <w:sz w:val="36"/>
          <w:szCs w:val="36"/>
        </w:rPr>
        <w:t>智度科技股份有限公司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615" w:right="1594" w:firstLine="0"/>
        <w:jc w:val="center"/>
        <w:rPr>
          <w:rFonts w:ascii="宋体" w:hAnsi="宋体" w:cs="宋体" w:eastAsia="宋体" w:hint="default"/>
          <w:sz w:val="32"/>
          <w:szCs w:val="32"/>
        </w:rPr>
      </w:pPr>
      <w:r>
        <w:rPr>
          <w:rFonts w:ascii="宋体" w:hAnsi="宋体" w:cs="宋体" w:eastAsia="宋体" w:hint="default"/>
          <w:b/>
          <w:bCs/>
          <w:sz w:val="32"/>
          <w:szCs w:val="32"/>
        </w:rPr>
        <w:t>2017</w:t>
      </w:r>
      <w:r>
        <w:rPr>
          <w:rFonts w:ascii="宋体" w:hAnsi="宋体" w:cs="宋体" w:eastAsia="宋体" w:hint="default"/>
          <w:b/>
          <w:bCs/>
          <w:spacing w:val="-87"/>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3"/>
        <w:rPr>
          <w:rFonts w:ascii="宋体" w:hAnsi="宋体" w:cs="宋体" w:eastAsia="宋体" w:hint="default"/>
          <w:b/>
          <w:bCs/>
          <w:sz w:val="42"/>
          <w:szCs w:val="42"/>
        </w:rPr>
      </w:pPr>
    </w:p>
    <w:p>
      <w:pPr>
        <w:spacing w:before="0"/>
        <w:ind w:left="615" w:right="1591" w:firstLine="0"/>
        <w:jc w:val="center"/>
        <w:rPr>
          <w:rFonts w:ascii="宋体" w:hAnsi="宋体" w:cs="宋体" w:eastAsia="宋体" w:hint="default"/>
          <w:sz w:val="32"/>
          <w:szCs w:val="32"/>
        </w:rPr>
      </w:pPr>
      <w:r>
        <w:rPr>
          <w:rFonts w:ascii="宋体" w:hAnsi="宋体" w:cs="宋体" w:eastAsia="宋体" w:hint="default"/>
          <w:b/>
          <w:bCs/>
          <w:sz w:val="32"/>
          <w:szCs w:val="32"/>
        </w:rPr>
        <w:t>2018</w:t>
      </w:r>
      <w:r>
        <w:rPr>
          <w:rFonts w:ascii="宋体" w:hAnsi="宋体" w:cs="宋体" w:eastAsia="宋体" w:hint="default"/>
          <w:b/>
          <w:bCs/>
          <w:spacing w:val="-82"/>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宋体" w:hAnsi="宋体" w:cs="宋体" w:eastAsia="宋体" w:hint="default"/>
          <w:b/>
          <w:bCs/>
          <w:sz w:val="32"/>
          <w:szCs w:val="32"/>
        </w:rPr>
        <w:t>04</w:t>
      </w:r>
      <w:r>
        <w:rPr>
          <w:rFonts w:ascii="宋体" w:hAnsi="宋体" w:cs="宋体" w:eastAsia="宋体" w:hint="default"/>
          <w:b/>
          <w:bCs/>
          <w:spacing w:val="-8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1187" w:top="1060" w:bottom="138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410"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spacing w:val="-1"/>
          <w:w w:val="95"/>
          <w:sz w:val="28"/>
          <w:szCs w:val="28"/>
        </w:rPr>
        <w:t>公司负责人赵立仁、主管会计工作负责人刘韡及会计机构负责人</w:t>
      </w:r>
      <w:r>
        <w:rPr>
          <w:rFonts w:ascii="宋体" w:hAnsi="宋体" w:cs="宋体" w:eastAsia="宋体" w:hint="default"/>
          <w:b/>
          <w:bCs/>
          <w:spacing w:val="-1"/>
          <w:w w:val="95"/>
          <w:sz w:val="28"/>
          <w:szCs w:val="28"/>
        </w:rPr>
        <w:t>(</w:t>
      </w:r>
      <w:r>
        <w:rPr>
          <w:rFonts w:ascii="宋体" w:hAnsi="宋体" w:cs="宋体" w:eastAsia="宋体" w:hint="default"/>
          <w:b/>
          <w:bCs/>
          <w:spacing w:val="-1"/>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宋体" w:hAnsi="宋体" w:cs="宋体" w:eastAsia="宋体" w:hint="default"/>
          <w:b/>
          <w:bCs/>
          <w:sz w:val="28"/>
          <w:szCs w:val="28"/>
        </w:rPr>
        <w:t>)</w:t>
      </w:r>
      <w:r>
        <w:rPr>
          <w:rFonts w:ascii="宋体" w:hAnsi="宋体" w:cs="宋体" w:eastAsia="宋体" w:hint="default"/>
          <w:b/>
          <w:bCs/>
          <w:sz w:val="28"/>
          <w:szCs w:val="28"/>
        </w:rPr>
        <w:t>金蕊声明：保证年度报告中财务报告的真实、准确、完整。</w:t>
      </w:r>
      <w:r>
        <w:rPr>
          <w:rFonts w:ascii="宋体" w:hAnsi="宋体" w:cs="宋体" w:eastAsia="宋体" w:hint="default"/>
          <w:sz w:val="28"/>
          <w:szCs w:val="28"/>
        </w:rPr>
      </w:r>
    </w:p>
    <w:p>
      <w:pPr>
        <w:spacing w:line="472" w:lineRule="auto" w:before="158"/>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本年度报告中涉及未来计划、发展战略等前瞻性陈述，不构成公司对投资</w:t>
      </w:r>
      <w:r>
        <w:rPr>
          <w:rFonts w:ascii="宋体" w:hAnsi="宋体" w:cs="宋体" w:eastAsia="宋体" w:hint="default"/>
          <w:spacing w:val="3"/>
          <w:sz w:val="28"/>
          <w:szCs w:val="28"/>
        </w:rPr>
      </w:r>
    </w:p>
    <w:p>
      <w:pPr>
        <w:spacing w:line="475" w:lineRule="auto" w:before="0"/>
        <w:ind w:left="716" w:right="0" w:hanging="562"/>
        <w:jc w:val="left"/>
        <w:rPr>
          <w:rFonts w:ascii="宋体" w:hAnsi="宋体" w:cs="宋体" w:eastAsia="宋体" w:hint="default"/>
          <w:sz w:val="28"/>
          <w:szCs w:val="28"/>
        </w:rPr>
      </w:pPr>
      <w:r>
        <w:rPr>
          <w:rFonts w:ascii="宋体" w:hAnsi="宋体" w:cs="宋体" w:eastAsia="宋体" w:hint="default"/>
          <w:b/>
          <w:bCs/>
          <w:sz w:val="28"/>
          <w:szCs w:val="28"/>
        </w:rPr>
        <w:t>者的实质承诺，敬请广大投资者注意投资风险。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公司已在本年度报告中描述可能存在的相关风险，敬请查阅第四节“经营</w:t>
      </w:r>
      <w:r>
        <w:rPr>
          <w:rFonts w:ascii="宋体" w:hAnsi="宋体" w:cs="宋体" w:eastAsia="宋体" w:hint="default"/>
          <w:sz w:val="28"/>
          <w:szCs w:val="28"/>
        </w:rPr>
      </w:r>
    </w:p>
    <w:p>
      <w:pPr>
        <w:spacing w:line="350" w:lineRule="exact" w:before="0"/>
        <w:ind w:left="154"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情况讨论与分析”之“九、公司未来发展的展望”之“（四）公司面临的风险</w:t>
      </w:r>
      <w:r>
        <w:rPr>
          <w:rFonts w:ascii="宋体" w:hAnsi="宋体" w:cs="宋体" w:eastAsia="宋体" w:hint="default"/>
          <w:spacing w:val="3"/>
          <w:sz w:val="28"/>
          <w:szCs w:val="28"/>
        </w:rPr>
      </w:r>
    </w:p>
    <w:p>
      <w:pPr>
        <w:spacing w:line="240" w:lineRule="auto" w:before="10"/>
        <w:rPr>
          <w:rFonts w:ascii="宋体" w:hAnsi="宋体" w:cs="宋体" w:eastAsia="宋体" w:hint="default"/>
          <w:b/>
          <w:bCs/>
          <w:sz w:val="19"/>
          <w:szCs w:val="19"/>
        </w:rPr>
      </w:pPr>
    </w:p>
    <w:p>
      <w:pPr>
        <w:spacing w:before="0"/>
        <w:ind w:left="154" w:right="0" w:firstLine="0"/>
        <w:jc w:val="left"/>
        <w:rPr>
          <w:rFonts w:ascii="宋体" w:hAnsi="宋体" w:cs="宋体" w:eastAsia="宋体" w:hint="default"/>
          <w:sz w:val="28"/>
          <w:szCs w:val="28"/>
        </w:rPr>
      </w:pPr>
      <w:r>
        <w:rPr>
          <w:rFonts w:ascii="宋体" w:hAnsi="宋体" w:cs="宋体" w:eastAsia="宋体" w:hint="default"/>
          <w:b/>
          <w:bCs/>
          <w:sz w:val="28"/>
          <w:szCs w:val="28"/>
        </w:rPr>
        <w:t>及主要应对措施”。</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before="0"/>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 </w:t>
      </w:r>
      <w:r>
        <w:rPr>
          <w:rFonts w:ascii="宋体" w:hAnsi="宋体" w:cs="宋体" w:eastAsia="宋体" w:hint="default"/>
          <w:b/>
          <w:bCs/>
          <w:sz w:val="28"/>
          <w:szCs w:val="28"/>
        </w:rPr>
        <w:t>965,710,782</w:t>
      </w:r>
      <w:r>
        <w:rPr>
          <w:rFonts w:ascii="宋体" w:hAnsi="宋体" w:cs="宋体" w:eastAsia="宋体" w:hint="default"/>
          <w:b/>
          <w:bCs/>
          <w:spacing w:val="-85"/>
          <w:sz w:val="28"/>
          <w:szCs w:val="28"/>
        </w:rPr>
        <w:t> </w:t>
      </w:r>
      <w:r>
        <w:rPr>
          <w:rFonts w:ascii="宋体" w:hAnsi="宋体" w:cs="宋体" w:eastAsia="宋体" w:hint="default"/>
          <w:b/>
          <w:bCs/>
          <w:sz w:val="28"/>
          <w:szCs w:val="28"/>
        </w:rPr>
        <w:t>为基数，</w:t>
      </w:r>
      <w:r>
        <w:rPr>
          <w:rFonts w:ascii="宋体" w:hAnsi="宋体" w:cs="宋体" w:eastAsia="宋体" w:hint="default"/>
          <w:sz w:val="28"/>
          <w:szCs w:val="28"/>
        </w:rPr>
      </w:r>
    </w:p>
    <w:p>
      <w:pPr>
        <w:spacing w:line="240" w:lineRule="auto" w:before="9"/>
        <w:rPr>
          <w:rFonts w:ascii="宋体" w:hAnsi="宋体" w:cs="宋体" w:eastAsia="宋体" w:hint="default"/>
          <w:b/>
          <w:bCs/>
          <w:sz w:val="19"/>
          <w:szCs w:val="19"/>
        </w:rPr>
      </w:pPr>
    </w:p>
    <w:p>
      <w:pPr>
        <w:spacing w:line="410" w:lineRule="auto" w:before="0"/>
        <w:ind w:left="154" w:right="0" w:firstLine="0"/>
        <w:jc w:val="left"/>
        <w:rPr>
          <w:rFonts w:ascii="宋体" w:hAnsi="宋体" w:cs="宋体" w:eastAsia="宋体" w:hint="default"/>
          <w:sz w:val="28"/>
          <w:szCs w:val="28"/>
        </w:rPr>
      </w:pPr>
      <w:r>
        <w:rPr>
          <w:rFonts w:ascii="宋体" w:hAnsi="宋体" w:cs="宋体" w:eastAsia="宋体" w:hint="default"/>
          <w:b/>
          <w:bCs/>
          <w:w w:val="99"/>
          <w:sz w:val="28"/>
          <w:szCs w:val="28"/>
        </w:rPr>
        <w:t>向全体股东每</w:t>
      </w:r>
      <w:r>
        <w:rPr>
          <w:rFonts w:ascii="宋体" w:hAnsi="宋体" w:cs="宋体" w:eastAsia="宋体" w:hint="default"/>
          <w:b/>
          <w:bCs/>
          <w:spacing w:val="-52"/>
          <w:w w:val="99"/>
          <w:sz w:val="28"/>
          <w:szCs w:val="28"/>
        </w:rPr>
        <w:t> </w:t>
      </w:r>
      <w:r>
        <w:rPr>
          <w:rFonts w:ascii="宋体" w:hAnsi="宋体" w:cs="宋体" w:eastAsia="宋体" w:hint="default"/>
          <w:b/>
          <w:bCs/>
          <w:w w:val="99"/>
          <w:sz w:val="28"/>
          <w:szCs w:val="28"/>
        </w:rPr>
        <w:t>10</w:t>
      </w:r>
      <w:r>
        <w:rPr>
          <w:rFonts w:ascii="宋体" w:hAnsi="宋体" w:cs="宋体" w:eastAsia="宋体" w:hint="default"/>
          <w:b/>
          <w:bCs/>
          <w:spacing w:val="-53"/>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51"/>
          <w:w w:val="99"/>
          <w:sz w:val="28"/>
          <w:szCs w:val="28"/>
        </w:rPr>
        <w:t> </w:t>
      </w:r>
      <w:r>
        <w:rPr>
          <w:rFonts w:ascii="宋体" w:hAnsi="宋体" w:cs="宋体" w:eastAsia="宋体" w:hint="default"/>
          <w:b/>
          <w:bCs/>
          <w:w w:val="99"/>
          <w:sz w:val="28"/>
          <w:szCs w:val="28"/>
        </w:rPr>
        <w:t>0.30</w:t>
      </w:r>
      <w:r>
        <w:rPr>
          <w:rFonts w:ascii="宋体" w:hAnsi="宋体" w:cs="宋体" w:eastAsia="宋体" w:hint="default"/>
          <w:b/>
          <w:bCs/>
          <w:spacing w:val="-53"/>
          <w:w w:val="99"/>
          <w:sz w:val="28"/>
          <w:szCs w:val="28"/>
        </w:rPr>
        <w:t> </w:t>
      </w:r>
      <w:r>
        <w:rPr>
          <w:rFonts w:ascii="宋体" w:hAnsi="宋体" w:cs="宋体" w:eastAsia="宋体" w:hint="default"/>
          <w:b/>
          <w:bCs/>
          <w:spacing w:val="-16"/>
          <w:w w:val="99"/>
          <w:sz w:val="28"/>
          <w:szCs w:val="28"/>
        </w:rPr>
        <w:t>元（含税），送红股</w:t>
      </w:r>
      <w:r>
        <w:rPr>
          <w:rFonts w:ascii="宋体" w:hAnsi="宋体" w:cs="宋体" w:eastAsia="宋体" w:hint="default"/>
          <w:b/>
          <w:bCs/>
          <w:spacing w:val="-51"/>
          <w:w w:val="99"/>
          <w:sz w:val="28"/>
          <w:szCs w:val="28"/>
        </w:rPr>
        <w:t> </w:t>
      </w:r>
      <w:r>
        <w:rPr>
          <w:rFonts w:ascii="宋体" w:hAnsi="宋体" w:cs="宋体" w:eastAsia="宋体" w:hint="default"/>
          <w:b/>
          <w:bCs/>
          <w:w w:val="99"/>
          <w:sz w:val="28"/>
          <w:szCs w:val="28"/>
        </w:rPr>
        <w:t>0</w:t>
      </w:r>
      <w:r>
        <w:rPr>
          <w:rFonts w:ascii="宋体" w:hAnsi="宋体" w:cs="宋体" w:eastAsia="宋体" w:hint="default"/>
          <w:b/>
          <w:bCs/>
          <w:spacing w:val="-53"/>
          <w:w w:val="99"/>
          <w:sz w:val="28"/>
          <w:szCs w:val="28"/>
        </w:rPr>
        <w:t> </w:t>
      </w:r>
      <w:r>
        <w:rPr>
          <w:rFonts w:ascii="宋体" w:hAnsi="宋体" w:cs="宋体" w:eastAsia="宋体" w:hint="default"/>
          <w:b/>
          <w:bCs/>
          <w:spacing w:val="-18"/>
          <w:w w:val="99"/>
          <w:sz w:val="28"/>
          <w:szCs w:val="28"/>
        </w:rPr>
        <w:t>股（含税），不以</w:t>
      </w:r>
      <w:r>
        <w:rPr>
          <w:rFonts w:ascii="宋体" w:hAnsi="宋体" w:cs="宋体" w:eastAsia="宋体" w:hint="default"/>
          <w:b/>
          <w:bCs/>
          <w:w w:val="99"/>
          <w:sz w:val="28"/>
          <w:szCs w:val="28"/>
        </w:rPr>
        <w:t> </w:t>
      </w:r>
      <w:r>
        <w:rPr>
          <w:rFonts w:ascii="宋体" w:hAnsi="宋体" w:cs="宋体" w:eastAsia="宋体" w:hint="default"/>
          <w:b/>
          <w:bCs/>
          <w:sz w:val="28"/>
          <w:szCs w:val="28"/>
        </w:rPr>
        <w:t>公积金转增股本。</w:t>
      </w:r>
      <w:r>
        <w:rPr>
          <w:rFonts w:ascii="宋体" w:hAnsi="宋体" w:cs="宋体" w:eastAsia="宋体" w:hint="default"/>
          <w:sz w:val="28"/>
          <w:szCs w:val="28"/>
        </w:rPr>
      </w:r>
    </w:p>
    <w:p>
      <w:pPr>
        <w:spacing w:after="0" w:line="410" w:lineRule="auto"/>
        <w:jc w:val="left"/>
        <w:rPr>
          <w:rFonts w:ascii="宋体" w:hAnsi="宋体" w:cs="宋体" w:eastAsia="宋体" w:hint="default"/>
          <w:sz w:val="28"/>
          <w:szCs w:val="28"/>
        </w:rPr>
        <w:sectPr>
          <w:footerReference w:type="default" r:id="rId8"/>
          <w:pgSz w:w="11910" w:h="16840"/>
          <w:pgMar w:footer="1187" w:header="747" w:top="1060" w:bottom="138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615" w:right="159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宋体" w:hAnsi="宋体" w:cs="宋体" w:eastAsia="宋体" w:hint="default"/>
              <w:b w:val="0"/>
              <w:bCs w:val="0"/>
            </w:rPr>
          </w:pPr>
          <w:hyperlink w:history="true" w:anchor="_bookmark0">
            <w:r>
              <w:rPr/>
              <w:t>第一节</w:t>
            </w:r>
            <w:r>
              <w:rPr>
                <w:spacing w:val="-1"/>
              </w:rPr>
              <w:t> </w:t>
            </w:r>
            <w:r>
              <w:rPr/>
              <w:t>重要提示、目录和释义</w:t>
            </w:r>
            <w:r>
              <w:rPr>
                <w:rFonts w:ascii="宋体" w:hAnsi="宋体" w:cs="宋体" w:eastAsia="宋体" w:hint="default"/>
              </w:rPr>
              <w:tab/>
              <w:t>6</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1">
            <w:r>
              <w:rPr/>
              <w:t>第二节</w:t>
            </w:r>
            <w:r>
              <w:rPr>
                <w:spacing w:val="-1"/>
              </w:rPr>
              <w:t> </w:t>
            </w:r>
            <w:r>
              <w:rPr/>
              <w:t>公司简介和主要财务指标</w:t>
            </w:r>
            <w:r>
              <w:rPr>
                <w:rFonts w:ascii="宋体" w:hAnsi="宋体" w:cs="宋体" w:eastAsia="宋体" w:hint="default"/>
              </w:rPr>
              <w:tab/>
              <w:t>10</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2">
            <w:r>
              <w:rPr/>
              <w:t>第三节</w:t>
            </w:r>
            <w:r>
              <w:rPr>
                <w:spacing w:val="-1"/>
              </w:rPr>
              <w:t> </w:t>
            </w:r>
            <w:r>
              <w:rPr/>
              <w:t>公司业务概要</w:t>
            </w:r>
            <w:r>
              <w:rPr>
                <w:rFonts w:ascii="宋体" w:hAnsi="宋体" w:cs="宋体" w:eastAsia="宋体" w:hint="default"/>
              </w:rPr>
              <w:tab/>
              <w:t>16</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3">
            <w:r>
              <w:rPr/>
              <w:t>第四节</w:t>
            </w:r>
            <w:r>
              <w:rPr>
                <w:spacing w:val="-1"/>
              </w:rPr>
              <w:t> </w:t>
            </w:r>
            <w:r>
              <w:rPr/>
              <w:t>经营情况讨论与分析</w:t>
            </w:r>
            <w:r>
              <w:rPr>
                <w:rFonts w:ascii="宋体" w:hAnsi="宋体" w:cs="宋体" w:eastAsia="宋体" w:hint="default"/>
              </w:rPr>
              <w:tab/>
              <w:t>40</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4">
            <w:r>
              <w:rPr/>
              <w:t>第五节</w:t>
            </w:r>
            <w:r>
              <w:rPr>
                <w:spacing w:val="-1"/>
              </w:rPr>
              <w:t> </w:t>
            </w:r>
            <w:r>
              <w:rPr/>
              <w:t>重要事项</w:t>
            </w:r>
            <w:r>
              <w:rPr>
                <w:rFonts w:ascii="宋体" w:hAnsi="宋体" w:cs="宋体" w:eastAsia="宋体" w:hint="default"/>
              </w:rPr>
              <w:tab/>
              <w:t>71</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5">
            <w:r>
              <w:rPr/>
              <w:t>第六节</w:t>
            </w:r>
            <w:r>
              <w:rPr>
                <w:spacing w:val="-1"/>
              </w:rPr>
              <w:t> </w:t>
            </w:r>
            <w:r>
              <w:rPr/>
              <w:t>股份变动及股东情况</w:t>
            </w:r>
            <w:r>
              <w:rPr>
                <w:rFonts w:ascii="宋体" w:hAnsi="宋体" w:cs="宋体" w:eastAsia="宋体" w:hint="default"/>
              </w:rPr>
              <w:tab/>
              <w:t>77</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5">
            <w:r>
              <w:rPr/>
              <w:t>第七节</w:t>
            </w:r>
            <w:r>
              <w:rPr>
                <w:spacing w:val="-1"/>
              </w:rPr>
              <w:t> </w:t>
            </w:r>
            <w:r>
              <w:rPr/>
              <w:t>优先股相关情况</w:t>
            </w:r>
            <w:r>
              <w:rPr>
                <w:rFonts w:ascii="宋体" w:hAnsi="宋体" w:cs="宋体" w:eastAsia="宋体" w:hint="default"/>
              </w:rPr>
              <w:tab/>
              <w:t>77</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6">
            <w:r>
              <w:rPr/>
              <w:t>第八节</w:t>
            </w:r>
            <w:r>
              <w:rPr>
                <w:spacing w:val="-1"/>
              </w:rPr>
              <w:t> </w:t>
            </w:r>
            <w:r>
              <w:rPr/>
              <w:t>董事、监事、高级管理人员和员工情况</w:t>
            </w:r>
            <w:r>
              <w:rPr>
                <w:rFonts w:ascii="宋体" w:hAnsi="宋体" w:cs="宋体" w:eastAsia="宋体" w:hint="default"/>
              </w:rPr>
              <w:tab/>
              <w:t>78</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7">
            <w:r>
              <w:rPr/>
              <w:t>第九节</w:t>
            </w:r>
            <w:r>
              <w:rPr>
                <w:spacing w:val="-1"/>
              </w:rPr>
              <w:t> </w:t>
            </w:r>
            <w:r>
              <w:rPr/>
              <w:t>公司治理</w:t>
            </w:r>
            <w:r>
              <w:rPr>
                <w:rFonts w:ascii="宋体" w:hAnsi="宋体" w:cs="宋体" w:eastAsia="宋体" w:hint="default"/>
              </w:rPr>
              <w:tab/>
              <w:t>87</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8">
            <w:r>
              <w:rPr/>
              <w:t>第十节</w:t>
            </w:r>
            <w:r>
              <w:rPr>
                <w:spacing w:val="-1"/>
              </w:rPr>
              <w:t> </w:t>
            </w:r>
            <w:r>
              <w:rPr/>
              <w:t>公司债券相关情况</w:t>
            </w:r>
            <w:r>
              <w:rPr>
                <w:rFonts w:ascii="宋体" w:hAnsi="宋体" w:cs="宋体" w:eastAsia="宋体" w:hint="default"/>
              </w:rPr>
              <w:tab/>
              <w:t>93</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9">
            <w:r>
              <w:rPr/>
              <w:t>第十一节</w:t>
            </w:r>
            <w:r>
              <w:rPr>
                <w:spacing w:val="-1"/>
              </w:rPr>
              <w:t> </w:t>
            </w:r>
            <w:r>
              <w:rPr/>
              <w:t>财务报告</w:t>
            </w:r>
            <w:r>
              <w:rPr>
                <w:rFonts w:ascii="宋体" w:hAnsi="宋体" w:cs="宋体" w:eastAsia="宋体" w:hint="default"/>
              </w:rPr>
              <w:tab/>
              <w:t>94</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10">
            <w:r>
              <w:rPr/>
              <w:t>第十二节</w:t>
            </w:r>
            <w:r>
              <w:rPr>
                <w:spacing w:val="-2"/>
              </w:rPr>
              <w:t> </w:t>
            </w:r>
            <w:r>
              <w:rPr/>
              <w:t>备查文件目录</w:t>
            </w:r>
            <w:r>
              <w:rPr>
                <w:rFonts w:ascii="宋体" w:hAnsi="宋体" w:cs="宋体" w:eastAsia="宋体" w:hint="default"/>
              </w:rPr>
              <w:tab/>
              <w:t>213</w:t>
            </w:r>
            <w:r>
              <w:rPr>
                <w:rFonts w:ascii="宋体" w:hAnsi="宋体" w:cs="宋体" w:eastAsia="宋体" w:hint="default"/>
                <w:b w:val="0"/>
                <w:bCs w:val="0"/>
              </w:rPr>
            </w:r>
          </w:hyperlink>
        </w:p>
      </w:sdtContent>
    </w:sdt>
    <w:p>
      <w:pPr>
        <w:spacing w:after="0" w:line="240" w:lineRule="auto"/>
        <w:jc w:val="left"/>
        <w:rPr>
          <w:rFonts w:ascii="宋体" w:hAnsi="宋体" w:cs="宋体" w:eastAsia="宋体" w:hint="default"/>
        </w:rPr>
        <w:sectPr>
          <w:pgSz w:w="11910" w:h="16840"/>
          <w:pgMar w:header="747" w:footer="1187" w:top="1060" w:bottom="1380" w:left="980" w:right="0"/>
        </w:sectPr>
      </w:pPr>
    </w:p>
    <w:p>
      <w:pPr>
        <w:spacing w:before="946"/>
        <w:ind w:left="615" w:right="159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公司、本公司、智度股份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智度科技股份有限公司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智度德普、控股股东</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北京智度德普股权投资中心（有限合伙）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智度集团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智度集团有限公司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猎鹰网络</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上海猎鹰网络有限公司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智度亦复</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上海智度亦复信息技术有限公司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掌汇天下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北京掌汇天下科技有限公司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Spigot</w:t>
            </w:r>
            <w:r>
              <w:rPr>
                <w:rFonts w:ascii="宋体" w:hAnsi="宋体" w:cs="宋体" w:eastAsia="宋体" w:hint="default"/>
                <w:sz w:val="18"/>
                <w:szCs w:val="18"/>
              </w:rPr>
              <w:t>、</w:t>
            </w:r>
            <w:r>
              <w:rPr>
                <w:rFonts w:ascii="宋体" w:hAnsi="宋体" w:cs="宋体" w:eastAsia="宋体" w:hint="default"/>
                <w:sz w:val="18"/>
                <w:szCs w:val="18"/>
              </w:rPr>
              <w:t>SPE</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575"/>
              <w:jc w:val="left"/>
              <w:rPr>
                <w:rFonts w:ascii="宋体" w:hAnsi="宋体" w:cs="宋体" w:eastAsia="宋体" w:hint="default"/>
                <w:sz w:val="18"/>
                <w:szCs w:val="18"/>
              </w:rPr>
            </w:pPr>
            <w:r>
              <w:rPr>
                <w:rFonts w:ascii="宋体" w:hAnsi="宋体" w:cs="宋体" w:eastAsia="宋体" w:hint="default"/>
                <w:sz w:val="18"/>
                <w:szCs w:val="18"/>
              </w:rPr>
              <w:t>Spigot, Inc.Spigot, Inc.</w:t>
            </w:r>
            <w:r>
              <w:rPr>
                <w:rFonts w:ascii="宋体" w:hAnsi="宋体" w:cs="宋体" w:eastAsia="宋体" w:hint="default"/>
                <w:sz w:val="18"/>
                <w:szCs w:val="18"/>
              </w:rPr>
              <w:t>、</w:t>
            </w:r>
            <w:r>
              <w:rPr>
                <w:rFonts w:ascii="宋体" w:hAnsi="宋体" w:cs="宋体" w:eastAsia="宋体" w:hint="default"/>
                <w:sz w:val="18"/>
                <w:szCs w:val="18"/>
              </w:rPr>
              <w:t>Polarity Technologies Ltd</w:t>
            </w:r>
            <w:r>
              <w:rPr>
                <w:rFonts w:ascii="宋体" w:hAnsi="宋体" w:cs="宋体" w:eastAsia="宋体" w:hint="default"/>
                <w:spacing w:val="-46"/>
                <w:sz w:val="18"/>
                <w:szCs w:val="18"/>
              </w:rPr>
              <w:t> </w:t>
            </w:r>
            <w:r>
              <w:rPr>
                <w:rFonts w:ascii="宋体" w:hAnsi="宋体" w:cs="宋体" w:eastAsia="宋体" w:hint="default"/>
                <w:sz w:val="18"/>
                <w:szCs w:val="18"/>
              </w:rPr>
              <w:t>和 </w:t>
            </w:r>
            <w:r>
              <w:rPr>
                <w:rFonts w:ascii="宋体" w:hAnsi="宋体" w:cs="宋体" w:eastAsia="宋体" w:hint="default"/>
                <w:sz w:val="18"/>
                <w:szCs w:val="18"/>
              </w:rPr>
              <w:t>Eightpoint Technologies Ltd</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范特西</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深圳市范特西科技有限公司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智度德正</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北京智度德正投资有限公司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拉萨智恒</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拉萨经济技术开发区智恒咨询有限公司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菲索广告</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上海菲索广告有限公司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佑迎广告</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上海佑迎广告有限公司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万流客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万流客网络科技（上海）有限公司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谛视文化</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上海谛视文化传媒有限公司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塔倍思</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南京塔倍思信息科技有限公司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西藏亦复</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西藏亦复广告有限公司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iOS</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由苹果公司开发的移动操作系统</w:t>
            </w:r>
          </w:p>
        </w:tc>
      </w:tr>
      <w:tr>
        <w:trPr>
          <w:trHeight w:val="473"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sz w:val="18"/>
              </w:rPr>
              <w:t>Android</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2"/>
              <w:jc w:val="both"/>
              <w:rPr>
                <w:rFonts w:ascii="宋体" w:hAnsi="宋体" w:cs="宋体" w:eastAsia="宋体" w:hint="default"/>
                <w:sz w:val="18"/>
                <w:szCs w:val="18"/>
              </w:rPr>
            </w:pPr>
            <w:r>
              <w:rPr>
                <w:rFonts w:ascii="宋体" w:hAnsi="宋体" w:cs="宋体" w:eastAsia="宋体" w:hint="default"/>
                <w:sz w:val="18"/>
                <w:szCs w:val="18"/>
              </w:rPr>
              <w:t>一个以</w:t>
            </w:r>
            <w:r>
              <w:rPr>
                <w:rFonts w:ascii="宋体" w:hAnsi="宋体" w:cs="宋体" w:eastAsia="宋体" w:hint="default"/>
                <w:spacing w:val="-60"/>
                <w:sz w:val="18"/>
                <w:szCs w:val="18"/>
              </w:rPr>
              <w:t> </w:t>
            </w:r>
            <w:r>
              <w:rPr>
                <w:rFonts w:ascii="宋体" w:hAnsi="宋体" w:cs="宋体" w:eastAsia="宋体" w:hint="default"/>
                <w:sz w:val="18"/>
                <w:szCs w:val="18"/>
              </w:rPr>
              <w:t>Linux</w:t>
            </w:r>
            <w:r>
              <w:rPr>
                <w:rFonts w:ascii="宋体" w:hAnsi="宋体" w:cs="宋体" w:eastAsia="宋体" w:hint="default"/>
                <w:spacing w:val="-59"/>
                <w:sz w:val="18"/>
                <w:szCs w:val="18"/>
              </w:rPr>
              <w:t> </w:t>
            </w:r>
            <w:r>
              <w:rPr>
                <w:rFonts w:ascii="宋体" w:hAnsi="宋体" w:cs="宋体" w:eastAsia="宋体" w:hint="default"/>
                <w:sz w:val="18"/>
                <w:szCs w:val="18"/>
              </w:rPr>
              <w:t>为基础的开源移动设备操作系统，主要用于智能手机和 平板电脑，由</w:t>
            </w:r>
            <w:r>
              <w:rPr>
                <w:rFonts w:ascii="宋体" w:hAnsi="宋体" w:cs="宋体" w:eastAsia="宋体" w:hint="default"/>
                <w:spacing w:val="-46"/>
                <w:sz w:val="18"/>
                <w:szCs w:val="18"/>
              </w:rPr>
              <w:t> </w:t>
            </w:r>
            <w:r>
              <w:rPr>
                <w:rFonts w:ascii="宋体" w:hAnsi="宋体" w:cs="宋体" w:eastAsia="宋体" w:hint="default"/>
                <w:sz w:val="18"/>
                <w:szCs w:val="18"/>
              </w:rPr>
              <w:t>Google</w:t>
            </w:r>
            <w:r>
              <w:rPr>
                <w:rFonts w:ascii="宋体" w:hAnsi="宋体" w:cs="宋体" w:eastAsia="宋体" w:hint="default"/>
                <w:spacing w:val="-46"/>
                <w:sz w:val="18"/>
                <w:szCs w:val="18"/>
              </w:rPr>
              <w:t> </w:t>
            </w:r>
            <w:r>
              <w:rPr>
                <w:rFonts w:ascii="宋体" w:hAnsi="宋体" w:cs="宋体" w:eastAsia="宋体" w:hint="default"/>
                <w:sz w:val="18"/>
                <w:szCs w:val="18"/>
              </w:rPr>
              <w:t>成立的</w:t>
            </w:r>
            <w:r>
              <w:rPr>
                <w:rFonts w:ascii="宋体" w:hAnsi="宋体" w:cs="宋体" w:eastAsia="宋体" w:hint="default"/>
                <w:spacing w:val="-46"/>
                <w:sz w:val="18"/>
                <w:szCs w:val="18"/>
              </w:rPr>
              <w:t> </w:t>
            </w:r>
            <w:r>
              <w:rPr>
                <w:rFonts w:ascii="宋体" w:hAnsi="宋体" w:cs="宋体" w:eastAsia="宋体" w:hint="default"/>
                <w:sz w:val="18"/>
                <w:szCs w:val="18"/>
              </w:rPr>
              <w:t>Open Handset Alliance</w:t>
            </w:r>
            <w:r>
              <w:rPr>
                <w:rFonts w:ascii="宋体" w:hAnsi="宋体" w:cs="宋体" w:eastAsia="宋体" w:hint="default"/>
                <w:sz w:val="18"/>
                <w:szCs w:val="18"/>
              </w:rPr>
              <w:t>（</w:t>
            </w:r>
            <w:r>
              <w:rPr>
                <w:rFonts w:ascii="宋体" w:hAnsi="宋体" w:cs="宋体" w:eastAsia="宋体" w:hint="default"/>
                <w:sz w:val="18"/>
                <w:szCs w:val="18"/>
              </w:rPr>
              <w:t>OHA</w:t>
            </w:r>
            <w:r>
              <w:rPr>
                <w:rFonts w:ascii="宋体" w:hAnsi="宋体" w:cs="宋体" w:eastAsia="宋体" w:hint="default"/>
                <w:sz w:val="18"/>
                <w:szCs w:val="18"/>
              </w:rPr>
              <w:t>，开放手 持设备联盟）持续领导与开发中。</w:t>
            </w:r>
            <w:r>
              <w:rPr>
                <w:rFonts w:ascii="宋体" w:hAnsi="宋体" w:cs="宋体" w:eastAsia="宋体" w:hint="default"/>
                <w:sz w:val="18"/>
                <w:szCs w:val="18"/>
              </w:rPr>
              <w:t>Android</w:t>
            </w:r>
            <w:r>
              <w:rPr>
                <w:rFonts w:ascii="宋体" w:hAnsi="宋体" w:cs="宋体" w:eastAsia="宋体" w:hint="default"/>
                <w:spacing w:val="-46"/>
                <w:sz w:val="18"/>
                <w:szCs w:val="18"/>
              </w:rPr>
              <w:t> </w:t>
            </w:r>
            <w:r>
              <w:rPr>
                <w:rFonts w:ascii="宋体" w:hAnsi="宋体" w:cs="宋体" w:eastAsia="宋体" w:hint="default"/>
                <w:sz w:val="18"/>
                <w:szCs w:val="18"/>
              </w:rPr>
              <w:t>系统目前是全球第一大智 能手机操作系统。</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473"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App</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2"/>
              <w:jc w:val="left"/>
              <w:rPr>
                <w:rFonts w:ascii="宋体" w:hAnsi="宋体" w:cs="宋体" w:eastAsia="宋体" w:hint="default"/>
                <w:sz w:val="18"/>
                <w:szCs w:val="18"/>
              </w:rPr>
            </w:pPr>
            <w:r>
              <w:rPr>
                <w:rFonts w:ascii="宋体" w:hAnsi="宋体" w:cs="宋体" w:eastAsia="宋体" w:hint="default"/>
                <w:sz w:val="18"/>
                <w:szCs w:val="18"/>
              </w:rPr>
              <w:t>英文</w:t>
            </w:r>
            <w:r>
              <w:rPr>
                <w:rFonts w:ascii="宋体" w:hAnsi="宋体" w:cs="宋体" w:eastAsia="宋体" w:hint="default"/>
                <w:spacing w:val="-59"/>
                <w:sz w:val="18"/>
                <w:szCs w:val="18"/>
              </w:rPr>
              <w:t> </w:t>
            </w:r>
            <w:r>
              <w:rPr>
                <w:rFonts w:ascii="宋体" w:hAnsi="宋体" w:cs="宋体" w:eastAsia="宋体" w:hint="default"/>
                <w:sz w:val="18"/>
                <w:szCs w:val="18"/>
              </w:rPr>
              <w:t>Application</w:t>
            </w:r>
            <w:r>
              <w:rPr>
                <w:rFonts w:ascii="宋体" w:hAnsi="宋体" w:cs="宋体" w:eastAsia="宋体" w:hint="default"/>
                <w:spacing w:val="-59"/>
                <w:sz w:val="18"/>
                <w:szCs w:val="18"/>
              </w:rPr>
              <w:t> </w:t>
            </w:r>
            <w:r>
              <w:rPr>
                <w:rFonts w:ascii="宋体" w:hAnsi="宋体" w:cs="宋体" w:eastAsia="宋体" w:hint="default"/>
                <w:sz w:val="18"/>
                <w:szCs w:val="18"/>
              </w:rPr>
              <w:t>的简称，是智能手机、社交网站上运用的第三方开 发的应用软件程序。</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73"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sz w:val="18"/>
              </w:rPr>
              <w:t>DSP</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9" w:lineRule="auto" w:before="51"/>
              <w:ind w:left="27" w:right="21"/>
              <w:jc w:val="both"/>
              <w:rPr>
                <w:rFonts w:ascii="宋体" w:hAnsi="宋体" w:cs="宋体" w:eastAsia="宋体" w:hint="default"/>
                <w:sz w:val="18"/>
                <w:szCs w:val="18"/>
              </w:rPr>
            </w:pPr>
            <w:r>
              <w:rPr>
                <w:rFonts w:ascii="宋体" w:hAnsi="宋体" w:cs="宋体" w:eastAsia="宋体" w:hint="default"/>
                <w:sz w:val="18"/>
                <w:szCs w:val="18"/>
              </w:rPr>
              <w:t>Demand Side</w:t>
            </w:r>
            <w:r>
              <w:rPr>
                <w:rFonts w:ascii="宋体" w:hAnsi="宋体" w:cs="宋体" w:eastAsia="宋体" w:hint="default"/>
                <w:spacing w:val="-34"/>
                <w:sz w:val="18"/>
                <w:szCs w:val="18"/>
              </w:rPr>
              <w:t> </w:t>
            </w:r>
            <w:r>
              <w:rPr>
                <w:rFonts w:ascii="宋体" w:hAnsi="宋体" w:cs="宋体" w:eastAsia="宋体" w:hint="default"/>
                <w:sz w:val="18"/>
                <w:szCs w:val="18"/>
              </w:rPr>
              <w:t>Platform</w:t>
            </w:r>
            <w:r>
              <w:rPr>
                <w:rFonts w:ascii="宋体" w:hAnsi="宋体" w:cs="宋体" w:eastAsia="宋体" w:hint="default"/>
                <w:sz w:val="18"/>
                <w:szCs w:val="18"/>
              </w:rPr>
              <w:t>，广告需求方平台，帮助广告主在互联网或者 移动互联网上进行广告投放，</w:t>
            </w:r>
            <w:r>
              <w:rPr>
                <w:rFonts w:ascii="宋体" w:hAnsi="宋体" w:cs="宋体" w:eastAsia="宋体" w:hint="default"/>
                <w:sz w:val="18"/>
                <w:szCs w:val="18"/>
              </w:rPr>
              <w:t>DSP</w:t>
            </w:r>
            <w:r>
              <w:rPr>
                <w:rFonts w:ascii="宋体" w:hAnsi="宋体" w:cs="宋体" w:eastAsia="宋体" w:hint="default"/>
                <w:spacing w:val="-46"/>
                <w:sz w:val="18"/>
                <w:szCs w:val="18"/>
              </w:rPr>
              <w:t> </w:t>
            </w:r>
            <w:r>
              <w:rPr>
                <w:rFonts w:ascii="宋体" w:hAnsi="宋体" w:cs="宋体" w:eastAsia="宋体" w:hint="default"/>
                <w:sz w:val="18"/>
                <w:szCs w:val="18"/>
              </w:rPr>
              <w:t>可以使广告主更简单便捷地遵循统 </w:t>
            </w:r>
            <w:r>
              <w:rPr>
                <w:rFonts w:ascii="宋体" w:hAnsi="宋体" w:cs="宋体" w:eastAsia="宋体" w:hint="default"/>
                <w:spacing w:val="-2"/>
                <w:sz w:val="18"/>
                <w:szCs w:val="18"/>
              </w:rPr>
              <w:t>一的竞价和反馈方式，对位于多家广告交易平台的在线广告，以合理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的价格实时购买高质量的广告库存</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473"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sz w:val="18"/>
              </w:rPr>
              <w:t>SSP</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0"/>
              <w:jc w:val="both"/>
              <w:rPr>
                <w:rFonts w:ascii="宋体" w:hAnsi="宋体" w:cs="宋体" w:eastAsia="宋体" w:hint="default"/>
                <w:sz w:val="18"/>
                <w:szCs w:val="18"/>
              </w:rPr>
            </w:pPr>
            <w:r>
              <w:rPr>
                <w:rFonts w:ascii="宋体" w:hAnsi="宋体" w:cs="宋体" w:eastAsia="宋体" w:hint="default"/>
                <w:sz w:val="18"/>
                <w:szCs w:val="18"/>
              </w:rPr>
              <w:t>Supply Side</w:t>
            </w:r>
            <w:r>
              <w:rPr>
                <w:rFonts w:ascii="宋体" w:hAnsi="宋体" w:cs="宋体" w:eastAsia="宋体" w:hint="default"/>
                <w:spacing w:val="-34"/>
                <w:sz w:val="18"/>
                <w:szCs w:val="18"/>
              </w:rPr>
              <w:t> </w:t>
            </w:r>
            <w:r>
              <w:rPr>
                <w:rFonts w:ascii="宋体" w:hAnsi="宋体" w:cs="宋体" w:eastAsia="宋体" w:hint="default"/>
                <w:sz w:val="18"/>
                <w:szCs w:val="18"/>
              </w:rPr>
              <w:t>Platform</w:t>
            </w:r>
            <w:r>
              <w:rPr>
                <w:rFonts w:ascii="宋体" w:hAnsi="宋体" w:cs="宋体" w:eastAsia="宋体" w:hint="default"/>
                <w:sz w:val="18"/>
                <w:szCs w:val="18"/>
              </w:rPr>
              <w:t>，媒体资源供应商平台，为媒体的广告投放进 行全方位的分析和管理的平台，与</w:t>
            </w:r>
            <w:r>
              <w:rPr>
                <w:rFonts w:ascii="宋体" w:hAnsi="宋体" w:cs="宋体" w:eastAsia="宋体" w:hint="default"/>
                <w:spacing w:val="-59"/>
                <w:sz w:val="18"/>
                <w:szCs w:val="18"/>
              </w:rPr>
              <w:t> </w:t>
            </w:r>
            <w:r>
              <w:rPr>
                <w:rFonts w:ascii="宋体" w:hAnsi="宋体" w:cs="宋体" w:eastAsia="宋体" w:hint="default"/>
                <w:sz w:val="18"/>
                <w:szCs w:val="18"/>
              </w:rPr>
              <w:t>DSP</w:t>
            </w:r>
            <w:r>
              <w:rPr>
                <w:rFonts w:ascii="宋体" w:hAnsi="宋体" w:cs="宋体" w:eastAsia="宋体" w:hint="default"/>
                <w:spacing w:val="-59"/>
                <w:sz w:val="18"/>
                <w:szCs w:val="18"/>
              </w:rPr>
              <w:t> </w:t>
            </w:r>
            <w:r>
              <w:rPr>
                <w:rFonts w:ascii="宋体" w:hAnsi="宋体" w:cs="宋体" w:eastAsia="宋体" w:hint="default"/>
                <w:sz w:val="18"/>
                <w:szCs w:val="18"/>
              </w:rPr>
              <w:t>需求方平台相对应，是媒体优 化自身收益的工具</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bl>
    <w:p>
      <w:pPr>
        <w:spacing w:after="0"/>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正弘置业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河南正弘置业有限公司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华泰联合证券、独立财务顾问</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致同、审计机构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bl>
    <w:p>
      <w:pPr>
        <w:spacing w:after="0" w:line="24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72.339996pt;margin-top:272.779968pt;width:361.5pt;height:19.6pt;mso-position-horizontal-relative:page;mso-position-vertical-relative:page;z-index:-1182328"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644"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8"/>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智度股份</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sz w:val="18"/>
              </w:rPr>
              <w:t>000676</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智度科技股份有限公司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智度股份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sz w:val="18"/>
              </w:rPr>
              <w:t>Genimous Technology 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52"/>
              <w:ind w:left="12" w:right="0"/>
              <w:jc w:val="left"/>
              <w:rPr>
                <w:rFonts w:ascii="宋体" w:hAnsi="宋体" w:cs="宋体" w:eastAsia="宋体" w:hint="default"/>
                <w:sz w:val="18"/>
                <w:szCs w:val="18"/>
              </w:rPr>
            </w:pPr>
            <w:r>
              <w:rPr>
                <w:rFonts w:ascii="宋体"/>
                <w:sz w:val="18"/>
              </w:rPr>
              <w:t>Genimous Technology</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赵立仁</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中国河南郑州高新技术产业开发区玉兰街 </w:t>
            </w:r>
            <w:r>
              <w:rPr>
                <w:rFonts w:ascii="宋体" w:hAnsi="宋体" w:cs="宋体" w:eastAsia="宋体" w:hint="default"/>
                <w:sz w:val="18"/>
                <w:szCs w:val="18"/>
              </w:rPr>
              <w:t>101</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sz w:val="18"/>
              </w:rPr>
              <w:t>450001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中国北京市西城区西绒线胡同</w:t>
            </w:r>
            <w:r>
              <w:rPr>
                <w:rFonts w:ascii="宋体" w:hAnsi="宋体" w:cs="宋体" w:eastAsia="宋体" w:hint="default"/>
                <w:spacing w:val="-46"/>
                <w:sz w:val="18"/>
                <w:szCs w:val="18"/>
              </w:rPr>
              <w:t> </w:t>
            </w:r>
            <w:r>
              <w:rPr>
                <w:rFonts w:ascii="宋体" w:hAnsi="宋体" w:cs="宋体" w:eastAsia="宋体" w:hint="default"/>
                <w:sz w:val="18"/>
                <w:szCs w:val="18"/>
              </w:rPr>
              <w:t>51</w:t>
            </w:r>
            <w:r>
              <w:rPr>
                <w:rFonts w:ascii="宋体" w:hAnsi="宋体" w:cs="宋体" w:eastAsia="宋体" w:hint="default"/>
                <w:spacing w:val="-46"/>
                <w:sz w:val="18"/>
                <w:szCs w:val="18"/>
              </w:rPr>
              <w:t> </w:t>
            </w:r>
            <w:r>
              <w:rPr>
                <w:rFonts w:ascii="宋体" w:hAnsi="宋体" w:cs="宋体" w:eastAsia="宋体" w:hint="default"/>
                <w:sz w:val="18"/>
                <w:szCs w:val="18"/>
              </w:rPr>
              <w:t>号（北门）</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sz w:val="18"/>
              </w:rPr>
              <w:t>100032</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hyperlink r:id="rId9">
              <w:r>
                <w:rPr>
                  <w:rFonts w:ascii="宋体"/>
                  <w:sz w:val="18"/>
                </w:rPr>
                <w:t>http://www.genimous.com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hyperlink r:id="rId10">
              <w:r>
                <w:rPr>
                  <w:rFonts w:ascii="宋体"/>
                  <w:sz w:val="18"/>
                </w:rPr>
                <w:t>zhidugufen@genimous.com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李凌霄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彭芬</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北京市西城区西绒线胡同</w:t>
            </w:r>
            <w:r>
              <w:rPr>
                <w:rFonts w:ascii="宋体" w:hAnsi="宋体" w:cs="宋体" w:eastAsia="宋体" w:hint="default"/>
                <w:spacing w:val="-46"/>
                <w:sz w:val="18"/>
                <w:szCs w:val="18"/>
              </w:rPr>
              <w:t> </w:t>
            </w:r>
            <w:r>
              <w:rPr>
                <w:rFonts w:ascii="宋体" w:hAnsi="宋体" w:cs="宋体" w:eastAsia="宋体" w:hint="default"/>
                <w:sz w:val="18"/>
                <w:szCs w:val="18"/>
              </w:rPr>
              <w:t>51</w:t>
            </w:r>
            <w:r>
              <w:rPr>
                <w:rFonts w:ascii="宋体" w:hAnsi="宋体" w:cs="宋体" w:eastAsia="宋体" w:hint="default"/>
                <w:spacing w:val="-45"/>
                <w:sz w:val="18"/>
                <w:szCs w:val="18"/>
              </w:rPr>
              <w:t> </w:t>
            </w:r>
            <w:r>
              <w:rPr>
                <w:rFonts w:ascii="宋体" w:hAnsi="宋体" w:cs="宋体" w:eastAsia="宋体" w:hint="default"/>
                <w:sz w:val="18"/>
                <w:szCs w:val="18"/>
              </w:rPr>
              <w:t>号（北门）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北京市西城区西绒线胡同</w:t>
            </w:r>
            <w:r>
              <w:rPr>
                <w:rFonts w:ascii="宋体" w:hAnsi="宋体" w:cs="宋体" w:eastAsia="宋体" w:hint="default"/>
                <w:spacing w:val="-46"/>
                <w:sz w:val="18"/>
                <w:szCs w:val="18"/>
              </w:rPr>
              <w:t> </w:t>
            </w:r>
            <w:r>
              <w:rPr>
                <w:rFonts w:ascii="宋体" w:hAnsi="宋体" w:cs="宋体" w:eastAsia="宋体" w:hint="default"/>
                <w:sz w:val="18"/>
                <w:szCs w:val="18"/>
              </w:rPr>
              <w:t>51</w:t>
            </w:r>
            <w:r>
              <w:rPr>
                <w:rFonts w:ascii="宋体" w:hAnsi="宋体" w:cs="宋体" w:eastAsia="宋体" w:hint="default"/>
                <w:spacing w:val="-45"/>
                <w:sz w:val="18"/>
                <w:szCs w:val="18"/>
              </w:rPr>
              <w:t> </w:t>
            </w:r>
            <w:r>
              <w:rPr>
                <w:rFonts w:ascii="宋体" w:hAnsi="宋体" w:cs="宋体" w:eastAsia="宋体" w:hint="default"/>
                <w:sz w:val="18"/>
                <w:szCs w:val="18"/>
              </w:rPr>
              <w:t>号（北门）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010-66237897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010-66237897/0371-55139520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010-66237715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010-66237715/0371-55139521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0">
              <w:r>
                <w:rPr>
                  <w:rFonts w:ascii="宋体"/>
                  <w:sz w:val="18"/>
                </w:rPr>
                <w:t>zhidugufen@genimous.com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1">
              <w:r>
                <w:rPr>
                  <w:rFonts w:ascii="宋体"/>
                  <w:sz w:val="18"/>
                </w:rPr>
                <w:t>pengfen@genimous.com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 </w:t>
            </w:r>
            <w:hyperlink r:id="rId12">
              <w:r>
                <w:rPr>
                  <w:rFonts w:ascii="宋体" w:hAnsi="宋体" w:cs="宋体" w:eastAsia="宋体" w:hint="default"/>
                  <w:sz w:val="18"/>
                  <w:szCs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北京市西城区西绒线胡同</w:t>
            </w:r>
            <w:r>
              <w:rPr>
                <w:rFonts w:ascii="宋体" w:hAnsi="宋体" w:cs="宋体" w:eastAsia="宋体" w:hint="default"/>
                <w:spacing w:val="-46"/>
                <w:sz w:val="18"/>
                <w:szCs w:val="18"/>
              </w:rPr>
              <w:t> </w:t>
            </w:r>
            <w:r>
              <w:rPr>
                <w:rFonts w:ascii="宋体" w:hAnsi="宋体" w:cs="宋体" w:eastAsia="宋体" w:hint="default"/>
                <w:sz w:val="18"/>
                <w:szCs w:val="18"/>
              </w:rPr>
              <w:t>51</w:t>
            </w:r>
            <w:r>
              <w:rPr>
                <w:rFonts w:ascii="宋体" w:hAnsi="宋体" w:cs="宋体" w:eastAsia="宋体" w:hint="default"/>
                <w:spacing w:val="-45"/>
                <w:sz w:val="18"/>
                <w:szCs w:val="18"/>
              </w:rPr>
              <w:t> </w:t>
            </w:r>
            <w:r>
              <w:rPr>
                <w:rFonts w:ascii="宋体" w:hAnsi="宋体" w:cs="宋体" w:eastAsia="宋体" w:hint="default"/>
                <w:sz w:val="18"/>
                <w:szCs w:val="18"/>
              </w:rPr>
              <w:t>号（北门）公司证券部</w:t>
            </w:r>
          </w:p>
        </w:tc>
      </w:tr>
    </w:tbl>
    <w:p>
      <w:pPr>
        <w:spacing w:after="0" w:line="24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7"/>
      <w:bookmarkEnd w:id="7"/>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91410000170000388E</w:t>
            </w:r>
          </w:p>
        </w:tc>
      </w:tr>
      <w:tr>
        <w:trPr>
          <w:trHeight w:val="165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公司原是一家主营电力二次设备、信息技术产品的开发和生产应用的企业。</w:t>
            </w:r>
            <w:r>
              <w:rPr>
                <w:rFonts w:ascii="宋体" w:hAnsi="宋体" w:cs="宋体" w:eastAsia="宋体" w:hint="default"/>
                <w:sz w:val="18"/>
                <w:szCs w:val="18"/>
              </w:rPr>
              <w:t>2016 </w:t>
            </w:r>
            <w:r>
              <w:rPr>
                <w:rFonts w:ascii="宋体" w:hAnsi="宋体" w:cs="宋体" w:eastAsia="宋体" w:hint="default"/>
                <w:sz w:val="18"/>
                <w:szCs w:val="18"/>
              </w:rPr>
              <w:t>年，公司以发行股份及支付现金购买资产并募集配套资金的方式收购猎鹰网络 </w:t>
            </w:r>
            <w:r>
              <w:rPr>
                <w:rFonts w:ascii="宋体" w:hAnsi="宋体" w:cs="宋体" w:eastAsia="宋体" w:hint="default"/>
                <w:sz w:val="18"/>
                <w:szCs w:val="18"/>
              </w:rPr>
              <w:t>100%</w:t>
            </w:r>
            <w:r>
              <w:rPr>
                <w:rFonts w:ascii="宋体" w:hAnsi="宋体" w:cs="宋体" w:eastAsia="宋体" w:hint="default"/>
                <w:sz w:val="18"/>
                <w:szCs w:val="18"/>
              </w:rPr>
              <w:t>股权、亦复信息</w:t>
            </w:r>
            <w:r>
              <w:rPr>
                <w:rFonts w:ascii="宋体" w:hAnsi="宋体" w:cs="宋体" w:eastAsia="宋体" w:hint="default"/>
                <w:spacing w:val="-54"/>
                <w:sz w:val="18"/>
                <w:szCs w:val="18"/>
              </w:rPr>
              <w:t> </w:t>
            </w:r>
            <w:r>
              <w:rPr>
                <w:rFonts w:ascii="宋体" w:hAnsi="宋体" w:cs="宋体" w:eastAsia="宋体" w:hint="default"/>
                <w:sz w:val="18"/>
                <w:szCs w:val="18"/>
              </w:rPr>
              <w:t>100%</w:t>
            </w:r>
            <w:r>
              <w:rPr>
                <w:rFonts w:ascii="宋体" w:hAnsi="宋体" w:cs="宋体" w:eastAsia="宋体" w:hint="default"/>
                <w:sz w:val="18"/>
                <w:szCs w:val="18"/>
              </w:rPr>
              <w:t>股权、掌汇天下</w:t>
            </w:r>
            <w:r>
              <w:rPr>
                <w:rFonts w:ascii="宋体" w:hAnsi="宋体" w:cs="宋体" w:eastAsia="宋体" w:hint="default"/>
                <w:spacing w:val="-54"/>
                <w:sz w:val="18"/>
                <w:szCs w:val="18"/>
              </w:rPr>
              <w:t> </w:t>
            </w:r>
            <w:r>
              <w:rPr>
                <w:rFonts w:ascii="宋体" w:hAnsi="宋体" w:cs="宋体" w:eastAsia="宋体" w:hint="default"/>
                <w:sz w:val="18"/>
                <w:szCs w:val="18"/>
              </w:rPr>
              <w:t>46.875%</w:t>
            </w:r>
            <w:r>
              <w:rPr>
                <w:rFonts w:ascii="宋体" w:hAnsi="宋体" w:cs="宋体" w:eastAsia="宋体" w:hint="default"/>
                <w:sz w:val="18"/>
                <w:szCs w:val="18"/>
              </w:rPr>
              <w:t>股权及</w:t>
            </w:r>
            <w:r>
              <w:rPr>
                <w:rFonts w:ascii="宋体" w:hAnsi="宋体" w:cs="宋体" w:eastAsia="宋体" w:hint="default"/>
                <w:spacing w:val="-54"/>
                <w:sz w:val="18"/>
                <w:szCs w:val="18"/>
              </w:rPr>
              <w:t> </w:t>
            </w:r>
            <w:r>
              <w:rPr>
                <w:rFonts w:ascii="宋体" w:hAnsi="宋体" w:cs="宋体" w:eastAsia="宋体" w:hint="default"/>
                <w:sz w:val="18"/>
                <w:szCs w:val="18"/>
              </w:rPr>
              <w:t>Spigot100%</w:t>
            </w:r>
            <w:r>
              <w:rPr>
                <w:rFonts w:ascii="宋体" w:hAnsi="宋体" w:cs="宋体" w:eastAsia="宋体" w:hint="default"/>
                <w:sz w:val="18"/>
                <w:szCs w:val="18"/>
              </w:rPr>
              <w:t>股权；公司 将持有思达仪表</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的股权转让给了思达投资，思达投资支付</w:t>
            </w:r>
            <w:r>
              <w:rPr>
                <w:rFonts w:ascii="宋体" w:hAnsi="宋体" w:cs="宋体" w:eastAsia="宋体" w:hint="default"/>
                <w:spacing w:val="-46"/>
                <w:sz w:val="18"/>
                <w:szCs w:val="18"/>
              </w:rPr>
              <w:t> </w:t>
            </w:r>
            <w:r>
              <w:rPr>
                <w:rFonts w:ascii="宋体" w:hAnsi="宋体" w:cs="宋体" w:eastAsia="宋体" w:hint="default"/>
                <w:sz w:val="18"/>
                <w:szCs w:val="18"/>
              </w:rPr>
              <w:t>144,151,488.12 </w:t>
            </w:r>
            <w:r>
              <w:rPr>
                <w:rFonts w:ascii="宋体" w:hAnsi="宋体" w:cs="宋体" w:eastAsia="宋体" w:hint="default"/>
                <w:sz w:val="18"/>
                <w:szCs w:val="18"/>
              </w:rPr>
              <w:t>元作为现金对价。公司从一家传统的仪器仪表公司转型为互联网公司。</w:t>
            </w:r>
          </w:p>
        </w:tc>
      </w:tr>
      <w:tr>
        <w:trPr>
          <w:trHeight w:val="559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1996 </w:t>
            </w:r>
            <w:r>
              <w:rPr>
                <w:rFonts w:ascii="宋体" w:hAnsi="宋体" w:cs="宋体" w:eastAsia="宋体" w:hint="default"/>
                <w:sz w:val="18"/>
                <w:szCs w:val="18"/>
              </w:rPr>
              <w:t>年至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年，公司控股股东为河南思达科技发展股份有限公司。</w:t>
            </w:r>
          </w:p>
          <w:p>
            <w:pPr>
              <w:pStyle w:val="TableParagraph"/>
              <w:spacing w:line="319" w:lineRule="auto" w:before="116"/>
              <w:ind w:left="23" w:right="21"/>
              <w:jc w:val="both"/>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9</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30</w:t>
            </w:r>
            <w:r>
              <w:rPr>
                <w:rFonts w:ascii="宋体" w:hAnsi="宋体" w:cs="宋体" w:eastAsia="宋体" w:hint="default"/>
                <w:spacing w:val="-6"/>
                <w:sz w:val="18"/>
                <w:szCs w:val="18"/>
              </w:rPr>
              <w:t> </w:t>
            </w:r>
            <w:r>
              <w:rPr>
                <w:rFonts w:ascii="宋体" w:hAnsi="宋体" w:cs="宋体" w:eastAsia="宋体" w:hint="default"/>
                <w:sz w:val="18"/>
                <w:szCs w:val="18"/>
              </w:rPr>
              <w:t>日，河南思达科技发展股份有限公司与正弘置业签订股权转让协 议，将其持有的公司</w:t>
            </w:r>
            <w:r>
              <w:rPr>
                <w:rFonts w:ascii="宋体" w:hAnsi="宋体" w:cs="宋体" w:eastAsia="宋体" w:hint="default"/>
                <w:spacing w:val="-46"/>
                <w:sz w:val="18"/>
                <w:szCs w:val="18"/>
              </w:rPr>
              <w:t> </w:t>
            </w:r>
            <w:r>
              <w:rPr>
                <w:rFonts w:ascii="宋体" w:hAnsi="宋体" w:cs="宋体" w:eastAsia="宋体" w:hint="default"/>
                <w:sz w:val="18"/>
                <w:szCs w:val="18"/>
              </w:rPr>
              <w:t>9200 </w:t>
            </w:r>
            <w:r>
              <w:rPr>
                <w:rFonts w:ascii="宋体" w:hAnsi="宋体" w:cs="宋体" w:eastAsia="宋体" w:hint="default"/>
                <w:sz w:val="18"/>
                <w:szCs w:val="18"/>
              </w:rPr>
              <w:t>万股股份转让给正弘置业，占公司总股本的</w:t>
            </w:r>
            <w:r>
              <w:rPr>
                <w:rFonts w:ascii="宋体" w:hAnsi="宋体" w:cs="宋体" w:eastAsia="宋体" w:hint="default"/>
                <w:spacing w:val="-46"/>
                <w:sz w:val="18"/>
                <w:szCs w:val="18"/>
              </w:rPr>
              <w:t> </w:t>
            </w:r>
            <w:r>
              <w:rPr>
                <w:rFonts w:ascii="宋体" w:hAnsi="宋体" w:cs="宋体" w:eastAsia="宋体" w:hint="default"/>
                <w:sz w:val="18"/>
                <w:szCs w:val="18"/>
              </w:rPr>
              <w:t>29.24%</w:t>
            </w:r>
            <w:r>
              <w:rPr>
                <w:rFonts w:ascii="宋体" w:hAnsi="宋体" w:cs="宋体" w:eastAsia="宋体" w:hint="default"/>
                <w:sz w:val="18"/>
                <w:szCs w:val="18"/>
              </w:rPr>
              <w:t>。 此次交易完成后，正弘置业成为公司的控股股东。</w:t>
            </w:r>
          </w:p>
          <w:p>
            <w:pPr>
              <w:pStyle w:val="TableParagraph"/>
              <w:spacing w:line="240" w:lineRule="auto" w:before="55"/>
              <w:ind w:left="23" w:right="0"/>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6"/>
                <w:sz w:val="18"/>
                <w:szCs w:val="18"/>
              </w:rPr>
              <w:t> </w:t>
            </w:r>
            <w:r>
              <w:rPr>
                <w:rFonts w:ascii="宋体" w:hAnsi="宋体" w:cs="宋体" w:eastAsia="宋体" w:hint="default"/>
                <w:sz w:val="18"/>
                <w:szCs w:val="18"/>
              </w:rPr>
              <w:t>12</w:t>
            </w:r>
            <w:r>
              <w:rPr>
                <w:rFonts w:ascii="宋体" w:hAnsi="宋体" w:cs="宋体" w:eastAsia="宋体"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29</w:t>
            </w:r>
            <w:r>
              <w:rPr>
                <w:rFonts w:ascii="宋体" w:hAnsi="宋体" w:cs="宋体" w:eastAsia="宋体" w:hint="default"/>
                <w:spacing w:val="-6"/>
                <w:sz w:val="18"/>
                <w:szCs w:val="18"/>
              </w:rPr>
              <w:t> </w:t>
            </w:r>
            <w:r>
              <w:rPr>
                <w:rFonts w:ascii="宋体" w:hAnsi="宋体" w:cs="宋体" w:eastAsia="宋体" w:hint="default"/>
                <w:sz w:val="18"/>
                <w:szCs w:val="18"/>
              </w:rPr>
              <w:t>日，正弘置业与智度德普签订股权转让协议，正弘置业将其持</w:t>
            </w:r>
          </w:p>
          <w:p>
            <w:pPr>
              <w:pStyle w:val="TableParagraph"/>
              <w:spacing w:line="338" w:lineRule="auto" w:before="76"/>
              <w:ind w:left="23" w:right="-45"/>
              <w:jc w:val="both"/>
              <w:rPr>
                <w:rFonts w:ascii="宋体" w:hAnsi="宋体" w:cs="宋体" w:eastAsia="宋体" w:hint="default"/>
                <w:sz w:val="18"/>
                <w:szCs w:val="18"/>
              </w:rPr>
            </w:pPr>
            <w:r>
              <w:rPr>
                <w:rFonts w:ascii="宋体" w:hAnsi="宋体" w:cs="宋体" w:eastAsia="宋体" w:hint="default"/>
                <w:sz w:val="18"/>
                <w:szCs w:val="18"/>
              </w:rPr>
              <w:t>有的公司 </w:t>
            </w:r>
            <w:r>
              <w:rPr>
                <w:rFonts w:ascii="宋体" w:hAnsi="宋体" w:cs="宋体" w:eastAsia="宋体" w:hint="default"/>
                <w:sz w:val="18"/>
                <w:szCs w:val="18"/>
              </w:rPr>
              <w:t>63,000,000</w:t>
            </w:r>
            <w:r>
              <w:rPr>
                <w:rFonts w:ascii="宋体" w:hAnsi="宋体" w:cs="宋体" w:eastAsia="宋体" w:hint="default"/>
                <w:spacing w:val="-46"/>
                <w:sz w:val="18"/>
                <w:szCs w:val="18"/>
              </w:rPr>
              <w:t> </w:t>
            </w:r>
            <w:r>
              <w:rPr>
                <w:rFonts w:ascii="宋体" w:hAnsi="宋体" w:cs="宋体" w:eastAsia="宋体" w:hint="default"/>
                <w:sz w:val="18"/>
                <w:szCs w:val="18"/>
              </w:rPr>
              <w:t>股股份转让给智度德普。本次股权转让完成后，智度德普 持有公司</w:t>
            </w:r>
            <w:r>
              <w:rPr>
                <w:rFonts w:ascii="宋体" w:hAnsi="宋体" w:cs="宋体" w:eastAsia="宋体" w:hint="default"/>
                <w:spacing w:val="-46"/>
                <w:sz w:val="18"/>
                <w:szCs w:val="18"/>
              </w:rPr>
              <w:t> </w:t>
            </w:r>
            <w:r>
              <w:rPr>
                <w:rFonts w:ascii="宋体" w:hAnsi="宋体" w:cs="宋体" w:eastAsia="宋体" w:hint="default"/>
                <w:sz w:val="18"/>
                <w:szCs w:val="18"/>
              </w:rPr>
              <w:t>63,000,000 </w:t>
            </w:r>
            <w:r>
              <w:rPr>
                <w:rFonts w:ascii="宋体" w:hAnsi="宋体" w:cs="宋体" w:eastAsia="宋体" w:hint="default"/>
                <w:sz w:val="18"/>
                <w:szCs w:val="18"/>
              </w:rPr>
              <w:t>股股份，占公司总股本的</w:t>
            </w:r>
            <w:r>
              <w:rPr>
                <w:rFonts w:ascii="宋体" w:hAnsi="宋体" w:cs="宋体" w:eastAsia="宋体" w:hint="default"/>
                <w:spacing w:val="-46"/>
                <w:sz w:val="18"/>
                <w:szCs w:val="18"/>
              </w:rPr>
              <w:t> </w:t>
            </w:r>
            <w:r>
              <w:rPr>
                <w:rFonts w:ascii="宋体" w:hAnsi="宋体" w:cs="宋体" w:eastAsia="宋体" w:hint="default"/>
                <w:sz w:val="18"/>
                <w:szCs w:val="18"/>
              </w:rPr>
              <w:t>20.03%</w:t>
            </w:r>
            <w:r>
              <w:rPr>
                <w:rFonts w:ascii="宋体" w:hAnsi="宋体" w:cs="宋体" w:eastAsia="宋体" w:hint="default"/>
                <w:sz w:val="18"/>
                <w:szCs w:val="18"/>
              </w:rPr>
              <w:t>，成为公司第一大股东。 </w:t>
            </w:r>
            <w:r>
              <w:rPr>
                <w:rFonts w:ascii="宋体" w:hAnsi="宋体" w:cs="宋体" w:eastAsia="宋体"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月到</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月期间，智度德普通过二级市场增持了公司</w:t>
            </w:r>
            <w:r>
              <w:rPr>
                <w:rFonts w:ascii="宋体" w:hAnsi="宋体" w:cs="宋体" w:eastAsia="宋体" w:hint="default"/>
                <w:spacing w:val="-46"/>
                <w:sz w:val="18"/>
                <w:szCs w:val="18"/>
              </w:rPr>
              <w:t> </w:t>
            </w:r>
            <w:r>
              <w:rPr>
                <w:rFonts w:ascii="宋体" w:hAnsi="宋体" w:cs="宋体" w:eastAsia="宋体" w:hint="default"/>
                <w:sz w:val="18"/>
                <w:szCs w:val="18"/>
              </w:rPr>
              <w:t>3,180,000</w:t>
            </w:r>
            <w:r>
              <w:rPr>
                <w:rFonts w:ascii="宋体" w:hAnsi="宋体" w:cs="宋体" w:eastAsia="宋体" w:hint="default"/>
                <w:spacing w:val="-45"/>
                <w:sz w:val="18"/>
                <w:szCs w:val="18"/>
              </w:rPr>
              <w:t> </w:t>
            </w:r>
            <w:r>
              <w:rPr>
                <w:rFonts w:ascii="宋体" w:hAnsi="宋体" w:cs="宋体" w:eastAsia="宋体" w:hint="default"/>
                <w:sz w:val="18"/>
                <w:szCs w:val="18"/>
              </w:rPr>
              <w:t>股股份。</w:t>
            </w:r>
          </w:p>
          <w:p>
            <w:pPr>
              <w:pStyle w:val="TableParagraph"/>
              <w:spacing w:line="319" w:lineRule="auto" w:before="2"/>
              <w:ind w:left="23" w:right="312"/>
              <w:jc w:val="left"/>
              <w:rPr>
                <w:rFonts w:ascii="宋体" w:hAnsi="宋体" w:cs="宋体" w:eastAsia="宋体" w:hint="default"/>
                <w:sz w:val="18"/>
                <w:szCs w:val="18"/>
              </w:rPr>
            </w:pPr>
            <w:r>
              <w:rPr>
                <w:rFonts w:ascii="宋体" w:hAnsi="宋体" w:cs="宋体" w:eastAsia="宋体" w:hint="default"/>
                <w:sz w:val="18"/>
                <w:szCs w:val="18"/>
              </w:rPr>
              <w:t>增持后，智度德普共持有公司</w:t>
            </w:r>
            <w:r>
              <w:rPr>
                <w:rFonts w:ascii="宋体" w:hAnsi="宋体" w:cs="宋体" w:eastAsia="宋体" w:hint="default"/>
                <w:spacing w:val="-46"/>
                <w:sz w:val="18"/>
                <w:szCs w:val="18"/>
              </w:rPr>
              <w:t> </w:t>
            </w:r>
            <w:r>
              <w:rPr>
                <w:rFonts w:ascii="宋体" w:hAnsi="宋体" w:cs="宋体" w:eastAsia="宋体" w:hint="default"/>
                <w:sz w:val="18"/>
                <w:szCs w:val="18"/>
              </w:rPr>
              <w:t>66,180,000</w:t>
            </w:r>
            <w:r>
              <w:rPr>
                <w:rFonts w:ascii="宋体" w:hAnsi="宋体" w:cs="宋体" w:eastAsia="宋体" w:hint="default"/>
                <w:spacing w:val="-45"/>
                <w:sz w:val="18"/>
                <w:szCs w:val="18"/>
              </w:rPr>
              <w:t> </w:t>
            </w:r>
            <w:r>
              <w:rPr>
                <w:rFonts w:ascii="宋体" w:hAnsi="宋体" w:cs="宋体" w:eastAsia="宋体" w:hint="default"/>
                <w:sz w:val="18"/>
                <w:szCs w:val="18"/>
              </w:rPr>
              <w:t>股股份，占公司已发行股份总数的 </w:t>
            </w:r>
            <w:r>
              <w:rPr>
                <w:rFonts w:ascii="宋体" w:hAnsi="宋体" w:cs="宋体" w:eastAsia="宋体" w:hint="default"/>
                <w:sz w:val="18"/>
                <w:szCs w:val="18"/>
              </w:rPr>
              <w:t>21.04%</w:t>
            </w:r>
            <w:r>
              <w:rPr>
                <w:rFonts w:ascii="宋体" w:hAnsi="宋体" w:cs="宋体" w:eastAsia="宋体" w:hint="default"/>
                <w:sz w:val="18"/>
                <w:szCs w:val="18"/>
              </w:rPr>
              <w:t>。</w:t>
            </w:r>
          </w:p>
          <w:p>
            <w:pPr>
              <w:pStyle w:val="TableParagraph"/>
              <w:spacing w:line="240" w:lineRule="auto" w:before="55"/>
              <w:ind w:left="23" w:right="0"/>
              <w:jc w:val="both"/>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年，公司完成发行股份及支付现金购买资产并募集配套资金暨关联交易事</w:t>
            </w:r>
          </w:p>
          <w:p>
            <w:pPr>
              <w:pStyle w:val="TableParagraph"/>
              <w:spacing w:line="319" w:lineRule="auto" w:before="76"/>
              <w:ind w:left="23" w:right="43"/>
              <w:jc w:val="both"/>
              <w:rPr>
                <w:rFonts w:ascii="宋体" w:hAnsi="宋体" w:cs="宋体" w:eastAsia="宋体" w:hint="default"/>
                <w:sz w:val="18"/>
                <w:szCs w:val="18"/>
              </w:rPr>
            </w:pPr>
            <w:r>
              <w:rPr>
                <w:rFonts w:ascii="宋体" w:hAnsi="宋体" w:cs="宋体" w:eastAsia="宋体" w:hint="default"/>
                <w:sz w:val="18"/>
                <w:szCs w:val="18"/>
              </w:rPr>
              <w:t>项，本次交易完成后，智度德普持有公司</w:t>
            </w:r>
            <w:r>
              <w:rPr>
                <w:rFonts w:ascii="宋体" w:hAnsi="宋体" w:cs="宋体" w:eastAsia="宋体" w:hint="default"/>
                <w:spacing w:val="-46"/>
                <w:sz w:val="18"/>
                <w:szCs w:val="18"/>
              </w:rPr>
              <w:t> </w:t>
            </w:r>
            <w:r>
              <w:rPr>
                <w:rFonts w:ascii="宋体" w:hAnsi="宋体" w:cs="宋体" w:eastAsia="宋体" w:hint="default"/>
                <w:sz w:val="18"/>
                <w:szCs w:val="18"/>
              </w:rPr>
              <w:t>442,074,873</w:t>
            </w:r>
            <w:r>
              <w:rPr>
                <w:rFonts w:ascii="宋体" w:hAnsi="宋体" w:cs="宋体" w:eastAsia="宋体" w:hint="default"/>
                <w:spacing w:val="-46"/>
                <w:sz w:val="18"/>
                <w:szCs w:val="18"/>
              </w:rPr>
              <w:t> </w:t>
            </w:r>
            <w:r>
              <w:rPr>
                <w:rFonts w:ascii="宋体" w:hAnsi="宋体" w:cs="宋体" w:eastAsia="宋体" w:hint="default"/>
                <w:sz w:val="18"/>
                <w:szCs w:val="18"/>
              </w:rPr>
              <w:t>股股份，占公司总股本的 </w:t>
            </w:r>
            <w:r>
              <w:rPr>
                <w:rFonts w:ascii="宋体" w:hAnsi="宋体" w:cs="宋体" w:eastAsia="宋体" w:hint="default"/>
                <w:sz w:val="18"/>
                <w:szCs w:val="18"/>
              </w:rPr>
              <w:t>45.78%</w:t>
            </w:r>
            <w:r>
              <w:rPr>
                <w:rFonts w:ascii="宋体" w:hAnsi="宋体" w:cs="宋体" w:eastAsia="宋体" w:hint="default"/>
                <w:sz w:val="18"/>
                <w:szCs w:val="18"/>
              </w:rPr>
              <w:t>。</w:t>
            </w:r>
          </w:p>
          <w:p>
            <w:pPr>
              <w:pStyle w:val="TableParagraph"/>
              <w:spacing w:line="240" w:lineRule="auto" w:before="56"/>
              <w:ind w:left="23" w:right="0"/>
              <w:jc w:val="both"/>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日，智度德普与西藏旭赢百年投资有限公司（以下简称“西藏旭</w:t>
            </w:r>
          </w:p>
          <w:p>
            <w:pPr>
              <w:pStyle w:val="TableParagraph"/>
              <w:spacing w:line="240" w:lineRule="auto" w:before="76"/>
              <w:ind w:left="23" w:right="0"/>
              <w:jc w:val="both"/>
              <w:rPr>
                <w:rFonts w:ascii="宋体" w:hAnsi="宋体" w:cs="宋体" w:eastAsia="宋体" w:hint="default"/>
                <w:sz w:val="18"/>
                <w:szCs w:val="18"/>
              </w:rPr>
            </w:pPr>
            <w:r>
              <w:rPr>
                <w:rFonts w:ascii="宋体" w:hAnsi="宋体" w:cs="宋体" w:eastAsia="宋体" w:hint="default"/>
                <w:sz w:val="18"/>
                <w:szCs w:val="18"/>
              </w:rPr>
              <w:t>赢</w:t>
            </w:r>
            <w:r>
              <w:rPr>
                <w:rFonts w:ascii="宋体" w:hAnsi="宋体" w:cs="宋体" w:eastAsia="宋体" w:hint="default"/>
                <w:spacing w:val="-90"/>
                <w:sz w:val="18"/>
                <w:szCs w:val="18"/>
              </w:rPr>
              <w:t>”</w:t>
            </w:r>
            <w:r>
              <w:rPr>
                <w:rFonts w:ascii="宋体" w:hAnsi="宋体" w:cs="宋体" w:eastAsia="宋体" w:hint="default"/>
                <w:sz w:val="18"/>
                <w:szCs w:val="18"/>
              </w:rPr>
              <w:t>）签署股权转让协议，智度德普将其持有公司的</w:t>
            </w:r>
            <w:r>
              <w:rPr>
                <w:rFonts w:ascii="宋体" w:hAnsi="宋体" w:cs="宋体" w:eastAsia="宋体" w:hint="default"/>
                <w:spacing w:val="-45"/>
                <w:sz w:val="18"/>
                <w:szCs w:val="18"/>
              </w:rPr>
              <w:t> </w:t>
            </w:r>
            <w:r>
              <w:rPr>
                <w:rFonts w:ascii="宋体" w:hAnsi="宋体" w:cs="宋体" w:eastAsia="宋体" w:hint="default"/>
                <w:sz w:val="18"/>
                <w:szCs w:val="18"/>
              </w:rPr>
              <w:t>6300</w:t>
            </w:r>
            <w:r>
              <w:rPr>
                <w:rFonts w:ascii="宋体" w:hAnsi="宋体" w:cs="宋体" w:eastAsia="宋体" w:hint="default"/>
                <w:spacing w:val="-45"/>
                <w:sz w:val="18"/>
                <w:szCs w:val="18"/>
              </w:rPr>
              <w:t> </w:t>
            </w:r>
            <w:r>
              <w:rPr>
                <w:rFonts w:ascii="宋体" w:hAnsi="宋体" w:cs="宋体" w:eastAsia="宋体" w:hint="default"/>
                <w:sz w:val="18"/>
                <w:szCs w:val="18"/>
              </w:rPr>
              <w:t>万股流通股转让给了西</w:t>
            </w:r>
          </w:p>
          <w:p>
            <w:pPr>
              <w:pStyle w:val="TableParagraph"/>
              <w:spacing w:line="319" w:lineRule="auto" w:before="76"/>
              <w:ind w:left="23" w:right="43"/>
              <w:jc w:val="both"/>
              <w:rPr>
                <w:rFonts w:ascii="宋体" w:hAnsi="宋体" w:cs="宋体" w:eastAsia="宋体" w:hint="default"/>
                <w:sz w:val="18"/>
                <w:szCs w:val="18"/>
              </w:rPr>
            </w:pPr>
            <w:r>
              <w:rPr>
                <w:rFonts w:ascii="宋体" w:hAnsi="宋体" w:cs="宋体" w:eastAsia="宋体" w:hint="default"/>
                <w:sz w:val="18"/>
                <w:szCs w:val="18"/>
              </w:rPr>
              <w:t>藏旭赢。本次交易完成后，智度德普持有公司</w:t>
            </w:r>
            <w:r>
              <w:rPr>
                <w:rFonts w:ascii="宋体" w:hAnsi="宋体" w:cs="宋体" w:eastAsia="宋体" w:hint="default"/>
                <w:spacing w:val="-46"/>
                <w:sz w:val="18"/>
                <w:szCs w:val="18"/>
              </w:rPr>
              <w:t> </w:t>
            </w:r>
            <w:r>
              <w:rPr>
                <w:rFonts w:ascii="宋体" w:hAnsi="宋体" w:cs="宋体" w:eastAsia="宋体" w:hint="default"/>
                <w:sz w:val="18"/>
                <w:szCs w:val="18"/>
              </w:rPr>
              <w:t>379,074,873</w:t>
            </w:r>
            <w:r>
              <w:rPr>
                <w:rFonts w:ascii="宋体" w:hAnsi="宋体" w:cs="宋体" w:eastAsia="宋体" w:hint="default"/>
                <w:spacing w:val="-46"/>
                <w:sz w:val="18"/>
                <w:szCs w:val="18"/>
              </w:rPr>
              <w:t> </w:t>
            </w:r>
            <w:r>
              <w:rPr>
                <w:rFonts w:ascii="宋体" w:hAnsi="宋体" w:cs="宋体" w:eastAsia="宋体" w:hint="default"/>
                <w:sz w:val="18"/>
                <w:szCs w:val="18"/>
              </w:rPr>
              <w:t>股股份，占公司总股 本的</w:t>
            </w:r>
            <w:r>
              <w:rPr>
                <w:rFonts w:ascii="宋体" w:hAnsi="宋体" w:cs="宋体" w:eastAsia="宋体" w:hint="default"/>
                <w:spacing w:val="-46"/>
                <w:sz w:val="18"/>
                <w:szCs w:val="18"/>
              </w:rPr>
              <w:t> </w:t>
            </w:r>
            <w:r>
              <w:rPr>
                <w:rFonts w:ascii="宋体" w:hAnsi="宋体" w:cs="宋体" w:eastAsia="宋体" w:hint="default"/>
                <w:sz w:val="18"/>
                <w:szCs w:val="18"/>
              </w:rPr>
              <w:t>39.25%</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五、其他有关资料" w:id="8"/>
      <w:bookmarkEnd w:id="8"/>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0"/>
        <w:jc w:val="left"/>
      </w:pPr>
      <w:r>
        <w:rPr/>
        <w:t>公司聘请的会计师事务所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北京市朝阳区建国门外大街 </w:t>
            </w:r>
            <w:r>
              <w:rPr>
                <w:rFonts w:ascii="宋体" w:hAnsi="宋体" w:cs="宋体" w:eastAsia="宋体" w:hint="default"/>
                <w:sz w:val="18"/>
                <w:szCs w:val="18"/>
              </w:rPr>
              <w:t>22 </w:t>
            </w:r>
            <w:r>
              <w:rPr>
                <w:rFonts w:ascii="宋体" w:hAnsi="宋体" w:cs="宋体" w:eastAsia="宋体" w:hint="default"/>
                <w:sz w:val="18"/>
                <w:szCs w:val="18"/>
              </w:rPr>
              <w:t>号赛特广场十层</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倪军  董阳阳</w:t>
            </w:r>
          </w:p>
        </w:tc>
      </w:tr>
    </w:tbl>
    <w:p>
      <w:pPr>
        <w:pStyle w:val="BodyText"/>
        <w:spacing w:line="240" w:lineRule="auto" w:before="51"/>
        <w:ind w:right="0"/>
        <w:jc w:val="left"/>
      </w:pPr>
      <w:r>
        <w:rPr/>
        <w:t>公司聘请的报告期内履行持续督导职责的保荐机构</w:t>
      </w:r>
    </w:p>
    <w:p>
      <w:pPr>
        <w:pStyle w:val="BodyText"/>
        <w:spacing w:line="360" w:lineRule="auto" w:before="116"/>
        <w:ind w:right="6792"/>
        <w:jc w:val="left"/>
      </w:pPr>
      <w:r>
        <w:rPr/>
        <w:t>□ 适用 √ 不适用 公司聘请的报告期内履行持续督导职责的财务顾问</w:t>
      </w:r>
    </w:p>
    <w:p>
      <w:pPr>
        <w:pStyle w:val="BodyText"/>
        <w:spacing w:line="240" w:lineRule="auto" w:before="26"/>
        <w:ind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2"/>
              <w:jc w:val="left"/>
              <w:rPr>
                <w:rFonts w:ascii="宋体" w:hAnsi="宋体" w:cs="宋体" w:eastAsia="宋体" w:hint="default"/>
                <w:sz w:val="18"/>
                <w:szCs w:val="18"/>
              </w:rPr>
            </w:pPr>
            <w:r>
              <w:rPr>
                <w:rFonts w:ascii="宋体" w:hAnsi="宋体" w:cs="宋体" w:eastAsia="宋体" w:hint="default"/>
                <w:sz w:val="18"/>
                <w:szCs w:val="18"/>
              </w:rPr>
              <w:t>北京市西城区丰盛胡同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号 丰铭国际大厦</w:t>
            </w:r>
            <w:r>
              <w:rPr>
                <w:rFonts w:ascii="宋体" w:hAnsi="宋体" w:cs="宋体" w:eastAsia="宋体" w:hint="default"/>
                <w:spacing w:val="-46"/>
                <w:sz w:val="18"/>
                <w:szCs w:val="18"/>
              </w:rPr>
              <w:t> </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于洋、张鹏</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w:t>
            </w:r>
          </w:p>
        </w:tc>
      </w:tr>
    </w:tbl>
    <w:p>
      <w:pPr>
        <w:spacing w:after="0" w:line="24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六、主要会计数据和财务指标" w:id="9"/>
      <w:bookmarkEnd w:id="9"/>
      <w:r>
        <w:rPr>
          <w:b w:val="0"/>
          <w:bCs w:val="0"/>
        </w:rPr>
      </w:r>
      <w:r>
        <w:rPr/>
        <w:t>六、主要会计数据和财务指标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6"/>
        <w:ind w:right="0"/>
        <w:jc w:val="left"/>
      </w:pPr>
      <w:r>
        <w:rPr/>
        <w:t>□ 是 √ 否</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6,373,794,918.71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2,364,007,200.40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169.62%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317,583,186.73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527,325,402.70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316,113,821.03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66.82%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3,503,549.39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472,170,469.26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242,070,025.45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95.06%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-39,751,864.10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-11,123,590.08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167,544,205.69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-106.64%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31,336,390.35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0.5460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0.4552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0.0111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0.5460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0.4552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0.0111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10.92%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-0.71%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7,027,309,687.98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6,491,274,490.45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312,566,465.79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5,052,735,150.75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4,607,850,605.15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9.65%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144,613,481.97</w:t>
            </w:r>
          </w:p>
        </w:tc>
      </w:tr>
    </w:tbl>
    <w:p>
      <w:pPr>
        <w:spacing w:line="240" w:lineRule="auto" w:before="6"/>
        <w:rPr>
          <w:rFonts w:ascii="宋体" w:hAnsi="宋体" w:cs="宋体" w:eastAsia="宋体" w:hint="default"/>
          <w:sz w:val="27"/>
          <w:szCs w:val="27"/>
        </w:rPr>
      </w:pPr>
    </w:p>
    <w:p>
      <w:pPr>
        <w:pStyle w:val="BodyText"/>
        <w:spacing w:line="240" w:lineRule="auto" w:before="44"/>
        <w:ind w:right="0"/>
        <w:jc w:val="left"/>
      </w:pPr>
      <w:r>
        <w:rPr/>
        <w:t>截止披露前一交易日的公司总股本</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524"/>
        <w:gridCol w:w="5045"/>
      </w:tblGrid>
      <w:tr>
        <w:trPr>
          <w:trHeight w:val="402"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965,710,782</w:t>
            </w:r>
          </w:p>
        </w:tc>
      </w:tr>
      <w:tr>
        <w:trPr>
          <w:trHeight w:val="402"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0.5460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同时按照国际会计准则与按照中国会计准则披露的财务报告中净利润和净资产差异情况" w:id="11"/>
      <w:bookmarkEnd w:id="11"/>
      <w:r>
        <w:rPr>
          <w:b w:val="0"/>
          <w:bCs w:val="0"/>
        </w:rPr>
      </w:r>
      <w:r>
        <w:rPr>
          <w:rFonts w:ascii="宋体" w:hAnsi="宋体" w:cs="宋体" w:eastAsia="宋体" w:hint="default"/>
        </w:rPr>
        <w:t>1</w:t>
      </w:r>
      <w:r>
        <w:rPr/>
        <w:t>、同时按照国际会计准则与按照中国会计准则披露的财务报告中净利润和净资产差异情况</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153" w:right="1753"/>
        <w:jc w:val="left"/>
      </w:pPr>
      <w:r>
        <w:rPr/>
        <w:t>□ 适用 √ 不适用 公司报告期不存在按照国际会计准则与按照中国会计准则披露的财务报告中净利润和净资产差异情况。</w:t>
      </w:r>
    </w:p>
    <w:p>
      <w:pPr>
        <w:spacing w:line="240" w:lineRule="auto" w:before="13"/>
        <w:rPr>
          <w:rFonts w:ascii="宋体" w:hAnsi="宋体" w:cs="宋体" w:eastAsia="宋体" w:hint="default"/>
          <w:sz w:val="19"/>
          <w:szCs w:val="19"/>
        </w:rPr>
      </w:pPr>
    </w:p>
    <w:p>
      <w:pPr>
        <w:pStyle w:val="Heading3"/>
        <w:spacing w:line="240" w:lineRule="auto"/>
        <w:ind w:left="153" w:right="0"/>
        <w:jc w:val="left"/>
        <w:rPr>
          <w:b w:val="0"/>
          <w:bCs w:val="0"/>
        </w:rPr>
      </w:pPr>
      <w:bookmarkStart w:name="2、同时按照境外会计准则与按照中国会计准则披露的财务报告中净利润和净资产差异情况" w:id="12"/>
      <w:bookmarkEnd w:id="12"/>
      <w:r>
        <w:rPr>
          <w:b w:val="0"/>
          <w:bCs w:val="0"/>
        </w:rPr>
      </w:r>
      <w:r>
        <w:rPr>
          <w:rFonts w:ascii="宋体" w:hAnsi="宋体" w:cs="宋体" w:eastAsia="宋体" w:hint="default"/>
        </w:rPr>
        <w:t>2</w:t>
      </w:r>
      <w:r>
        <w:rPr/>
        <w:t>、同时按照境外会计准则与按照中国会计准则披露的财务报告中净利润和净资产差异情况</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right="2652"/>
        <w:jc w:val="left"/>
      </w:pPr>
      <w:r>
        <w:rPr/>
        <w:t>□ 适用 √ 不适用 公司报告期不存在按照境外会计准则与按照中国会计准则披露的财务报告中净利润和净资产差异情况。</w:t>
      </w:r>
    </w:p>
    <w:p>
      <w:pPr>
        <w:spacing w:line="240" w:lineRule="auto" w:before="5"/>
        <w:rPr>
          <w:rFonts w:ascii="宋体" w:hAnsi="宋体" w:cs="宋体" w:eastAsia="宋体" w:hint="default"/>
          <w:sz w:val="18"/>
          <w:szCs w:val="18"/>
        </w:rPr>
      </w:pPr>
    </w:p>
    <w:p>
      <w:pPr>
        <w:pStyle w:val="Heading2"/>
        <w:spacing w:line="240" w:lineRule="auto"/>
        <w:ind w:left="153" w:right="0"/>
        <w:jc w:val="left"/>
        <w:rPr>
          <w:b w:val="0"/>
          <w:bCs w:val="0"/>
        </w:rPr>
      </w:pPr>
      <w:bookmarkStart w:name="八、分季度主要财务指标" w:id="13"/>
      <w:bookmarkEnd w:id="13"/>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74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1,191,606,550.52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1,352,757,725.84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1,881,186,994.58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1,948,243,647.77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122,724,389.66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95,407,769.77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111,956,701.77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197,236,541.50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108,371,726.81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72,757,878.79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106,038,034.52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185,002,829.14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-115,237,204.54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-41,669,132.25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-79,310,735.39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225,093,482.10</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7"/>
        <w:ind w:left="153" w:right="0"/>
        <w:jc w:val="left"/>
      </w:pPr>
      <w:r>
        <w:rPr/>
        <w:t>□ 是 √ 否</w:t>
      </w:r>
    </w:p>
    <w:p>
      <w:pPr>
        <w:spacing w:line="240" w:lineRule="auto" w:before="13"/>
        <w:rPr>
          <w:rFonts w:ascii="宋体" w:hAnsi="宋体" w:cs="宋体" w:eastAsia="宋体" w:hint="default"/>
          <w:sz w:val="24"/>
          <w:szCs w:val="24"/>
        </w:rPr>
      </w:pPr>
    </w:p>
    <w:p>
      <w:pPr>
        <w:pStyle w:val="Heading2"/>
        <w:spacing w:line="240" w:lineRule="auto"/>
        <w:ind w:left="153" w:right="0"/>
        <w:jc w:val="left"/>
        <w:rPr>
          <w:b w:val="0"/>
          <w:bCs w:val="0"/>
        </w:rPr>
      </w:pPr>
      <w:bookmarkStart w:name="九、非经常性损益项目及金额" w:id="14"/>
      <w:bookmarkEnd w:id="14"/>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3" w:right="0"/>
        <w:jc w:val="left"/>
      </w:pPr>
      <w:r>
        <w:rPr/>
        <w:t>√ 适用 □ 不适用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54,259.77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44,213,698.59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42,854,354.55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11,312,483.46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11,728,502.84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4,121,938.32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11,718,734.41</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sz w:val="18"/>
                <w:szCs w:val="18"/>
              </w:rPr>
              <w:t>无需支付的或有对价</w:t>
            </w: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45,317,330.94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19,620,225.64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82,444.98</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54"/>
              <w:jc w:val="left"/>
              <w:rPr>
                <w:rFonts w:ascii="宋体" w:hAnsi="宋体" w:cs="宋体" w:eastAsia="宋体" w:hint="default"/>
                <w:sz w:val="18"/>
                <w:szCs w:val="18"/>
              </w:rPr>
            </w:pPr>
            <w:r>
              <w:rPr>
                <w:rFonts w:ascii="宋体" w:hAnsi="宋体" w:cs="宋体" w:eastAsia="宋体" w:hint="default"/>
                <w:sz w:val="18"/>
                <w:szCs w:val="18"/>
              </w:rPr>
              <w:t>购买银行理财产品收 益</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645,841.21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-223,823.76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-331,504.59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-1,632,045.06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12,984,991.38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1,163,185.02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2,166,129.80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39,060.00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23,941.88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650,990.71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55,154,933.44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74,043,795.58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43,255,413.49</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宋体" w:hAnsi="宋体" w:cs="宋体" w:eastAsia="宋体" w:hint="default"/>
        </w:rPr>
        <w:t>1</w:t>
      </w:r>
      <w:r>
        <w:rPr>
          <w:rFonts w:ascii="宋体" w:hAnsi="宋体" w:cs="宋体" w:eastAsia="宋体" w:hint="default"/>
          <w:spacing w:val="-40"/>
        </w:rPr>
        <w:t> </w:t>
      </w:r>
      <w:r>
        <w:rPr>
          <w:spacing w:val="-7"/>
        </w:rPr>
        <w:t>号——非经常性损益》定义界定的非经常性损益项目，以及把《公</w:t>
      </w:r>
    </w:p>
    <w:p>
      <w:pPr>
        <w:pStyle w:val="BodyText"/>
        <w:spacing w:line="319" w:lineRule="auto" w:before="75"/>
        <w:ind w:right="1118"/>
        <w:jc w:val="left"/>
      </w:pPr>
      <w:r>
        <w:rPr/>
        <w:t>开发行证券的公司信息披露解释性公告第 </w:t>
      </w:r>
      <w:r>
        <w:rPr>
          <w:rFonts w:ascii="宋体" w:hAnsi="宋体" w:cs="宋体" w:eastAsia="宋体" w:hint="default"/>
        </w:rPr>
        <w:t>1</w:t>
      </w:r>
      <w:r>
        <w:rPr>
          <w:rFonts w:ascii="宋体" w:hAnsi="宋体" w:cs="宋体" w:eastAsia="宋体" w:hint="default"/>
          <w:spacing w:val="-71"/>
        </w:rPr>
        <w:t> </w:t>
      </w:r>
      <w:r>
        <w:rPr>
          <w:spacing w:val="-3"/>
        </w:rPr>
        <w:t>号——非经常性损益》中列举的非经常性损益项目界定为经常性损益的项目，应</w:t>
      </w:r>
      <w:r>
        <w:rPr/>
        <w:t> 说明原因</w:t>
      </w:r>
    </w:p>
    <w:p>
      <w:pPr>
        <w:pStyle w:val="BodyText"/>
        <w:spacing w:line="240" w:lineRule="auto" w:before="58"/>
        <w:ind w:right="0"/>
        <w:jc w:val="left"/>
      </w:pPr>
      <w:r>
        <w:rPr/>
        <w:t>□ 适用 √ 不适用</w:t>
      </w:r>
    </w:p>
    <w:p>
      <w:pPr>
        <w:pStyle w:val="BodyText"/>
        <w:spacing w:line="319" w:lineRule="auto" w:before="115"/>
        <w:ind w:left="153" w:right="1116"/>
        <w:jc w:val="left"/>
      </w:pPr>
      <w:r>
        <w:rPr/>
        <w:t>公司报告期不存在将根据《公开发行证券的公司信息披露解释性公告第</w:t>
      </w:r>
      <w:r>
        <w:rPr>
          <w:spacing w:val="-53"/>
        </w:rPr>
        <w:t> </w:t>
      </w:r>
      <w:r>
        <w:rPr>
          <w:rFonts w:ascii="宋体" w:hAnsi="宋体" w:cs="宋体" w:eastAsia="宋体" w:hint="default"/>
        </w:rPr>
        <w:t>1</w:t>
      </w:r>
      <w:r>
        <w:rPr>
          <w:rFonts w:ascii="宋体" w:hAnsi="宋体" w:cs="宋体" w:eastAsia="宋体" w:hint="default"/>
          <w:spacing w:val="-54"/>
        </w:rPr>
        <w:t> </w:t>
      </w:r>
      <w:r>
        <w:rPr>
          <w:spacing w:val="-3"/>
        </w:rPr>
        <w:t>号——非经常性损益》定义、列举的非经常性损益</w:t>
      </w:r>
      <w:r>
        <w:rPr/>
        <w:t> 项目界定为经常性损益的项目的情形。</w:t>
      </w:r>
    </w:p>
    <w:p>
      <w:pPr>
        <w:spacing w:after="0" w:line="319" w:lineRule="auto"/>
        <w:jc w:val="left"/>
        <w:sectPr>
          <w:pgSz w:w="11910" w:h="16840"/>
          <w:pgMar w:header="747" w:footer="1187" w:top="106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5"/>
      <w:bookmarkEnd w:id="15"/>
      <w:r>
        <w:rPr>
          <w:b w:val="0"/>
          <w:bCs w:val="0"/>
        </w:rPr>
      </w:r>
      <w:bookmarkStart w:name="_bookmark1"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53"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3" w:right="7693"/>
        <w:jc w:val="left"/>
      </w:pPr>
      <w:r>
        <w:rPr/>
        <w:t>公司是否需要遵守特殊行业的披露要求 否</w:t>
      </w:r>
    </w:p>
    <w:p>
      <w:pPr>
        <w:spacing w:line="316" w:lineRule="auto" w:before="25"/>
        <w:ind w:left="514" w:right="0" w:firstLine="1"/>
        <w:jc w:val="left"/>
        <w:rPr>
          <w:rFonts w:ascii="宋体" w:hAnsi="宋体" w:cs="宋体" w:eastAsia="宋体" w:hint="default"/>
          <w:sz w:val="18"/>
          <w:szCs w:val="18"/>
        </w:rPr>
      </w:pPr>
      <w:r>
        <w:rPr>
          <w:rFonts w:ascii="宋体" w:hAnsi="宋体" w:cs="宋体" w:eastAsia="宋体" w:hint="default"/>
          <w:b/>
          <w:bCs/>
          <w:sz w:val="18"/>
          <w:szCs w:val="18"/>
        </w:rPr>
        <w:t>（一）报告期内公司所从事的主要业务、主要产品及其用途、经营模式</w:t>
      </w:r>
      <w:r>
        <w:rPr>
          <w:rFonts w:ascii="宋体" w:hAnsi="宋体" w:cs="宋体" w:eastAsia="宋体" w:hint="default"/>
          <w:b/>
          <w:bCs/>
          <w:w w:val="99"/>
          <w:sz w:val="18"/>
          <w:szCs w:val="18"/>
        </w:rPr>
        <w:t> </w:t>
      </w:r>
      <w:r>
        <w:rPr>
          <w:rFonts w:ascii="宋体" w:hAnsi="宋体" w:cs="宋体" w:eastAsia="宋体" w:hint="default"/>
          <w:spacing w:val="-2"/>
          <w:sz w:val="18"/>
          <w:szCs w:val="18"/>
        </w:rPr>
        <w:t>公司是一家以互联网媒体业务和数字营销业务为主的互联网企业。报告期内，公司主营业务未发生重大变化，主要为互</w:t>
      </w:r>
    </w:p>
    <w:p>
      <w:pPr>
        <w:pStyle w:val="BodyText"/>
        <w:spacing w:line="316" w:lineRule="auto" w:before="19"/>
        <w:ind w:left="0" w:right="1094"/>
        <w:jc w:val="right"/>
      </w:pPr>
      <w:r>
        <w:rPr/>
        <w:t>联网媒体业务和数字营销业务。</w:t>
      </w:r>
      <w:r>
        <w:rPr>
          <w:rFonts w:ascii="宋体" w:hAnsi="宋体" w:cs="宋体" w:eastAsia="宋体" w:hint="default"/>
          <w:position w:val="9"/>
          <w:sz w:val="9"/>
          <w:szCs w:val="9"/>
        </w:rPr>
        <w:t>1</w:t>
      </w:r>
      <w:r>
        <w:rPr/>
        <w:t>【参见注</w:t>
      </w:r>
      <w:r>
        <w:rPr>
          <w:rFonts w:ascii="宋体" w:hAnsi="宋体" w:cs="宋体" w:eastAsia="宋体" w:hint="default"/>
        </w:rPr>
        <w:t>1</w:t>
      </w:r>
      <w:r>
        <w:rPr/>
        <w:t>】两大核心业务板块协同发展，盈利能力显著增长。主要业务和经营模式如下： </w:t>
      </w:r>
      <w:r>
        <w:rPr>
          <w:rFonts w:ascii="宋体" w:hAnsi="宋体" w:cs="宋体" w:eastAsia="宋体" w:hint="default"/>
          <w:spacing w:val="-2"/>
        </w:rPr>
        <w:t>1</w:t>
      </w:r>
      <w:r>
        <w:rPr>
          <w:spacing w:val="-2"/>
        </w:rPr>
        <w:t>、互联网媒体业务：主要包括境外媒体平台</w:t>
      </w:r>
      <w:r>
        <w:rPr>
          <w:rFonts w:ascii="宋体" w:hAnsi="宋体" w:cs="宋体" w:eastAsia="宋体" w:hint="default"/>
          <w:spacing w:val="-2"/>
        </w:rPr>
        <w:t>Spigot</w:t>
      </w:r>
      <w:r>
        <w:rPr>
          <w:spacing w:val="-2"/>
        </w:rPr>
        <w:t>和境内媒体平台</w:t>
      </w:r>
      <w:r>
        <w:rPr>
          <w:rFonts w:ascii="宋体" w:hAnsi="宋体" w:cs="宋体" w:eastAsia="宋体" w:hint="default"/>
          <w:spacing w:val="-2"/>
        </w:rPr>
        <w:t>FMOBI</w:t>
      </w:r>
      <w:r>
        <w:rPr>
          <w:spacing w:val="-2"/>
        </w:rPr>
        <w:t>、万流客及应用汇的相关业务。报告期内，互</w:t>
      </w:r>
      <w:r>
        <w:rPr/>
        <w:t> 联网媒体业务实现营业收入人民币</w:t>
      </w:r>
      <w:r>
        <w:rPr>
          <w:rFonts w:ascii="宋体" w:hAnsi="宋体" w:cs="宋体" w:eastAsia="宋体" w:hint="default"/>
        </w:rPr>
        <w:t>139,194.86</w:t>
      </w:r>
      <w:r>
        <w:rPr/>
        <w:t>万元，占公司营业总收入的</w:t>
      </w:r>
      <w:r>
        <w:rPr>
          <w:rFonts w:ascii="宋体" w:hAnsi="宋体" w:cs="宋体" w:eastAsia="宋体" w:hint="default"/>
        </w:rPr>
        <w:t>21.83%</w:t>
      </w:r>
      <w:r>
        <w:rPr/>
        <w:t>，与去年同期相比增长</w:t>
      </w:r>
      <w:r>
        <w:rPr>
          <w:rFonts w:ascii="宋体" w:hAnsi="宋体" w:cs="宋体" w:eastAsia="宋体" w:hint="default"/>
        </w:rPr>
        <w:t>207.37%</w:t>
      </w:r>
      <w:r>
        <w:rPr/>
        <w:t>；互联网媒</w:t>
      </w:r>
    </w:p>
    <w:p>
      <w:pPr>
        <w:pStyle w:val="BodyText"/>
        <w:spacing w:line="240" w:lineRule="auto" w:before="19"/>
        <w:ind w:left="153" w:right="0"/>
        <w:jc w:val="both"/>
      </w:pPr>
      <w:r>
        <w:rPr/>
        <w:t>体业务实现营业利润人民币</w:t>
      </w:r>
      <w:r>
        <w:rPr>
          <w:rFonts w:ascii="宋体" w:hAnsi="宋体" w:cs="宋体" w:eastAsia="宋体" w:hint="default"/>
        </w:rPr>
        <w:t>37,972.52</w:t>
      </w:r>
      <w:r>
        <w:rPr/>
        <w:t>万元，占公司整体营业利润的</w:t>
      </w:r>
      <w:r>
        <w:rPr>
          <w:rFonts w:ascii="宋体" w:hAnsi="宋体" w:cs="宋体" w:eastAsia="宋体" w:hint="default"/>
        </w:rPr>
        <w:t>69.13%</w:t>
      </w:r>
      <w:r>
        <w:rPr/>
        <w:t>，与去年同期相比增长</w:t>
      </w:r>
      <w:r>
        <w:rPr>
          <w:rFonts w:ascii="宋体" w:hAnsi="宋体" w:cs="宋体" w:eastAsia="宋体" w:hint="default"/>
        </w:rPr>
        <w:t>57.83%</w:t>
      </w:r>
      <w:r>
        <w:rPr/>
        <w:t>。</w:t>
      </w:r>
    </w:p>
    <w:p>
      <w:pPr>
        <w:pStyle w:val="BodyText"/>
        <w:spacing w:line="316" w:lineRule="auto" w:before="76"/>
        <w:ind w:left="514" w:right="1032"/>
        <w:jc w:val="left"/>
      </w:pPr>
      <w:r>
        <w:rPr/>
        <w:t>（</w:t>
      </w:r>
      <w:r>
        <w:rPr>
          <w:rFonts w:ascii="宋体" w:hAnsi="宋体" w:cs="宋体" w:eastAsia="宋体" w:hint="default"/>
        </w:rPr>
        <w:t>1</w:t>
      </w:r>
      <w:r>
        <w:rPr/>
        <w:t>）境外媒体平台 </w:t>
      </w:r>
      <w:r>
        <w:rPr>
          <w:rFonts w:ascii="宋体" w:hAnsi="宋体" w:cs="宋体" w:eastAsia="宋体" w:hint="default"/>
        </w:rPr>
        <w:t>Spigot</w:t>
      </w:r>
      <w:r>
        <w:rPr/>
        <w:t>是拥有互联网产品矩阵，以算法和大数据技术为驱动的互联网科技企业。</w:t>
      </w:r>
      <w:r>
        <w:rPr>
          <w:rFonts w:ascii="宋体" w:hAnsi="宋体" w:cs="宋体" w:eastAsia="宋体" w:hint="default"/>
        </w:rPr>
        <w:t>Spigot</w:t>
      </w:r>
      <w:r>
        <w:rPr/>
        <w:t>拥有安全软件、邮件管理软件、</w:t>
      </w:r>
    </w:p>
    <w:p>
      <w:pPr>
        <w:pStyle w:val="BodyText"/>
        <w:spacing w:line="316" w:lineRule="auto" w:before="19"/>
        <w:ind w:left="153" w:right="1132"/>
        <w:jc w:val="both"/>
      </w:pPr>
      <w:r>
        <w:rPr>
          <w:spacing w:val="-2"/>
        </w:rPr>
        <w:t>浏览器等系列自主研发的应用产品，通过大数据和算法对发行渠道和产品用户进行多维度分析，从而以低成本获取高质量的</w:t>
      </w:r>
      <w:r>
        <w:rPr>
          <w:spacing w:val="-64"/>
        </w:rPr>
        <w:t> </w:t>
      </w:r>
      <w:r>
        <w:rPr>
          <w:spacing w:val="-64"/>
        </w:rPr>
      </w:r>
      <w:r>
        <w:rPr>
          <w:spacing w:val="-2"/>
        </w:rPr>
        <w:t>用户。</w:t>
      </w:r>
      <w:r>
        <w:rPr>
          <w:rFonts w:ascii="宋体" w:hAnsi="宋体" w:cs="宋体" w:eastAsia="宋体" w:hint="default"/>
          <w:spacing w:val="-2"/>
        </w:rPr>
        <w:t>Spigot</w:t>
      </w:r>
      <w:r>
        <w:rPr>
          <w:spacing w:val="-2"/>
        </w:rPr>
        <w:t>保持了对市场以及用户需求变化的高度敏感性，凭借其强大的研发能力，快速迭代应用产品并对应用产品的分</w:t>
      </w:r>
      <w:r>
        <w:rPr>
          <w:spacing w:val="-60"/>
        </w:rPr>
        <w:t> </w:t>
      </w:r>
      <w:r>
        <w:rPr>
          <w:spacing w:val="-60"/>
        </w:rPr>
      </w:r>
      <w:r>
        <w:rPr>
          <w:spacing w:val="-2"/>
        </w:rPr>
        <w:t>发策略进行调整，提高用户体验，增加用户粘性。基于出色的媒体优化经验、出众的分析能力和高质量的用户基础，</w:t>
      </w:r>
      <w:r>
        <w:rPr>
          <w:rFonts w:ascii="宋体" w:hAnsi="宋体" w:cs="宋体" w:eastAsia="宋体" w:hint="default"/>
          <w:spacing w:val="-2"/>
        </w:rPr>
        <w:t>Spigot</w:t>
      </w:r>
      <w:r>
        <w:rPr>
          <w:rFonts w:ascii="宋体" w:hAnsi="宋体" w:cs="宋体" w:eastAsia="宋体" w:hint="default"/>
          <w:spacing w:val="-59"/>
        </w:rPr>
        <w:t> </w:t>
      </w:r>
      <w:r>
        <w:rPr>
          <w:rFonts w:ascii="宋体" w:hAnsi="宋体" w:cs="宋体" w:eastAsia="宋体" w:hint="default"/>
          <w:spacing w:val="-59"/>
        </w:rPr>
      </w:r>
      <w:r>
        <w:rPr/>
        <w:t>能高效地帮助谷歌、雅虎、美国在线等合作伙伴提升广告业务效果，从而获得可观的商业变现收入。</w:t>
      </w:r>
    </w:p>
    <w:p>
      <w:pPr>
        <w:pStyle w:val="BodyText"/>
        <w:spacing w:line="319" w:lineRule="auto" w:before="19"/>
        <w:ind w:right="1139" w:firstLine="360"/>
        <w:jc w:val="both"/>
      </w:pPr>
      <w:r>
        <w:rPr>
          <w:spacing w:val="-2"/>
        </w:rPr>
        <w:t>报告期内，</w:t>
      </w:r>
      <w:r>
        <w:rPr>
          <w:rFonts w:ascii="宋体" w:hAnsi="宋体" w:cs="宋体" w:eastAsia="宋体" w:hint="default"/>
          <w:spacing w:val="-2"/>
        </w:rPr>
        <w:t>Spigot</w:t>
      </w:r>
      <w:r>
        <w:rPr>
          <w:spacing w:val="-2"/>
        </w:rPr>
        <w:t>单日收入最高超过</w:t>
      </w:r>
      <w:r>
        <w:rPr>
          <w:rFonts w:ascii="宋体" w:hAnsi="宋体" w:cs="宋体" w:eastAsia="宋体" w:hint="default"/>
          <w:spacing w:val="-2"/>
        </w:rPr>
        <w:t>100</w:t>
      </w:r>
      <w:r>
        <w:rPr>
          <w:spacing w:val="-2"/>
        </w:rPr>
        <w:t>万美元，全年实现营业收入</w:t>
      </w:r>
      <w:r>
        <w:rPr>
          <w:rFonts w:ascii="宋体" w:hAnsi="宋体" w:cs="宋体" w:eastAsia="宋体" w:hint="default"/>
          <w:spacing w:val="-2"/>
        </w:rPr>
        <w:t>16,527.97</w:t>
      </w:r>
      <w:r>
        <w:rPr>
          <w:spacing w:val="-2"/>
        </w:rPr>
        <w:t>万美元，占公司营业总收入的</w:t>
      </w:r>
      <w:r>
        <w:rPr>
          <w:rFonts w:ascii="宋体" w:hAnsi="宋体" w:cs="宋体" w:eastAsia="宋体" w:hint="default"/>
          <w:spacing w:val="-2"/>
        </w:rPr>
        <w:t>17.52%</w:t>
      </w:r>
      <w:r>
        <w:rPr>
          <w:spacing w:val="-2"/>
        </w:rPr>
        <w:t>，与</w:t>
      </w:r>
      <w:r>
        <w:rPr>
          <w:spacing w:val="-21"/>
        </w:rPr>
        <w:t> </w:t>
      </w:r>
      <w:r>
        <w:rPr/>
        <w:t>去年同期相比增长</w:t>
      </w:r>
      <w:r>
        <w:rPr>
          <w:rFonts w:ascii="宋体" w:hAnsi="宋体" w:cs="宋体" w:eastAsia="宋体" w:hint="default"/>
        </w:rPr>
        <w:t>305.15%</w:t>
      </w:r>
      <w:r>
        <w:rPr/>
        <w:t>；实现营业利润</w:t>
      </w:r>
      <w:r>
        <w:rPr>
          <w:rFonts w:ascii="宋体" w:hAnsi="宋体" w:cs="宋体" w:eastAsia="宋体" w:hint="default"/>
        </w:rPr>
        <w:t>4,276.09</w:t>
      </w:r>
      <w:r>
        <w:rPr/>
        <w:t>万美元，占公司整体营业利润的</w:t>
      </w:r>
      <w:r>
        <w:rPr>
          <w:rFonts w:ascii="宋体" w:hAnsi="宋体" w:cs="宋体" w:eastAsia="宋体" w:hint="default"/>
        </w:rPr>
        <w:t>52.61%</w:t>
      </w:r>
      <w:r>
        <w:rPr/>
        <w:t>，与去年同期相比增长</w:t>
      </w:r>
      <w:r>
        <w:rPr>
          <w:rFonts w:ascii="宋体" w:hAnsi="宋体" w:cs="宋体" w:eastAsia="宋体" w:hint="default"/>
        </w:rPr>
        <w:t>85.22%</w:t>
      </w:r>
      <w:r>
        <w:rPr/>
        <w:t>。</w:t>
      </w:r>
    </w:p>
    <w:p>
      <w:pPr>
        <w:pStyle w:val="BodyText"/>
        <w:spacing w:line="316" w:lineRule="auto" w:before="17"/>
        <w:ind w:left="514" w:right="1122"/>
        <w:jc w:val="left"/>
        <w:rPr>
          <w:rFonts w:ascii="宋体" w:hAnsi="宋体" w:cs="宋体" w:eastAsia="宋体" w:hint="default"/>
        </w:rPr>
      </w:pPr>
      <w:r>
        <w:rPr/>
        <w:t>（</w:t>
      </w:r>
      <w:r>
        <w:rPr>
          <w:rFonts w:ascii="宋体" w:hAnsi="宋体" w:cs="宋体" w:eastAsia="宋体" w:hint="default"/>
        </w:rPr>
        <w:t>2</w:t>
      </w:r>
      <w:r>
        <w:rPr/>
        <w:t>）境内媒体平台 </w:t>
      </w:r>
      <w:r>
        <w:rPr>
          <w:rFonts w:ascii="宋体" w:hAnsi="宋体" w:cs="宋体" w:eastAsia="宋体" w:hint="default"/>
        </w:rPr>
        <w:t>FMOBI</w:t>
      </w:r>
      <w:r>
        <w:rPr/>
        <w:t>平台和万流客作为公司境内媒体平台，具有国内领先的</w:t>
      </w:r>
      <w:r>
        <w:rPr>
          <w:rFonts w:ascii="宋体" w:hAnsi="宋体" w:cs="宋体" w:eastAsia="宋体" w:hint="default"/>
        </w:rPr>
        <w:t>SSP</w:t>
      </w:r>
      <w:r>
        <w:rPr/>
        <w:t>等技术处理能力，聚合并承载庞大的优质中长尾流量</w:t>
      </w:r>
      <w:r>
        <w:rPr>
          <w:rFonts w:ascii="宋体" w:hAnsi="宋体" w:cs="宋体" w:eastAsia="宋体" w:hint="default"/>
        </w:rPr>
        <w:t>/</w:t>
      </w:r>
    </w:p>
    <w:p>
      <w:pPr>
        <w:pStyle w:val="BodyText"/>
        <w:spacing w:line="316" w:lineRule="auto" w:before="19"/>
        <w:ind w:left="153" w:right="1131"/>
        <w:jc w:val="both"/>
      </w:pPr>
      <w:r>
        <w:rPr>
          <w:spacing w:val="-2"/>
        </w:rPr>
        <w:t>精品流量，基于大数据分析技术进行实时信息处理，提供丰富的用户画像标签和精准定向，为广告主提供高效、快捷、受众</w:t>
      </w:r>
      <w:r>
        <w:rPr>
          <w:spacing w:val="-67"/>
        </w:rPr>
        <w:t> </w:t>
      </w:r>
      <w:r>
        <w:rPr>
          <w:spacing w:val="-67"/>
        </w:rPr>
      </w:r>
      <w:r>
        <w:rPr>
          <w:spacing w:val="-2"/>
        </w:rPr>
        <w:t>精准的一站式数字营销服务，形成更加智能的广告匹配和高效的广告资源利用，实现了</w:t>
      </w:r>
      <w:r>
        <w:rPr>
          <w:rFonts w:ascii="宋体" w:hAnsi="宋体" w:cs="宋体" w:eastAsia="宋体" w:hint="default"/>
          <w:spacing w:val="-2"/>
        </w:rPr>
        <w:t>RTB/PD</w:t>
      </w:r>
      <w:r>
        <w:rPr>
          <w:spacing w:val="-2"/>
        </w:rPr>
        <w:t>等交易方式，智能调整预算和</w:t>
      </w:r>
      <w:r>
        <w:rPr>
          <w:spacing w:val="-60"/>
        </w:rPr>
        <w:t> </w:t>
      </w:r>
      <w:r>
        <w:rPr>
          <w:spacing w:val="-60"/>
        </w:rPr>
      </w:r>
      <w:r>
        <w:rPr>
          <w:spacing w:val="-2"/>
        </w:rPr>
        <w:t>媒体间的适配，更好的服务于广告主。媒体将其库存广告位放到交易平台上，平台根据媒体的需求管理其广告位。目前，平</w:t>
      </w:r>
      <w:r>
        <w:rPr>
          <w:spacing w:val="-67"/>
        </w:rPr>
        <w:t> </w:t>
      </w:r>
      <w:r>
        <w:rPr>
          <w:spacing w:val="-67"/>
        </w:rPr>
      </w:r>
      <w:r>
        <w:rPr>
          <w:spacing w:val="-2"/>
        </w:rPr>
        <w:t>台上有众多在线进行交易的广告位，分别来自各大门户网站、视频网站、电商网站、垂直类网站以及各类中小网站媒体的库</w:t>
      </w:r>
      <w:r>
        <w:rPr>
          <w:spacing w:val="-66"/>
        </w:rPr>
        <w:t> </w:t>
      </w:r>
      <w:r>
        <w:rPr>
          <w:spacing w:val="-66"/>
        </w:rPr>
      </w:r>
      <w:r>
        <w:rPr/>
        <w:t>存广告位，帮助媒体以更加高效的形式实现流量变现最大化。</w:t>
      </w:r>
    </w:p>
    <w:p>
      <w:pPr>
        <w:pStyle w:val="BodyText"/>
        <w:spacing w:line="316" w:lineRule="auto" w:before="19"/>
        <w:ind w:left="153" w:right="1130" w:firstLine="360"/>
        <w:jc w:val="both"/>
      </w:pPr>
      <w:r>
        <w:rPr>
          <w:spacing w:val="-2"/>
        </w:rPr>
        <w:t>掌汇天下旗下的应用汇为国内最早的知名第三方安卓应用商店之一，</w:t>
      </w:r>
      <w:r>
        <w:rPr>
          <w:rFonts w:ascii="宋体" w:hAnsi="宋体" w:cs="宋体" w:eastAsia="宋体" w:hint="default"/>
          <w:spacing w:val="-2"/>
        </w:rPr>
        <w:t>2017</w:t>
      </w:r>
      <w:r>
        <w:rPr>
          <w:spacing w:val="-2"/>
        </w:rPr>
        <w:t>年应用汇获得了由中国互联网协会颁发的“优</w:t>
      </w:r>
      <w:r>
        <w:rPr/>
        <w:t> </w:t>
      </w:r>
      <w:r>
        <w:rPr>
          <w:spacing w:val="-2"/>
        </w:rPr>
        <w:t>秀应用商店”称号。应用汇是公司持续布局的自有流量媒体，通过开发者上传、爬虫搜索等方式，不断上架、更新手机软件</w:t>
      </w:r>
      <w:r>
        <w:rPr>
          <w:spacing w:val="-66"/>
        </w:rPr>
        <w:t> </w:t>
      </w:r>
      <w:r>
        <w:rPr>
          <w:spacing w:val="-66"/>
        </w:rPr>
      </w:r>
      <w:r>
        <w:rPr>
          <w:spacing w:val="-2"/>
        </w:rPr>
        <w:t>产品，从而为移动互联网用户提供优质、便利的应用服务。报告期内，应用汇聚合了大量移动互联网内规模级用户流量，逐</w:t>
      </w:r>
      <w:r>
        <w:rPr>
          <w:spacing w:val="-66"/>
        </w:rPr>
        <w:t> </w:t>
      </w:r>
      <w:r>
        <w:rPr>
          <w:spacing w:val="-66"/>
        </w:rPr>
      </w:r>
      <w:r>
        <w:rPr/>
        <w:t>渐演变为国内移动互联网市场上知名的流量入口，应用汇手机客户端总独立用户数已逾</w:t>
      </w:r>
      <w:r>
        <w:rPr>
          <w:rFonts w:ascii="宋体" w:hAnsi="宋体" w:cs="宋体" w:eastAsia="宋体" w:hint="default"/>
        </w:rPr>
        <w:t>5</w:t>
      </w:r>
      <w:r>
        <w:rPr/>
        <w:t>亿，在具有粘性的规模级用户流量 基础上，掌汇天下通过广告和游戏来实现商业变现。</w:t>
      </w:r>
    </w:p>
    <w:p>
      <w:pPr>
        <w:pStyle w:val="BodyText"/>
        <w:spacing w:line="316" w:lineRule="auto" w:before="19"/>
        <w:ind w:left="153" w:right="1050" w:firstLine="360"/>
        <w:jc w:val="both"/>
      </w:pPr>
      <w:r>
        <w:rPr>
          <w:rFonts w:ascii="宋体" w:hAnsi="宋体" w:cs="宋体" w:eastAsia="宋体" w:hint="default"/>
          <w:spacing w:val="-2"/>
        </w:rPr>
        <w:t>2</w:t>
      </w:r>
      <w:r>
        <w:rPr>
          <w:spacing w:val="-2"/>
        </w:rPr>
        <w:t>、数字营销业务：主要包括整合营销、实效营销和信息流业务。公司是腾讯广点通、百度、阿里神马、</w:t>
      </w:r>
      <w:r>
        <w:rPr>
          <w:rFonts w:ascii="宋体" w:hAnsi="宋体" w:cs="宋体" w:eastAsia="宋体" w:hint="default"/>
          <w:spacing w:val="-2"/>
        </w:rPr>
        <w:t>360</w:t>
      </w:r>
      <w:r>
        <w:rPr>
          <w:spacing w:val="-2"/>
        </w:rPr>
        <w:t>和搜狗搜索</w:t>
      </w:r>
      <w:r>
        <w:rPr/>
        <w:t> </w:t>
      </w:r>
      <w:r>
        <w:rPr>
          <w:spacing w:val="-2"/>
        </w:rPr>
        <w:t>的核心代理商，并取得了</w:t>
      </w:r>
      <w:r>
        <w:rPr>
          <w:rFonts w:ascii="宋体" w:hAnsi="宋体" w:cs="宋体" w:eastAsia="宋体" w:hint="default"/>
          <w:spacing w:val="-2"/>
        </w:rPr>
        <w:t>VIVO</w:t>
      </w:r>
      <w:r>
        <w:rPr>
          <w:spacing w:val="-2"/>
        </w:rPr>
        <w:t>、小米、一点资讯等硬核媒体厂商的核心代理资质，为快消、家电、汽车、游戏和金融等行业</w:t>
      </w:r>
      <w:r>
        <w:rPr>
          <w:spacing w:val="-68"/>
        </w:rPr>
        <w:t> </w:t>
      </w:r>
      <w:r>
        <w:rPr>
          <w:spacing w:val="-68"/>
        </w:rPr>
      </w:r>
      <w:r>
        <w:rPr/>
        <w:t>的品牌广告主提供营销服务，服务的品牌包括联合利华、松下、法拉利、东风日产、三七互娱、招商银行、太平洋保险等。</w:t>
      </w:r>
    </w:p>
    <w:p>
      <w:pPr>
        <w:pStyle w:val="BodyText"/>
        <w:spacing w:line="316" w:lineRule="auto" w:before="19"/>
        <w:ind w:right="1042" w:firstLine="360"/>
        <w:jc w:val="both"/>
      </w:pPr>
      <w:r>
        <w:rPr>
          <w:spacing w:val="-2"/>
        </w:rPr>
        <w:t>报告期内，数字营销业务作为公司基础业务，实现营业收入人民币</w:t>
      </w:r>
      <w:r>
        <w:rPr>
          <w:rFonts w:ascii="宋体" w:hAnsi="宋体" w:cs="宋体" w:eastAsia="宋体" w:hint="default"/>
          <w:spacing w:val="-2"/>
        </w:rPr>
        <w:t>484,451.78</w:t>
      </w:r>
      <w:r>
        <w:rPr>
          <w:spacing w:val="-2"/>
        </w:rPr>
        <w:t>万元，占公司营业总收入的</w:t>
      </w:r>
      <w:r>
        <w:rPr>
          <w:rFonts w:ascii="宋体" w:hAnsi="宋体" w:cs="宋体" w:eastAsia="宋体" w:hint="default"/>
          <w:spacing w:val="-2"/>
        </w:rPr>
        <w:t>75.99%</w:t>
      </w:r>
      <w:r>
        <w:rPr>
          <w:spacing w:val="-2"/>
        </w:rPr>
        <w:t>，与去</w:t>
      </w:r>
      <w:r>
        <w:rPr/>
        <w:t> </w:t>
      </w:r>
      <w:r>
        <w:rPr>
          <w:spacing w:val="-4"/>
        </w:rPr>
        <w:t>年同期相比增长</w:t>
      </w:r>
      <w:r>
        <w:rPr>
          <w:rFonts w:ascii="宋体" w:hAnsi="宋体" w:cs="宋体" w:eastAsia="宋体" w:hint="default"/>
          <w:spacing w:val="-4"/>
        </w:rPr>
        <w:t>192.25%</w:t>
      </w:r>
      <w:r>
        <w:rPr>
          <w:spacing w:val="-4"/>
        </w:rPr>
        <w:t>；实现营业利润人民币</w:t>
      </w:r>
      <w:r>
        <w:rPr>
          <w:rFonts w:ascii="宋体" w:hAnsi="宋体" w:cs="宋体" w:eastAsia="宋体" w:hint="default"/>
          <w:spacing w:val="-4"/>
        </w:rPr>
        <w:t>10,599.69</w:t>
      </w:r>
      <w:r>
        <w:rPr>
          <w:spacing w:val="-4"/>
        </w:rPr>
        <w:t>万元，占公司整体营业利润的</w:t>
      </w:r>
      <w:r>
        <w:rPr>
          <w:rFonts w:ascii="宋体" w:hAnsi="宋体" w:cs="宋体" w:eastAsia="宋体" w:hint="default"/>
          <w:spacing w:val="-4"/>
        </w:rPr>
        <w:t>19.30%</w:t>
      </w:r>
      <w:r>
        <w:rPr>
          <w:spacing w:val="-4"/>
        </w:rPr>
        <w:t>，与去年同期相比增长</w:t>
      </w:r>
      <w:r>
        <w:rPr>
          <w:rFonts w:ascii="宋体" w:hAnsi="宋体" w:cs="宋体" w:eastAsia="宋体" w:hint="default"/>
          <w:spacing w:val="-4"/>
        </w:rPr>
        <w:t>179.36%</w:t>
      </w:r>
      <w:r>
        <w:rPr>
          <w:spacing w:val="-4"/>
        </w:rPr>
        <w:t>。</w:t>
      </w:r>
    </w:p>
    <w:p>
      <w:pPr>
        <w:pStyle w:val="BodyText"/>
        <w:spacing w:line="316" w:lineRule="auto" w:before="19"/>
        <w:ind w:left="153" w:right="1130" w:firstLine="360"/>
        <w:jc w:val="both"/>
      </w:pPr>
      <w:r>
        <w:rPr>
          <w:spacing w:val="-2"/>
        </w:rPr>
        <w:t>通过多年的实战，公司积累了产生爆款内容且行之有效的营销模式，基于优质的内容</w:t>
      </w:r>
      <w:r>
        <w:rPr>
          <w:rFonts w:ascii="宋体" w:hAnsi="宋体" w:cs="宋体" w:eastAsia="宋体" w:hint="default"/>
          <w:spacing w:val="-2"/>
        </w:rPr>
        <w:t>IP</w:t>
      </w:r>
      <w:r>
        <w:rPr>
          <w:spacing w:val="-2"/>
        </w:rPr>
        <w:t>，以创意整合驱动营销，和品牌</w:t>
      </w:r>
      <w:r>
        <w:rPr/>
        <w:t> 主一起用契合的方法把品牌融入内容，以创意撬动媒体，为客户提供个性化的服务。在报告期内，公司精彩案例频出</w:t>
      </w:r>
      <w:r>
        <w:rPr>
          <w:rFonts w:ascii="宋体" w:hAnsi="宋体" w:cs="宋体" w:eastAsia="宋体" w:hint="default"/>
        </w:rPr>
        <w:t>,</w:t>
      </w:r>
      <w:r>
        <w:rPr/>
        <w:t>公司</w:t>
      </w:r>
    </w:p>
    <w:p>
      <w:pPr>
        <w:spacing w:line="240" w:lineRule="auto" w:before="9"/>
        <w:rPr>
          <w:rFonts w:ascii="宋体" w:hAnsi="宋体" w:cs="宋体" w:eastAsia="宋体" w:hint="default"/>
          <w:sz w:val="7"/>
          <w:szCs w:val="7"/>
        </w:rPr>
      </w:pPr>
    </w:p>
    <w:p>
      <w:pPr>
        <w:spacing w:line="20" w:lineRule="exact"/>
        <w:ind w:left="149" w:right="0" w:firstLine="0"/>
        <w:rPr>
          <w:rFonts w:ascii="宋体" w:hAnsi="宋体" w:cs="宋体" w:eastAsia="宋体" w:hint="default"/>
          <w:sz w:val="2"/>
          <w:szCs w:val="2"/>
        </w:rPr>
      </w:pPr>
      <w:r>
        <w:rPr>
          <w:rFonts w:ascii="宋体" w:hAnsi="宋体" w:cs="宋体" w:eastAsia="宋体" w:hint="default"/>
          <w:sz w:val="2"/>
          <w:szCs w:val="2"/>
        </w:rPr>
        <w:pict>
          <v:group style="width:144.450pt;height:.45pt;mso-position-horizontal-relative:char;mso-position-vertical-relative:line" coordorigin="0,0" coordsize="2889,9">
            <v:group style="position:absolute;left:4;top:4;width:2881;height:2" coordorigin="4,4" coordsize="2881,2">
              <v:shape style="position:absolute;left:4;top:4;width:2881;height:2" coordorigin="4,4" coordsize="2881,0" path="m4,4l2885,4e" filled="false" stroked="true" strokeweight=".42pt" strokecolor="#000000">
                <v:path arrowok="t"/>
              </v:shape>
            </v:group>
          </v:group>
        </w:pict>
      </w:r>
      <w:r>
        <w:rPr>
          <w:rFonts w:ascii="宋体" w:hAnsi="宋体" w:cs="宋体" w:eastAsia="宋体" w:hint="default"/>
          <w:sz w:val="2"/>
          <w:szCs w:val="2"/>
        </w:rPr>
      </w:r>
    </w:p>
    <w:p>
      <w:pPr>
        <w:pStyle w:val="BodyText"/>
        <w:spacing w:line="234" w:lineRule="exact" w:before="102"/>
        <w:ind w:right="1131"/>
        <w:jc w:val="both"/>
      </w:pPr>
      <w:r>
        <w:rPr>
          <w:rFonts w:ascii="Times New Roman" w:hAnsi="Times New Roman" w:cs="Times New Roman" w:eastAsia="Times New Roman" w:hint="default"/>
          <w:position w:val="8"/>
          <w:sz w:val="12"/>
          <w:szCs w:val="12"/>
        </w:rPr>
        <w:t>1</w:t>
      </w:r>
      <w:r>
        <w:rPr/>
        <w:t>为更准确的反映公司业务实质，便于投资者更好地理解，</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年度公司在结合互联网同类型业务特性的基础上，按照公司 </w:t>
      </w:r>
      <w:r>
        <w:rPr>
          <w:spacing w:val="-2"/>
        </w:rPr>
        <w:t>的经营模式对公司业务分类做出了相应调整，将原实效营销、信息流业务中按照互联网媒体属性运营的产品分类为互联网媒</w:t>
      </w:r>
      <w:r>
        <w:rPr>
          <w:spacing w:val="-64"/>
        </w:rPr>
        <w:t> </w:t>
      </w:r>
      <w:r>
        <w:rPr>
          <w:spacing w:val="-64"/>
        </w:rPr>
      </w:r>
      <w:r>
        <w:rPr/>
        <w:t>体业务，将原实效营销、信息流、整合营销业务中按照数字营销属性运营的产品分类为数字营销业务。</w:t>
      </w:r>
    </w:p>
    <w:p>
      <w:pPr>
        <w:spacing w:after="0" w:line="234" w:lineRule="exact"/>
        <w:jc w:val="both"/>
        <w:sectPr>
          <w:pgSz w:w="11910" w:h="16840"/>
          <w:pgMar w:header="747" w:footer="1187" w:top="1060" w:bottom="138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3" w:right="1033"/>
        <w:jc w:val="left"/>
      </w:pPr>
      <w:r>
        <w:rPr/>
        <w:t>为东风日产进行效果投放</w:t>
      </w:r>
      <w:r>
        <w:rPr>
          <w:rFonts w:ascii="宋体" w:hAnsi="宋体" w:cs="宋体" w:eastAsia="宋体" w:hint="default"/>
        </w:rPr>
        <w:t>,</w:t>
      </w:r>
      <w:r>
        <w:rPr/>
        <w:t>使东风日产流量获取提升超过</w:t>
      </w:r>
      <w:r>
        <w:rPr>
          <w:rFonts w:ascii="宋体" w:hAnsi="宋体" w:cs="宋体" w:eastAsia="宋体" w:hint="default"/>
        </w:rPr>
        <w:t>50%</w:t>
      </w:r>
      <w:r>
        <w:rPr/>
        <w:t>，关键词本地化投放的集客成本下降</w:t>
      </w:r>
      <w:r>
        <w:rPr>
          <w:rFonts w:ascii="宋体" w:hAnsi="宋体" w:cs="宋体" w:eastAsia="宋体" w:hint="default"/>
        </w:rPr>
        <w:t>20%</w:t>
      </w:r>
      <w:r>
        <w:rPr/>
        <w:t>，</w:t>
      </w:r>
      <w:r>
        <w:rPr>
          <w:rFonts w:ascii="宋体" w:hAnsi="宋体" w:cs="宋体" w:eastAsia="宋体" w:hint="default"/>
        </w:rPr>
        <w:t>PMP</w:t>
      </w:r>
      <w:r>
        <w:rPr/>
        <w:t>点击率高达</w:t>
      </w:r>
      <w:r>
        <w:rPr>
          <w:rFonts w:ascii="宋体" w:hAnsi="宋体" w:cs="宋体" w:eastAsia="宋体" w:hint="default"/>
        </w:rPr>
        <w:t>3.6%</w:t>
      </w:r>
      <w:r>
        <w:rPr/>
        <w:t>， </w:t>
      </w:r>
      <w:r>
        <w:rPr>
          <w:rFonts w:ascii="宋体" w:hAnsi="宋体" w:cs="宋体" w:eastAsia="宋体" w:hint="default"/>
          <w:spacing w:val="-2"/>
        </w:rPr>
        <w:t>PC</w:t>
      </w:r>
      <w:r>
        <w:rPr>
          <w:spacing w:val="-2"/>
        </w:rPr>
        <w:t>端集客成本达到甚至优于关键词，金字塔策略帮助东风日产突破了流量瓶颈，实现了品牌和效果双赢；另外，在和品牌客</w:t>
      </w:r>
      <w:r>
        <w:rPr>
          <w:spacing w:val="-64"/>
        </w:rPr>
        <w:t> </w:t>
      </w:r>
      <w:r>
        <w:rPr>
          <w:spacing w:val="-64"/>
        </w:rPr>
      </w:r>
      <w:r>
        <w:rPr>
          <w:spacing w:val="-2"/>
        </w:rPr>
        <w:t>户合作过程中，公司通过采用线上线下相结合的方式，最终实现其冠名的综艺节目《中国有嘻哈》累计播放量超过</w:t>
      </w:r>
      <w:r>
        <w:rPr>
          <w:rFonts w:ascii="宋体" w:hAnsi="宋体" w:cs="宋体" w:eastAsia="宋体" w:hint="default"/>
          <w:spacing w:val="-2"/>
        </w:rPr>
        <w:t>27</w:t>
      </w:r>
      <w:r>
        <w:rPr>
          <w:spacing w:val="-2"/>
        </w:rPr>
        <w:t>亿，微</w:t>
      </w:r>
      <w:r>
        <w:rPr>
          <w:spacing w:val="-63"/>
        </w:rPr>
        <w:t> </w:t>
      </w:r>
      <w:r>
        <w:rPr>
          <w:spacing w:val="-63"/>
        </w:rPr>
      </w:r>
      <w:r>
        <w:rPr/>
        <w:t>博话题阅读量超过</w:t>
      </w:r>
      <w:r>
        <w:rPr>
          <w:rFonts w:ascii="宋体" w:hAnsi="宋体" w:cs="宋体" w:eastAsia="宋体" w:hint="default"/>
        </w:rPr>
        <w:t>67</w:t>
      </w:r>
      <w:r>
        <w:rPr/>
        <w:t>亿，热搜超过</w:t>
      </w:r>
      <w:r>
        <w:rPr>
          <w:rFonts w:ascii="宋体" w:hAnsi="宋体" w:cs="宋体" w:eastAsia="宋体" w:hint="default"/>
        </w:rPr>
        <w:t>250</w:t>
      </w:r>
      <w:r>
        <w:rPr/>
        <w:t>次，品牌赞助参与指数峰值达</w:t>
      </w:r>
      <w:r>
        <w:rPr>
          <w:rFonts w:ascii="宋体" w:hAnsi="宋体" w:cs="宋体" w:eastAsia="宋体" w:hint="default"/>
        </w:rPr>
        <w:t>108.1</w:t>
      </w:r>
      <w:r>
        <w:rPr/>
        <w:t>，远超行业均值的</w:t>
      </w:r>
      <w:r>
        <w:rPr>
          <w:rFonts w:ascii="宋体" w:hAnsi="宋体" w:cs="宋体" w:eastAsia="宋体" w:hint="default"/>
        </w:rPr>
        <w:t>50.6</w:t>
      </w:r>
      <w:r>
        <w:rPr/>
        <w:t>。</w:t>
      </w:r>
    </w:p>
    <w:p>
      <w:pPr>
        <w:pStyle w:val="BodyText"/>
        <w:spacing w:line="240" w:lineRule="auto" w:before="19"/>
        <w:ind w:left="513" w:right="0"/>
        <w:jc w:val="left"/>
      </w:pPr>
      <w:r>
        <w:rPr>
          <w:rFonts w:ascii="宋体" w:hAnsi="宋体" w:cs="宋体" w:eastAsia="宋体" w:hint="default"/>
        </w:rPr>
        <w:t>3</w:t>
      </w:r>
      <w:r>
        <w:rPr/>
        <w:t>、其他业务：主要包括互联网游戏和互联网金融业务。</w:t>
      </w:r>
    </w:p>
    <w:p>
      <w:pPr>
        <w:spacing w:line="316" w:lineRule="auto" w:before="76"/>
        <w:ind w:left="514" w:right="8142" w:firstLine="1"/>
        <w:jc w:val="left"/>
        <w:rPr>
          <w:rFonts w:ascii="宋体" w:hAnsi="宋体" w:cs="宋体" w:eastAsia="宋体" w:hint="default"/>
          <w:sz w:val="18"/>
          <w:szCs w:val="18"/>
        </w:rPr>
      </w:pPr>
      <w:r>
        <w:rPr>
          <w:rFonts w:ascii="宋体" w:hAnsi="宋体" w:cs="宋体" w:eastAsia="宋体" w:hint="default"/>
          <w:b/>
          <w:bCs/>
          <w:sz w:val="18"/>
          <w:szCs w:val="18"/>
        </w:rPr>
        <w:t>（二）主要的业绩驱动因素</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、互联网媒体业务业绩显著</w:t>
      </w:r>
    </w:p>
    <w:p>
      <w:pPr>
        <w:pStyle w:val="BodyText"/>
        <w:spacing w:line="316" w:lineRule="auto" w:before="19"/>
        <w:ind w:left="153" w:right="0" w:firstLine="360"/>
        <w:jc w:val="left"/>
      </w:pPr>
      <w:r>
        <w:rPr/>
        <w:t>报告期内，公司互联网媒体业务业绩增长显著，特别是境外媒体平台</w:t>
      </w:r>
      <w:r>
        <w:rPr>
          <w:rFonts w:ascii="宋体" w:hAnsi="宋体" w:cs="宋体" w:eastAsia="宋体" w:hint="default"/>
        </w:rPr>
        <w:t>Spigot</w:t>
      </w:r>
      <w:r>
        <w:rPr/>
        <w:t>，单日收入创新高，超过</w:t>
      </w:r>
      <w:r>
        <w:rPr>
          <w:rFonts w:ascii="宋体" w:hAnsi="宋体" w:cs="宋体" w:eastAsia="宋体" w:hint="default"/>
        </w:rPr>
        <w:t>100</w:t>
      </w:r>
      <w:r>
        <w:rPr/>
        <w:t>万美元，全年 </w:t>
      </w:r>
      <w:r>
        <w:rPr>
          <w:spacing w:val="-3"/>
        </w:rPr>
        <w:t>实现营业收入</w:t>
      </w:r>
      <w:r>
        <w:rPr>
          <w:rFonts w:ascii="宋体" w:hAnsi="宋体" w:cs="宋体" w:eastAsia="宋体" w:hint="default"/>
          <w:spacing w:val="-3"/>
        </w:rPr>
        <w:t>16,527.97</w:t>
      </w:r>
      <w:r>
        <w:rPr>
          <w:spacing w:val="-3"/>
        </w:rPr>
        <w:t>万美元，占公司营业总收入的</w:t>
      </w:r>
      <w:r>
        <w:rPr>
          <w:rFonts w:ascii="宋体" w:hAnsi="宋体" w:cs="宋体" w:eastAsia="宋体" w:hint="default"/>
          <w:spacing w:val="-3"/>
        </w:rPr>
        <w:t>17.52%</w:t>
      </w:r>
      <w:r>
        <w:rPr>
          <w:spacing w:val="-3"/>
        </w:rPr>
        <w:t>，与去年同期相比增长</w:t>
      </w:r>
      <w:r>
        <w:rPr>
          <w:rFonts w:ascii="宋体" w:hAnsi="宋体" w:cs="宋体" w:eastAsia="宋体" w:hint="default"/>
          <w:spacing w:val="-3"/>
        </w:rPr>
        <w:t>305.15%</w:t>
      </w:r>
      <w:r>
        <w:rPr>
          <w:spacing w:val="-3"/>
        </w:rPr>
        <w:t>；实现营业利润</w:t>
      </w:r>
      <w:r>
        <w:rPr>
          <w:rFonts w:ascii="宋体" w:hAnsi="宋体" w:cs="宋体" w:eastAsia="宋体" w:hint="default"/>
          <w:spacing w:val="-3"/>
        </w:rPr>
        <w:t>4,276.09</w:t>
      </w:r>
      <w:r>
        <w:rPr>
          <w:spacing w:val="-3"/>
        </w:rPr>
        <w:t>万美元，</w:t>
      </w:r>
      <w:r>
        <w:rPr>
          <w:spacing w:val="-54"/>
        </w:rPr>
        <w:t> </w:t>
      </w:r>
      <w:r>
        <w:rPr/>
        <w:t>占公司整体营业利润的</w:t>
      </w:r>
      <w:r>
        <w:rPr>
          <w:rFonts w:ascii="宋体" w:hAnsi="宋体" w:cs="宋体" w:eastAsia="宋体" w:hint="default"/>
        </w:rPr>
        <w:t>52.61%</w:t>
      </w:r>
      <w:r>
        <w:rPr/>
        <w:t>，与去年同期相比增长</w:t>
      </w:r>
      <w:r>
        <w:rPr>
          <w:rFonts w:ascii="宋体" w:hAnsi="宋体" w:cs="宋体" w:eastAsia="宋体" w:hint="default"/>
        </w:rPr>
        <w:t>85.22%</w:t>
      </w:r>
      <w:r>
        <w:rPr/>
        <w:t>。</w:t>
      </w:r>
    </w:p>
    <w:p>
      <w:pPr>
        <w:pStyle w:val="BodyText"/>
        <w:spacing w:line="316" w:lineRule="auto" w:before="19"/>
        <w:ind w:left="514" w:right="0"/>
        <w:jc w:val="left"/>
      </w:pPr>
      <w:r>
        <w:rPr>
          <w:rFonts w:ascii="宋体" w:hAnsi="宋体" w:cs="宋体" w:eastAsia="宋体" w:hint="default"/>
        </w:rPr>
        <w:t>2</w:t>
      </w:r>
      <w:r>
        <w:rPr/>
        <w:t>、技术驱动优势显现 </w:t>
      </w:r>
      <w:r>
        <w:rPr>
          <w:spacing w:val="-2"/>
        </w:rPr>
        <w:t>公司通过将大数据技术、算法和媒体优化经验、出众的分析能力相结合，不断研究并逐步运用到业务中，通过已承载数</w:t>
      </w:r>
    </w:p>
    <w:p>
      <w:pPr>
        <w:pStyle w:val="BodyText"/>
        <w:spacing w:line="316" w:lineRule="auto" w:before="19"/>
        <w:ind w:left="153" w:right="0"/>
        <w:jc w:val="left"/>
      </w:pPr>
      <w:r>
        <w:rPr>
          <w:spacing w:val="-2"/>
        </w:rPr>
        <w:t>据优势，提升服务效率和质量，降低运营成本，打造差异化竞争优势，使得从底层流量入口—流量经营平台—商业变现渠道</w:t>
      </w:r>
      <w:r>
        <w:rPr>
          <w:spacing w:val="-66"/>
        </w:rPr>
        <w:t> </w:t>
      </w:r>
      <w:r>
        <w:rPr>
          <w:spacing w:val="-66"/>
        </w:rPr>
      </w:r>
      <w:r>
        <w:rPr/>
        <w:t>的移动互联网流量聚合和经营的产业链协同效应更加明显。</w:t>
      </w:r>
    </w:p>
    <w:p>
      <w:pPr>
        <w:pStyle w:val="BodyText"/>
        <w:spacing w:line="316" w:lineRule="auto" w:before="19"/>
        <w:ind w:left="514" w:right="0"/>
        <w:jc w:val="left"/>
      </w:pPr>
      <w:r>
        <w:rPr>
          <w:rFonts w:ascii="宋体" w:hAnsi="宋体" w:cs="宋体" w:eastAsia="宋体" w:hint="default"/>
        </w:rPr>
        <w:t>3</w:t>
      </w:r>
      <w:r>
        <w:rPr/>
        <w:t>、核心竞争力的加强 </w:t>
      </w:r>
      <w:r>
        <w:rPr>
          <w:spacing w:val="-2"/>
        </w:rPr>
        <w:t>公司主要核心竞争力之一在于全产业链各节点的协同。报告期内，公司对产业链各业务板块进行深度整合，对各项业务</w:t>
      </w:r>
    </w:p>
    <w:p>
      <w:pPr>
        <w:pStyle w:val="BodyText"/>
        <w:spacing w:line="316" w:lineRule="auto" w:before="19"/>
        <w:ind w:right="0"/>
        <w:jc w:val="left"/>
      </w:pPr>
      <w:r>
        <w:rPr>
          <w:spacing w:val="-2"/>
        </w:rPr>
        <w:t>进行进一步升级，加强各业务板块的互动，实现资源共享，运营效率不断提升，充分发挥了各业务主体在不同业务层面的优</w:t>
      </w:r>
      <w:r>
        <w:rPr>
          <w:spacing w:val="-66"/>
        </w:rPr>
        <w:t> </w:t>
      </w:r>
      <w:r>
        <w:rPr>
          <w:spacing w:val="-66"/>
        </w:rPr>
      </w:r>
      <w:r>
        <w:rPr/>
        <w:t>势，同时，公司还进行核心数据能力的布局和投资以进一步完善产业链。</w:t>
      </w:r>
    </w:p>
    <w:p>
      <w:pPr>
        <w:pStyle w:val="BodyText"/>
        <w:spacing w:line="316" w:lineRule="auto" w:before="19"/>
        <w:ind w:left="514" w:right="0"/>
        <w:jc w:val="left"/>
      </w:pPr>
      <w:r>
        <w:rPr>
          <w:rFonts w:ascii="宋体" w:hAnsi="宋体" w:cs="宋体" w:eastAsia="宋体" w:hint="default"/>
        </w:rPr>
        <w:t>4</w:t>
      </w:r>
      <w:r>
        <w:rPr/>
        <w:t>、互联网广告市场高速发展 </w:t>
      </w:r>
      <w:r>
        <w:rPr>
          <w:spacing w:val="-2"/>
        </w:rPr>
        <w:t>根据</w:t>
      </w:r>
      <w:r>
        <w:rPr>
          <w:rFonts w:ascii="宋体" w:hAnsi="宋体" w:cs="宋体" w:eastAsia="宋体" w:hint="default"/>
          <w:spacing w:val="-2"/>
        </w:rPr>
        <w:t>IResearch</w:t>
      </w:r>
      <w:r>
        <w:rPr>
          <w:spacing w:val="-2"/>
        </w:rPr>
        <w:t>数据，互联网广告规模大幅增长，</w:t>
      </w:r>
      <w:r>
        <w:rPr>
          <w:rFonts w:ascii="宋体" w:hAnsi="宋体" w:cs="宋体" w:eastAsia="宋体" w:hint="default"/>
          <w:spacing w:val="-2"/>
        </w:rPr>
        <w:t>2017</w:t>
      </w:r>
      <w:r>
        <w:rPr>
          <w:spacing w:val="-2"/>
        </w:rPr>
        <w:t>年互联网广告收入达</w:t>
      </w:r>
      <w:r>
        <w:rPr>
          <w:rFonts w:ascii="宋体" w:hAnsi="宋体" w:cs="宋体" w:eastAsia="宋体" w:hint="default"/>
          <w:spacing w:val="-2"/>
        </w:rPr>
        <w:t>3884</w:t>
      </w:r>
      <w:r>
        <w:rPr>
          <w:spacing w:val="-2"/>
        </w:rPr>
        <w:t>亿元，同比增长</w:t>
      </w:r>
      <w:r>
        <w:rPr>
          <w:rFonts w:ascii="宋体" w:hAnsi="宋体" w:cs="宋体" w:eastAsia="宋体" w:hint="default"/>
          <w:spacing w:val="-2"/>
        </w:rPr>
        <w:t>33.8%</w:t>
      </w:r>
      <w:r>
        <w:rPr>
          <w:spacing w:val="-2"/>
        </w:rPr>
        <w:t>，移动广告市场规</w:t>
      </w:r>
    </w:p>
    <w:p>
      <w:pPr>
        <w:pStyle w:val="BodyText"/>
        <w:spacing w:line="316" w:lineRule="auto" w:before="19"/>
        <w:ind w:left="153" w:right="1123"/>
        <w:jc w:val="left"/>
      </w:pPr>
      <w:r>
        <w:rPr/>
        <w:t>模预计将达到</w:t>
      </w:r>
      <w:r>
        <w:rPr>
          <w:rFonts w:ascii="宋体" w:hAnsi="宋体" w:cs="宋体" w:eastAsia="宋体" w:hint="default"/>
        </w:rPr>
        <w:t>2648.8</w:t>
      </w:r>
      <w:r>
        <w:rPr/>
        <w:t>亿元，同比增长率高达</w:t>
      </w:r>
      <w:r>
        <w:rPr>
          <w:rFonts w:ascii="宋体" w:hAnsi="宋体" w:cs="宋体" w:eastAsia="宋体" w:hint="default"/>
        </w:rPr>
        <w:t>51.3%</w:t>
      </w:r>
      <w:r>
        <w:rPr/>
        <w:t>。可以预计，未来几年，包括移动广告、</w:t>
      </w:r>
      <w:r>
        <w:rPr>
          <w:rFonts w:ascii="宋体" w:hAnsi="宋体" w:cs="宋体" w:eastAsia="宋体" w:hint="default"/>
        </w:rPr>
        <w:t>PC</w:t>
      </w:r>
      <w:r>
        <w:rPr/>
        <w:t>端广告在内的互联网广告业务 仍将是公司业务保持增长的一个主要动力。</w:t>
      </w:r>
    </w:p>
    <w:p>
      <w:pPr>
        <w:pStyle w:val="BodyText"/>
        <w:spacing w:line="316" w:lineRule="auto" w:before="19"/>
        <w:ind w:left="514" w:right="0"/>
        <w:jc w:val="left"/>
      </w:pPr>
      <w:r>
        <w:rPr>
          <w:rFonts w:ascii="宋体" w:hAnsi="宋体" w:cs="宋体" w:eastAsia="宋体" w:hint="default"/>
        </w:rPr>
        <w:t>5</w:t>
      </w:r>
      <w:r>
        <w:rPr/>
        <w:t>、品牌效应的提升 </w:t>
      </w:r>
      <w:r>
        <w:rPr>
          <w:spacing w:val="-2"/>
        </w:rPr>
        <w:t>上市公司各业务主体在各自经营的移动互联网细分领域均具有较强的影响力，在移动互联网业务领域中具有多年业务经</w:t>
      </w:r>
    </w:p>
    <w:p>
      <w:pPr>
        <w:pStyle w:val="BodyText"/>
        <w:spacing w:line="316" w:lineRule="auto" w:before="19"/>
        <w:ind w:right="1032"/>
        <w:jc w:val="left"/>
      </w:pPr>
      <w:r>
        <w:rPr>
          <w:spacing w:val="-4"/>
        </w:rPr>
        <w:t>验，具有稳定的优质客户资源。在深度整合后，依托于算法、大数据等技术优势，将产品和服务相结合、内容和创意相融合，</w:t>
      </w:r>
      <w:r>
        <w:rPr>
          <w:spacing w:val="-44"/>
        </w:rPr>
        <w:t> </w:t>
      </w:r>
      <w:r>
        <w:rPr>
          <w:spacing w:val="-44"/>
        </w:rPr>
      </w:r>
      <w:r>
        <w:rPr>
          <w:spacing w:val="-2"/>
        </w:rPr>
        <w:t>为品牌广告主提供定制化、整合、一站式的营销服务，进一步提升公司品牌影响力，提高公司核心竞争力，同时推动公司业</w:t>
      </w:r>
      <w:r>
        <w:rPr>
          <w:spacing w:val="-66"/>
        </w:rPr>
        <w:t> </w:t>
      </w:r>
      <w:r>
        <w:rPr>
          <w:spacing w:val="-66"/>
        </w:rPr>
      </w:r>
      <w:r>
        <w:rPr/>
        <w:t>绩不断增长。</w:t>
      </w:r>
    </w:p>
    <w:p>
      <w:pPr>
        <w:pStyle w:val="BodyText"/>
        <w:spacing w:line="316" w:lineRule="auto" w:before="19"/>
        <w:ind w:left="514" w:right="0"/>
        <w:jc w:val="left"/>
      </w:pPr>
      <w:r>
        <w:rPr>
          <w:rFonts w:ascii="宋体" w:hAnsi="宋体" w:cs="宋体" w:eastAsia="宋体" w:hint="default"/>
        </w:rPr>
        <w:t>6</w:t>
      </w:r>
      <w:r>
        <w:rPr/>
        <w:t>、运营效率的提高 </w:t>
      </w:r>
      <w:r>
        <w:rPr>
          <w:spacing w:val="-4"/>
        </w:rPr>
        <w:t>为降低公司整体运营管理成本，提升工作效率，公司围绕“人、财、物”三驾马车对各业务主体的办公流、财务资金流、</w:t>
      </w:r>
    </w:p>
    <w:p>
      <w:pPr>
        <w:pStyle w:val="BodyText"/>
        <w:spacing w:line="316" w:lineRule="auto" w:before="19"/>
        <w:ind w:left="153" w:right="0"/>
        <w:jc w:val="left"/>
      </w:pPr>
      <w:r>
        <w:rPr>
          <w:spacing w:val="-2"/>
        </w:rPr>
        <w:t>业务数据流三方面进行梳理整合，分别成立了财务中心、人事中心、行政中心等职能部门，统一负责和协调各业务主体的相</w:t>
      </w:r>
      <w:r>
        <w:rPr>
          <w:spacing w:val="-66"/>
        </w:rPr>
        <w:t> </w:t>
      </w:r>
      <w:r>
        <w:rPr>
          <w:spacing w:val="-66"/>
        </w:rPr>
      </w:r>
      <w:r>
        <w:rPr>
          <w:spacing w:val="-4"/>
        </w:rPr>
        <w:t>关事务。公司管理精细、职责明确、灵活自主，适应互联网广告市场，很大程度调动了人员积极性，大幅度提升了运营效率。</w:t>
      </w:r>
    </w:p>
    <w:p>
      <w:pPr>
        <w:spacing w:line="316" w:lineRule="auto" w:before="19"/>
        <w:ind w:left="514" w:right="1118" w:firstLine="1"/>
        <w:jc w:val="left"/>
        <w:rPr>
          <w:rFonts w:ascii="宋体" w:hAnsi="宋体" w:cs="宋体" w:eastAsia="宋体" w:hint="default"/>
          <w:sz w:val="18"/>
          <w:szCs w:val="18"/>
        </w:rPr>
      </w:pPr>
      <w:r>
        <w:rPr>
          <w:rFonts w:ascii="宋体" w:hAnsi="宋体" w:cs="宋体" w:eastAsia="宋体" w:hint="default"/>
          <w:b/>
          <w:bCs/>
          <w:sz w:val="18"/>
          <w:szCs w:val="18"/>
        </w:rPr>
        <w:t>（三）报告期内公司所属行业的发展阶段、周期性特点以及公司所处的行业地位</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、互联网行业的发展阶段、周期性特点 </w:t>
      </w:r>
      <w:r>
        <w:rPr>
          <w:rFonts w:ascii="宋体" w:hAnsi="宋体" w:cs="宋体" w:eastAsia="宋体" w:hint="default"/>
          <w:spacing w:val="-2"/>
          <w:sz w:val="18"/>
          <w:szCs w:val="18"/>
        </w:rPr>
        <w:t>经过</w:t>
      </w:r>
      <w:r>
        <w:rPr>
          <w:rFonts w:ascii="宋体" w:hAnsi="宋体" w:cs="宋体" w:eastAsia="宋体" w:hint="default"/>
          <w:spacing w:val="-2"/>
          <w:sz w:val="18"/>
          <w:szCs w:val="18"/>
        </w:rPr>
        <w:t>20</w:t>
      </w:r>
      <w:r>
        <w:rPr>
          <w:rFonts w:ascii="宋体" w:hAnsi="宋体" w:cs="宋体" w:eastAsia="宋体" w:hint="default"/>
          <w:spacing w:val="-2"/>
          <w:sz w:val="18"/>
          <w:szCs w:val="18"/>
        </w:rPr>
        <w:t>多年的高速发展，中国的互联网行业逐渐走向成熟，国内用户的快速普及，推进了互联网与各个传统行业进行深</w:t>
      </w:r>
    </w:p>
    <w:p>
      <w:pPr>
        <w:pStyle w:val="BodyText"/>
        <w:spacing w:line="316" w:lineRule="auto" w:before="19"/>
        <w:ind w:left="153" w:right="1131"/>
        <w:jc w:val="both"/>
      </w:pPr>
      <w:r>
        <w:rPr>
          <w:spacing w:val="-2"/>
        </w:rPr>
        <w:t>度融合，通过信息化不断提升资讯传播、商品流通及资金融通的效率和速度，互联网服务已经成为中国社会生活重要的组成</w:t>
      </w:r>
      <w:r>
        <w:rPr>
          <w:spacing w:val="-66"/>
        </w:rPr>
        <w:t> </w:t>
      </w:r>
      <w:r>
        <w:rPr>
          <w:spacing w:val="-66"/>
        </w:rPr>
      </w:r>
      <w:r>
        <w:rPr/>
        <w:t>部分。根据中国互联网络信息中心（</w:t>
      </w:r>
      <w:r>
        <w:rPr>
          <w:rFonts w:ascii="宋体" w:hAnsi="宋体" w:cs="宋体" w:eastAsia="宋体" w:hint="default"/>
        </w:rPr>
        <w:t>CNNIC</w:t>
      </w:r>
      <w:r>
        <w:rPr/>
        <w:t>）的数据显示，截至</w:t>
      </w:r>
      <w:r>
        <w:rPr>
          <w:rFonts w:ascii="宋体" w:hAnsi="宋体" w:cs="宋体" w:eastAsia="宋体" w:hint="default"/>
        </w:rPr>
        <w:t>2017</w:t>
      </w:r>
      <w:r>
        <w:rPr/>
        <w:t>年，中国网民规模近</w:t>
      </w:r>
      <w:r>
        <w:rPr>
          <w:rFonts w:ascii="宋体" w:hAnsi="宋体" w:cs="宋体" w:eastAsia="宋体" w:hint="default"/>
        </w:rPr>
        <w:t>8</w:t>
      </w:r>
      <w:r>
        <w:rPr/>
        <w:t>亿，互联网普及率约</w:t>
      </w:r>
      <w:r>
        <w:rPr>
          <w:rFonts w:ascii="宋体" w:hAnsi="宋体" w:cs="宋体" w:eastAsia="宋体" w:hint="default"/>
        </w:rPr>
        <w:t>55%</w:t>
      </w:r>
      <w:r>
        <w:rPr/>
        <w:t>，人均周 </w:t>
      </w:r>
      <w:r>
        <w:rPr>
          <w:spacing w:val="-2"/>
        </w:rPr>
        <w:t>上网时长达</w:t>
      </w:r>
      <w:r>
        <w:rPr>
          <w:rFonts w:ascii="宋体" w:hAnsi="宋体" w:cs="宋体" w:eastAsia="宋体" w:hint="default"/>
          <w:spacing w:val="-2"/>
        </w:rPr>
        <w:t>27</w:t>
      </w:r>
      <w:r>
        <w:rPr>
          <w:spacing w:val="-2"/>
        </w:rPr>
        <w:t>小时。在此背景下，人口红利带来的渗透率增长已不再是行业整体增长和发展的主要驱动力，未来</w:t>
      </w:r>
      <w:r>
        <w:rPr>
          <w:rFonts w:ascii="宋体" w:hAnsi="宋体" w:cs="宋体" w:eastAsia="宋体" w:hint="default"/>
          <w:spacing w:val="-2"/>
        </w:rPr>
        <w:t>3</w:t>
      </w:r>
      <w:r>
        <w:rPr>
          <w:spacing w:val="-2"/>
        </w:rPr>
        <w:t>～</w:t>
      </w:r>
      <w:r>
        <w:rPr>
          <w:rFonts w:ascii="宋体" w:hAnsi="宋体" w:cs="宋体" w:eastAsia="宋体" w:hint="default"/>
          <w:spacing w:val="-2"/>
        </w:rPr>
        <w:t>5</w:t>
      </w:r>
      <w:r>
        <w:rPr>
          <w:spacing w:val="-2"/>
        </w:rPr>
        <w:t>年取而</w:t>
      </w:r>
      <w:r>
        <w:rPr>
          <w:spacing w:val="-63"/>
        </w:rPr>
        <w:t> </w:t>
      </w:r>
      <w:r>
        <w:rPr>
          <w:spacing w:val="-2"/>
        </w:rPr>
        <w:t>代之的将是技术革新、模式创新、跨领域服务以及服务细分化。未来随着移动端的普及和电信基础设置的完善，移动互联网</w:t>
      </w:r>
      <w:r>
        <w:rPr>
          <w:spacing w:val="-66"/>
        </w:rPr>
        <w:t> </w:t>
      </w:r>
      <w:r>
        <w:rPr>
          <w:spacing w:val="-66"/>
        </w:rPr>
      </w:r>
      <w:r>
        <w:rPr/>
        <w:t>相关行业将继续保持快速增长。</w:t>
      </w:r>
    </w:p>
    <w:p>
      <w:pPr>
        <w:pStyle w:val="BodyText"/>
        <w:spacing w:line="319" w:lineRule="auto" w:before="19"/>
        <w:ind w:left="153" w:right="1033" w:firstLine="360"/>
        <w:jc w:val="left"/>
      </w:pPr>
      <w:r>
        <w:rPr/>
        <w:t>根据</w:t>
      </w:r>
      <w:r>
        <w:rPr>
          <w:rFonts w:ascii="宋体" w:hAnsi="宋体" w:cs="宋体" w:eastAsia="宋体" w:hint="default"/>
        </w:rPr>
        <w:t>eMarketer</w:t>
      </w:r>
      <w:r>
        <w:rPr/>
        <w:t>预测，谷歌和</w:t>
      </w:r>
      <w:r>
        <w:rPr>
          <w:rFonts w:ascii="宋体" w:hAnsi="宋体" w:cs="宋体" w:eastAsia="宋体" w:hint="default"/>
        </w:rPr>
        <w:t>Facebook</w:t>
      </w:r>
      <w:r>
        <w:rPr/>
        <w:t>将占</w:t>
      </w:r>
      <w:r>
        <w:rPr>
          <w:rFonts w:ascii="宋体" w:hAnsi="宋体" w:cs="宋体" w:eastAsia="宋体" w:hint="default"/>
        </w:rPr>
        <w:t>2018</w:t>
      </w:r>
      <w:r>
        <w:rPr/>
        <w:t>年美国网络广告收入的</w:t>
      </w:r>
      <w:r>
        <w:rPr>
          <w:rFonts w:ascii="宋体" w:hAnsi="宋体" w:cs="宋体" w:eastAsia="宋体" w:hint="default"/>
        </w:rPr>
        <w:t>56.8%</w:t>
      </w:r>
      <w:r>
        <w:rPr/>
        <w:t>。</w:t>
      </w:r>
      <w:r>
        <w:rPr>
          <w:rFonts w:ascii="宋体" w:hAnsi="宋体" w:cs="宋体" w:eastAsia="宋体" w:hint="default"/>
        </w:rPr>
        <w:t>2018</w:t>
      </w:r>
      <w:r>
        <w:rPr/>
        <w:t>年，谷歌美国网络广告收入将达到 </w:t>
      </w:r>
      <w:r>
        <w:rPr>
          <w:rFonts w:ascii="宋体" w:hAnsi="宋体" w:cs="宋体" w:eastAsia="宋体" w:hint="default"/>
        </w:rPr>
        <w:t>399.2</w:t>
      </w:r>
      <w:r>
        <w:rPr/>
        <w:t>亿美元，同比增长</w:t>
      </w:r>
      <w:r>
        <w:rPr>
          <w:rFonts w:ascii="宋体" w:hAnsi="宋体" w:cs="宋体" w:eastAsia="宋体" w:hint="default"/>
        </w:rPr>
        <w:t>14.5%</w:t>
      </w:r>
      <w:r>
        <w:rPr/>
        <w:t>。互联网媒体作为互联网营销的供给方，主要包括搜索引擎、综合门户网站、垂直门户网站、 </w:t>
      </w:r>
      <w:r>
        <w:rPr>
          <w:spacing w:val="-2"/>
        </w:rPr>
        <w:t>垂直搜索网站、视频网站等各类网站，在互联网广告传媒业务中起着重要作用。根据艾瑞咨询，国内</w:t>
      </w:r>
      <w:r>
        <w:rPr>
          <w:rFonts w:ascii="宋体" w:hAnsi="宋体" w:cs="宋体" w:eastAsia="宋体" w:hint="default"/>
          <w:spacing w:val="-2"/>
        </w:rPr>
        <w:t>PC</w:t>
      </w:r>
      <w:r>
        <w:rPr>
          <w:spacing w:val="-2"/>
        </w:rPr>
        <w:t>网络媒体中电商网站</w:t>
      </w:r>
      <w:r>
        <w:rPr>
          <w:spacing w:val="-64"/>
        </w:rPr>
        <w:t> </w:t>
      </w:r>
      <w:r>
        <w:rPr/>
        <w:t>广告份额预计达</w:t>
      </w:r>
      <w:r>
        <w:rPr>
          <w:rFonts w:ascii="宋体" w:hAnsi="宋体" w:cs="宋体" w:eastAsia="宋体" w:hint="default"/>
        </w:rPr>
        <w:t>31.7%</w:t>
      </w:r>
      <w:r>
        <w:rPr/>
        <w:t>。移动媒体中，除电商外、社交类、视频类分别作为用户使用频率最高、用户使用时间最长的媒体， 有较大的业务增长空间。</w:t>
      </w:r>
    </w:p>
    <w:p>
      <w:pPr>
        <w:spacing w:after="0" w:line="319" w:lineRule="auto"/>
        <w:jc w:val="left"/>
        <w:sectPr>
          <w:pgSz w:w="11910" w:h="16840"/>
          <w:pgMar w:header="747" w:footer="1187" w:top="1060" w:bottom="138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3" w:right="0" w:firstLine="360"/>
        <w:jc w:val="left"/>
      </w:pPr>
      <w:r>
        <w:rPr>
          <w:spacing w:val="-2"/>
        </w:rPr>
        <w:t>艾瑞咨询《中国网络广告年度监测报告》相关数据显示，我国数字营销市场保持稳健快速增长趋势。</w:t>
      </w:r>
      <w:r>
        <w:rPr>
          <w:rFonts w:ascii="宋体" w:hAnsi="宋体" w:cs="宋体" w:eastAsia="宋体" w:hint="default"/>
          <w:spacing w:val="-2"/>
        </w:rPr>
        <w:t>2017</w:t>
      </w:r>
      <w:r>
        <w:rPr>
          <w:spacing w:val="-2"/>
        </w:rPr>
        <w:t>年中国网络广</w:t>
      </w:r>
      <w:r>
        <w:rPr/>
        <w:t> 告市场规模预计达到</w:t>
      </w:r>
      <w:r>
        <w:rPr>
          <w:rFonts w:ascii="宋体" w:hAnsi="宋体" w:cs="宋体" w:eastAsia="宋体" w:hint="default"/>
        </w:rPr>
        <w:t>3884</w:t>
      </w:r>
      <w:r>
        <w:rPr/>
        <w:t>亿元，同比增长</w:t>
      </w:r>
      <w:r>
        <w:rPr>
          <w:rFonts w:ascii="宋体" w:hAnsi="宋体" w:cs="宋体" w:eastAsia="宋体" w:hint="default"/>
        </w:rPr>
        <w:t>33.8%</w:t>
      </w:r>
      <w:r>
        <w:rPr/>
        <w:t>，移动广告市场规模预计将达到</w:t>
      </w:r>
      <w:r>
        <w:rPr>
          <w:rFonts w:ascii="宋体" w:hAnsi="宋体" w:cs="宋体" w:eastAsia="宋体" w:hint="default"/>
        </w:rPr>
        <w:t>2648.8</w:t>
      </w:r>
      <w:r>
        <w:rPr/>
        <w:t>亿元，同比增长率高达</w:t>
      </w:r>
      <w:r>
        <w:rPr>
          <w:rFonts w:ascii="宋体" w:hAnsi="宋体" w:cs="宋体" w:eastAsia="宋体" w:hint="default"/>
        </w:rPr>
        <w:t>51.3%</w:t>
      </w:r>
      <w:r>
        <w:rPr/>
        <w:t>。</w:t>
      </w:r>
      <w:r>
        <w:rPr>
          <w:rFonts w:ascii="宋体" w:hAnsi="宋体" w:cs="宋体" w:eastAsia="宋体" w:hint="default"/>
        </w:rPr>
        <w:t>2018 </w:t>
      </w:r>
      <w:r>
        <w:rPr>
          <w:spacing w:val="-2"/>
        </w:rPr>
        <w:t>年中国网络市场规模预计将达到</w:t>
      </w:r>
      <w:r>
        <w:rPr>
          <w:rFonts w:ascii="宋体" w:hAnsi="宋体" w:cs="宋体" w:eastAsia="宋体" w:hint="default"/>
          <w:spacing w:val="-2"/>
        </w:rPr>
        <w:t>5022</w:t>
      </w:r>
      <w:r>
        <w:rPr>
          <w:spacing w:val="-2"/>
        </w:rPr>
        <w:t>亿元。互联网的移动化转型基本完成，移动用户使用时长不断增长，移动媒体愈加多元</w:t>
      </w:r>
      <w:r>
        <w:rPr>
          <w:spacing w:val="-62"/>
        </w:rPr>
        <w:t> </w:t>
      </w:r>
      <w:r>
        <w:rPr>
          <w:spacing w:val="-62"/>
        </w:rPr>
      </w:r>
      <w:r>
        <w:rPr/>
        <w:t>化，移动广告市场进入了新的发展阶段，预计</w:t>
      </w:r>
      <w:r>
        <w:rPr>
          <w:rFonts w:ascii="宋体" w:hAnsi="宋体" w:cs="宋体" w:eastAsia="宋体" w:hint="default"/>
        </w:rPr>
        <w:t>2018</w:t>
      </w:r>
      <w:r>
        <w:rPr/>
        <w:t>年移动广告市场将占据网络广告市场的</w:t>
      </w:r>
      <w:r>
        <w:rPr>
          <w:rFonts w:ascii="宋体" w:hAnsi="宋体" w:cs="宋体" w:eastAsia="宋体" w:hint="default"/>
        </w:rPr>
        <w:t>73.6%</w:t>
      </w:r>
      <w:r>
        <w:rPr/>
        <w:t>。基于大数据积累，结合用 </w:t>
      </w:r>
      <w:r>
        <w:rPr>
          <w:spacing w:val="-2"/>
        </w:rPr>
        <w:t>户属性、地理位置等指标而升级的精准化投放技术，将进一步提高移动广告的投放效率；同时信息流广告和内容原生广告形</w:t>
      </w:r>
      <w:r>
        <w:rPr>
          <w:spacing w:val="-66"/>
        </w:rPr>
        <w:t> </w:t>
      </w:r>
      <w:r>
        <w:rPr>
          <w:spacing w:val="-66"/>
        </w:rPr>
      </w:r>
      <w:r>
        <w:rPr>
          <w:spacing w:val="-2"/>
        </w:rPr>
        <w:t>式兴起，在降低了广告对于用户体验的影响下，将进一步拓展广告形式和广告位资源，促进移动广告市场规模的持续高速增</w:t>
      </w:r>
      <w:r>
        <w:rPr>
          <w:spacing w:val="-66"/>
        </w:rPr>
        <w:t> </w:t>
      </w:r>
      <w:r>
        <w:rPr>
          <w:spacing w:val="-66"/>
        </w:rPr>
      </w:r>
      <w:r>
        <w:rPr>
          <w:spacing w:val="-4"/>
        </w:rPr>
        <w:t>长。随着移动媒体平台的成熟和广告技术的进一步完善，能够降低移动广告对用户体验影响的形式和内容原生广告快速发展，</w:t>
      </w:r>
      <w:r>
        <w:rPr>
          <w:spacing w:val="-44"/>
        </w:rPr>
        <w:t> </w:t>
      </w:r>
      <w:r>
        <w:rPr>
          <w:spacing w:val="-44"/>
        </w:rPr>
      </w:r>
      <w:r>
        <w:rPr/>
        <w:t>区块链、广告植入、动态预算等广告技术不断优化，为移动广告市场的提升创造更多空间。</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line="7515" w:lineRule="exact"/>
        <w:ind w:left="154" w:right="0" w:firstLine="0"/>
        <w:rPr>
          <w:rFonts w:ascii="宋体" w:hAnsi="宋体" w:cs="宋体" w:eastAsia="宋体" w:hint="default"/>
          <w:sz w:val="20"/>
          <w:szCs w:val="20"/>
        </w:rPr>
      </w:pPr>
      <w:r>
        <w:rPr>
          <w:rFonts w:ascii="宋体" w:hAnsi="宋体" w:cs="宋体" w:eastAsia="宋体" w:hint="default"/>
          <w:position w:val="-149"/>
          <w:sz w:val="20"/>
          <w:szCs w:val="20"/>
        </w:rPr>
        <w:drawing>
          <wp:inline distT="0" distB="0" distL="0" distR="0">
            <wp:extent cx="6096000" cy="477202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6096000" cy="4772025"/>
                    </a:xfrm>
                    <a:prstGeom prst="rect">
                      <a:avLst/>
                    </a:prstGeom>
                  </pic:spPr>
                </pic:pic>
              </a:graphicData>
            </a:graphic>
          </wp:inline>
        </w:drawing>
      </w:r>
      <w:r>
        <w:rPr>
          <w:rFonts w:ascii="宋体" w:hAnsi="宋体" w:cs="宋体" w:eastAsia="宋体" w:hint="default"/>
          <w:position w:val="-149"/>
          <w:sz w:val="20"/>
          <w:szCs w:val="20"/>
        </w:rPr>
      </w:r>
    </w:p>
    <w:p>
      <w:pPr>
        <w:spacing w:line="240" w:lineRule="auto" w:before="5"/>
        <w:rPr>
          <w:rFonts w:ascii="宋体" w:hAnsi="宋体" w:cs="宋体" w:eastAsia="宋体" w:hint="default"/>
          <w:sz w:val="8"/>
          <w:szCs w:val="8"/>
        </w:rPr>
      </w:pPr>
    </w:p>
    <w:p>
      <w:pPr>
        <w:pStyle w:val="BodyText"/>
        <w:spacing w:line="316" w:lineRule="auto" w:before="44"/>
        <w:ind w:left="153" w:right="0" w:firstLine="360"/>
        <w:jc w:val="left"/>
      </w:pPr>
      <w:r>
        <w:rPr>
          <w:spacing w:val="-2"/>
        </w:rPr>
        <w:t>周期性特点：互联网行业的周期与技术更新、基础设施升级、监管政策导向演变、社会经济文化发展等因素相关。互联</w:t>
      </w:r>
      <w:r>
        <w:rPr/>
        <w:t> 网行业本身不存在明显的季节性特征。</w:t>
      </w:r>
    </w:p>
    <w:p>
      <w:pPr>
        <w:pStyle w:val="BodyText"/>
        <w:spacing w:line="316" w:lineRule="auto" w:before="19"/>
        <w:ind w:left="514" w:right="5532"/>
        <w:jc w:val="left"/>
      </w:pPr>
      <w:r>
        <w:rPr>
          <w:rFonts w:ascii="宋体" w:hAnsi="宋体" w:cs="宋体" w:eastAsia="宋体" w:hint="default"/>
        </w:rPr>
        <w:t>2</w:t>
      </w:r>
      <w:r>
        <w:rPr/>
        <w:t>、公司所处的行业地位 报告期内，公司的行业地位不断得到夯实与提升，具体如下：</w:t>
      </w:r>
    </w:p>
    <w:p>
      <w:pPr>
        <w:pStyle w:val="BodyText"/>
        <w:spacing w:line="316" w:lineRule="auto" w:before="19"/>
        <w:ind w:left="514" w:right="1032"/>
        <w:jc w:val="left"/>
      </w:pPr>
      <w:r>
        <w:rPr/>
        <w:t>（</w:t>
      </w:r>
      <w:r>
        <w:rPr>
          <w:rFonts w:ascii="宋体" w:hAnsi="宋体" w:cs="宋体" w:eastAsia="宋体" w:hint="default"/>
        </w:rPr>
        <w:t>1</w:t>
      </w:r>
      <w:r>
        <w:rPr/>
        <w:t>）海外媒体业务发展迅猛 </w:t>
      </w:r>
      <w:r>
        <w:rPr>
          <w:rFonts w:ascii="宋体" w:hAnsi="宋体" w:cs="宋体" w:eastAsia="宋体" w:hint="default"/>
        </w:rPr>
        <w:t>Spigot</w:t>
      </w:r>
      <w:r>
        <w:rPr/>
        <w:t>是拥有互联网产品矩阵，以算法和大数据技术为驱动的互联网科技企业。</w:t>
      </w:r>
      <w:r>
        <w:rPr>
          <w:rFonts w:ascii="宋体" w:hAnsi="宋体" w:cs="宋体" w:eastAsia="宋体" w:hint="default"/>
        </w:rPr>
        <w:t>Spigot</w:t>
      </w:r>
      <w:r>
        <w:rPr/>
        <w:t>拥有安全软件、邮件管理软件、</w:t>
      </w:r>
    </w:p>
    <w:p>
      <w:pPr>
        <w:pStyle w:val="BodyText"/>
        <w:spacing w:line="316" w:lineRule="auto" w:before="19"/>
        <w:ind w:left="153" w:right="1130"/>
        <w:jc w:val="both"/>
      </w:pPr>
      <w:r>
        <w:rPr>
          <w:spacing w:val="-2"/>
        </w:rPr>
        <w:t>浏览器等系列自主研发的应用产品，通过大数据和算法对发行渠道和产品用户进行多维度分析，从而以低成本获取高质量的</w:t>
      </w:r>
      <w:r>
        <w:rPr>
          <w:spacing w:val="-64"/>
        </w:rPr>
        <w:t> </w:t>
      </w:r>
      <w:r>
        <w:rPr>
          <w:spacing w:val="-64"/>
        </w:rPr>
      </w:r>
      <w:r>
        <w:rPr>
          <w:spacing w:val="-2"/>
        </w:rPr>
        <w:t>用户。</w:t>
      </w:r>
      <w:r>
        <w:rPr>
          <w:rFonts w:ascii="宋体" w:hAnsi="宋体" w:cs="宋体" w:eastAsia="宋体" w:hint="default"/>
          <w:spacing w:val="-2"/>
        </w:rPr>
        <w:t>Spigot</w:t>
      </w:r>
      <w:r>
        <w:rPr>
          <w:spacing w:val="-2"/>
        </w:rPr>
        <w:t>保持了对市场以及用户需求变化的高度敏感性，凭借其强大的研发能力，快速迭代应用产品并对应用产品的分</w:t>
      </w:r>
      <w:r>
        <w:rPr>
          <w:spacing w:val="-60"/>
        </w:rPr>
        <w:t> </w:t>
      </w:r>
      <w:r>
        <w:rPr>
          <w:spacing w:val="-60"/>
        </w:rPr>
      </w:r>
      <w:r>
        <w:rPr>
          <w:spacing w:val="-2"/>
        </w:rPr>
        <w:t>发策略进行调整，提高用户体验，增加用户粘性。基于出色的媒体优化经验、出众的分析能力和高质量的用户基础，</w:t>
      </w:r>
      <w:r>
        <w:rPr>
          <w:rFonts w:ascii="宋体" w:hAnsi="宋体" w:cs="宋体" w:eastAsia="宋体" w:hint="default"/>
          <w:spacing w:val="-2"/>
        </w:rPr>
        <w:t>Spigot</w:t>
      </w:r>
      <w:r>
        <w:rPr>
          <w:rFonts w:ascii="宋体" w:hAnsi="宋体" w:cs="宋体" w:eastAsia="宋体" w:hint="default"/>
          <w:spacing w:val="-59"/>
        </w:rPr>
        <w:t> </w:t>
      </w:r>
      <w:r>
        <w:rPr>
          <w:rFonts w:ascii="宋体" w:hAnsi="宋体" w:cs="宋体" w:eastAsia="宋体" w:hint="default"/>
          <w:spacing w:val="-59"/>
        </w:rPr>
      </w:r>
      <w:r>
        <w:rPr>
          <w:spacing w:val="-2"/>
        </w:rPr>
        <w:t>能高效地帮助谷歌、雅虎、美国在线等全球知名合作伙伴提升广告业务效果，从而获得可观的商业变现收入。</w:t>
      </w:r>
      <w:r>
        <w:rPr>
          <w:rFonts w:ascii="宋体" w:hAnsi="宋体" w:cs="宋体" w:eastAsia="宋体" w:hint="default"/>
          <w:spacing w:val="-2"/>
        </w:rPr>
        <w:t>Spigot</w:t>
      </w:r>
      <w:r>
        <w:rPr>
          <w:spacing w:val="-2"/>
        </w:rPr>
        <w:t>单日收</w:t>
      </w:r>
    </w:p>
    <w:p>
      <w:pPr>
        <w:spacing w:after="0" w:line="316" w:lineRule="auto"/>
        <w:jc w:val="both"/>
        <w:sectPr>
          <w:pgSz w:w="11910" w:h="16840"/>
          <w:pgMar w:header="747" w:footer="1187" w:top="1060" w:bottom="138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3" w:right="1123"/>
        <w:jc w:val="left"/>
      </w:pPr>
      <w:r>
        <w:rPr/>
        <w:t>入最高超过</w:t>
      </w:r>
      <w:r>
        <w:rPr>
          <w:rFonts w:ascii="宋体" w:hAnsi="宋体" w:cs="宋体" w:eastAsia="宋体" w:hint="default"/>
        </w:rPr>
        <w:t>100</w:t>
      </w:r>
      <w:r>
        <w:rPr/>
        <w:t>万美元，全年实现营业收入</w:t>
      </w:r>
      <w:r>
        <w:rPr>
          <w:rFonts w:ascii="宋体" w:hAnsi="宋体" w:cs="宋体" w:eastAsia="宋体" w:hint="default"/>
        </w:rPr>
        <w:t>16,527.97</w:t>
      </w:r>
      <w:r>
        <w:rPr/>
        <w:t>万美元，占公司营业总收入的</w:t>
      </w:r>
      <w:r>
        <w:rPr>
          <w:rFonts w:ascii="宋体" w:hAnsi="宋体" w:cs="宋体" w:eastAsia="宋体" w:hint="default"/>
        </w:rPr>
        <w:t>17.52%</w:t>
      </w:r>
      <w:r>
        <w:rPr/>
        <w:t>，与去年同期相比增长</w:t>
      </w:r>
      <w:r>
        <w:rPr>
          <w:rFonts w:ascii="宋体" w:hAnsi="宋体" w:cs="宋体" w:eastAsia="宋体" w:hint="default"/>
        </w:rPr>
        <w:t>305.15%</w:t>
      </w:r>
      <w:r>
        <w:rPr/>
        <w:t>； 实现营业利润</w:t>
      </w:r>
      <w:r>
        <w:rPr>
          <w:rFonts w:ascii="宋体" w:hAnsi="宋体" w:cs="宋体" w:eastAsia="宋体" w:hint="default"/>
        </w:rPr>
        <w:t>4,276.09</w:t>
      </w:r>
      <w:r>
        <w:rPr/>
        <w:t>万美元，占公司整体营业利润的</w:t>
      </w:r>
      <w:r>
        <w:rPr>
          <w:rFonts w:ascii="宋体" w:hAnsi="宋体" w:cs="宋体" w:eastAsia="宋体" w:hint="default"/>
        </w:rPr>
        <w:t>52.61%</w:t>
      </w:r>
      <w:r>
        <w:rPr/>
        <w:t>，与去年同期相比增长</w:t>
      </w:r>
      <w:r>
        <w:rPr>
          <w:rFonts w:ascii="宋体" w:hAnsi="宋体" w:cs="宋体" w:eastAsia="宋体" w:hint="default"/>
        </w:rPr>
        <w:t>85.22%</w:t>
      </w:r>
      <w:r>
        <w:rPr/>
        <w:t>。</w:t>
      </w:r>
    </w:p>
    <w:p>
      <w:pPr>
        <w:pStyle w:val="BodyText"/>
        <w:spacing w:line="316" w:lineRule="auto" w:before="19"/>
        <w:ind w:left="514" w:right="1122"/>
        <w:jc w:val="left"/>
        <w:rPr>
          <w:rFonts w:ascii="宋体" w:hAnsi="宋体" w:cs="宋体" w:eastAsia="宋体" w:hint="default"/>
        </w:rPr>
      </w:pPr>
      <w:r>
        <w:rPr/>
        <w:t>（</w:t>
      </w:r>
      <w:r>
        <w:rPr>
          <w:rFonts w:ascii="宋体" w:hAnsi="宋体" w:cs="宋体" w:eastAsia="宋体" w:hint="default"/>
        </w:rPr>
        <w:t>2</w:t>
      </w:r>
      <w:r>
        <w:rPr/>
        <w:t>）境内媒体业务聚合中长尾媒体资源并建立流量矩阵 </w:t>
      </w:r>
      <w:r>
        <w:rPr>
          <w:rFonts w:ascii="宋体" w:hAnsi="宋体" w:cs="宋体" w:eastAsia="宋体" w:hint="default"/>
        </w:rPr>
        <w:t>FMOBI</w:t>
      </w:r>
      <w:r>
        <w:rPr/>
        <w:t>平台和万流客作为公司境内媒体平台，具有国内领先的</w:t>
      </w:r>
      <w:r>
        <w:rPr>
          <w:rFonts w:ascii="宋体" w:hAnsi="宋体" w:cs="宋体" w:eastAsia="宋体" w:hint="default"/>
        </w:rPr>
        <w:t>SSP</w:t>
      </w:r>
      <w:r>
        <w:rPr/>
        <w:t>等技术处理能力，聚合并承载庞大的优质中长尾流量</w:t>
      </w:r>
      <w:r>
        <w:rPr>
          <w:rFonts w:ascii="宋体" w:hAnsi="宋体" w:cs="宋体" w:eastAsia="宋体" w:hint="default"/>
        </w:rPr>
        <w:t>/</w:t>
      </w:r>
    </w:p>
    <w:p>
      <w:pPr>
        <w:pStyle w:val="BodyText"/>
        <w:spacing w:line="316" w:lineRule="auto" w:before="19"/>
        <w:ind w:left="153" w:right="0"/>
        <w:jc w:val="left"/>
      </w:pPr>
      <w:r>
        <w:rPr>
          <w:spacing w:val="-2"/>
        </w:rPr>
        <w:t>精品流量，基于大数据分析技术进行实时信息处理，提供丰富的用户画像标签和精准定向，为广告主提供高效，快捷，受众</w:t>
      </w:r>
      <w:r>
        <w:rPr>
          <w:spacing w:val="-67"/>
        </w:rPr>
        <w:t> </w:t>
      </w:r>
      <w:r>
        <w:rPr>
          <w:spacing w:val="-67"/>
        </w:rPr>
      </w:r>
      <w:r>
        <w:rPr>
          <w:spacing w:val="-2"/>
        </w:rPr>
        <w:t>精准的一站式数字营销服务，形成更加智能的广告匹配和高效的广告资源利用，实现了</w:t>
      </w:r>
      <w:r>
        <w:rPr>
          <w:rFonts w:ascii="宋体" w:hAnsi="宋体" w:cs="宋体" w:eastAsia="宋体" w:hint="default"/>
          <w:spacing w:val="-2"/>
        </w:rPr>
        <w:t>RTB/PD</w:t>
      </w:r>
      <w:r>
        <w:rPr>
          <w:spacing w:val="-2"/>
        </w:rPr>
        <w:t>等交易方式，智能调整预算和</w:t>
      </w:r>
      <w:r>
        <w:rPr>
          <w:spacing w:val="-60"/>
        </w:rPr>
        <w:t> </w:t>
      </w:r>
      <w:r>
        <w:rPr>
          <w:spacing w:val="-60"/>
        </w:rPr>
      </w:r>
      <w:r>
        <w:rPr>
          <w:spacing w:val="-4"/>
        </w:rPr>
        <w:t>媒体间的适配，更好的服务于广告主。在供给端，媒体将其库存广告位放到交易平台上，平台根据媒体的需求管理其广告位。</w:t>
      </w:r>
      <w:r>
        <w:rPr>
          <w:spacing w:val="-46"/>
        </w:rPr>
        <w:t> </w:t>
      </w:r>
      <w:r>
        <w:rPr>
          <w:spacing w:val="-46"/>
        </w:rPr>
      </w:r>
      <w:r>
        <w:rPr>
          <w:spacing w:val="-2"/>
        </w:rPr>
        <w:t>目前，平台上有众多在线进行交易的广告位，分别来自各大门户网站、视频网站、电商网站、垂直类网站以及各类中小网站</w:t>
      </w:r>
      <w:r>
        <w:rPr>
          <w:spacing w:val="-66"/>
        </w:rPr>
        <w:t> </w:t>
      </w:r>
      <w:r>
        <w:rPr>
          <w:spacing w:val="-66"/>
        </w:rPr>
      </w:r>
      <w:r>
        <w:rPr/>
        <w:t>媒体的库存广告位，帮助媒体以更加高效的形式实现流量变现最大化。</w:t>
      </w:r>
    </w:p>
    <w:p>
      <w:pPr>
        <w:pStyle w:val="BodyText"/>
        <w:spacing w:line="316" w:lineRule="auto" w:before="19"/>
        <w:ind w:left="153" w:right="0" w:firstLine="360"/>
        <w:jc w:val="left"/>
      </w:pPr>
      <w:r>
        <w:rPr>
          <w:spacing w:val="-2"/>
        </w:rPr>
        <w:t>掌汇天下旗下的应用汇为国内最早的知名第三方安卓应用商店，</w:t>
      </w:r>
      <w:r>
        <w:rPr>
          <w:rFonts w:ascii="宋体" w:hAnsi="宋体" w:cs="宋体" w:eastAsia="宋体" w:hint="default"/>
          <w:spacing w:val="-2"/>
        </w:rPr>
        <w:t>2017</w:t>
      </w:r>
      <w:r>
        <w:rPr>
          <w:spacing w:val="-2"/>
        </w:rPr>
        <w:t>年应用汇获得了由中国互联网协会颁发的“优秀应</w:t>
      </w:r>
      <w:r>
        <w:rPr/>
        <w:t> </w:t>
      </w:r>
      <w:r>
        <w:rPr>
          <w:spacing w:val="-4"/>
        </w:rPr>
        <w:t>用商店”称号。应用汇是公司持续布局的自有流量媒体，通过开发者上传、爬虫搜索等方式，不断上架、更新手机软件产品，</w:t>
      </w:r>
      <w:r>
        <w:rPr>
          <w:spacing w:val="-44"/>
        </w:rPr>
        <w:t> </w:t>
      </w:r>
      <w:r>
        <w:rPr>
          <w:spacing w:val="-44"/>
        </w:rPr>
      </w:r>
      <w:r>
        <w:rPr>
          <w:spacing w:val="-2"/>
        </w:rPr>
        <w:t>从而为移动互联网用户提供优质、便利的应用服务。报告期内，应用汇聚合了大量移动互联网内规模级用户流量，逐渐演变</w:t>
      </w:r>
      <w:r>
        <w:rPr>
          <w:spacing w:val="-66"/>
        </w:rPr>
        <w:t> </w:t>
      </w:r>
      <w:r>
        <w:rPr>
          <w:spacing w:val="-66"/>
        </w:rPr>
      </w:r>
      <w:r>
        <w:rPr>
          <w:spacing w:val="-2"/>
        </w:rPr>
        <w:t>为国内移动互联网市场上知名的流量入口，应用汇手机客户端总独立用户数已逾</w:t>
      </w:r>
      <w:r>
        <w:rPr>
          <w:rFonts w:ascii="宋体" w:hAnsi="宋体" w:cs="宋体" w:eastAsia="宋体" w:hint="default"/>
          <w:spacing w:val="-2"/>
        </w:rPr>
        <w:t>5</w:t>
      </w:r>
      <w:r>
        <w:rPr>
          <w:spacing w:val="-2"/>
        </w:rPr>
        <w:t>亿，在具有粘性的规模级用户流量基础上，</w:t>
      </w:r>
      <w:r>
        <w:rPr>
          <w:spacing w:val="-62"/>
        </w:rPr>
        <w:t> </w:t>
      </w:r>
      <w:r>
        <w:rPr>
          <w:spacing w:val="-62"/>
        </w:rPr>
      </w:r>
      <w:r>
        <w:rPr/>
        <w:t>掌汇天下通过广告和游戏来实现商业变现。</w:t>
      </w:r>
    </w:p>
    <w:p>
      <w:pPr>
        <w:pStyle w:val="BodyText"/>
        <w:spacing w:line="316" w:lineRule="auto" w:before="19"/>
        <w:ind w:left="513" w:right="1123"/>
        <w:jc w:val="left"/>
      </w:pPr>
      <w:r>
        <w:rPr/>
        <w:t>（</w:t>
      </w:r>
      <w:r>
        <w:rPr>
          <w:rFonts w:ascii="宋体" w:hAnsi="宋体" w:cs="宋体" w:eastAsia="宋体" w:hint="default"/>
        </w:rPr>
        <w:t>3</w:t>
      </w:r>
      <w:r>
        <w:rPr/>
        <w:t>）深化与头部媒体和广告主的合作关系 公司是腾讯广点通、百度、阿里神马、</w:t>
      </w:r>
      <w:r>
        <w:rPr>
          <w:rFonts w:ascii="宋体" w:hAnsi="宋体" w:cs="宋体" w:eastAsia="宋体" w:hint="default"/>
        </w:rPr>
        <w:t>360</w:t>
      </w:r>
      <w:r>
        <w:rPr/>
        <w:t>和搜狗搜索的核心代理商，并取得了</w:t>
      </w:r>
      <w:r>
        <w:rPr>
          <w:rFonts w:ascii="宋体" w:hAnsi="宋体" w:cs="宋体" w:eastAsia="宋体" w:hint="default"/>
        </w:rPr>
        <w:t>VIVO</w:t>
      </w:r>
      <w:r>
        <w:rPr/>
        <w:t>、小米、一点资讯等硬核媒体厂商</w:t>
      </w:r>
    </w:p>
    <w:p>
      <w:pPr>
        <w:pStyle w:val="BodyText"/>
        <w:spacing w:line="316" w:lineRule="auto" w:before="19"/>
        <w:ind w:left="153" w:right="1033"/>
        <w:jc w:val="left"/>
      </w:pPr>
      <w:r>
        <w:rPr/>
        <w:t>的核心代理资质，为快消、家电、汽车、游戏和金融等行业的品牌广告主提供营销服务，服务的品牌包括联合利华、松下、 法拉利、东风日产、三七互娱、招商银行、太平洋保险等。</w:t>
      </w:r>
    </w:p>
    <w:p>
      <w:pPr>
        <w:pStyle w:val="BodyText"/>
        <w:spacing w:line="316" w:lineRule="auto" w:before="19"/>
        <w:ind w:left="153" w:right="1753" w:firstLine="360"/>
        <w:jc w:val="left"/>
      </w:pPr>
      <w:r>
        <w:rPr/>
        <w:t>公司获得了腾讯社交广告</w:t>
      </w:r>
      <w:r>
        <w:rPr>
          <w:rFonts w:ascii="宋体" w:hAnsi="宋体" w:cs="宋体" w:eastAsia="宋体" w:hint="default"/>
        </w:rPr>
        <w:t>2017</w:t>
      </w:r>
      <w:r>
        <w:rPr/>
        <w:t>年度</w:t>
      </w:r>
      <w:r>
        <w:rPr>
          <w:rFonts w:ascii="宋体" w:hAnsi="宋体" w:cs="宋体" w:eastAsia="宋体" w:hint="default"/>
        </w:rPr>
        <w:t>KA</w:t>
      </w:r>
      <w:r>
        <w:rPr/>
        <w:t>服务商最佳贡献奖、爱奇艺</w:t>
      </w:r>
      <w:r>
        <w:rPr>
          <w:rFonts w:ascii="宋体" w:hAnsi="宋体" w:cs="宋体" w:eastAsia="宋体" w:hint="default"/>
        </w:rPr>
        <w:t>2017</w:t>
      </w:r>
      <w:r>
        <w:rPr/>
        <w:t>内容贡献奖、爱奇艺</w:t>
      </w:r>
      <w:r>
        <w:rPr>
          <w:rFonts w:ascii="宋体" w:hAnsi="宋体" w:cs="宋体" w:eastAsia="宋体" w:hint="default"/>
        </w:rPr>
        <w:t>2017</w:t>
      </w:r>
      <w:r>
        <w:rPr/>
        <w:t>内容营销大奖、 </w:t>
      </w:r>
      <w:r>
        <w:rPr>
          <w:rFonts w:ascii="宋体" w:hAnsi="宋体" w:cs="宋体" w:eastAsia="宋体" w:hint="default"/>
        </w:rPr>
        <w:t>360MASTER2017</w:t>
      </w:r>
      <w:r>
        <w:rPr/>
        <w:t>营销大奖金奖等。</w:t>
      </w:r>
    </w:p>
    <w:p>
      <w:pPr>
        <w:pStyle w:val="BodyText"/>
        <w:spacing w:line="316" w:lineRule="auto" w:before="19"/>
        <w:ind w:left="514" w:right="0"/>
        <w:jc w:val="left"/>
        <w:rPr>
          <w:rFonts w:ascii="宋体" w:hAnsi="宋体" w:cs="宋体" w:eastAsia="宋体" w:hint="default"/>
        </w:rPr>
      </w:pPr>
      <w:r>
        <w:rPr/>
        <w:t>（</w:t>
      </w:r>
      <w:r>
        <w:rPr>
          <w:rFonts w:ascii="宋体" w:hAnsi="宋体" w:cs="宋体" w:eastAsia="宋体" w:hint="default"/>
        </w:rPr>
        <w:t>4</w:t>
      </w:r>
      <w:r>
        <w:rPr/>
        <w:t>）实现业绩稳定增长 </w:t>
      </w:r>
      <w:r>
        <w:rPr>
          <w:spacing w:val="-2"/>
        </w:rPr>
        <w:t>报告期内，公司实现营业总收入</w:t>
      </w:r>
      <w:r>
        <w:rPr>
          <w:rFonts w:ascii="宋体" w:hAnsi="宋体" w:cs="宋体" w:eastAsia="宋体" w:hint="default"/>
          <w:spacing w:val="-2"/>
        </w:rPr>
        <w:t>637,539.25</w:t>
      </w:r>
      <w:r>
        <w:rPr>
          <w:spacing w:val="-2"/>
        </w:rPr>
        <w:t>万元，相比上年同期增长</w:t>
      </w:r>
      <w:r>
        <w:rPr>
          <w:rFonts w:ascii="宋体" w:hAnsi="宋体" w:cs="宋体" w:eastAsia="宋体" w:hint="default"/>
          <w:spacing w:val="-2"/>
        </w:rPr>
        <w:t>169.69%</w:t>
      </w:r>
      <w:r>
        <w:rPr>
          <w:spacing w:val="-2"/>
        </w:rPr>
        <w:t>；实现归属上市公司股东净利润</w:t>
      </w:r>
      <w:r>
        <w:rPr>
          <w:rFonts w:ascii="宋体" w:hAnsi="宋体" w:cs="宋体" w:eastAsia="宋体" w:hint="default"/>
          <w:spacing w:val="-2"/>
        </w:rPr>
        <w:t>52,732.54</w:t>
      </w:r>
    </w:p>
    <w:p>
      <w:pPr>
        <w:pStyle w:val="BodyText"/>
        <w:spacing w:line="240" w:lineRule="auto" w:before="19"/>
        <w:ind w:left="153" w:right="0"/>
        <w:jc w:val="left"/>
      </w:pPr>
      <w:r>
        <w:rPr/>
        <w:t>万元，相比上年同期增长</w:t>
      </w:r>
      <w:r>
        <w:rPr>
          <w:rFonts w:ascii="宋体" w:hAnsi="宋体" w:cs="宋体" w:eastAsia="宋体" w:hint="default"/>
        </w:rPr>
        <w:t>66.82%</w:t>
      </w:r>
      <w:r>
        <w:rPr/>
        <w:t>；实现每股收益</w:t>
      </w:r>
      <w:r>
        <w:rPr>
          <w:rFonts w:ascii="宋体" w:hAnsi="宋体" w:cs="宋体" w:eastAsia="宋体" w:hint="default"/>
        </w:rPr>
        <w:t>0.5460</w:t>
      </w:r>
      <w:r>
        <w:rPr/>
        <w:t>元，相比上年同期增长了</w:t>
      </w:r>
      <w:r>
        <w:rPr>
          <w:rFonts w:ascii="宋体" w:hAnsi="宋体" w:cs="宋体" w:eastAsia="宋体" w:hint="default"/>
        </w:rPr>
        <w:t>19.95%</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left="153"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主要资产重大变化情况" w:id="19"/>
      <w:bookmarkEnd w:id="19"/>
      <w:r>
        <w:rPr>
          <w:b w:val="0"/>
          <w:bCs w:val="0"/>
        </w:rPr>
      </w:r>
      <w:r>
        <w:rPr>
          <w:rFonts w:ascii="宋体" w:hAnsi="宋体" w:cs="宋体" w:eastAsia="宋体" w:hint="default"/>
        </w:rPr>
        <w:t>1</w:t>
      </w:r>
      <w:r>
        <w:rPr/>
        <w:t>、主要资产重大变化情况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85"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3"/>
              <w:jc w:val="both"/>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日公司召开了第七届董事会第二十五次会议和第七届监事会第十九 </w:t>
            </w:r>
            <w:r>
              <w:rPr>
                <w:rFonts w:ascii="宋体" w:hAnsi="宋体" w:cs="宋体" w:eastAsia="宋体" w:hint="default"/>
                <w:spacing w:val="-2"/>
                <w:sz w:val="18"/>
                <w:szCs w:val="18"/>
              </w:rPr>
              <w:t>次会议，审议通过了《关于购买北京奇酷工场科技有限公司</w:t>
            </w:r>
            <w:r>
              <w:rPr>
                <w:rFonts w:ascii="宋体" w:hAnsi="宋体" w:cs="宋体" w:eastAsia="宋体" w:hint="default"/>
                <w:spacing w:val="-34"/>
                <w:sz w:val="18"/>
                <w:szCs w:val="18"/>
              </w:rPr>
              <w:t> </w:t>
            </w:r>
            <w:r>
              <w:rPr>
                <w:rFonts w:ascii="宋体" w:hAnsi="宋体" w:cs="宋体" w:eastAsia="宋体" w:hint="default"/>
                <w:spacing w:val="-10"/>
                <w:sz w:val="18"/>
                <w:szCs w:val="18"/>
              </w:rPr>
              <w:t>20%</w:t>
            </w:r>
            <w:r>
              <w:rPr>
                <w:rFonts w:ascii="宋体" w:hAnsi="宋体" w:cs="宋体" w:eastAsia="宋体" w:hint="default"/>
                <w:spacing w:val="-10"/>
                <w:sz w:val="18"/>
                <w:szCs w:val="18"/>
              </w:rPr>
              <w:t>股权的议案》，同意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公司子公司深圳市范特西科技有限公司使用自有资金人民币</w:t>
            </w:r>
            <w:r>
              <w:rPr>
                <w:rFonts w:ascii="宋体" w:hAnsi="宋体" w:cs="宋体" w:eastAsia="宋体" w:hint="default"/>
                <w:spacing w:val="-45"/>
                <w:sz w:val="18"/>
                <w:szCs w:val="18"/>
              </w:rPr>
              <w:t> </w:t>
            </w:r>
            <w:r>
              <w:rPr>
                <w:rFonts w:ascii="宋体" w:hAnsi="宋体" w:cs="宋体" w:eastAsia="宋体" w:hint="default"/>
                <w:sz w:val="18"/>
                <w:szCs w:val="18"/>
              </w:rPr>
              <w:t>7000</w:t>
            </w:r>
            <w:r>
              <w:rPr>
                <w:rFonts w:ascii="宋体" w:hAnsi="宋体" w:cs="宋体" w:eastAsia="宋体" w:hint="default"/>
                <w:spacing w:val="-46"/>
                <w:sz w:val="18"/>
                <w:szCs w:val="18"/>
              </w:rPr>
              <w:t> </w:t>
            </w:r>
            <w:r>
              <w:rPr>
                <w:rFonts w:ascii="宋体" w:hAnsi="宋体" w:cs="宋体" w:eastAsia="宋体" w:hint="default"/>
                <w:sz w:val="18"/>
                <w:szCs w:val="18"/>
              </w:rPr>
              <w:t>万元以现金方式</w:t>
            </w:r>
          </w:p>
          <w:p>
            <w:pPr>
              <w:pStyle w:val="TableParagraph"/>
              <w:spacing w:line="319" w:lineRule="auto" w:before="19"/>
              <w:ind w:left="16" w:right="19"/>
              <w:jc w:val="both"/>
              <w:rPr>
                <w:rFonts w:ascii="宋体" w:hAnsi="宋体" w:cs="宋体" w:eastAsia="宋体" w:hint="default"/>
                <w:sz w:val="18"/>
                <w:szCs w:val="18"/>
              </w:rPr>
            </w:pPr>
            <w:r>
              <w:rPr>
                <w:rFonts w:ascii="宋体" w:hAnsi="宋体" w:cs="宋体" w:eastAsia="宋体" w:hint="default"/>
                <w:sz w:val="18"/>
                <w:szCs w:val="18"/>
              </w:rPr>
              <w:t>购买北京奇酷工场科技有限公司</w:t>
            </w:r>
            <w:r>
              <w:rPr>
                <w:rFonts w:ascii="宋体" w:hAnsi="宋体" w:cs="宋体" w:eastAsia="宋体" w:hint="default"/>
                <w:spacing w:val="-46"/>
                <w:sz w:val="18"/>
                <w:szCs w:val="18"/>
              </w:rPr>
              <w:t> </w:t>
            </w:r>
            <w:r>
              <w:rPr>
                <w:rFonts w:ascii="宋体" w:hAnsi="宋体" w:cs="宋体" w:eastAsia="宋体" w:hint="default"/>
                <w:spacing w:val="-12"/>
                <w:sz w:val="18"/>
                <w:szCs w:val="18"/>
              </w:rPr>
              <w:t>20%</w:t>
            </w:r>
            <w:r>
              <w:rPr>
                <w:rFonts w:ascii="宋体" w:hAnsi="宋体" w:cs="宋体" w:eastAsia="宋体" w:hint="default"/>
                <w:spacing w:val="-12"/>
                <w:sz w:val="18"/>
                <w:szCs w:val="18"/>
              </w:rPr>
              <w:t>的股权。【详见公司于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日披露在 </w:t>
            </w:r>
            <w:r>
              <w:rPr>
                <w:rFonts w:ascii="宋体" w:hAnsi="宋体" w:cs="宋体" w:eastAsia="宋体" w:hint="default"/>
                <w:spacing w:val="-1"/>
                <w:sz w:val="18"/>
                <w:szCs w:val="18"/>
              </w:rPr>
              <w:t>巨潮资讯网（</w:t>
            </w:r>
            <w:hyperlink r:id="rId12">
              <w:r>
                <w:rPr>
                  <w:rFonts w:ascii="宋体" w:hAnsi="宋体" w:cs="宋体" w:eastAsia="宋体" w:hint="default"/>
                  <w:spacing w:val="-1"/>
                  <w:sz w:val="18"/>
                  <w:szCs w:val="18"/>
                </w:rPr>
                <w:t>http://www.cninfo.com.cn</w:t>
              </w:r>
            </w:hyperlink>
            <w:r>
              <w:rPr>
                <w:rFonts w:ascii="宋体" w:hAnsi="宋体" w:cs="宋体" w:eastAsia="宋体" w:hint="default"/>
                <w:spacing w:val="-1"/>
                <w:sz w:val="18"/>
                <w:szCs w:val="18"/>
              </w:rPr>
              <w:t>）上的《关于购买北京奇酷工场科技有限</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公司</w:t>
            </w:r>
            <w:r>
              <w:rPr>
                <w:rFonts w:ascii="宋体" w:hAnsi="宋体" w:cs="宋体" w:eastAsia="宋体" w:hint="default"/>
                <w:spacing w:val="-39"/>
                <w:sz w:val="18"/>
                <w:szCs w:val="18"/>
              </w:rPr>
              <w:t> </w:t>
            </w:r>
            <w:r>
              <w:rPr>
                <w:rFonts w:ascii="宋体" w:hAnsi="宋体" w:cs="宋体" w:eastAsia="宋体" w:hint="default"/>
                <w:spacing w:val="-17"/>
                <w:sz w:val="18"/>
                <w:szCs w:val="18"/>
              </w:rPr>
              <w:t>20%</w:t>
            </w:r>
            <w:r>
              <w:rPr>
                <w:rFonts w:ascii="宋体" w:hAnsi="宋体" w:cs="宋体" w:eastAsia="宋体" w:hint="default"/>
                <w:spacing w:val="-17"/>
                <w:sz w:val="18"/>
                <w:szCs w:val="18"/>
              </w:rPr>
              <w:t>股权的公告》】。</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785"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主要境外资产情况" w:id="20"/>
      <w:bookmarkEnd w:id="20"/>
      <w:r>
        <w:rPr>
          <w:b w:val="0"/>
          <w:bCs w:val="0"/>
        </w:rPr>
      </w:r>
      <w:r>
        <w:rPr>
          <w:rFonts w:ascii="宋体" w:hAnsi="宋体" w:cs="宋体" w:eastAsia="宋体" w:hint="default"/>
        </w:rPr>
        <w:t>2</w:t>
      </w:r>
      <w:r>
        <w:rPr/>
        <w:t>、主要境外资产情况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2"/>
        <w:gridCol w:w="1063"/>
        <w:gridCol w:w="1065"/>
        <w:gridCol w:w="1064"/>
        <w:gridCol w:w="1063"/>
        <w:gridCol w:w="1065"/>
        <w:gridCol w:w="1062"/>
        <w:gridCol w:w="1049"/>
      </w:tblGrid>
      <w:tr>
        <w:trPr>
          <w:trHeight w:val="71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6" w:right="76" w:hanging="270"/>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8"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76" w:right="74"/>
              <w:jc w:val="left"/>
              <w:rPr>
                <w:rFonts w:ascii="宋体" w:hAnsi="宋体" w:cs="宋体" w:eastAsia="宋体" w:hint="default"/>
                <w:sz w:val="18"/>
                <w:szCs w:val="18"/>
              </w:rPr>
            </w:pPr>
            <w:r>
              <w:rPr>
                <w:rFonts w:ascii="宋体" w:hAnsi="宋体" w:cs="宋体" w:eastAsia="宋体" w:hint="default"/>
                <w:sz w:val="18"/>
                <w:szCs w:val="18"/>
              </w:rPr>
              <w:t>保障资产安 全性的控制</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75" w:right="74"/>
              <w:jc w:val="left"/>
              <w:rPr>
                <w:rFonts w:ascii="宋体" w:hAnsi="宋体" w:cs="宋体" w:eastAsia="宋体" w:hint="default"/>
                <w:sz w:val="18"/>
                <w:szCs w:val="18"/>
              </w:rPr>
            </w:pPr>
            <w:r>
              <w:rPr>
                <w:rFonts w:ascii="宋体" w:hAnsi="宋体" w:cs="宋体" w:eastAsia="宋体" w:hint="default"/>
                <w:sz w:val="18"/>
                <w:szCs w:val="18"/>
              </w:rPr>
              <w:t>境外资产占 公司净资产</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62"/>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bl>
    <w:p>
      <w:pPr>
        <w:spacing w:after="0" w:line="316"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5"/>
        <w:gridCol w:w="1062"/>
        <w:gridCol w:w="1063"/>
        <w:gridCol w:w="1065"/>
        <w:gridCol w:w="1064"/>
        <w:gridCol w:w="1063"/>
        <w:gridCol w:w="1065"/>
        <w:gridCol w:w="1062"/>
        <w:gridCol w:w="1061"/>
      </w:tblGrid>
      <w:tr>
        <w:trPr>
          <w:trHeight w:val="362"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46" w:right="0"/>
              <w:jc w:val="left"/>
              <w:rPr>
                <w:rFonts w:ascii="宋体" w:hAnsi="宋体" w:cs="宋体" w:eastAsia="宋体" w:hint="default"/>
                <w:sz w:val="18"/>
                <w:szCs w:val="18"/>
              </w:rPr>
            </w:pPr>
            <w:r>
              <w:rPr>
                <w:rFonts w:ascii="宋体" w:hAnsi="宋体" w:cs="宋体" w:eastAsia="宋体" w:hint="default"/>
                <w:sz w:val="18"/>
                <w:szCs w:val="18"/>
              </w:rPr>
              <w:t>措施</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5" w:right="0"/>
              <w:jc w:val="left"/>
              <w:rPr>
                <w:rFonts w:ascii="宋体" w:hAnsi="宋体" w:cs="宋体" w:eastAsia="宋体" w:hint="default"/>
                <w:sz w:val="18"/>
                <w:szCs w:val="18"/>
              </w:rPr>
            </w:pPr>
            <w:r>
              <w:rPr>
                <w:rFonts w:ascii="宋体" w:hAnsi="宋体" w:cs="宋体" w:eastAsia="宋体" w:hint="default"/>
                <w:sz w:val="18"/>
                <w:szCs w:val="18"/>
              </w:rPr>
              <w:t>的比重</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50"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400"/>
              <w:jc w:val="left"/>
              <w:rPr>
                <w:rFonts w:ascii="宋体" w:hAnsi="宋体" w:cs="宋体" w:eastAsia="宋体" w:hint="default"/>
                <w:sz w:val="18"/>
                <w:szCs w:val="18"/>
              </w:rPr>
            </w:pPr>
            <w:r>
              <w:rPr>
                <w:rFonts w:ascii="宋体"/>
                <w:sz w:val="18"/>
              </w:rPr>
              <w:t>Spigot, Inc.</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股权收购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42,423.44</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3" w:right="129"/>
              <w:jc w:val="left"/>
              <w:rPr>
                <w:rFonts w:ascii="宋体" w:hAnsi="宋体" w:cs="宋体" w:eastAsia="宋体" w:hint="default"/>
                <w:sz w:val="18"/>
                <w:szCs w:val="18"/>
              </w:rPr>
            </w:pPr>
            <w:r>
              <w:rPr>
                <w:rFonts w:ascii="宋体" w:hAnsi="宋体" w:cs="宋体" w:eastAsia="宋体" w:hint="default"/>
                <w:sz w:val="18"/>
                <w:szCs w:val="18"/>
              </w:rPr>
              <w:t>美国内华达 州</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互联网软件 </w:t>
            </w:r>
            <w:r>
              <w:rPr>
                <w:rFonts w:ascii="宋体" w:hAnsi="宋体" w:cs="宋体" w:eastAsia="宋体" w:hint="default"/>
                <w:spacing w:val="-12"/>
                <w:sz w:val="18"/>
                <w:szCs w:val="18"/>
              </w:rPr>
              <w:t>开发、应用和</w:t>
            </w:r>
            <w:r>
              <w:rPr>
                <w:rFonts w:ascii="宋体" w:hAnsi="宋体" w:cs="宋体" w:eastAsia="宋体" w:hint="default"/>
                <w:sz w:val="18"/>
                <w:szCs w:val="18"/>
              </w:rPr>
              <w:t> </w:t>
            </w:r>
            <w:r>
              <w:rPr>
                <w:rFonts w:ascii="宋体" w:hAnsi="宋体" w:cs="宋体" w:eastAsia="宋体" w:hint="default"/>
                <w:spacing w:val="-12"/>
                <w:sz w:val="18"/>
                <w:szCs w:val="18"/>
              </w:rPr>
              <w:t>分发，用户流</w:t>
            </w:r>
            <w:r>
              <w:rPr>
                <w:rFonts w:ascii="宋体" w:hAnsi="宋体" w:cs="宋体" w:eastAsia="宋体" w:hint="default"/>
                <w:sz w:val="18"/>
                <w:szCs w:val="18"/>
              </w:rPr>
              <w:t> 量收益转换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安排治理架 </w:t>
            </w:r>
            <w:r>
              <w:rPr>
                <w:rFonts w:ascii="宋体" w:hAnsi="宋体" w:cs="宋体" w:eastAsia="宋体" w:hint="default"/>
                <w:spacing w:val="-12"/>
                <w:sz w:val="18"/>
                <w:szCs w:val="18"/>
              </w:rPr>
              <w:t>构，业务、资</w:t>
            </w:r>
            <w:r>
              <w:rPr>
                <w:rFonts w:ascii="宋体" w:hAnsi="宋体" w:cs="宋体" w:eastAsia="宋体" w:hint="default"/>
                <w:sz w:val="18"/>
                <w:szCs w:val="18"/>
              </w:rPr>
              <w:t> </w:t>
            </w:r>
            <w:r>
              <w:rPr>
                <w:rFonts w:ascii="宋体" w:hAnsi="宋体" w:cs="宋体" w:eastAsia="宋体" w:hint="default"/>
                <w:spacing w:val="-12"/>
                <w:sz w:val="18"/>
                <w:szCs w:val="18"/>
              </w:rPr>
              <w:t>产、财务、人</w:t>
            </w:r>
            <w:r>
              <w:rPr>
                <w:rFonts w:ascii="宋体" w:hAnsi="宋体" w:cs="宋体" w:eastAsia="宋体" w:hint="default"/>
                <w:sz w:val="18"/>
                <w:szCs w:val="18"/>
              </w:rPr>
              <w:t> </w:t>
            </w:r>
            <w:r>
              <w:rPr>
                <w:rFonts w:ascii="宋体" w:hAnsi="宋体" w:cs="宋体" w:eastAsia="宋体" w:hint="default"/>
                <w:spacing w:val="-12"/>
                <w:sz w:val="18"/>
                <w:szCs w:val="18"/>
              </w:rPr>
              <w:t>员、机构全面</w:t>
            </w:r>
            <w:r>
              <w:rPr>
                <w:rFonts w:ascii="宋体" w:hAnsi="宋体" w:cs="宋体" w:eastAsia="宋体" w:hint="default"/>
                <w:sz w:val="18"/>
                <w:szCs w:val="18"/>
              </w:rPr>
              <w:t> 整合</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-5,617.24</w:t>
            </w:r>
          </w:p>
          <w:p>
            <w:pPr>
              <w:pStyle w:val="TableParagraph"/>
              <w:spacing w:line="240" w:lineRule="auto" w:before="78"/>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8.40%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0"/>
              <w:jc w:val="left"/>
              <w:rPr>
                <w:rFonts w:ascii="宋体" w:hAnsi="宋体" w:cs="宋体" w:eastAsia="宋体" w:hint="default"/>
                <w:sz w:val="18"/>
                <w:szCs w:val="18"/>
              </w:rPr>
            </w:pPr>
            <w:r>
              <w:rPr>
                <w:rFonts w:ascii="宋体"/>
                <w:sz w:val="18"/>
              </w:rPr>
              <w:t>Polarity Technologie s Limited</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sz w:val="18"/>
              </w:rPr>
              <w:t>55,891.05</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28"/>
              <w:jc w:val="left"/>
              <w:rPr>
                <w:rFonts w:ascii="宋体" w:hAnsi="宋体" w:cs="宋体" w:eastAsia="宋体" w:hint="default"/>
                <w:sz w:val="18"/>
                <w:szCs w:val="18"/>
              </w:rPr>
            </w:pPr>
            <w:r>
              <w:rPr>
                <w:rFonts w:ascii="宋体" w:hAnsi="宋体" w:cs="宋体" w:eastAsia="宋体" w:hint="default"/>
                <w:sz w:val="18"/>
                <w:szCs w:val="18"/>
              </w:rPr>
              <w:t>塞浦路斯共 和国</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互联网软件 </w:t>
            </w:r>
            <w:r>
              <w:rPr>
                <w:rFonts w:ascii="宋体" w:hAnsi="宋体" w:cs="宋体" w:eastAsia="宋体" w:hint="default"/>
                <w:spacing w:val="-12"/>
                <w:sz w:val="18"/>
                <w:szCs w:val="18"/>
              </w:rPr>
              <w:t>开发、应用和</w:t>
            </w:r>
            <w:r>
              <w:rPr>
                <w:rFonts w:ascii="宋体" w:hAnsi="宋体" w:cs="宋体" w:eastAsia="宋体" w:hint="default"/>
                <w:sz w:val="18"/>
                <w:szCs w:val="18"/>
              </w:rPr>
              <w:t> </w:t>
            </w:r>
            <w:r>
              <w:rPr>
                <w:rFonts w:ascii="宋体" w:hAnsi="宋体" w:cs="宋体" w:eastAsia="宋体" w:hint="default"/>
                <w:spacing w:val="-12"/>
                <w:sz w:val="18"/>
                <w:szCs w:val="18"/>
              </w:rPr>
              <w:t>分发，用户流</w:t>
            </w:r>
            <w:r>
              <w:rPr>
                <w:rFonts w:ascii="宋体" w:hAnsi="宋体" w:cs="宋体" w:eastAsia="宋体" w:hint="default"/>
                <w:sz w:val="18"/>
                <w:szCs w:val="18"/>
              </w:rPr>
              <w:t> 量收益转换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8"/>
              <w:jc w:val="left"/>
              <w:rPr>
                <w:rFonts w:ascii="宋体" w:hAnsi="宋体" w:cs="宋体" w:eastAsia="宋体" w:hint="default"/>
                <w:sz w:val="18"/>
                <w:szCs w:val="18"/>
              </w:rPr>
            </w:pPr>
            <w:r>
              <w:rPr>
                <w:rFonts w:ascii="宋体" w:hAnsi="宋体" w:cs="宋体" w:eastAsia="宋体" w:hint="default"/>
                <w:sz w:val="18"/>
                <w:szCs w:val="18"/>
              </w:rPr>
              <w:t>设立公司全 面管控</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5,368.91</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11.06%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0"/>
              <w:jc w:val="left"/>
              <w:rPr>
                <w:rFonts w:ascii="宋体" w:hAnsi="宋体" w:cs="宋体" w:eastAsia="宋体" w:hint="default"/>
                <w:sz w:val="18"/>
                <w:szCs w:val="18"/>
              </w:rPr>
            </w:pPr>
            <w:r>
              <w:rPr>
                <w:rFonts w:ascii="宋体"/>
                <w:sz w:val="18"/>
              </w:rPr>
              <w:t>Eightpoint Technologie s Limited</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sz w:val="18"/>
              </w:rPr>
              <w:t>54,266.24</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互联网软件 </w:t>
            </w:r>
            <w:r>
              <w:rPr>
                <w:rFonts w:ascii="宋体" w:hAnsi="宋体" w:cs="宋体" w:eastAsia="宋体" w:hint="default"/>
                <w:spacing w:val="-12"/>
                <w:sz w:val="18"/>
                <w:szCs w:val="18"/>
              </w:rPr>
              <w:t>开发、应用和</w:t>
            </w:r>
            <w:r>
              <w:rPr>
                <w:rFonts w:ascii="宋体" w:hAnsi="宋体" w:cs="宋体" w:eastAsia="宋体" w:hint="default"/>
                <w:sz w:val="18"/>
                <w:szCs w:val="18"/>
              </w:rPr>
              <w:t> </w:t>
            </w:r>
            <w:r>
              <w:rPr>
                <w:rFonts w:ascii="宋体" w:hAnsi="宋体" w:cs="宋体" w:eastAsia="宋体" w:hint="default"/>
                <w:spacing w:val="-12"/>
                <w:sz w:val="18"/>
                <w:szCs w:val="18"/>
              </w:rPr>
              <w:t>分发，用户流</w:t>
            </w:r>
            <w:r>
              <w:rPr>
                <w:rFonts w:ascii="宋体" w:hAnsi="宋体" w:cs="宋体" w:eastAsia="宋体" w:hint="default"/>
                <w:sz w:val="18"/>
                <w:szCs w:val="18"/>
              </w:rPr>
              <w:t> 量收益转换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8"/>
              <w:jc w:val="left"/>
              <w:rPr>
                <w:rFonts w:ascii="宋体" w:hAnsi="宋体" w:cs="宋体" w:eastAsia="宋体" w:hint="default"/>
                <w:sz w:val="18"/>
                <w:szCs w:val="18"/>
              </w:rPr>
            </w:pPr>
            <w:r>
              <w:rPr>
                <w:rFonts w:ascii="宋体" w:hAnsi="宋体" w:cs="宋体" w:eastAsia="宋体" w:hint="default"/>
                <w:sz w:val="18"/>
                <w:szCs w:val="18"/>
              </w:rPr>
              <w:t>设立公司全 面管控</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sz w:val="18"/>
              </w:rPr>
              <w:t>30,057.63</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10.74%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12"/>
                <w:sz w:val="18"/>
                <w:szCs w:val="18"/>
              </w:rPr>
              <w:t>智度投资（香</w:t>
            </w:r>
            <w:r>
              <w:rPr>
                <w:rFonts w:ascii="宋体" w:hAnsi="宋体" w:cs="宋体" w:eastAsia="宋体" w:hint="default"/>
                <w:sz w:val="18"/>
                <w:szCs w:val="18"/>
              </w:rPr>
              <w:t> </w:t>
            </w:r>
            <w:r>
              <w:rPr>
                <w:rFonts w:ascii="宋体" w:hAnsi="宋体" w:cs="宋体" w:eastAsia="宋体" w:hint="default"/>
                <w:spacing w:val="-12"/>
                <w:sz w:val="18"/>
                <w:szCs w:val="18"/>
              </w:rPr>
              <w:t>港）有限公司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sz w:val="18"/>
              </w:rPr>
              <w:t>111,733.20</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投资与资产 管理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设立公司全 面管控</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2,299.23</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22.11%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53" w:right="7693"/>
        <w:jc w:val="left"/>
      </w:pPr>
      <w:r>
        <w:rPr/>
        <w:t>公司是否需要遵守特殊行业的披露要求 否</w:t>
      </w:r>
    </w:p>
    <w:p>
      <w:pPr>
        <w:pStyle w:val="BodyText"/>
        <w:spacing w:line="360" w:lineRule="auto" w:before="28"/>
        <w:ind w:left="514" w:right="0"/>
        <w:jc w:val="left"/>
      </w:pPr>
      <w:r>
        <w:rPr>
          <w:rFonts w:ascii="宋体" w:hAnsi="宋体" w:cs="宋体" w:eastAsia="宋体" w:hint="default"/>
        </w:rPr>
        <w:t>1. </w:t>
      </w:r>
      <w:r>
        <w:rPr/>
        <w:t>全球化发展模式 </w:t>
      </w:r>
      <w:r>
        <w:rPr>
          <w:spacing w:val="-2"/>
        </w:rPr>
        <w:t>公司积极推进国际化业务、坚持全球化战略。</w:t>
      </w:r>
      <w:r>
        <w:rPr>
          <w:rFonts w:ascii="宋体" w:hAnsi="宋体" w:cs="宋体" w:eastAsia="宋体" w:hint="default"/>
          <w:spacing w:val="-2"/>
        </w:rPr>
        <w:t>Spigot</w:t>
      </w:r>
      <w:r>
        <w:rPr>
          <w:spacing w:val="-2"/>
        </w:rPr>
        <w:t>为境外业务发展的核心平台，是雅虎的重要流量供应商，</w:t>
      </w:r>
      <w:r>
        <w:rPr>
          <w:rFonts w:ascii="宋体" w:hAnsi="宋体" w:cs="宋体" w:eastAsia="宋体" w:hint="default"/>
          <w:spacing w:val="-2"/>
        </w:rPr>
        <w:t>2017</w:t>
      </w:r>
      <w:r>
        <w:rPr>
          <w:spacing w:val="-2"/>
        </w:rPr>
        <w:t>年与</w:t>
      </w:r>
    </w:p>
    <w:p>
      <w:pPr>
        <w:pStyle w:val="BodyText"/>
        <w:spacing w:line="221" w:lineRule="exact"/>
        <w:ind w:left="153" w:right="0"/>
        <w:jc w:val="left"/>
      </w:pPr>
      <w:r>
        <w:rPr>
          <w:rFonts w:ascii="宋体" w:hAnsi="宋体" w:cs="宋体" w:eastAsia="宋体" w:hint="default"/>
        </w:rPr>
        <w:t>Google</w:t>
      </w:r>
      <w:r>
        <w:rPr/>
        <w:t>开展直接合作。</w:t>
      </w:r>
      <w:r>
        <w:rPr>
          <w:rFonts w:ascii="宋体" w:hAnsi="宋体" w:cs="宋体" w:eastAsia="宋体" w:hint="default"/>
        </w:rPr>
        <w:t>2017</w:t>
      </w:r>
      <w:r>
        <w:rPr/>
        <w:t>年，</w:t>
      </w:r>
      <w:r>
        <w:rPr>
          <w:rFonts w:ascii="宋体" w:hAnsi="宋体" w:cs="宋体" w:eastAsia="宋体" w:hint="default"/>
        </w:rPr>
        <w:t>Spigot</w:t>
      </w:r>
      <w:r>
        <w:rPr/>
        <w:t>单日收入创新高，超过</w:t>
      </w:r>
      <w:r>
        <w:rPr>
          <w:rFonts w:ascii="宋体" w:hAnsi="宋体" w:cs="宋体" w:eastAsia="宋体" w:hint="default"/>
        </w:rPr>
        <w:t>100</w:t>
      </w:r>
      <w:r>
        <w:rPr/>
        <w:t>万美元，全年实现营业收入</w:t>
      </w:r>
      <w:r>
        <w:rPr>
          <w:rFonts w:ascii="宋体" w:hAnsi="宋体" w:cs="宋体" w:eastAsia="宋体" w:hint="default"/>
        </w:rPr>
        <w:t>16,527.97</w:t>
      </w:r>
      <w:r>
        <w:rPr/>
        <w:t>万美元，占公司营业</w:t>
      </w:r>
    </w:p>
    <w:p>
      <w:pPr>
        <w:pStyle w:val="BodyText"/>
        <w:spacing w:line="319" w:lineRule="auto" w:before="76"/>
        <w:ind w:left="153" w:right="1132"/>
        <w:jc w:val="both"/>
      </w:pPr>
      <w:r>
        <w:rPr/>
        <w:t>总收入的</w:t>
      </w:r>
      <w:r>
        <w:rPr>
          <w:rFonts w:ascii="宋体" w:hAnsi="宋体" w:cs="宋体" w:eastAsia="宋体" w:hint="default"/>
        </w:rPr>
        <w:t>17.52%</w:t>
      </w:r>
      <w:r>
        <w:rPr/>
        <w:t>，与去年同期相比增长</w:t>
      </w:r>
      <w:r>
        <w:rPr>
          <w:rFonts w:ascii="宋体" w:hAnsi="宋体" w:cs="宋体" w:eastAsia="宋体" w:hint="default"/>
        </w:rPr>
        <w:t>305.15%</w:t>
      </w:r>
      <w:r>
        <w:rPr/>
        <w:t>；实现营业利润</w:t>
      </w:r>
      <w:r>
        <w:rPr>
          <w:rFonts w:ascii="宋体" w:hAnsi="宋体" w:cs="宋体" w:eastAsia="宋体" w:hint="default"/>
        </w:rPr>
        <w:t>4,276.09</w:t>
      </w:r>
      <w:r>
        <w:rPr/>
        <w:t>万美元，占公司整体营业利润的</w:t>
      </w:r>
      <w:r>
        <w:rPr>
          <w:rFonts w:ascii="宋体" w:hAnsi="宋体" w:cs="宋体" w:eastAsia="宋体" w:hint="default"/>
        </w:rPr>
        <w:t>52.61%</w:t>
      </w:r>
      <w:r>
        <w:rPr/>
        <w:t>，与去年同 </w:t>
      </w:r>
      <w:r>
        <w:rPr>
          <w:spacing w:val="-2"/>
        </w:rPr>
        <w:t>期相比增长</w:t>
      </w:r>
      <w:r>
        <w:rPr>
          <w:rFonts w:ascii="宋体" w:hAnsi="宋体" w:cs="宋体" w:eastAsia="宋体" w:hint="default"/>
          <w:spacing w:val="-2"/>
        </w:rPr>
        <w:t>85.22%</w:t>
      </w:r>
      <w:r>
        <w:rPr>
          <w:spacing w:val="-2"/>
        </w:rPr>
        <w:t>。此外，公司旗下全资公司范特西投资参股北京奇酷工场科技有限公司，借助其海外优势研发和发行新的</w:t>
      </w:r>
      <w:r>
        <w:rPr>
          <w:spacing w:val="-60"/>
        </w:rPr>
        <w:t> </w:t>
      </w:r>
      <w:r>
        <w:rPr>
          <w:spacing w:val="-60"/>
        </w:rPr>
      </w:r>
      <w:r>
        <w:rPr/>
        <w:t>游戏，以细分产品的属性为切入点，开拓新的市场。</w:t>
      </w:r>
    </w:p>
    <w:p>
      <w:pPr>
        <w:pStyle w:val="BodyText"/>
        <w:spacing w:line="357" w:lineRule="auto" w:before="56"/>
        <w:ind w:left="513" w:right="1118"/>
        <w:jc w:val="left"/>
      </w:pPr>
      <w:r>
        <w:rPr>
          <w:rFonts w:ascii="宋体" w:hAnsi="宋体" w:cs="宋体" w:eastAsia="宋体" w:hint="default"/>
        </w:rPr>
        <w:t>2. </w:t>
      </w:r>
      <w:r>
        <w:rPr/>
        <w:t>智能化技术 </w:t>
      </w:r>
      <w:r>
        <w:rPr>
          <w:spacing w:val="-2"/>
        </w:rPr>
        <w:t>公司具备健全的知识产权管理体系和研发管理制度，重视技术创新，公司通过将算法、大数据技术和媒体优化经验、出</w:t>
      </w:r>
    </w:p>
    <w:p>
      <w:pPr>
        <w:pStyle w:val="BodyText"/>
        <w:spacing w:line="224" w:lineRule="exact"/>
        <w:ind w:left="153" w:right="0"/>
        <w:jc w:val="left"/>
      </w:pPr>
      <w:r>
        <w:rPr/>
        <w:t>众的分析能力相结合，不断研究并逐步运用到业务中，通过已承载数据优势，提升服务效率和质量，降低运营成本，打造差</w:t>
      </w:r>
    </w:p>
    <w:p>
      <w:pPr>
        <w:pStyle w:val="BodyText"/>
        <w:spacing w:line="319" w:lineRule="auto" w:before="76"/>
        <w:ind w:right="1118"/>
        <w:jc w:val="left"/>
      </w:pPr>
      <w:r>
        <w:rPr>
          <w:spacing w:val="-2"/>
        </w:rPr>
        <w:t>异化竞争优势，使得从底层流量入口—流量经营平台—商业变现渠道的移动互联网流量聚合和经营的产业链协同效应更加明</w:t>
      </w:r>
      <w:r>
        <w:rPr>
          <w:spacing w:val="-65"/>
        </w:rPr>
        <w:t> </w:t>
      </w:r>
      <w:r>
        <w:rPr>
          <w:spacing w:val="-65"/>
        </w:rPr>
      </w:r>
      <w:r>
        <w:rPr/>
        <w:t>显。</w:t>
      </w:r>
    </w:p>
    <w:p>
      <w:pPr>
        <w:pStyle w:val="BodyText"/>
        <w:spacing w:line="316" w:lineRule="auto" w:before="55"/>
        <w:ind w:left="514" w:right="1122"/>
        <w:jc w:val="left"/>
      </w:pPr>
      <w:r>
        <w:rPr>
          <w:rFonts w:ascii="宋体" w:hAnsi="宋体" w:cs="宋体" w:eastAsia="宋体" w:hint="default"/>
        </w:rPr>
        <w:t>3. </w:t>
      </w:r>
      <w:r>
        <w:rPr/>
        <w:t>专业化和国际化人才 本报告期内，公司本科及以上学历的员工占</w:t>
      </w:r>
      <w:r>
        <w:rPr>
          <w:rFonts w:ascii="宋体" w:hAnsi="宋体" w:cs="宋体" w:eastAsia="宋体" w:hint="default"/>
        </w:rPr>
        <w:t>70%</w:t>
      </w:r>
      <w:r>
        <w:rPr/>
        <w:t>以上，且引入了较多的海外互联网行业相关人才，对全球互联网市场有</w:t>
      </w:r>
    </w:p>
    <w:p>
      <w:pPr>
        <w:pStyle w:val="BodyText"/>
        <w:spacing w:line="316" w:lineRule="auto" w:before="19"/>
        <w:ind w:right="0"/>
        <w:jc w:val="left"/>
      </w:pPr>
      <w:r>
        <w:rPr>
          <w:spacing w:val="-4"/>
        </w:rPr>
        <w:t>深入的了解和研究。公司管理团队有着丰富的行业经验，对行业有着深刻理解，在移动互联网行业趋势判断、资源整合运营、</w:t>
      </w:r>
      <w:r>
        <w:rPr>
          <w:spacing w:val="-46"/>
        </w:rPr>
        <w:t> </w:t>
      </w:r>
      <w:r>
        <w:rPr>
          <w:spacing w:val="-46"/>
        </w:rPr>
      </w:r>
      <w:r>
        <w:rPr>
          <w:spacing w:val="-2"/>
        </w:rPr>
        <w:t>流量变现、广告商务合作等领域积累了丰富的经验并形成了自己的方法论。公司的核心人员均具有多年的行业工作经验，曾</w:t>
      </w:r>
      <w:r>
        <w:rPr>
          <w:spacing w:val="-66"/>
        </w:rPr>
        <w:t> </w:t>
      </w:r>
      <w:r>
        <w:rPr>
          <w:spacing w:val="-66"/>
        </w:rPr>
      </w:r>
      <w:r>
        <w:rPr/>
        <w:t>就职于百度、腾讯、阿里、好耶等知名企业，对行业发展及竞争情况把握精准，对商业机会和市场态势分析敏锐。</w:t>
      </w:r>
    </w:p>
    <w:p>
      <w:pPr>
        <w:pStyle w:val="BodyText"/>
        <w:spacing w:line="316" w:lineRule="auto" w:before="19"/>
        <w:ind w:left="153" w:right="0" w:firstLine="360"/>
        <w:jc w:val="left"/>
      </w:pPr>
      <w:r>
        <w:rPr>
          <w:spacing w:val="-2"/>
        </w:rPr>
        <w:t>公司内部不断完善优秀人才培育体系，通过入职及内外部在职培训等多阶段分层次定向培养机制，增强员工的专业能力</w:t>
      </w:r>
      <w:r>
        <w:rPr/>
        <w:t> 及专业服务精神，提高员工对公司的认可度和忠诚度。</w:t>
      </w:r>
    </w:p>
    <w:p>
      <w:pPr>
        <w:pStyle w:val="BodyText"/>
        <w:spacing w:line="316" w:lineRule="auto" w:before="19"/>
        <w:ind w:left="514" w:right="0"/>
        <w:jc w:val="left"/>
      </w:pPr>
      <w:r>
        <w:rPr>
          <w:rFonts w:ascii="宋体" w:hAnsi="宋体" w:cs="宋体" w:eastAsia="宋体" w:hint="default"/>
        </w:rPr>
        <w:t>4. </w:t>
      </w:r>
      <w:r>
        <w:rPr/>
        <w:t>优质的品牌合作伙伴 </w:t>
      </w:r>
      <w:r>
        <w:rPr>
          <w:spacing w:val="-2"/>
        </w:rPr>
        <w:t>经过多年的发展与合作，公司形成了极具竞争力的互联网流量经营平台，媒体拓展能力不断加强，与国内外知名媒体均</w:t>
      </w:r>
    </w:p>
    <w:p>
      <w:pPr>
        <w:spacing w:after="0" w:line="316" w:lineRule="auto"/>
        <w:jc w:val="left"/>
        <w:sectPr>
          <w:pgSz w:w="11910" w:h="16840"/>
          <w:pgMar w:header="747" w:footer="1187" w:top="1060" w:bottom="138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3" w:right="1033"/>
        <w:jc w:val="left"/>
      </w:pPr>
      <w:r>
        <w:rPr/>
        <w:t>有良好的合作关系，如：百度、腾讯、阿里、</w:t>
      </w:r>
      <w:r>
        <w:rPr>
          <w:rFonts w:ascii="宋体" w:hAnsi="宋体" w:cs="宋体" w:eastAsia="宋体" w:hint="default"/>
        </w:rPr>
        <w:t>360</w:t>
      </w:r>
      <w:r>
        <w:rPr/>
        <w:t>、搜狗、爱奇艺、华为、小米、</w:t>
      </w:r>
      <w:r>
        <w:rPr>
          <w:rFonts w:ascii="宋体" w:hAnsi="宋体" w:cs="宋体" w:eastAsia="宋体" w:hint="default"/>
        </w:rPr>
        <w:t>VIVO</w:t>
      </w:r>
      <w:r>
        <w:rPr/>
        <w:t>、</w:t>
      </w:r>
      <w:r>
        <w:rPr>
          <w:rFonts w:ascii="宋体" w:hAnsi="宋体" w:cs="宋体" w:eastAsia="宋体" w:hint="default"/>
        </w:rPr>
        <w:t>OPPO</w:t>
      </w:r>
      <w:r>
        <w:rPr>
          <w:rFonts w:ascii="宋体" w:hAnsi="宋体" w:cs="宋体" w:eastAsia="宋体" w:hint="default"/>
          <w:spacing w:val="-42"/>
        </w:rPr>
        <w:t> </w:t>
      </w:r>
      <w:r>
        <w:rPr/>
        <w:t>、雅虎、谷歌等。公司依托其 技术优势，将产品和服务相结合、内容和创意相融合，为广告主提供定制化、整合的营销服务，增强原有客户粘性的同时， 吸引大批品牌广告主，例如：松下、联合利华、太平鸟、红星美凯龙、雅培。</w:t>
      </w:r>
    </w:p>
    <w:p>
      <w:pPr>
        <w:pStyle w:val="BodyText"/>
        <w:spacing w:line="319" w:lineRule="auto" w:before="19"/>
        <w:ind w:left="153" w:right="1133" w:firstLine="360"/>
        <w:jc w:val="both"/>
      </w:pPr>
      <w:r>
        <w:rPr>
          <w:spacing w:val="-2"/>
        </w:rPr>
        <w:t>报告期内，公司合作的品牌覆盖互联网、游戏、汽车、快消以及金融等多行业，合作客户多来自于各行业的领先品牌及</w:t>
      </w:r>
      <w:r>
        <w:rPr/>
        <w:t> 世界</w:t>
      </w:r>
      <w:r>
        <w:rPr>
          <w:rFonts w:ascii="宋体" w:hAnsi="宋体" w:cs="宋体" w:eastAsia="宋体" w:hint="default"/>
        </w:rPr>
        <w:t>500</w:t>
      </w:r>
      <w:r>
        <w:rPr/>
        <w:t>强企业。随着公司业务的稳步发展和快速升级，公司将继续扩大并深度发掘客户需求，以增强公司竞争力，实现业 绩持续增长。</w:t>
      </w:r>
    </w:p>
    <w:p>
      <w:pPr>
        <w:spacing w:after="0" w:line="319" w:lineRule="auto"/>
        <w:jc w:val="both"/>
        <w:sectPr>
          <w:pgSz w:w="11910" w:h="16840"/>
          <w:pgMar w:header="747" w:footer="1187" w:top="106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0"/>
        <w:jc w:val="left"/>
        <w:rPr>
          <w:b w:val="0"/>
          <w:bCs w:val="0"/>
        </w:rPr>
      </w:pPr>
      <w:bookmarkStart w:name="第四节 经营情况讨论与分析" w:id="22"/>
      <w:bookmarkEnd w:id="22"/>
      <w:r>
        <w:rPr>
          <w:b w:val="0"/>
          <w:bCs w:val="0"/>
        </w:rPr>
      </w:r>
      <w:bookmarkStart w:name="_bookmark2"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3" w:right="0"/>
        <w:jc w:val="both"/>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0" w:firstLine="360"/>
        <w:jc w:val="left"/>
      </w:pPr>
      <w:r>
        <w:rPr>
          <w:spacing w:val="-2"/>
        </w:rPr>
        <w:t>公司是一家以互联网媒体业务和数字营销业务为主的互联网企业。报告期内，互联网媒体和数字营销两大核心业务板块</w:t>
      </w:r>
      <w:r>
        <w:rPr/>
        <w:t> 协同发展，盈利能力进一步提升。</w:t>
      </w:r>
    </w:p>
    <w:p>
      <w:pPr>
        <w:pStyle w:val="BodyText"/>
        <w:spacing w:line="316" w:lineRule="auto" w:before="19"/>
        <w:ind w:left="153" w:right="1123" w:firstLine="360"/>
        <w:jc w:val="left"/>
      </w:pPr>
      <w:r>
        <w:rPr/>
        <w:t>在公司董事会和管理层的领导和全体员工的共同努力下，公司</w:t>
      </w:r>
      <w:r>
        <w:rPr>
          <w:rFonts w:ascii="宋体" w:hAnsi="宋体" w:cs="宋体" w:eastAsia="宋体" w:hint="default"/>
        </w:rPr>
        <w:t>2017</w:t>
      </w:r>
      <w:r>
        <w:rPr/>
        <w:t>年实现营业总收入</w:t>
      </w:r>
      <w:r>
        <w:rPr>
          <w:rFonts w:ascii="宋体" w:hAnsi="宋体" w:cs="宋体" w:eastAsia="宋体" w:hint="default"/>
        </w:rPr>
        <w:t>637,539.25</w:t>
      </w:r>
      <w:r>
        <w:rPr/>
        <w:t>万元，实现利润总额 </w:t>
      </w:r>
      <w:r>
        <w:rPr>
          <w:rFonts w:ascii="宋体" w:hAnsi="宋体" w:cs="宋体" w:eastAsia="宋体" w:hint="default"/>
        </w:rPr>
        <w:t>54,908.57</w:t>
      </w:r>
      <w:r>
        <w:rPr/>
        <w:t>万元。公司管理层紧密围绕董事会的战略安排，结合公司实际经营计划，全面推进各项经营管理工作，积极优化 公司资源配置，提升公司核心竞争力、盈利能力和综合实力。报告期内，公司总体经营情况如下：</w:t>
      </w:r>
    </w:p>
    <w:p>
      <w:pPr>
        <w:pStyle w:val="BodyText"/>
        <w:spacing w:line="316" w:lineRule="auto" w:before="19"/>
        <w:ind w:left="514" w:right="8322"/>
        <w:jc w:val="left"/>
      </w:pPr>
      <w:r>
        <w:rPr/>
        <w:t>（一） 主营业务发展良好 </w:t>
      </w:r>
      <w:r>
        <w:rPr>
          <w:rFonts w:ascii="宋体" w:hAnsi="宋体" w:cs="宋体" w:eastAsia="宋体" w:hint="default"/>
        </w:rPr>
        <w:t>1</w:t>
      </w:r>
      <w:r>
        <w:rPr/>
        <w:t>、互联网媒体业务</w:t>
      </w:r>
    </w:p>
    <w:p>
      <w:pPr>
        <w:pStyle w:val="BodyText"/>
        <w:spacing w:line="316" w:lineRule="auto" w:before="19"/>
        <w:ind w:left="153" w:right="1049" w:firstLine="360"/>
        <w:jc w:val="both"/>
      </w:pPr>
      <w:r>
        <w:rPr/>
        <w:t>由</w:t>
      </w:r>
      <w:r>
        <w:rPr>
          <w:rFonts w:ascii="宋体" w:hAnsi="宋体" w:cs="宋体" w:eastAsia="宋体" w:hint="default"/>
        </w:rPr>
        <w:t>Spigot</w:t>
      </w:r>
      <w:r>
        <w:rPr/>
        <w:t>、</w:t>
      </w:r>
      <w:r>
        <w:rPr>
          <w:rFonts w:ascii="宋体" w:hAnsi="宋体" w:cs="宋体" w:eastAsia="宋体" w:hint="default"/>
        </w:rPr>
        <w:t>FMOBI</w:t>
      </w:r>
      <w:r>
        <w:rPr/>
        <w:t>、万流客和应用汇组成的境内外媒体业务板块，凭借较强的技术壁垒、优质的品牌客户以及优秀的业 </w:t>
      </w:r>
      <w:r>
        <w:rPr>
          <w:spacing w:val="-2"/>
        </w:rPr>
        <w:t>务团队，不断开拓进取，取得了良好的成绩，</w:t>
      </w:r>
      <w:r>
        <w:rPr>
          <w:rFonts w:ascii="宋体" w:hAnsi="宋体" w:cs="宋体" w:eastAsia="宋体" w:hint="default"/>
          <w:spacing w:val="-2"/>
        </w:rPr>
        <w:t>2017</w:t>
      </w:r>
      <w:r>
        <w:rPr>
          <w:spacing w:val="-2"/>
        </w:rPr>
        <w:t>年全年实现营业收入</w:t>
      </w:r>
      <w:r>
        <w:rPr>
          <w:rFonts w:ascii="宋体" w:hAnsi="宋体" w:cs="宋体" w:eastAsia="宋体" w:hint="default"/>
          <w:spacing w:val="-2"/>
        </w:rPr>
        <w:t>139,194.86</w:t>
      </w:r>
      <w:r>
        <w:rPr>
          <w:spacing w:val="-2"/>
        </w:rPr>
        <w:t>万元，占公司营业总收入的</w:t>
      </w:r>
      <w:r>
        <w:rPr>
          <w:rFonts w:ascii="宋体" w:hAnsi="宋体" w:cs="宋体" w:eastAsia="宋体" w:hint="default"/>
          <w:spacing w:val="-2"/>
        </w:rPr>
        <w:t>21.83%</w:t>
      </w:r>
      <w:r>
        <w:rPr>
          <w:spacing w:val="-2"/>
        </w:rPr>
        <w:t>，与去</w:t>
      </w:r>
      <w:r>
        <w:rPr>
          <w:spacing w:val="-46"/>
        </w:rPr>
        <w:t> </w:t>
      </w:r>
      <w:r>
        <w:rPr>
          <w:spacing w:val="-46"/>
        </w:rPr>
      </w:r>
      <w:r>
        <w:rPr/>
        <w:t>年同期相比收入增长</w:t>
      </w:r>
      <w:r>
        <w:rPr>
          <w:rFonts w:ascii="宋体" w:hAnsi="宋体" w:cs="宋体" w:eastAsia="宋体" w:hint="default"/>
        </w:rPr>
        <w:t>207.37%</w:t>
      </w:r>
      <w:r>
        <w:rPr/>
        <w:t>；实现营业利润</w:t>
      </w:r>
      <w:r>
        <w:rPr>
          <w:rFonts w:ascii="宋体" w:hAnsi="宋体" w:cs="宋体" w:eastAsia="宋体" w:hint="default"/>
        </w:rPr>
        <w:t>37,972.52</w:t>
      </w:r>
      <w:r>
        <w:rPr/>
        <w:t>万元，占公司营业利润的</w:t>
      </w:r>
      <w:r>
        <w:rPr>
          <w:rFonts w:ascii="宋体" w:hAnsi="宋体" w:cs="宋体" w:eastAsia="宋体" w:hint="default"/>
        </w:rPr>
        <w:t>69.13%</w:t>
      </w:r>
      <w:r>
        <w:rPr/>
        <w:t>，与去年同期相比利润增长</w:t>
      </w:r>
      <w:r>
        <w:rPr>
          <w:rFonts w:ascii="宋体" w:hAnsi="宋体" w:cs="宋体" w:eastAsia="宋体" w:hint="default"/>
        </w:rPr>
        <w:t>57.83%</w:t>
      </w:r>
      <w:r>
        <w:rPr/>
        <w:t>。</w:t>
      </w:r>
    </w:p>
    <w:p>
      <w:pPr>
        <w:pStyle w:val="BodyText"/>
        <w:spacing w:line="316" w:lineRule="auto" w:before="19"/>
        <w:ind w:left="514" w:right="1122"/>
        <w:jc w:val="left"/>
      </w:pPr>
      <w:r>
        <w:rPr>
          <w:rFonts w:ascii="宋体" w:hAnsi="宋体" w:cs="宋体" w:eastAsia="宋体" w:hint="default"/>
        </w:rPr>
        <w:t>2</w:t>
      </w:r>
      <w:r>
        <w:rPr/>
        <w:t>、数字营销业务 公司是腾讯广点通、百度、阿里神马、</w:t>
      </w:r>
      <w:r>
        <w:rPr>
          <w:rFonts w:ascii="宋体" w:hAnsi="宋体" w:cs="宋体" w:eastAsia="宋体" w:hint="default"/>
        </w:rPr>
        <w:t>360</w:t>
      </w:r>
      <w:r>
        <w:rPr/>
        <w:t>和搜狗搜索的核心代理商，并取得了</w:t>
      </w:r>
      <w:r>
        <w:rPr>
          <w:rFonts w:ascii="宋体" w:hAnsi="宋体" w:cs="宋体" w:eastAsia="宋体" w:hint="default"/>
        </w:rPr>
        <w:t>VIVO</w:t>
      </w:r>
      <w:r>
        <w:rPr/>
        <w:t>、小米、一点资讯等硬核媒体厂商</w:t>
      </w:r>
    </w:p>
    <w:p>
      <w:pPr>
        <w:pStyle w:val="BodyText"/>
        <w:spacing w:line="316" w:lineRule="auto" w:before="19"/>
        <w:ind w:left="153" w:right="1033"/>
        <w:jc w:val="left"/>
      </w:pPr>
      <w:r>
        <w:rPr/>
        <w:t>的核心代理资质，为快消、家电、汽车、游戏和金融等行业的品牌广告主提供营销服务，服务的品牌包括联合利华、松下、 法拉利、东风日产、三七互娱、招商银行、太平洋保险等。</w:t>
      </w:r>
    </w:p>
    <w:p>
      <w:pPr>
        <w:pStyle w:val="BodyText"/>
        <w:spacing w:line="316" w:lineRule="auto" w:before="19"/>
        <w:ind w:left="153" w:right="0" w:firstLine="360"/>
        <w:jc w:val="left"/>
      </w:pPr>
      <w:r>
        <w:rPr>
          <w:spacing w:val="-2"/>
        </w:rPr>
        <w:t>报告期内，公司数字营销业务实现营业收入人民币</w:t>
      </w:r>
      <w:r>
        <w:rPr>
          <w:rFonts w:ascii="宋体" w:hAnsi="宋体" w:cs="宋体" w:eastAsia="宋体" w:hint="default"/>
          <w:spacing w:val="-2"/>
        </w:rPr>
        <w:t>484,451.78</w:t>
      </w:r>
      <w:r>
        <w:rPr>
          <w:spacing w:val="-2"/>
        </w:rPr>
        <w:t>万元，占公司营业总收入的</w:t>
      </w:r>
      <w:r>
        <w:rPr>
          <w:rFonts w:ascii="宋体" w:hAnsi="宋体" w:cs="宋体" w:eastAsia="宋体" w:hint="default"/>
          <w:spacing w:val="-2"/>
        </w:rPr>
        <w:t>75.99%</w:t>
      </w:r>
      <w:r>
        <w:rPr>
          <w:spacing w:val="-2"/>
        </w:rPr>
        <w:t>，与去年同期相比增长</w:t>
      </w:r>
      <w:r>
        <w:rPr/>
        <w:t> </w:t>
      </w:r>
      <w:r>
        <w:rPr>
          <w:rFonts w:ascii="宋体" w:hAnsi="宋体" w:cs="宋体" w:eastAsia="宋体" w:hint="default"/>
        </w:rPr>
        <w:t>192.25%</w:t>
      </w:r>
      <w:r>
        <w:rPr/>
        <w:t>；实现营业利润人民币</w:t>
      </w:r>
      <w:r>
        <w:rPr>
          <w:rFonts w:ascii="宋体" w:hAnsi="宋体" w:cs="宋体" w:eastAsia="宋体" w:hint="default"/>
        </w:rPr>
        <w:t>10,599.69</w:t>
      </w:r>
      <w:r>
        <w:rPr/>
        <w:t>万元，占公司整体营业利润的</w:t>
      </w:r>
      <w:r>
        <w:rPr>
          <w:rFonts w:ascii="宋体" w:hAnsi="宋体" w:cs="宋体" w:eastAsia="宋体" w:hint="default"/>
        </w:rPr>
        <w:t>19.30%</w:t>
      </w:r>
      <w:r>
        <w:rPr/>
        <w:t>，与去年同期相比增长</w:t>
      </w:r>
      <w:r>
        <w:rPr>
          <w:rFonts w:ascii="宋体" w:hAnsi="宋体" w:cs="宋体" w:eastAsia="宋体" w:hint="default"/>
        </w:rPr>
        <w:t>179.36%</w:t>
      </w:r>
      <w:r>
        <w:rPr/>
        <w:t>。</w:t>
      </w:r>
    </w:p>
    <w:p>
      <w:pPr>
        <w:pStyle w:val="BodyText"/>
        <w:spacing w:line="316" w:lineRule="auto" w:before="19"/>
        <w:ind w:left="513" w:right="1118"/>
        <w:jc w:val="left"/>
      </w:pPr>
      <w:r>
        <w:rPr>
          <w:rFonts w:ascii="宋体" w:hAnsi="宋体" w:cs="宋体" w:eastAsia="宋体" w:hint="default"/>
        </w:rPr>
        <w:t>3</w:t>
      </w:r>
      <w:r>
        <w:rPr/>
        <w:t>、其他业务 </w:t>
      </w:r>
      <w:r>
        <w:rPr>
          <w:spacing w:val="-2"/>
        </w:rPr>
        <w:t>报告期内，公司稳步向互联网游戏业务和互联网金融业务拓展，在逐步提升业务规模的同时，增强上市公司的持续盈利</w:t>
      </w:r>
    </w:p>
    <w:p>
      <w:pPr>
        <w:pStyle w:val="BodyText"/>
        <w:spacing w:line="240" w:lineRule="auto" w:before="19"/>
        <w:ind w:left="153" w:right="0"/>
        <w:jc w:val="both"/>
      </w:pPr>
      <w:r>
        <w:rPr/>
        <w:t>能力。</w:t>
      </w:r>
    </w:p>
    <w:p>
      <w:pPr>
        <w:pStyle w:val="BodyText"/>
        <w:spacing w:line="360" w:lineRule="auto" w:before="76"/>
        <w:ind w:left="513" w:right="0"/>
        <w:jc w:val="left"/>
      </w:pPr>
      <w:r>
        <w:rPr/>
        <w:t>（二）整合协同效果明显 </w:t>
      </w:r>
      <w:r>
        <w:rPr>
          <w:spacing w:val="-4"/>
        </w:rPr>
        <w:t>报告期内，公司对资产、业务、人力、财务等进行了深度整合，扩大了广告交易平台业务规模，培育了互联网媒体矩阵，</w:t>
      </w:r>
    </w:p>
    <w:p>
      <w:pPr>
        <w:pStyle w:val="BodyText"/>
        <w:spacing w:line="221" w:lineRule="exact"/>
        <w:ind w:left="153" w:right="0"/>
        <w:jc w:val="both"/>
      </w:pPr>
      <w:r>
        <w:rPr/>
        <w:t>形成了互联网流量入口、流量经营平台、商业变现渠道三位一体的闭环。公司不断整合资源，提高各业务板块的协同效应，</w:t>
      </w:r>
    </w:p>
    <w:p>
      <w:pPr>
        <w:pStyle w:val="BodyText"/>
        <w:spacing w:line="357" w:lineRule="auto" w:before="77"/>
        <w:ind w:left="513" w:right="0" w:hanging="360"/>
        <w:jc w:val="left"/>
      </w:pPr>
      <w:r>
        <w:rPr/>
        <w:t>取得了明显的效果。 </w:t>
      </w:r>
      <w:r>
        <w:rPr>
          <w:spacing w:val="-2"/>
        </w:rPr>
        <w:t>公司</w:t>
      </w:r>
      <w:r>
        <w:rPr>
          <w:rFonts w:ascii="宋体" w:hAnsi="宋体" w:cs="宋体" w:eastAsia="宋体" w:hint="default"/>
          <w:spacing w:val="-2"/>
        </w:rPr>
        <w:t>2017</w:t>
      </w:r>
      <w:r>
        <w:rPr>
          <w:spacing w:val="-2"/>
        </w:rPr>
        <w:t>年实现营业总收入</w:t>
      </w:r>
      <w:r>
        <w:rPr>
          <w:rFonts w:ascii="宋体" w:hAnsi="宋体" w:cs="宋体" w:eastAsia="宋体" w:hint="default"/>
          <w:spacing w:val="-2"/>
        </w:rPr>
        <w:t>637,539.25</w:t>
      </w:r>
      <w:r>
        <w:rPr>
          <w:spacing w:val="-2"/>
        </w:rPr>
        <w:t>万元，比去年同期增长</w:t>
      </w:r>
      <w:r>
        <w:rPr>
          <w:rFonts w:ascii="宋体" w:hAnsi="宋体" w:cs="宋体" w:eastAsia="宋体" w:hint="default"/>
          <w:spacing w:val="-2"/>
        </w:rPr>
        <w:t>169.69%</w:t>
      </w:r>
      <w:r>
        <w:rPr>
          <w:spacing w:val="-2"/>
        </w:rPr>
        <w:t>；实现营业利润</w:t>
      </w:r>
      <w:r>
        <w:rPr>
          <w:rFonts w:ascii="宋体" w:hAnsi="宋体" w:cs="宋体" w:eastAsia="宋体" w:hint="default"/>
          <w:spacing w:val="-2"/>
        </w:rPr>
        <w:t>54,927.20</w:t>
      </w:r>
      <w:r>
        <w:rPr>
          <w:spacing w:val="-2"/>
        </w:rPr>
        <w:t>万元，比去年同期同比</w:t>
      </w:r>
    </w:p>
    <w:p>
      <w:pPr>
        <w:pStyle w:val="BodyText"/>
        <w:spacing w:line="224" w:lineRule="exact"/>
        <w:ind w:left="153" w:right="0"/>
        <w:jc w:val="both"/>
      </w:pPr>
      <w:r>
        <w:rPr/>
        <w:t>增长</w:t>
      </w:r>
      <w:r>
        <w:rPr>
          <w:rFonts w:ascii="宋体" w:hAnsi="宋体" w:cs="宋体" w:eastAsia="宋体" w:hint="default"/>
        </w:rPr>
        <w:t>56.65%</w:t>
      </w:r>
      <w:r>
        <w:rPr/>
        <w:t>；实现利润总额</w:t>
      </w:r>
      <w:r>
        <w:rPr>
          <w:rFonts w:ascii="宋体" w:hAnsi="宋体" w:cs="宋体" w:eastAsia="宋体" w:hint="default"/>
        </w:rPr>
        <w:t>54,908.57</w:t>
      </w:r>
      <w:r>
        <w:rPr/>
        <w:t>万元，比去年同期增长</w:t>
      </w:r>
      <w:r>
        <w:rPr>
          <w:rFonts w:ascii="宋体" w:hAnsi="宋体" w:cs="宋体" w:eastAsia="宋体" w:hint="default"/>
        </w:rPr>
        <w:t>51.67%</w:t>
      </w:r>
      <w:r>
        <w:rPr/>
        <w:t>；实现归属于上市公司股东的净利润</w:t>
      </w:r>
      <w:r>
        <w:rPr>
          <w:rFonts w:ascii="宋体" w:hAnsi="宋体" w:cs="宋体" w:eastAsia="宋体" w:hint="default"/>
        </w:rPr>
        <w:t>52,732.54</w:t>
      </w:r>
      <w:r>
        <w:rPr/>
        <w:t>万元，比</w:t>
      </w:r>
    </w:p>
    <w:p>
      <w:pPr>
        <w:pStyle w:val="BodyText"/>
        <w:spacing w:line="240" w:lineRule="auto" w:before="77"/>
        <w:ind w:left="153" w:right="0"/>
        <w:jc w:val="both"/>
      </w:pPr>
      <w:r>
        <w:rPr/>
        <w:t>去年同期增长</w:t>
      </w:r>
      <w:r>
        <w:rPr>
          <w:rFonts w:ascii="宋体" w:hAnsi="宋体" w:cs="宋体" w:eastAsia="宋体" w:hint="default"/>
        </w:rPr>
        <w:t>66.82%</w:t>
      </w:r>
      <w:r>
        <w:rPr/>
        <w:t>。</w:t>
      </w:r>
    </w:p>
    <w:p>
      <w:pPr>
        <w:pStyle w:val="BodyText"/>
        <w:spacing w:line="357" w:lineRule="auto" w:before="117"/>
        <w:ind w:left="514" w:right="0"/>
        <w:jc w:val="left"/>
      </w:pPr>
      <w:r>
        <w:rPr/>
        <w:t>（三）全球化布局已具规模 </w:t>
      </w:r>
      <w:r>
        <w:rPr>
          <w:spacing w:val="-2"/>
        </w:rPr>
        <w:t>报告期内，</w:t>
      </w:r>
      <w:r>
        <w:rPr>
          <w:rFonts w:ascii="宋体" w:hAnsi="宋体" w:cs="宋体" w:eastAsia="宋体" w:hint="default"/>
          <w:spacing w:val="-2"/>
        </w:rPr>
        <w:t>Spigot</w:t>
      </w:r>
      <w:r>
        <w:rPr>
          <w:spacing w:val="-2"/>
        </w:rPr>
        <w:t>作为境外业务发展的核心平台，在积极推进国际化业务、坚持全球化战略的同时，平衡境内外业务共</w:t>
      </w:r>
    </w:p>
    <w:p>
      <w:pPr>
        <w:pStyle w:val="BodyText"/>
        <w:spacing w:line="224" w:lineRule="exact"/>
        <w:ind w:left="153" w:right="0"/>
        <w:jc w:val="both"/>
      </w:pPr>
      <w:r>
        <w:rPr/>
        <w:t>同发展，两块并举地为公司持续稳健发展奠定坚实的基础。</w:t>
      </w:r>
      <w:r>
        <w:rPr>
          <w:rFonts w:ascii="宋体" w:hAnsi="宋体" w:cs="宋体" w:eastAsia="宋体" w:hint="default"/>
        </w:rPr>
        <w:t>Spigot</w:t>
      </w:r>
      <w:r>
        <w:rPr/>
        <w:t>为雅虎的重要流量供应商，</w:t>
      </w:r>
      <w:r>
        <w:rPr>
          <w:rFonts w:ascii="宋体" w:hAnsi="宋体" w:cs="宋体" w:eastAsia="宋体" w:hint="default"/>
        </w:rPr>
        <w:t>2017</w:t>
      </w:r>
      <w:r>
        <w:rPr/>
        <w:t>年直接与</w:t>
      </w:r>
      <w:r>
        <w:rPr>
          <w:rFonts w:ascii="宋体" w:hAnsi="宋体" w:cs="宋体" w:eastAsia="宋体" w:hint="default"/>
        </w:rPr>
        <w:t>Google</w:t>
      </w:r>
      <w:r>
        <w:rPr/>
        <w:t>建立并开</w:t>
      </w:r>
    </w:p>
    <w:p>
      <w:pPr>
        <w:pStyle w:val="BodyText"/>
        <w:spacing w:line="319" w:lineRule="auto" w:before="76"/>
        <w:ind w:left="153" w:right="1139"/>
        <w:jc w:val="both"/>
      </w:pPr>
      <w:r>
        <w:rPr>
          <w:spacing w:val="-2"/>
        </w:rPr>
        <w:t>展了新的合作。</w:t>
      </w:r>
      <w:r>
        <w:rPr>
          <w:rFonts w:ascii="宋体" w:hAnsi="宋体" w:cs="宋体" w:eastAsia="宋体" w:hint="default"/>
          <w:spacing w:val="-2"/>
        </w:rPr>
        <w:t>Spigot</w:t>
      </w:r>
      <w:r>
        <w:rPr>
          <w:spacing w:val="-2"/>
        </w:rPr>
        <w:t>日收入最高已超过</w:t>
      </w:r>
      <w:r>
        <w:rPr>
          <w:rFonts w:ascii="宋体" w:hAnsi="宋体" w:cs="宋体" w:eastAsia="宋体" w:hint="default"/>
          <w:spacing w:val="-2"/>
        </w:rPr>
        <w:t>100</w:t>
      </w:r>
      <w:r>
        <w:rPr>
          <w:spacing w:val="-2"/>
        </w:rPr>
        <w:t>万美元，全年实现营业收入</w:t>
      </w:r>
      <w:r>
        <w:rPr>
          <w:rFonts w:ascii="宋体" w:hAnsi="宋体" w:cs="宋体" w:eastAsia="宋体" w:hint="default"/>
          <w:spacing w:val="-2"/>
        </w:rPr>
        <w:t>16,527.97</w:t>
      </w:r>
      <w:r>
        <w:rPr>
          <w:spacing w:val="-2"/>
        </w:rPr>
        <w:t>万美元，占公司营业总收入的</w:t>
      </w:r>
      <w:r>
        <w:rPr>
          <w:rFonts w:ascii="宋体" w:hAnsi="宋体" w:cs="宋体" w:eastAsia="宋体" w:hint="default"/>
          <w:spacing w:val="-2"/>
        </w:rPr>
        <w:t>17.52%</w:t>
      </w:r>
      <w:r>
        <w:rPr>
          <w:spacing w:val="-2"/>
        </w:rPr>
        <w:t>，与</w:t>
      </w:r>
      <w:r>
        <w:rPr>
          <w:spacing w:val="-62"/>
        </w:rPr>
        <w:t> </w:t>
      </w:r>
      <w:r>
        <w:rPr/>
        <w:t>去年同期相比增长</w:t>
      </w:r>
      <w:r>
        <w:rPr>
          <w:rFonts w:ascii="宋体" w:hAnsi="宋体" w:cs="宋体" w:eastAsia="宋体" w:hint="default"/>
        </w:rPr>
        <w:t>305.15%</w:t>
      </w:r>
      <w:r>
        <w:rPr/>
        <w:t>；实现营业利润</w:t>
      </w:r>
      <w:r>
        <w:rPr>
          <w:rFonts w:ascii="宋体" w:hAnsi="宋体" w:cs="宋体" w:eastAsia="宋体" w:hint="default"/>
        </w:rPr>
        <w:t>4,276.09</w:t>
      </w:r>
      <w:r>
        <w:rPr/>
        <w:t>万美元，占公司整体营业利润的</w:t>
      </w:r>
      <w:r>
        <w:rPr>
          <w:rFonts w:ascii="宋体" w:hAnsi="宋体" w:cs="宋体" w:eastAsia="宋体" w:hint="default"/>
        </w:rPr>
        <w:t>52.61%</w:t>
      </w:r>
      <w:r>
        <w:rPr/>
        <w:t>，与去年同期相比增长</w:t>
      </w:r>
      <w:r>
        <w:rPr>
          <w:rFonts w:ascii="宋体" w:hAnsi="宋体" w:cs="宋体" w:eastAsia="宋体" w:hint="default"/>
        </w:rPr>
        <w:t>85.22%</w:t>
      </w:r>
      <w:r>
        <w:rPr/>
        <w:t>， 受益于</w:t>
      </w:r>
      <w:r>
        <w:rPr>
          <w:rFonts w:ascii="宋体" w:hAnsi="宋体" w:cs="宋体" w:eastAsia="宋体" w:hint="default"/>
        </w:rPr>
        <w:t>Spigot</w:t>
      </w:r>
      <w:r>
        <w:rPr/>
        <w:t>业务的高速增长，</w:t>
      </w:r>
      <w:r>
        <w:rPr>
          <w:rFonts w:ascii="宋体" w:hAnsi="宋体" w:cs="宋体" w:eastAsia="宋体" w:hint="default"/>
        </w:rPr>
        <w:t>2017</w:t>
      </w:r>
      <w:r>
        <w:rPr/>
        <w:t>年公司媒体业务取得了很好的增长和进步。</w:t>
      </w:r>
    </w:p>
    <w:p>
      <w:pPr>
        <w:pStyle w:val="BodyText"/>
        <w:spacing w:line="357" w:lineRule="auto" w:before="56"/>
        <w:ind w:left="513" w:right="0"/>
        <w:jc w:val="left"/>
      </w:pPr>
      <w:r>
        <w:rPr/>
        <w:t>（四）产融战略得到落实 </w:t>
      </w:r>
      <w:r>
        <w:rPr>
          <w:spacing w:val="-2"/>
        </w:rPr>
        <w:t>报告期内，公司先后设立了互联网小额贷款公司和保理公司，坚持内生发展与外延扩张同步推进，在做大公司现有业务</w:t>
      </w:r>
    </w:p>
    <w:p>
      <w:pPr>
        <w:pStyle w:val="BodyText"/>
        <w:spacing w:line="224" w:lineRule="exact"/>
        <w:ind w:left="153" w:right="0"/>
        <w:jc w:val="both"/>
      </w:pPr>
      <w:r>
        <w:rPr/>
        <w:t>体量的同时，借助自身优势，寻找新的业绩增长点，丰富业务模式，推动公司收入结构多元化，增强整体业务可持续发展能</w:t>
      </w:r>
    </w:p>
    <w:p>
      <w:pPr>
        <w:pStyle w:val="BodyText"/>
        <w:spacing w:line="240" w:lineRule="auto" w:before="77"/>
        <w:ind w:left="153" w:right="0"/>
        <w:jc w:val="both"/>
      </w:pPr>
      <w:r>
        <w:rPr/>
        <w:t>力和市场竞争力。</w:t>
      </w:r>
    </w:p>
    <w:p>
      <w:pPr>
        <w:spacing w:after="0" w:line="240" w:lineRule="auto"/>
        <w:jc w:val="both"/>
        <w:sectPr>
          <w:pgSz w:w="11910" w:h="16840"/>
          <w:pgMar w:header="747" w:footer="1187" w:top="1060" w:bottom="1380" w:left="980" w:right="0"/>
        </w:sectPr>
      </w:pPr>
    </w:p>
    <w:p>
      <w:pPr>
        <w:spacing w:line="240" w:lineRule="auto" w:before="8"/>
        <w:rPr>
          <w:rFonts w:ascii="宋体" w:hAnsi="宋体" w:cs="宋体" w:eastAsia="宋体" w:hint="default"/>
          <w:sz w:val="23"/>
          <w:szCs w:val="23"/>
        </w:rPr>
      </w:pPr>
    </w:p>
    <w:p>
      <w:pPr>
        <w:pStyle w:val="Heading2"/>
        <w:spacing w:line="240" w:lineRule="auto" w:before="26"/>
        <w:ind w:left="153"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line="578" w:lineRule="auto" w:before="0"/>
        <w:ind w:left="153" w:right="6073" w:firstLine="0"/>
        <w:jc w:val="left"/>
        <w:rPr>
          <w:rFonts w:ascii="宋体" w:hAnsi="宋体" w:cs="宋体" w:eastAsia="宋体" w:hint="default"/>
          <w:sz w:val="21"/>
          <w:szCs w:val="21"/>
        </w:rPr>
      </w:pPr>
      <w:bookmarkStart w:name="1、概述" w:id="26"/>
      <w:bookmarkEnd w:id="26"/>
      <w:r>
        <w:rPr/>
      </w:r>
      <w:r>
        <w:rPr>
          <w:rFonts w:ascii="宋体" w:hAnsi="宋体" w:cs="宋体" w:eastAsia="宋体"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99"/>
          <w:sz w:val="21"/>
          <w:szCs w:val="21"/>
        </w:rPr>
        <w:t> </w:t>
      </w:r>
      <w:r>
        <w:rPr>
          <w:rFonts w:ascii="宋体" w:hAnsi="宋体" w:cs="宋体" w:eastAsia="宋体" w:hint="default"/>
          <w:sz w:val="18"/>
          <w:szCs w:val="18"/>
        </w:rPr>
        <w:t>参见“经营情况讨论与分析”中的“一、概述”相关内容。 </w:t>
      </w:r>
      <w:bookmarkStart w:name="2、收入与成本" w:id="27"/>
      <w:bookmarkEnd w:id="27"/>
      <w:r>
        <w:rPr>
          <w:rFonts w:ascii="宋体" w:hAnsi="宋体" w:cs="宋体" w:eastAsia="宋体" w:hint="default"/>
          <w:sz w:val="18"/>
          <w:szCs w:val="18"/>
        </w:rPr>
      </w:r>
      <w:r>
        <w:rPr>
          <w:rFonts w:ascii="宋体" w:hAnsi="宋体" w:cs="宋体" w:eastAsia="宋体"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43"/>
        <w:ind w:right="0"/>
        <w:jc w:val="left"/>
        <w:rPr>
          <w:b w:val="0"/>
          <w:bCs w:val="0"/>
        </w:rPr>
      </w:pPr>
      <w:bookmarkStart w:name="（1）营业收入构成" w:id="28"/>
      <w:bookmarkEnd w:id="28"/>
      <w:r>
        <w:rPr>
          <w:b w:val="0"/>
          <w:bCs w:val="0"/>
        </w:rPr>
      </w:r>
      <w:r>
        <w:rPr/>
        <w:t>（</w:t>
      </w:r>
      <w:r>
        <w:rPr>
          <w:rFonts w:ascii="宋体" w:hAnsi="宋体" w:cs="宋体" w:eastAsia="宋体" w:hint="default"/>
        </w:rPr>
        <w:t>1</w:t>
      </w:r>
      <w:r>
        <w:rPr/>
        <w:t>）营业收入构成</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5"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6,373,794,918.71</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
              <w:jc w:val="right"/>
              <w:rPr>
                <w:rFonts w:ascii="宋体" w:hAnsi="宋体" w:cs="宋体" w:eastAsia="宋体" w:hint="default"/>
                <w:sz w:val="18"/>
                <w:szCs w:val="18"/>
              </w:rPr>
            </w:pPr>
            <w:r>
              <w:rPr>
                <w:rFonts w:ascii="宋体"/>
                <w:sz w:val="18"/>
              </w:rPr>
              <w:t>100%</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right="12"/>
              <w:jc w:val="right"/>
              <w:rPr>
                <w:rFonts w:ascii="宋体" w:hAnsi="宋体" w:cs="宋体" w:eastAsia="宋体" w:hint="default"/>
                <w:sz w:val="18"/>
                <w:szCs w:val="18"/>
              </w:rPr>
            </w:pPr>
            <w:r>
              <w:rPr>
                <w:rFonts w:ascii="宋体"/>
                <w:sz w:val="18"/>
              </w:rPr>
              <w:t>2,364,007,200.40</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
              <w:jc w:val="right"/>
              <w:rPr>
                <w:rFonts w:ascii="宋体" w:hAnsi="宋体" w:cs="宋体" w:eastAsia="宋体" w:hint="default"/>
                <w:sz w:val="18"/>
                <w:szCs w:val="18"/>
              </w:rPr>
            </w:pPr>
            <w:r>
              <w:rPr>
                <w:rFonts w:ascii="宋体"/>
                <w:sz w:val="18"/>
              </w:rPr>
              <w:t>100%</w:t>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169.62%</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互联网和相关服务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6,373,794,918.71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2,230,294,871.33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94.34%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185.78%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电子产品制造业</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133,712,329.07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5.66%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互联网媒体业务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1,391,948,633.48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21.84%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452,865,018.98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19.16%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207.37%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数字营销业务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4,844,517,826.64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76.01%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1,657,645,813.64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70.12%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192.25%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137,328,458.59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253,496,367.78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10.72%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-45.83%</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5,256,950,569.48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82.48%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1,972,554,011.39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83.44%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166.50%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1,116,844,349.23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17.52%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391,453,189.01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16.56%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185.31%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占公司营业收入或营业利润10%以上的行业、产品或地区情况" w:id="29"/>
      <w:bookmarkEnd w:id="29"/>
      <w:r>
        <w:rPr>
          <w:b w:val="0"/>
          <w:bCs w:val="0"/>
        </w:rPr>
      </w:r>
      <w:r>
        <w:rPr/>
        <w:t>（</w:t>
      </w:r>
      <w:r>
        <w:rPr>
          <w:rFonts w:ascii="宋体" w:hAnsi="宋体" w:cs="宋体" w:eastAsia="宋体" w:hint="default"/>
        </w:rPr>
        <w:t>2</w:t>
      </w:r>
      <w:r>
        <w:rPr/>
        <w:t>）占公司营业收入或营业利润</w:t>
      </w:r>
      <w:r>
        <w:rPr>
          <w:spacing w:val="-60"/>
        </w:rPr>
        <w:t> </w:t>
      </w:r>
      <w:r>
        <w:rPr>
          <w:rFonts w:ascii="宋体" w:hAnsi="宋体" w:cs="宋体" w:eastAsia="宋体" w:hint="default"/>
        </w:rPr>
        <w:t>10%</w:t>
      </w:r>
      <w:r>
        <w:rPr/>
        <w:t>以上的行业、产品或地区情况</w:t>
      </w:r>
      <w:r>
        <w:rPr>
          <w:b w:val="0"/>
          <w:bCs w:val="0"/>
        </w:rPr>
      </w:r>
    </w:p>
    <w:p>
      <w:pPr>
        <w:spacing w:line="240" w:lineRule="auto" w:before="5"/>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7" w:footer="1187" w:top="1060" w:bottom="1380" w:left="980" w:right="0"/>
        </w:sectPr>
      </w:pPr>
    </w:p>
    <w:p>
      <w:pPr>
        <w:pStyle w:val="BodyText"/>
        <w:spacing w:line="360" w:lineRule="auto" w:before="44"/>
        <w:ind w:right="-20"/>
        <w:jc w:val="left"/>
      </w:pPr>
      <w:r>
        <w:rPr/>
        <w:t>√ 适用 □ 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单位：元</w:t>
      </w:r>
    </w:p>
    <w:p>
      <w:pPr>
        <w:spacing w:after="0" w:line="240" w:lineRule="auto"/>
        <w:jc w:val="left"/>
        <w:sectPr>
          <w:type w:val="continuous"/>
          <w:pgSz w:w="11910" w:h="16840"/>
          <w:pgMar w:top="1060" w:bottom="1380" w:left="980" w:right="0"/>
          <w:cols w:num="2" w:equalWidth="0">
            <w:col w:w="3215" w:space="5705"/>
            <w:col w:w="20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互联网和相关服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6,373,794,918.</w:t>
            </w:r>
          </w:p>
          <w:p>
            <w:pPr>
              <w:pStyle w:val="TableParagraph"/>
              <w:spacing w:line="240" w:lineRule="auto" w:before="77"/>
              <w:ind w:right="23"/>
              <w:jc w:val="right"/>
              <w:rPr>
                <w:rFonts w:ascii="宋体" w:hAnsi="宋体" w:cs="宋体" w:eastAsia="宋体" w:hint="default"/>
                <w:sz w:val="18"/>
                <w:szCs w:val="18"/>
              </w:rPr>
            </w:pPr>
            <w:r>
              <w:rPr>
                <w:rFonts w:ascii="宋体"/>
                <w:sz w:val="18"/>
              </w:rPr>
              <w:t>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5,458,778,028.</w:t>
            </w:r>
          </w:p>
          <w:p>
            <w:pPr>
              <w:pStyle w:val="TableParagraph"/>
              <w:spacing w:line="240" w:lineRule="auto" w:before="77"/>
              <w:ind w:right="20"/>
              <w:jc w:val="right"/>
              <w:rPr>
                <w:rFonts w:ascii="宋体" w:hAnsi="宋体" w:cs="宋体" w:eastAsia="宋体" w:hint="default"/>
                <w:sz w:val="18"/>
                <w:szCs w:val="18"/>
              </w:rPr>
            </w:pPr>
            <w:r>
              <w:rPr>
                <w:rFonts w:ascii="宋体"/>
                <w:sz w:val="18"/>
              </w:rPr>
              <w:t>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185.78%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207.64%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-29.77%</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互联网媒体业务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1,391,948,633.</w:t>
            </w:r>
          </w:p>
          <w:p>
            <w:pPr>
              <w:pStyle w:val="TableParagraph"/>
              <w:spacing w:line="240" w:lineRule="auto" w:before="76"/>
              <w:ind w:right="23"/>
              <w:jc w:val="right"/>
              <w:rPr>
                <w:rFonts w:ascii="宋体" w:hAnsi="宋体" w:cs="宋体" w:eastAsia="宋体" w:hint="default"/>
                <w:sz w:val="18"/>
                <w:szCs w:val="18"/>
              </w:rPr>
            </w:pPr>
            <w:r>
              <w:rPr>
                <w:rFonts w:ascii="宋体"/>
                <w:sz w:val="18"/>
              </w:rPr>
              <w:t>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 w:right="0"/>
              <w:jc w:val="center"/>
              <w:rPr>
                <w:rFonts w:ascii="宋体" w:hAnsi="宋体" w:cs="宋体" w:eastAsia="宋体" w:hint="default"/>
                <w:sz w:val="18"/>
                <w:szCs w:val="18"/>
              </w:rPr>
            </w:pPr>
            <w:r>
              <w:rPr>
                <w:rFonts w:ascii="宋体"/>
                <w:sz w:val="18"/>
              </w:rPr>
              <w:t>739,887,225.74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46.85%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207.37%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367.18%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-27.96%</w:t>
            </w:r>
          </w:p>
        </w:tc>
      </w:tr>
    </w:tbl>
    <w:p>
      <w:pPr>
        <w:spacing w:after="0" w:line="240" w:lineRule="auto"/>
        <w:jc w:val="right"/>
        <w:rPr>
          <w:rFonts w:ascii="宋体" w:hAnsi="宋体" w:cs="宋体" w:eastAsia="宋体" w:hint="default"/>
          <w:sz w:val="18"/>
          <w:szCs w:val="18"/>
        </w:rPr>
        <w:sectPr>
          <w:type w:val="continuous"/>
          <w:pgSz w:w="11910" w:h="16840"/>
          <w:pgMar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数字营销业务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4,844,517,826.</w:t>
            </w:r>
          </w:p>
          <w:p>
            <w:pPr>
              <w:pStyle w:val="TableParagraph"/>
              <w:spacing w:line="240" w:lineRule="auto" w:before="77"/>
              <w:ind w:right="23"/>
              <w:jc w:val="right"/>
              <w:rPr>
                <w:rFonts w:ascii="宋体" w:hAnsi="宋体" w:cs="宋体" w:eastAsia="宋体" w:hint="default"/>
                <w:sz w:val="18"/>
                <w:szCs w:val="18"/>
              </w:rPr>
            </w:pPr>
            <w:r>
              <w:rPr>
                <w:rFonts w:ascii="宋体"/>
                <w:sz w:val="18"/>
              </w:rPr>
              <w:t>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4,668,606,371.</w:t>
            </w:r>
          </w:p>
          <w:p>
            <w:pPr>
              <w:pStyle w:val="TableParagraph"/>
              <w:spacing w:line="240" w:lineRule="auto" w:before="77"/>
              <w:ind w:right="20"/>
              <w:jc w:val="right"/>
              <w:rPr>
                <w:rFonts w:ascii="宋体" w:hAnsi="宋体" w:cs="宋体" w:eastAsia="宋体" w:hint="default"/>
                <w:sz w:val="18"/>
                <w:szCs w:val="18"/>
              </w:rPr>
            </w:pPr>
            <w:r>
              <w:rPr>
                <w:rFonts w:ascii="宋体"/>
                <w:sz w:val="18"/>
              </w:rPr>
              <w:t>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192.25%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200.34%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-41.67%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 w:right="0"/>
              <w:jc w:val="left"/>
              <w:rPr>
                <w:rFonts w:ascii="宋体" w:hAnsi="宋体" w:cs="宋体" w:eastAsia="宋体" w:hint="default"/>
                <w:sz w:val="18"/>
                <w:szCs w:val="18"/>
              </w:rPr>
            </w:pPr>
            <w:r>
              <w:rPr>
                <w:rFonts w:ascii="宋体"/>
                <w:sz w:val="18"/>
              </w:rPr>
              <w:t>137,328,458.59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50,284,431.70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-18.35%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30.45%</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5,256,950,569.</w:t>
            </w:r>
          </w:p>
          <w:p>
            <w:pPr>
              <w:pStyle w:val="TableParagraph"/>
              <w:spacing w:line="240" w:lineRule="auto" w:before="77"/>
              <w:ind w:right="23"/>
              <w:jc w:val="right"/>
              <w:rPr>
                <w:rFonts w:ascii="宋体" w:hAnsi="宋体" w:cs="宋体" w:eastAsia="宋体" w:hint="default"/>
                <w:sz w:val="18"/>
                <w:szCs w:val="18"/>
              </w:rPr>
            </w:pPr>
            <w:r>
              <w:rPr>
                <w:rFonts w:ascii="宋体"/>
                <w:sz w:val="18"/>
              </w:rPr>
              <w:t>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4,807,995,691.</w:t>
            </w:r>
          </w:p>
          <w:p>
            <w:pPr>
              <w:pStyle w:val="TableParagraph"/>
              <w:spacing w:line="240" w:lineRule="auto" w:before="77"/>
              <w:ind w:right="20"/>
              <w:jc w:val="right"/>
              <w:rPr>
                <w:rFonts w:ascii="宋体" w:hAnsi="宋体" w:cs="宋体" w:eastAsia="宋体" w:hint="default"/>
                <w:sz w:val="18"/>
                <w:szCs w:val="18"/>
              </w:rPr>
            </w:pPr>
            <w:r>
              <w:rPr>
                <w:rFonts w:ascii="宋体"/>
                <w:sz w:val="18"/>
              </w:rPr>
              <w:t>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168.95%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186.75%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-39.93%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1,116,844,349.</w:t>
            </w:r>
          </w:p>
          <w:p>
            <w:pPr>
              <w:pStyle w:val="TableParagraph"/>
              <w:spacing w:line="240" w:lineRule="auto" w:before="77"/>
              <w:ind w:right="23"/>
              <w:jc w:val="right"/>
              <w:rPr>
                <w:rFonts w:ascii="宋体" w:hAnsi="宋体" w:cs="宋体" w:eastAsia="宋体" w:hint="default"/>
                <w:sz w:val="18"/>
                <w:szCs w:val="18"/>
              </w:rPr>
            </w:pPr>
            <w:r>
              <w:rPr>
                <w:rFonts w:ascii="宋体"/>
                <w:sz w:val="18"/>
              </w:rPr>
              <w:t>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650,782,337.00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305.15%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566.28%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-35.37%</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宋体" w:hAnsi="宋体" w:cs="宋体" w:eastAsia="宋体" w:hint="default"/>
        </w:rPr>
        <w:t>1</w:t>
      </w:r>
      <w:r>
        <w:rPr>
          <w:rFonts w:ascii="宋体" w:hAnsi="宋体" w:cs="宋体" w:eastAsia="宋体" w:hint="default"/>
          <w:spacing w:val="-45"/>
        </w:rPr>
        <w:t> </w:t>
      </w:r>
      <w:r>
        <w:rPr/>
        <w:t>年按报告期末口径调整后的主营业务数据</w:t>
      </w:r>
    </w:p>
    <w:p>
      <w:pPr>
        <w:pStyle w:val="BodyText"/>
        <w:spacing w:line="240" w:lineRule="auto" w:before="117"/>
        <w:ind w:left="153"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公司实物销售收入是否大于劳务收入" w:id="30"/>
      <w:bookmarkEnd w:id="30"/>
      <w:r>
        <w:rPr>
          <w:b w:val="0"/>
          <w:bCs w:val="0"/>
        </w:rPr>
      </w:r>
      <w:r>
        <w:rPr/>
        <w:t>（</w:t>
      </w:r>
      <w:r>
        <w:rPr>
          <w:rFonts w:ascii="宋体" w:hAnsi="宋体" w:cs="宋体" w:eastAsia="宋体" w:hint="default"/>
        </w:rPr>
        <w:t>3</w:t>
      </w:r>
      <w:r>
        <w:rPr/>
        <w:t>）公司实物销售收入是否大于劳务收入</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是 √ 否</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4）公司已签订的重大销售合同截至本报告期的履行情况" w:id="31"/>
      <w:bookmarkEnd w:id="31"/>
      <w:r>
        <w:rPr>
          <w:b w:val="0"/>
          <w:bCs w:val="0"/>
        </w:rPr>
      </w:r>
      <w:r>
        <w:rPr/>
        <w:t>（</w:t>
      </w:r>
      <w:r>
        <w:rPr>
          <w:rFonts w:ascii="宋体" w:hAnsi="宋体" w:cs="宋体" w:eastAsia="宋体" w:hint="default"/>
        </w:rPr>
        <w:t>4</w:t>
      </w:r>
      <w:r>
        <w:rPr/>
        <w:t>）公司已签订的重大销售合同截至本报告期的履行情况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营业成本构成" w:id="32"/>
      <w:bookmarkEnd w:id="32"/>
      <w:r>
        <w:rPr>
          <w:b w:val="0"/>
          <w:bCs w:val="0"/>
        </w:rPr>
      </w:r>
      <w:r>
        <w:rPr/>
        <w:t>（</w:t>
      </w:r>
      <w:r>
        <w:rPr>
          <w:rFonts w:ascii="宋体" w:hAnsi="宋体" w:cs="宋体" w:eastAsia="宋体" w:hint="default"/>
        </w:rPr>
        <w:t>5</w:t>
      </w:r>
      <w:r>
        <w:rPr/>
        <w:t>）营业成本构成</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right="0"/>
        <w:jc w:val="left"/>
      </w:pPr>
      <w:r>
        <w:rPr/>
        <w:t>行业和产品分类</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互联网和相关服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5,458,778,028.</w:t>
            </w:r>
          </w:p>
          <w:p>
            <w:pPr>
              <w:pStyle w:val="TableParagraph"/>
              <w:spacing w:line="240" w:lineRule="auto" w:before="77"/>
              <w:ind w:right="20"/>
              <w:jc w:val="right"/>
              <w:rPr>
                <w:rFonts w:ascii="宋体" w:hAnsi="宋体" w:cs="宋体" w:eastAsia="宋体" w:hint="default"/>
                <w:sz w:val="18"/>
                <w:szCs w:val="18"/>
              </w:rPr>
            </w:pPr>
            <w:r>
              <w:rPr>
                <w:rFonts w:ascii="宋体"/>
                <w:sz w:val="18"/>
              </w:rPr>
              <w:t>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1,774,407,036.</w:t>
            </w:r>
          </w:p>
          <w:p>
            <w:pPr>
              <w:pStyle w:val="TableParagraph"/>
              <w:spacing w:line="240" w:lineRule="auto" w:before="77"/>
              <w:ind w:right="20"/>
              <w:jc w:val="right"/>
              <w:rPr>
                <w:rFonts w:ascii="宋体" w:hAnsi="宋体" w:cs="宋体" w:eastAsia="宋体" w:hint="default"/>
                <w:sz w:val="18"/>
                <w:szCs w:val="18"/>
              </w:rPr>
            </w:pPr>
            <w:r>
              <w:rPr>
                <w:rFonts w:ascii="宋体"/>
                <w:sz w:val="18"/>
              </w:rPr>
              <w:t>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95.63%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4.37%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电子产品制造业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2" w:right="0"/>
              <w:jc w:val="center"/>
              <w:rPr>
                <w:rFonts w:ascii="宋体" w:hAnsi="宋体" w:cs="宋体" w:eastAsia="宋体" w:hint="default"/>
                <w:sz w:val="18"/>
                <w:szCs w:val="18"/>
              </w:rPr>
            </w:pPr>
            <w:r>
              <w:rPr>
                <w:rFonts w:ascii="宋体"/>
                <w:sz w:val="18"/>
              </w:rPr>
              <w:t>81,159,174.74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-4.37%</w:t>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互联网媒体业务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739,887,225.74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 w:right="0"/>
              <w:jc w:val="center"/>
              <w:rPr>
                <w:rFonts w:ascii="宋体" w:hAnsi="宋体" w:cs="宋体" w:eastAsia="宋体" w:hint="default"/>
                <w:sz w:val="18"/>
                <w:szCs w:val="18"/>
              </w:rPr>
            </w:pPr>
            <w:r>
              <w:rPr>
                <w:rFonts w:ascii="宋体"/>
                <w:sz w:val="18"/>
              </w:rPr>
              <w:t>158,374,739.35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5.02%</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数字营销业务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4,668,606,371.</w:t>
            </w:r>
          </w:p>
          <w:p>
            <w:pPr>
              <w:pStyle w:val="TableParagraph"/>
              <w:spacing w:line="240" w:lineRule="auto" w:before="77"/>
              <w:ind w:right="20"/>
              <w:jc w:val="right"/>
              <w:rPr>
                <w:rFonts w:ascii="宋体" w:hAnsi="宋体" w:cs="宋体" w:eastAsia="宋体" w:hint="default"/>
                <w:sz w:val="18"/>
                <w:szCs w:val="18"/>
              </w:rPr>
            </w:pPr>
            <w:r>
              <w:rPr>
                <w:rFonts w:ascii="宋体"/>
                <w:sz w:val="18"/>
              </w:rPr>
              <w:t>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85.52%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1,554,450,489.</w:t>
            </w:r>
          </w:p>
          <w:p>
            <w:pPr>
              <w:pStyle w:val="TableParagraph"/>
              <w:spacing w:line="240" w:lineRule="auto" w:before="77"/>
              <w:ind w:right="20"/>
              <w:jc w:val="right"/>
              <w:rPr>
                <w:rFonts w:ascii="宋体" w:hAnsi="宋体" w:cs="宋体" w:eastAsia="宋体" w:hint="default"/>
                <w:sz w:val="18"/>
                <w:szCs w:val="18"/>
              </w:rPr>
            </w:pPr>
            <w:r>
              <w:rPr>
                <w:rFonts w:ascii="宋体"/>
                <w:sz w:val="18"/>
              </w:rPr>
              <w:t>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83.77%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1.75%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50,284,431.70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 w:right="0"/>
              <w:jc w:val="center"/>
              <w:rPr>
                <w:rFonts w:ascii="宋体" w:hAnsi="宋体" w:cs="宋体" w:eastAsia="宋体" w:hint="default"/>
                <w:sz w:val="18"/>
                <w:szCs w:val="18"/>
              </w:rPr>
            </w:pPr>
            <w:r>
              <w:rPr>
                <w:rFonts w:ascii="宋体"/>
                <w:sz w:val="18"/>
              </w:rPr>
              <w:t>142,740,981.50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-6.77%</w:t>
            </w:r>
          </w:p>
        </w:tc>
      </w:tr>
    </w:tbl>
    <w:p>
      <w:pPr>
        <w:pStyle w:val="BodyText"/>
        <w:spacing w:line="240" w:lineRule="auto" w:before="51"/>
        <w:ind w:right="0"/>
        <w:jc w:val="left"/>
      </w:pPr>
      <w:r>
        <w:rPr/>
        <w:t>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报告期内合并范围是否发生变动" w:id="33"/>
      <w:bookmarkEnd w:id="33"/>
      <w:r>
        <w:rPr>
          <w:b w:val="0"/>
          <w:bCs w:val="0"/>
        </w:rPr>
      </w:r>
      <w:r>
        <w:rPr/>
        <w:t>（</w:t>
      </w:r>
      <w:r>
        <w:rPr>
          <w:rFonts w:ascii="宋体" w:hAnsi="宋体" w:cs="宋体" w:eastAsia="宋体" w:hint="default"/>
        </w:rPr>
        <w:t>6</w:t>
      </w:r>
      <w:r>
        <w:rPr/>
        <w:t>）报告期内合并范围是否发生变动</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是 □ 否</w:t>
      </w:r>
    </w:p>
    <w:p>
      <w:pPr>
        <w:spacing w:after="0" w:line="240" w:lineRule="auto"/>
        <w:jc w:val="left"/>
        <w:sectPr>
          <w:pgSz w:w="11910" w:h="16840"/>
          <w:pgMar w:header="747" w:footer="1187" w:top="1060" w:bottom="1380" w:left="980" w:right="0"/>
        </w:sectPr>
      </w:pPr>
    </w:p>
    <w:p>
      <w:pPr>
        <w:spacing w:line="240" w:lineRule="auto" w:before="7"/>
        <w:rPr>
          <w:rFonts w:ascii="宋体" w:hAnsi="宋体" w:cs="宋体" w:eastAsia="宋体" w:hint="default"/>
          <w:sz w:val="23"/>
          <w:szCs w:val="23"/>
        </w:rPr>
      </w:pPr>
    </w:p>
    <w:p>
      <w:pPr>
        <w:pStyle w:val="Heading2"/>
        <w:tabs>
          <w:tab w:pos="3046" w:val="left" w:leader="none"/>
        </w:tabs>
        <w:spacing w:line="240" w:lineRule="auto" w:before="26"/>
        <w:ind w:left="153" w:right="0"/>
        <w:jc w:val="left"/>
        <w:rPr>
          <w:b w:val="0"/>
          <w:bCs w:val="0"/>
        </w:rPr>
      </w:pPr>
      <w:r>
        <w:rPr>
          <w:spacing w:val="1"/>
          <w:w w:val="99"/>
        </w:rPr>
        <w:t>详见“</w:t>
      </w:r>
      <w:r>
        <w:rPr>
          <w:w w:val="99"/>
        </w:rPr>
        <w:t>第五节</w:t>
      </w:r>
      <w:r>
        <w:rPr>
          <w:spacing w:val="1"/>
        </w:rPr>
        <w:t> </w:t>
      </w:r>
      <w:r>
        <w:rPr>
          <w:w w:val="99"/>
        </w:rPr>
        <w:t>重要事项</w:t>
      </w:r>
      <w:r>
        <w:rPr/>
        <w:tab/>
      </w:r>
      <w:r>
        <w:rPr>
          <w:w w:val="99"/>
        </w:rPr>
        <w:t>八</w:t>
      </w:r>
      <w:r>
        <w:rPr>
          <w:spacing w:val="-119"/>
          <w:w w:val="99"/>
        </w:rPr>
        <w:t>、</w:t>
      </w:r>
      <w:r>
        <w:rPr>
          <w:w w:val="99"/>
        </w:rPr>
        <w:t>与上年度财务报告相比</w:t>
      </w:r>
      <w:r>
        <w:rPr>
          <w:spacing w:val="-120"/>
          <w:w w:val="99"/>
        </w:rPr>
        <w:t>，</w:t>
      </w:r>
      <w:r>
        <w:rPr>
          <w:w w:val="99"/>
        </w:rPr>
        <w:t>合并报表范围发生变化的情况说</w:t>
      </w:r>
      <w:r>
        <w:rPr>
          <w:spacing w:val="5"/>
          <w:w w:val="99"/>
        </w:rPr>
        <w:t>明</w:t>
      </w:r>
      <w:r>
        <w:rPr>
          <w:w w:val="99"/>
        </w:rPr>
        <w:t>”</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7）公司报告期内业务、产品或服务发生重大变化或调整有关情况" w:id="34"/>
      <w:bookmarkEnd w:id="34"/>
      <w:r>
        <w:rPr>
          <w:b w:val="0"/>
          <w:bCs w:val="0"/>
        </w:rPr>
      </w:r>
      <w:r>
        <w:rPr/>
        <w:t>（</w:t>
      </w:r>
      <w:r>
        <w:rPr>
          <w:rFonts w:ascii="宋体" w:hAnsi="宋体" w:cs="宋体" w:eastAsia="宋体" w:hint="default"/>
        </w:rPr>
        <w:t>7</w:t>
      </w:r>
      <w:r>
        <w:rPr/>
        <w:t>）公司报告期内业务、产品或服务发生重大变化或调整有关情况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53"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8）主要销售客户和主要供应商情况" w:id="35"/>
      <w:bookmarkEnd w:id="35"/>
      <w:r>
        <w:rPr>
          <w:b w:val="0"/>
          <w:bCs w:val="0"/>
        </w:rPr>
      </w:r>
      <w:r>
        <w:rPr/>
        <w:t>（</w:t>
      </w:r>
      <w:r>
        <w:rPr>
          <w:rFonts w:ascii="宋体" w:hAnsi="宋体" w:cs="宋体" w:eastAsia="宋体" w:hint="default"/>
        </w:rPr>
        <w:t>8</w:t>
      </w:r>
      <w:r>
        <w:rPr/>
        <w:t>）主要销售客户和主要供应商情况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2,502,723,352.75</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39.26%</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bl>
    <w:p>
      <w:pPr>
        <w:pStyle w:val="BodyText"/>
        <w:spacing w:line="240" w:lineRule="auto" w:before="51"/>
        <w:ind w:right="0"/>
        <w:jc w:val="left"/>
      </w:pPr>
      <w:r>
        <w:rPr/>
        <w:t>公司前</w:t>
      </w:r>
      <w:r>
        <w:rPr>
          <w:spacing w:val="-46"/>
        </w:rPr>
        <w:t> </w:t>
      </w:r>
      <w:r>
        <w:rPr>
          <w:rFonts w:ascii="宋体" w:hAnsi="宋体" w:cs="宋体" w:eastAsia="宋体" w:hint="default"/>
        </w:rPr>
        <w:t>5</w:t>
      </w:r>
      <w:r>
        <w:rPr>
          <w:rFonts w:ascii="宋体" w:hAnsi="宋体" w:cs="宋体" w:eastAsia="宋体" w:hint="default"/>
          <w:spacing w:val="-46"/>
        </w:rPr>
        <w:t> </w:t>
      </w:r>
      <w:r>
        <w:rPr/>
        <w:t>大客户资料</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980,145,960.64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15.37%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499,559,432.68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7.84%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473,330,162.43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7.42%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321,243,017.87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228,444,779.13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3.58%</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2,502,723,352.75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39.26%</w:t>
            </w:r>
          </w:p>
        </w:tc>
      </w:tr>
    </w:tbl>
    <w:p>
      <w:pPr>
        <w:pStyle w:val="BodyText"/>
        <w:spacing w:line="240" w:lineRule="auto" w:before="51"/>
        <w:ind w:right="0"/>
        <w:jc w:val="left"/>
      </w:pPr>
      <w:r>
        <w:rPr/>
        <w:t>主要客户其他情况说明</w:t>
      </w:r>
    </w:p>
    <w:p>
      <w:pPr>
        <w:pStyle w:val="BodyText"/>
        <w:spacing w:line="360" w:lineRule="auto" w:before="116"/>
        <w:ind w:right="9132"/>
        <w:jc w:val="left"/>
      </w:pPr>
      <w:r>
        <w:rPr/>
        <w:t>□ 适用 √ 不适用 公司主要供应商情况</w:t>
      </w: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4,786,797,028.62</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78.11%</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bl>
    <w:p>
      <w:pPr>
        <w:pStyle w:val="BodyText"/>
        <w:spacing w:line="240" w:lineRule="auto" w:before="65"/>
        <w:ind w:right="0"/>
        <w:jc w:val="left"/>
      </w:pPr>
      <w:r>
        <w:rPr/>
        <w:t>公司前</w:t>
      </w:r>
      <w:r>
        <w:rPr>
          <w:spacing w:val="-46"/>
        </w:rPr>
        <w:t> </w:t>
      </w:r>
      <w:r>
        <w:rPr>
          <w:rFonts w:ascii="宋体" w:hAnsi="宋体" w:cs="宋体" w:eastAsia="宋体" w:hint="default"/>
        </w:rPr>
        <w:t>5</w:t>
      </w:r>
      <w:r>
        <w:rPr>
          <w:rFonts w:ascii="宋体" w:hAnsi="宋体" w:cs="宋体" w:eastAsia="宋体" w:hint="default"/>
          <w:spacing w:val="-46"/>
        </w:rPr>
        <w:t> </w:t>
      </w:r>
      <w:r>
        <w:rPr/>
        <w:t>名供应商资料</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2,090,107,372.47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34.11%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1,158,249,210.79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18.90%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820,767,363.48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13.39%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378,326,838.73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339,346,243.15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4,786,797,028.62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78.11%</w:t>
            </w:r>
          </w:p>
        </w:tc>
      </w:tr>
    </w:tbl>
    <w:p>
      <w:pPr>
        <w:pStyle w:val="BodyText"/>
        <w:spacing w:line="240" w:lineRule="auto" w:before="51"/>
        <w:ind w:right="0"/>
        <w:jc w:val="left"/>
      </w:pPr>
      <w:r>
        <w:rPr/>
        <w:t>主要供应商其他情况说明</w:t>
      </w:r>
    </w:p>
    <w:p>
      <w:pPr>
        <w:spacing w:after="0" w:line="240" w:lineRule="auto"/>
        <w:jc w:val="left"/>
        <w:sectPr>
          <w:pgSz w:w="11910" w:h="16840"/>
          <w:pgMar w:header="747" w:footer="1187" w:top="1060" w:bottom="138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费用" w:id="36"/>
      <w:bookmarkEnd w:id="36"/>
      <w:r>
        <w:rPr>
          <w:b w:val="0"/>
          <w:bCs w:val="0"/>
        </w:rPr>
      </w:r>
      <w:r>
        <w:rPr>
          <w:rFonts w:ascii="宋体" w:hAnsi="宋体" w:cs="宋体" w:eastAsia="宋体" w:hint="default"/>
        </w:rPr>
        <w:t>3</w:t>
      </w:r>
      <w:r>
        <w:rPr/>
        <w:t>、费用</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BodyText"/>
        <w:spacing w:line="240" w:lineRule="auto" w:before="44"/>
        <w:ind w:left="0" w:right="1068"/>
        <w:jc w:val="right"/>
      </w:pPr>
      <w:r>
        <w:rPr/>
        <w:pict>
          <v:shape style="position:absolute;margin-left:56.459999pt;margin-top:-36.548294pt;width:482.8pt;height:252.5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1416"/>
                    <w:gridCol w:w="1419"/>
                    <w:gridCol w:w="992"/>
                    <w:gridCol w:w="4820"/>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74" w:hRule="exact"/>
                    </w:trPr>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06" w:right="0"/>
                          <w:jc w:val="left"/>
                          <w:rPr>
                            <w:rFonts w:ascii="宋体" w:hAnsi="宋体" w:cs="宋体" w:eastAsia="宋体" w:hint="default"/>
                            <w:sz w:val="18"/>
                            <w:szCs w:val="18"/>
                          </w:rPr>
                        </w:pPr>
                        <w:r>
                          <w:rPr>
                            <w:rFonts w:ascii="宋体"/>
                            <w:sz w:val="18"/>
                          </w:rPr>
                          <w:t>99,172,649.10</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16" w:right="0"/>
                          <w:jc w:val="left"/>
                          <w:rPr>
                            <w:rFonts w:ascii="宋体" w:hAnsi="宋体" w:cs="宋体" w:eastAsia="宋体" w:hint="default"/>
                            <w:sz w:val="18"/>
                            <w:szCs w:val="18"/>
                          </w:rPr>
                        </w:pPr>
                        <w:r>
                          <w:rPr>
                            <w:rFonts w:ascii="宋体"/>
                            <w:sz w:val="18"/>
                          </w:rPr>
                          <w:t>70,257,600.82</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18" w:right="0"/>
                          <w:jc w:val="left"/>
                          <w:rPr>
                            <w:rFonts w:ascii="宋体" w:hAnsi="宋体" w:cs="宋体" w:eastAsia="宋体" w:hint="default"/>
                            <w:sz w:val="18"/>
                            <w:szCs w:val="18"/>
                          </w:rPr>
                        </w:pPr>
                        <w:r>
                          <w:rPr>
                            <w:rFonts w:ascii="宋体"/>
                            <w:sz w:val="18"/>
                          </w:rPr>
                          <w:t>41.16%</w:t>
                        </w:r>
                      </w:p>
                    </w:tc>
                    <w:tc>
                      <w:tcPr>
                        <w:tcW w:w="4820" w:type="dxa"/>
                        <w:vMerge w:val="restart"/>
                        <w:tcBorders>
                          <w:top w:val="single" w:sz="4" w:space="0" w:color="000000"/>
                          <w:left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pacing w:val="-4"/>
                            <w:sz w:val="18"/>
                            <w:szCs w:val="18"/>
                          </w:rPr>
                          <w:t>月完成重大资产重组，</w:t>
                        </w:r>
                        <w:r>
                          <w:rPr>
                            <w:rFonts w:ascii="宋体" w:hAnsi="宋体" w:cs="宋体" w:eastAsia="宋体" w:hint="default"/>
                            <w:spacing w:val="-4"/>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年度的互联网及相</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关服务业务数据仅包括资产交割日起至</w:t>
                        </w:r>
                        <w:r>
                          <w:rPr>
                            <w:rFonts w:ascii="宋体" w:hAnsi="宋体" w:cs="宋体" w:eastAsia="宋体" w:hint="default"/>
                            <w:spacing w:val="-47"/>
                            <w:sz w:val="18"/>
                            <w:szCs w:val="18"/>
                          </w:rPr>
                          <w:t> </w:t>
                        </w:r>
                        <w:r>
                          <w:rPr>
                            <w:rFonts w:ascii="宋体" w:hAnsi="宋体" w:cs="宋体" w:eastAsia="宋体" w:hint="default"/>
                            <w:sz w:val="18"/>
                            <w:szCs w:val="18"/>
                          </w:rPr>
                          <w:t>2016</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月份数据</w:t>
                        </w:r>
                      </w:p>
                      <w:p>
                        <w:pPr>
                          <w:pStyle w:val="TableParagraph"/>
                          <w:spacing w:line="319" w:lineRule="auto" w:before="76"/>
                          <w:ind w:left="22" w:right="6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年度是全年度的完整数据，另因报告年度内公司扩充销 售队伍开拓业务，相应人员成本增加所致。</w:t>
                        </w:r>
                      </w:p>
                    </w:tc>
                  </w:tr>
                  <w:tr>
                    <w:trPr>
                      <w:trHeight w:val="391" w:hRule="exact"/>
                    </w:trPr>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16" w:type="dxa"/>
                        <w:vMerge/>
                        <w:tcBorders>
                          <w:left w:val="single" w:sz="9" w:space="0" w:color="D2D2D2"/>
                          <w:right w:val="single" w:sz="4" w:space="0" w:color="000000"/>
                        </w:tcBorders>
                      </w:tcPr>
                      <w:p>
                        <w:pPr/>
                      </w:p>
                    </w:tc>
                    <w:tc>
                      <w:tcPr>
                        <w:tcW w:w="141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r>
                  <w:tr>
                    <w:trPr>
                      <w:trHeight w:val="473" w:hRule="exact"/>
                    </w:trPr>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vMerge/>
                        <w:tcBorders>
                          <w:left w:val="single" w:sz="9" w:space="0" w:color="D2D2D2"/>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820" w:type="dxa"/>
                        <w:vMerge/>
                        <w:tcBorders>
                          <w:left w:val="single" w:sz="4" w:space="0" w:color="000000"/>
                          <w:bottom w:val="single" w:sz="4" w:space="0" w:color="000000"/>
                          <w:right w:val="single" w:sz="4" w:space="0" w:color="000000"/>
                        </w:tcBorders>
                      </w:tcPr>
                      <w:p>
                        <w:pPr/>
                      </w:p>
                    </w:tc>
                  </w:tr>
                  <w:tr>
                    <w:trPr>
                      <w:trHeight w:val="786" w:hRule="exact"/>
                    </w:trPr>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6" w:right="0"/>
                          <w:jc w:val="left"/>
                          <w:rPr>
                            <w:rFonts w:ascii="宋体" w:hAnsi="宋体" w:cs="宋体" w:eastAsia="宋体" w:hint="default"/>
                            <w:sz w:val="18"/>
                            <w:szCs w:val="18"/>
                          </w:rPr>
                        </w:pPr>
                        <w:r>
                          <w:rPr>
                            <w:rFonts w:ascii="宋体"/>
                            <w:sz w:val="18"/>
                          </w:rPr>
                          <w:t>298,248,510.16</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26" w:right="0"/>
                          <w:jc w:val="left"/>
                          <w:rPr>
                            <w:rFonts w:ascii="宋体" w:hAnsi="宋体" w:cs="宋体" w:eastAsia="宋体" w:hint="default"/>
                            <w:sz w:val="18"/>
                            <w:szCs w:val="18"/>
                          </w:rPr>
                        </w:pPr>
                        <w:r>
                          <w:rPr>
                            <w:rFonts w:ascii="宋体"/>
                            <w:sz w:val="18"/>
                          </w:rPr>
                          <w:t>135,374,957.93</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28" w:right="0"/>
                          <w:jc w:val="left"/>
                          <w:rPr>
                            <w:rFonts w:ascii="宋体" w:hAnsi="宋体" w:cs="宋体" w:eastAsia="宋体" w:hint="default"/>
                            <w:sz w:val="18"/>
                            <w:szCs w:val="18"/>
                          </w:rPr>
                        </w:pPr>
                        <w:r>
                          <w:rPr>
                            <w:rFonts w:ascii="宋体"/>
                            <w:sz w:val="18"/>
                          </w:rPr>
                          <w:t>120.31%</w:t>
                        </w:r>
                      </w:p>
                    </w:tc>
                    <w:tc>
                      <w:tcPr>
                        <w:tcW w:w="4820" w:type="dxa"/>
                        <w:vMerge w:val="restart"/>
                        <w:tcBorders>
                          <w:top w:val="single" w:sz="4" w:space="0" w:color="000000"/>
                          <w:left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pacing w:val="-4"/>
                            <w:sz w:val="18"/>
                            <w:szCs w:val="18"/>
                          </w:rPr>
                          <w:t>月完成重大资产重组，</w:t>
                        </w:r>
                        <w:r>
                          <w:rPr>
                            <w:rFonts w:ascii="宋体" w:hAnsi="宋体" w:cs="宋体" w:eastAsia="宋体" w:hint="default"/>
                            <w:spacing w:val="-4"/>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年度的互联网及相</w:t>
                        </w:r>
                      </w:p>
                      <w:p>
                        <w:pPr>
                          <w:pStyle w:val="TableParagraph"/>
                          <w:spacing w:line="240" w:lineRule="auto" w:before="75"/>
                          <w:ind w:left="22" w:right="0"/>
                          <w:jc w:val="both"/>
                          <w:rPr>
                            <w:rFonts w:ascii="宋体" w:hAnsi="宋体" w:cs="宋体" w:eastAsia="宋体" w:hint="default"/>
                            <w:sz w:val="18"/>
                            <w:szCs w:val="18"/>
                          </w:rPr>
                        </w:pPr>
                        <w:r>
                          <w:rPr>
                            <w:rFonts w:ascii="宋体" w:hAnsi="宋体" w:cs="宋体" w:eastAsia="宋体" w:hint="default"/>
                            <w:sz w:val="18"/>
                            <w:szCs w:val="18"/>
                          </w:rPr>
                          <w:t>关服务业务数据仅包括资产交割日起至</w:t>
                        </w:r>
                        <w:r>
                          <w:rPr>
                            <w:rFonts w:ascii="宋体" w:hAnsi="宋体" w:cs="宋体" w:eastAsia="宋体" w:hint="default"/>
                            <w:spacing w:val="-47"/>
                            <w:sz w:val="18"/>
                            <w:szCs w:val="18"/>
                          </w:rPr>
                          <w:t> </w:t>
                        </w:r>
                        <w:r>
                          <w:rPr>
                            <w:rFonts w:ascii="宋体" w:hAnsi="宋体" w:cs="宋体" w:eastAsia="宋体" w:hint="default"/>
                            <w:sz w:val="18"/>
                            <w:szCs w:val="18"/>
                          </w:rPr>
                          <w:t>2016</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月份数据</w:t>
                        </w:r>
                      </w:p>
                      <w:p>
                        <w:pPr>
                          <w:pStyle w:val="TableParagraph"/>
                          <w:spacing w:line="319" w:lineRule="auto" w:before="76"/>
                          <w:ind w:left="22" w:right="60"/>
                          <w:jc w:val="both"/>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年度是全年度的完整数据，另因报告年度内公司进一步 对资产、业务进行整合，相关办公场所租赁费用、差旅费用 大幅增加。伴随业绩的大幅增长，相应提升人员薪酬及加大 研发投入所致。</w:t>
                        </w:r>
                      </w:p>
                    </w:tc>
                  </w:tr>
                  <w:tr>
                    <w:trPr>
                      <w:trHeight w:val="391" w:hRule="exact"/>
                    </w:trPr>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16" w:type="dxa"/>
                        <w:vMerge/>
                        <w:tcBorders>
                          <w:left w:val="single" w:sz="9" w:space="0" w:color="D2D2D2"/>
                          <w:right w:val="single" w:sz="4" w:space="0" w:color="000000"/>
                        </w:tcBorders>
                      </w:tcPr>
                      <w:p>
                        <w:pPr/>
                      </w:p>
                    </w:tc>
                    <w:tc>
                      <w:tcPr>
                        <w:tcW w:w="141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r>
                  <w:tr>
                    <w:trPr>
                      <w:trHeight w:val="785" w:hRule="exact"/>
                    </w:trPr>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vMerge/>
                        <w:tcBorders>
                          <w:left w:val="single" w:sz="9" w:space="0" w:color="D2D2D2"/>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820" w:type="dxa"/>
                        <w:vMerge/>
                        <w:tcBorders>
                          <w:left w:val="single" w:sz="4" w:space="0" w:color="000000"/>
                          <w:bottom w:val="single" w:sz="4" w:space="0" w:color="000000"/>
                          <w:right w:val="single" w:sz="4" w:space="0" w:color="000000"/>
                        </w:tcBorders>
                      </w:tcPr>
                      <w:p>
                        <w:pPr/>
                      </w:p>
                    </w:tc>
                  </w:tr>
                  <w:tr>
                    <w:trPr>
                      <w:trHeight w:val="474" w:hRule="exact"/>
                    </w:trPr>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06" w:right="0"/>
                          <w:jc w:val="left"/>
                          <w:rPr>
                            <w:rFonts w:ascii="宋体" w:hAnsi="宋体" w:cs="宋体" w:eastAsia="宋体" w:hint="default"/>
                            <w:sz w:val="18"/>
                            <w:szCs w:val="18"/>
                          </w:rPr>
                        </w:pPr>
                        <w:r>
                          <w:rPr>
                            <w:rFonts w:ascii="宋体"/>
                            <w:sz w:val="18"/>
                          </w:rPr>
                          <w:t>22,131,655.27</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06" w:right="0"/>
                          <w:jc w:val="left"/>
                          <w:rPr>
                            <w:rFonts w:ascii="宋体" w:hAnsi="宋体" w:cs="宋体" w:eastAsia="宋体" w:hint="default"/>
                            <w:sz w:val="18"/>
                            <w:szCs w:val="18"/>
                          </w:rPr>
                        </w:pPr>
                        <w:r>
                          <w:rPr>
                            <w:rFonts w:ascii="宋体"/>
                            <w:sz w:val="18"/>
                          </w:rPr>
                          <w:t>1,755,787.15</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48" w:right="0"/>
                          <w:jc w:val="left"/>
                          <w:rPr>
                            <w:rFonts w:ascii="宋体" w:hAnsi="宋体" w:cs="宋体" w:eastAsia="宋体" w:hint="default"/>
                            <w:sz w:val="18"/>
                            <w:szCs w:val="18"/>
                          </w:rPr>
                        </w:pPr>
                        <w:r>
                          <w:rPr>
                            <w:rFonts w:ascii="宋体"/>
                            <w:sz w:val="18"/>
                          </w:rPr>
                          <w:t>1,160.50%</w:t>
                        </w:r>
                      </w:p>
                    </w:tc>
                    <w:tc>
                      <w:tcPr>
                        <w:tcW w:w="4820" w:type="dxa"/>
                        <w:vMerge w:val="restart"/>
                        <w:tcBorders>
                          <w:top w:val="single" w:sz="4" w:space="0" w:color="000000"/>
                          <w:left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pacing w:val="-4"/>
                            <w:sz w:val="18"/>
                            <w:szCs w:val="18"/>
                          </w:rPr>
                          <w:t>月完成重大资产重组，</w:t>
                        </w:r>
                        <w:r>
                          <w:rPr>
                            <w:rFonts w:ascii="宋体" w:hAnsi="宋体" w:cs="宋体" w:eastAsia="宋体" w:hint="default"/>
                            <w:spacing w:val="-4"/>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年度的互联网及相</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关服务业务数据仅包括资产交割日起至</w:t>
                        </w:r>
                        <w:r>
                          <w:rPr>
                            <w:rFonts w:ascii="宋体" w:hAnsi="宋体" w:cs="宋体" w:eastAsia="宋体" w:hint="default"/>
                            <w:spacing w:val="-47"/>
                            <w:sz w:val="18"/>
                            <w:szCs w:val="18"/>
                          </w:rPr>
                          <w:t> </w:t>
                        </w:r>
                        <w:r>
                          <w:rPr>
                            <w:rFonts w:ascii="宋体" w:hAnsi="宋体" w:cs="宋体" w:eastAsia="宋体" w:hint="default"/>
                            <w:sz w:val="18"/>
                            <w:szCs w:val="18"/>
                          </w:rPr>
                          <w:t>2016</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月份数据</w:t>
                        </w:r>
                      </w:p>
                      <w:p>
                        <w:pPr>
                          <w:pStyle w:val="TableParagraph"/>
                          <w:spacing w:line="319" w:lineRule="auto" w:before="76"/>
                          <w:ind w:left="22" w:right="6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年度是全年度的完整数据，另因报告年度内，公司增加 对外融资，相应利息支出增长所致。</w:t>
                        </w:r>
                      </w:p>
                    </w:tc>
                  </w:tr>
                  <w:tr>
                    <w:trPr>
                      <w:trHeight w:val="391" w:hRule="exact"/>
                    </w:trPr>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16" w:type="dxa"/>
                        <w:vMerge/>
                        <w:tcBorders>
                          <w:left w:val="single" w:sz="9" w:space="0" w:color="D2D2D2"/>
                          <w:right w:val="single" w:sz="4" w:space="0" w:color="000000"/>
                        </w:tcBorders>
                      </w:tcPr>
                      <w:p>
                        <w:pPr/>
                      </w:p>
                    </w:tc>
                    <w:tc>
                      <w:tcPr>
                        <w:tcW w:w="141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r>
                  <w:tr>
                    <w:trPr>
                      <w:trHeight w:val="474" w:hRule="exact"/>
                    </w:trPr>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vMerge/>
                        <w:tcBorders>
                          <w:left w:val="single" w:sz="9" w:space="0" w:color="D2D2D2"/>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820"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44"/>
        <w:ind w:left="0" w:right="106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240" w:lineRule="auto" w:before="44"/>
        <w:ind w:left="0" w:right="106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3"/>
        <w:spacing w:line="240" w:lineRule="auto" w:before="35"/>
        <w:ind w:right="0"/>
        <w:jc w:val="left"/>
        <w:rPr>
          <w:b w:val="0"/>
          <w:bCs w:val="0"/>
        </w:rPr>
      </w:pPr>
      <w:bookmarkStart w:name="4、研发投入" w:id="37"/>
      <w:bookmarkEnd w:id="37"/>
      <w:r>
        <w:rPr>
          <w:b w:val="0"/>
          <w:bCs w:val="0"/>
        </w:rPr>
      </w:r>
      <w:r>
        <w:rPr>
          <w:rFonts w:ascii="宋体" w:hAnsi="宋体" w:cs="宋体" w:eastAsia="宋体" w:hint="default"/>
        </w:rPr>
        <w:t>4</w:t>
      </w:r>
      <w:r>
        <w:rPr/>
        <w:t>、研发投入</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left="153" w:right="2833"/>
        <w:jc w:val="left"/>
      </w:pPr>
      <w:r>
        <w:rPr/>
        <w:t>√ 适用 □ 不适用 报告期内，公司立足战略目标，围绕主营业务，增强研发能力，通过技术创新提升公司核心竞争力。 公司研发投入情况</w:t>
      </w: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10.10%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31.20%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96,365,083.14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84,096,023.18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14.59%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12,410,732.98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27,158,427.70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-54.30%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12.88%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32.29%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-19.41%</w:t>
            </w:r>
          </w:p>
        </w:tc>
      </w:tr>
    </w:tbl>
    <w:p>
      <w:pPr>
        <w:pStyle w:val="BodyText"/>
        <w:spacing w:line="240" w:lineRule="auto" w:before="68"/>
        <w:ind w:right="0"/>
        <w:jc w:val="left"/>
      </w:pPr>
      <w:r>
        <w:rPr/>
        <w:t>研发投入总额占营业收入的比重较上年发生显著变化的原因</w:t>
      </w:r>
    </w:p>
    <w:p>
      <w:pPr>
        <w:pStyle w:val="BodyText"/>
        <w:spacing w:line="357" w:lineRule="auto" w:before="117"/>
        <w:ind w:right="6792"/>
        <w:jc w:val="left"/>
      </w:pPr>
      <w:r>
        <w:rPr/>
        <w:t>□ 适用 √ 不适用 研发投入资本化率大幅变动的原因及其合理性说明</w:t>
      </w:r>
    </w:p>
    <w:p>
      <w:pPr>
        <w:pStyle w:val="BodyText"/>
        <w:spacing w:line="240" w:lineRule="auto" w:before="28"/>
        <w:ind w:right="0"/>
        <w:jc w:val="left"/>
      </w:pPr>
      <w:r>
        <w:rPr/>
        <w:t>□ 适用 √ 不适用</w:t>
      </w:r>
    </w:p>
    <w:p>
      <w:pPr>
        <w:spacing w:after="0" w:line="240" w:lineRule="auto"/>
        <w:jc w:val="left"/>
        <w:sectPr>
          <w:pgSz w:w="11910" w:h="16840"/>
          <w:pgMar w:header="747" w:footer="1187" w:top="1060" w:bottom="138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5、现金流" w:id="38"/>
      <w:bookmarkEnd w:id="38"/>
      <w:r>
        <w:rPr>
          <w:b w:val="0"/>
          <w:bCs w:val="0"/>
        </w:rPr>
      </w:r>
      <w:r>
        <w:rPr>
          <w:rFonts w:ascii="宋体" w:hAnsi="宋体" w:cs="宋体" w:eastAsia="宋体" w:hint="default"/>
        </w:rPr>
        <w:t>5</w:t>
      </w:r>
      <w:r>
        <w:rPr/>
        <w:t>、现金流</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6,496,960,672.30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2,375,328,089.06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173.52%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6,508,084,262.38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2,207,783,883.37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194.78%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-11,123,590.08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167,544,205.69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-106.64%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9,514,258,496.69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186,754,823.34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4,994.52%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9,247,275,597.53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2,755,199,879.06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235.63%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266,982,899.16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-2,568,445,055.72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-110.39%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1,047,481,700.00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2,975,459,943.36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-64.80%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1,283,448,752.03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160,669,083.58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698.82%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-235,967,052.03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2,814,790,859.78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-108.38%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12,160,813.24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424,648,940.19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-97.14%</w:t>
            </w:r>
          </w:p>
        </w:tc>
      </w:tr>
    </w:tbl>
    <w:p>
      <w:pPr>
        <w:pStyle w:val="BodyText"/>
        <w:spacing w:line="240" w:lineRule="auto" w:before="51"/>
        <w:ind w:right="0"/>
        <w:jc w:val="left"/>
      </w:pPr>
      <w:r>
        <w:rPr/>
        <w:t>相关数据同比发生重大变动的主要影响因素说明</w:t>
      </w:r>
    </w:p>
    <w:p>
      <w:pPr>
        <w:pStyle w:val="BodyText"/>
        <w:spacing w:line="240" w:lineRule="auto" w:before="116"/>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128"/>
        <w:gridCol w:w="7371"/>
      </w:tblGrid>
      <w:tr>
        <w:trPr>
          <w:trHeight w:val="422" w:hRule="exact"/>
        </w:trPr>
        <w:tc>
          <w:tcPr>
            <w:tcW w:w="21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37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变动说明</w:t>
            </w:r>
          </w:p>
        </w:tc>
      </w:tr>
      <w:tr>
        <w:trPr>
          <w:trHeight w:val="1055" w:hRule="exact"/>
        </w:trPr>
        <w:tc>
          <w:tcPr>
            <w:tcW w:w="212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7371" w:type="dxa"/>
            <w:tcBorders>
              <w:top w:val="single" w:sz="10" w:space="0" w:color="000000"/>
              <w:left w:val="single" w:sz="6" w:space="0" w:color="000000"/>
              <w:bottom w:val="single" w:sz="6" w:space="0" w:color="000000"/>
              <w:right w:val="single" w:sz="6" w:space="0" w:color="000000"/>
            </w:tcBorders>
          </w:tcPr>
          <w:p>
            <w:pPr>
              <w:pStyle w:val="TableParagraph"/>
              <w:spacing w:line="319"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月完成重大资产重组，</w:t>
            </w:r>
            <w:r>
              <w:rPr>
                <w:rFonts w:ascii="宋体" w:hAnsi="宋体" w:cs="宋体" w:eastAsia="宋体" w:hint="default"/>
                <w:sz w:val="18"/>
                <w:szCs w:val="18"/>
              </w:rPr>
              <w:t>2016</w:t>
            </w:r>
            <w:r>
              <w:rPr>
                <w:rFonts w:ascii="宋体" w:hAnsi="宋体" w:cs="宋体" w:eastAsia="宋体" w:hint="default"/>
                <w:sz w:val="18"/>
                <w:szCs w:val="18"/>
              </w:rPr>
              <w:t>年度的互联网及相关服务业务数据仅包括资产交割日 </w:t>
            </w:r>
            <w:r>
              <w:rPr>
                <w:rFonts w:ascii="宋体" w:hAnsi="宋体" w:cs="宋体" w:eastAsia="宋体" w:hint="default"/>
                <w:spacing w:val="-1"/>
                <w:sz w:val="18"/>
                <w:szCs w:val="18"/>
              </w:rPr>
              <w:t>起至</w:t>
            </w:r>
            <w:r>
              <w:rPr>
                <w:rFonts w:ascii="宋体" w:hAnsi="宋体" w:cs="宋体" w:eastAsia="宋体" w:hint="default"/>
                <w:spacing w:val="-1"/>
                <w:sz w:val="18"/>
                <w:szCs w:val="18"/>
              </w:rPr>
              <w:t>2016</w:t>
            </w:r>
            <w:r>
              <w:rPr>
                <w:rFonts w:ascii="宋体" w:hAnsi="宋体" w:cs="宋体" w:eastAsia="宋体" w:hint="default"/>
                <w:spacing w:val="-1"/>
                <w:sz w:val="18"/>
                <w:szCs w:val="18"/>
              </w:rPr>
              <w:t>年</w:t>
            </w:r>
            <w:r>
              <w:rPr>
                <w:rFonts w:ascii="宋体" w:hAnsi="宋体" w:cs="宋体" w:eastAsia="宋体" w:hint="default"/>
                <w:spacing w:val="-1"/>
                <w:sz w:val="18"/>
                <w:szCs w:val="18"/>
              </w:rPr>
              <w:t>12</w:t>
            </w:r>
            <w:r>
              <w:rPr>
                <w:rFonts w:ascii="宋体" w:hAnsi="宋体" w:cs="宋体" w:eastAsia="宋体" w:hint="default"/>
                <w:spacing w:val="-1"/>
                <w:sz w:val="18"/>
                <w:szCs w:val="18"/>
              </w:rPr>
              <w:t>月份数据，</w:t>
            </w:r>
            <w:r>
              <w:rPr>
                <w:rFonts w:ascii="宋体" w:hAnsi="宋体" w:cs="宋体" w:eastAsia="宋体" w:hint="default"/>
                <w:spacing w:val="-1"/>
                <w:sz w:val="18"/>
                <w:szCs w:val="18"/>
              </w:rPr>
              <w:t>2017</w:t>
            </w:r>
            <w:r>
              <w:rPr>
                <w:rFonts w:ascii="宋体" w:hAnsi="宋体" w:cs="宋体" w:eastAsia="宋体" w:hint="default"/>
                <w:spacing w:val="-1"/>
                <w:sz w:val="18"/>
                <w:szCs w:val="18"/>
              </w:rPr>
              <w:t>年度是全年度的完整数据，</w:t>
            </w:r>
            <w:r>
              <w:rPr>
                <w:rFonts w:ascii="宋体" w:hAnsi="宋体" w:cs="宋体" w:eastAsia="宋体" w:hint="default"/>
                <w:spacing w:val="-1"/>
                <w:sz w:val="18"/>
                <w:szCs w:val="18"/>
              </w:rPr>
              <w:t>2017</w:t>
            </w:r>
            <w:r>
              <w:rPr>
                <w:rFonts w:ascii="宋体" w:hAnsi="宋体" w:cs="宋体" w:eastAsia="宋体" w:hint="default"/>
                <w:spacing w:val="-1"/>
                <w:sz w:val="18"/>
                <w:szCs w:val="18"/>
              </w:rPr>
              <w:t>年度，公司营业额大幅增加，相</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应经营活动现金流入大幅增长。</w:t>
            </w:r>
          </w:p>
        </w:tc>
      </w:tr>
      <w:tr>
        <w:trPr>
          <w:trHeight w:val="1051"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737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月完成重大资产重组，</w:t>
            </w:r>
            <w:r>
              <w:rPr>
                <w:rFonts w:ascii="宋体" w:hAnsi="宋体" w:cs="宋体" w:eastAsia="宋体" w:hint="default"/>
                <w:sz w:val="18"/>
                <w:szCs w:val="18"/>
              </w:rPr>
              <w:t>2016</w:t>
            </w:r>
            <w:r>
              <w:rPr>
                <w:rFonts w:ascii="宋体" w:hAnsi="宋体" w:cs="宋体" w:eastAsia="宋体" w:hint="default"/>
                <w:sz w:val="18"/>
                <w:szCs w:val="18"/>
              </w:rPr>
              <w:t>年度的互联网及相关服务业务数据仅包括资产交割日 </w:t>
            </w:r>
            <w:r>
              <w:rPr>
                <w:rFonts w:ascii="宋体" w:hAnsi="宋体" w:cs="宋体" w:eastAsia="宋体" w:hint="default"/>
                <w:spacing w:val="-1"/>
                <w:sz w:val="18"/>
                <w:szCs w:val="18"/>
              </w:rPr>
              <w:t>起至</w:t>
            </w:r>
            <w:r>
              <w:rPr>
                <w:rFonts w:ascii="宋体" w:hAnsi="宋体" w:cs="宋体" w:eastAsia="宋体" w:hint="default"/>
                <w:spacing w:val="-1"/>
                <w:sz w:val="18"/>
                <w:szCs w:val="18"/>
              </w:rPr>
              <w:t>2016</w:t>
            </w:r>
            <w:r>
              <w:rPr>
                <w:rFonts w:ascii="宋体" w:hAnsi="宋体" w:cs="宋体" w:eastAsia="宋体" w:hint="default"/>
                <w:spacing w:val="-1"/>
                <w:sz w:val="18"/>
                <w:szCs w:val="18"/>
              </w:rPr>
              <w:t>年</w:t>
            </w:r>
            <w:r>
              <w:rPr>
                <w:rFonts w:ascii="宋体" w:hAnsi="宋体" w:cs="宋体" w:eastAsia="宋体" w:hint="default"/>
                <w:spacing w:val="-1"/>
                <w:sz w:val="18"/>
                <w:szCs w:val="18"/>
              </w:rPr>
              <w:t>12</w:t>
            </w:r>
            <w:r>
              <w:rPr>
                <w:rFonts w:ascii="宋体" w:hAnsi="宋体" w:cs="宋体" w:eastAsia="宋体" w:hint="default"/>
                <w:spacing w:val="-1"/>
                <w:sz w:val="18"/>
                <w:szCs w:val="18"/>
              </w:rPr>
              <w:t>月份数据，</w:t>
            </w:r>
            <w:r>
              <w:rPr>
                <w:rFonts w:ascii="宋体" w:hAnsi="宋体" w:cs="宋体" w:eastAsia="宋体" w:hint="default"/>
                <w:spacing w:val="-1"/>
                <w:sz w:val="18"/>
                <w:szCs w:val="18"/>
              </w:rPr>
              <w:t>2017</w:t>
            </w:r>
            <w:r>
              <w:rPr>
                <w:rFonts w:ascii="宋体" w:hAnsi="宋体" w:cs="宋体" w:eastAsia="宋体" w:hint="default"/>
                <w:spacing w:val="-1"/>
                <w:sz w:val="18"/>
                <w:szCs w:val="18"/>
              </w:rPr>
              <w:t>年度是全年度的完整数据，</w:t>
            </w:r>
            <w:r>
              <w:rPr>
                <w:rFonts w:ascii="宋体" w:hAnsi="宋体" w:cs="宋体" w:eastAsia="宋体" w:hint="default"/>
                <w:spacing w:val="-1"/>
                <w:sz w:val="18"/>
                <w:szCs w:val="18"/>
              </w:rPr>
              <w:t>2017</w:t>
            </w:r>
            <w:r>
              <w:rPr>
                <w:rFonts w:ascii="宋体" w:hAnsi="宋体" w:cs="宋体" w:eastAsia="宋体" w:hint="default"/>
                <w:spacing w:val="-1"/>
                <w:sz w:val="18"/>
                <w:szCs w:val="18"/>
              </w:rPr>
              <w:t>年度，公司营业额及营业成本大</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幅增加，相应经营活动现金流出大幅增长。</w:t>
            </w:r>
          </w:p>
        </w:tc>
      </w:tr>
      <w:tr>
        <w:trPr>
          <w:trHeight w:val="1363"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29"/>
              <w:jc w:val="left"/>
              <w:rPr>
                <w:rFonts w:ascii="宋体" w:hAnsi="宋体" w:cs="宋体" w:eastAsia="宋体" w:hint="default"/>
                <w:sz w:val="18"/>
                <w:szCs w:val="18"/>
              </w:rPr>
            </w:pPr>
            <w:r>
              <w:rPr>
                <w:rFonts w:ascii="宋体" w:hAnsi="宋体" w:cs="宋体" w:eastAsia="宋体" w:hint="default"/>
                <w:sz w:val="18"/>
                <w:szCs w:val="18"/>
              </w:rPr>
              <w:t>经营活动产生的现金流量 净额</w:t>
            </w:r>
          </w:p>
        </w:tc>
        <w:tc>
          <w:tcPr>
            <w:tcW w:w="737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月完成重大资产重组，</w:t>
            </w:r>
            <w:r>
              <w:rPr>
                <w:rFonts w:ascii="宋体" w:hAnsi="宋体" w:cs="宋体" w:eastAsia="宋体" w:hint="default"/>
                <w:sz w:val="18"/>
                <w:szCs w:val="18"/>
              </w:rPr>
              <w:t>2016</w:t>
            </w:r>
            <w:r>
              <w:rPr>
                <w:rFonts w:ascii="宋体" w:hAnsi="宋体" w:cs="宋体" w:eastAsia="宋体" w:hint="default"/>
                <w:sz w:val="18"/>
                <w:szCs w:val="18"/>
              </w:rPr>
              <w:t>年度的互联网及相关服务业务数据仅包括资产交割日 </w:t>
            </w:r>
            <w:r>
              <w:rPr>
                <w:rFonts w:ascii="宋体" w:hAnsi="宋体" w:cs="宋体" w:eastAsia="宋体" w:hint="default"/>
                <w:spacing w:val="-1"/>
                <w:sz w:val="18"/>
                <w:szCs w:val="18"/>
              </w:rPr>
              <w:t>起至</w:t>
            </w:r>
            <w:r>
              <w:rPr>
                <w:rFonts w:ascii="宋体" w:hAnsi="宋体" w:cs="宋体" w:eastAsia="宋体" w:hint="default"/>
                <w:spacing w:val="-1"/>
                <w:sz w:val="18"/>
                <w:szCs w:val="18"/>
              </w:rPr>
              <w:t>2016</w:t>
            </w:r>
            <w:r>
              <w:rPr>
                <w:rFonts w:ascii="宋体" w:hAnsi="宋体" w:cs="宋体" w:eastAsia="宋体" w:hint="default"/>
                <w:spacing w:val="-1"/>
                <w:sz w:val="18"/>
                <w:szCs w:val="18"/>
              </w:rPr>
              <w:t>年</w:t>
            </w:r>
            <w:r>
              <w:rPr>
                <w:rFonts w:ascii="宋体" w:hAnsi="宋体" w:cs="宋体" w:eastAsia="宋体" w:hint="default"/>
                <w:spacing w:val="-1"/>
                <w:sz w:val="18"/>
                <w:szCs w:val="18"/>
              </w:rPr>
              <w:t>12</w:t>
            </w:r>
            <w:r>
              <w:rPr>
                <w:rFonts w:ascii="宋体" w:hAnsi="宋体" w:cs="宋体" w:eastAsia="宋体" w:hint="default"/>
                <w:spacing w:val="-1"/>
                <w:sz w:val="18"/>
                <w:szCs w:val="18"/>
              </w:rPr>
              <w:t>月份数据，</w:t>
            </w:r>
            <w:r>
              <w:rPr>
                <w:rFonts w:ascii="宋体" w:hAnsi="宋体" w:cs="宋体" w:eastAsia="宋体" w:hint="default"/>
                <w:spacing w:val="-1"/>
                <w:sz w:val="18"/>
                <w:szCs w:val="18"/>
              </w:rPr>
              <w:t>2017</w:t>
            </w:r>
            <w:r>
              <w:rPr>
                <w:rFonts w:ascii="宋体" w:hAnsi="宋体" w:cs="宋体" w:eastAsia="宋体" w:hint="default"/>
                <w:spacing w:val="-1"/>
                <w:sz w:val="18"/>
                <w:szCs w:val="18"/>
              </w:rPr>
              <w:t>年度是全年度的完整数据，</w:t>
            </w:r>
            <w:r>
              <w:rPr>
                <w:rFonts w:ascii="宋体" w:hAnsi="宋体" w:cs="宋体" w:eastAsia="宋体" w:hint="default"/>
                <w:spacing w:val="-1"/>
                <w:sz w:val="18"/>
                <w:szCs w:val="18"/>
              </w:rPr>
              <w:t>2017</w:t>
            </w:r>
            <w:r>
              <w:rPr>
                <w:rFonts w:ascii="宋体" w:hAnsi="宋体" w:cs="宋体" w:eastAsia="宋体" w:hint="default"/>
                <w:spacing w:val="-1"/>
                <w:sz w:val="18"/>
                <w:szCs w:val="18"/>
              </w:rPr>
              <w:t>年度，公司按照既定的发展战略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有序开展经营，主营业务发展良好，伴随公司经营规模扩大，应收账款相应增加、预付媒体采</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购款及相关保证金支出增长所致。</w:t>
            </w:r>
          </w:p>
        </w:tc>
      </w:tr>
      <w:tr>
        <w:trPr>
          <w:trHeight w:val="1051"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737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7"/>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月完成重大资产重组，</w:t>
            </w:r>
            <w:r>
              <w:rPr>
                <w:rFonts w:ascii="宋体" w:hAnsi="宋体" w:cs="宋体" w:eastAsia="宋体" w:hint="default"/>
                <w:sz w:val="18"/>
                <w:szCs w:val="18"/>
              </w:rPr>
              <w:t>2016</w:t>
            </w:r>
            <w:r>
              <w:rPr>
                <w:rFonts w:ascii="宋体" w:hAnsi="宋体" w:cs="宋体" w:eastAsia="宋体" w:hint="default"/>
                <w:sz w:val="18"/>
                <w:szCs w:val="18"/>
              </w:rPr>
              <w:t>年度的互联网及相关服务业务数据仅包括资产交割日 起至</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月份数据，</w:t>
            </w:r>
            <w:r>
              <w:rPr>
                <w:rFonts w:ascii="宋体" w:hAnsi="宋体" w:cs="宋体" w:eastAsia="宋体" w:hint="default"/>
                <w:sz w:val="18"/>
                <w:szCs w:val="18"/>
              </w:rPr>
              <w:t>2017</w:t>
            </w:r>
            <w:r>
              <w:rPr>
                <w:rFonts w:ascii="宋体" w:hAnsi="宋体" w:cs="宋体" w:eastAsia="宋体" w:hint="default"/>
                <w:sz w:val="18"/>
                <w:szCs w:val="18"/>
              </w:rPr>
              <w:t>年度是全年度的完整数据，</w:t>
            </w:r>
            <w:r>
              <w:rPr>
                <w:rFonts w:ascii="宋体" w:hAnsi="宋体" w:cs="宋体" w:eastAsia="宋体" w:hint="default"/>
                <w:sz w:val="18"/>
                <w:szCs w:val="18"/>
              </w:rPr>
              <w:t>2017</w:t>
            </w:r>
            <w:r>
              <w:rPr>
                <w:rFonts w:ascii="宋体" w:hAnsi="宋体" w:cs="宋体" w:eastAsia="宋体" w:hint="default"/>
                <w:sz w:val="18"/>
                <w:szCs w:val="18"/>
              </w:rPr>
              <w:t>年度，公司利用闲置募集资金、 自有资金购买银行理财产品所致。</w:t>
            </w:r>
          </w:p>
        </w:tc>
      </w:tr>
      <w:tr>
        <w:trPr>
          <w:trHeight w:val="1052"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737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27"/>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月完成重大资产重组，</w:t>
            </w:r>
            <w:r>
              <w:rPr>
                <w:rFonts w:ascii="宋体" w:hAnsi="宋体" w:cs="宋体" w:eastAsia="宋体" w:hint="default"/>
                <w:sz w:val="18"/>
                <w:szCs w:val="18"/>
              </w:rPr>
              <w:t>2016</w:t>
            </w:r>
            <w:r>
              <w:rPr>
                <w:rFonts w:ascii="宋体" w:hAnsi="宋体" w:cs="宋体" w:eastAsia="宋体" w:hint="default"/>
                <w:sz w:val="18"/>
                <w:szCs w:val="18"/>
              </w:rPr>
              <w:t>年度的互联网及相关服务业务数据仅包括资产交割日 起至</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月份数据，</w:t>
            </w:r>
            <w:r>
              <w:rPr>
                <w:rFonts w:ascii="宋体" w:hAnsi="宋体" w:cs="宋体" w:eastAsia="宋体" w:hint="default"/>
                <w:sz w:val="18"/>
                <w:szCs w:val="18"/>
              </w:rPr>
              <w:t>2017</w:t>
            </w:r>
            <w:r>
              <w:rPr>
                <w:rFonts w:ascii="宋体" w:hAnsi="宋体" w:cs="宋体" w:eastAsia="宋体" w:hint="default"/>
                <w:sz w:val="18"/>
                <w:szCs w:val="18"/>
              </w:rPr>
              <w:t>年度是全年度的完整数据，</w:t>
            </w:r>
            <w:r>
              <w:rPr>
                <w:rFonts w:ascii="宋体" w:hAnsi="宋体" w:cs="宋体" w:eastAsia="宋体" w:hint="default"/>
                <w:sz w:val="18"/>
                <w:szCs w:val="18"/>
              </w:rPr>
              <w:t>2017</w:t>
            </w:r>
            <w:r>
              <w:rPr>
                <w:rFonts w:ascii="宋体" w:hAnsi="宋体" w:cs="宋体" w:eastAsia="宋体" w:hint="default"/>
                <w:sz w:val="18"/>
                <w:szCs w:val="18"/>
              </w:rPr>
              <w:t>年度，公司利用闲置募集资金、 自有资金购买银行理财产品及按照合同约定分期支付</w:t>
            </w:r>
            <w:r>
              <w:rPr>
                <w:rFonts w:ascii="宋体" w:hAnsi="宋体" w:cs="宋体" w:eastAsia="宋体" w:hint="default"/>
                <w:sz w:val="18"/>
                <w:szCs w:val="18"/>
              </w:rPr>
              <w:t>spigot</w:t>
            </w:r>
            <w:r>
              <w:rPr>
                <w:rFonts w:ascii="宋体" w:hAnsi="宋体" w:cs="宋体" w:eastAsia="宋体" w:hint="default"/>
                <w:sz w:val="18"/>
                <w:szCs w:val="18"/>
              </w:rPr>
              <w:t>股权收购款所致。</w:t>
            </w:r>
          </w:p>
        </w:tc>
      </w:tr>
      <w:tr>
        <w:trPr>
          <w:trHeight w:val="739"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29"/>
              <w:jc w:val="left"/>
              <w:rPr>
                <w:rFonts w:ascii="宋体" w:hAnsi="宋体" w:cs="宋体" w:eastAsia="宋体" w:hint="default"/>
                <w:sz w:val="18"/>
                <w:szCs w:val="18"/>
              </w:rPr>
            </w:pPr>
            <w:r>
              <w:rPr>
                <w:rFonts w:ascii="宋体" w:hAnsi="宋体" w:cs="宋体" w:eastAsia="宋体" w:hint="default"/>
                <w:sz w:val="18"/>
                <w:szCs w:val="18"/>
              </w:rPr>
              <w:t>投资活动产生的现金流量 净额</w:t>
            </w:r>
          </w:p>
        </w:tc>
        <w:tc>
          <w:tcPr>
            <w:tcW w:w="737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27"/>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月完成重大资产重组，</w:t>
            </w:r>
            <w:r>
              <w:rPr>
                <w:rFonts w:ascii="宋体" w:hAnsi="宋体" w:cs="宋体" w:eastAsia="宋体" w:hint="default"/>
                <w:sz w:val="18"/>
                <w:szCs w:val="18"/>
              </w:rPr>
              <w:t>2016</w:t>
            </w:r>
            <w:r>
              <w:rPr>
                <w:rFonts w:ascii="宋体" w:hAnsi="宋体" w:cs="宋体" w:eastAsia="宋体" w:hint="default"/>
                <w:sz w:val="18"/>
                <w:szCs w:val="18"/>
              </w:rPr>
              <w:t>年度的互联网及相关服务业务数据仅包括资产交割日 起至</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月份数据，</w:t>
            </w:r>
            <w:r>
              <w:rPr>
                <w:rFonts w:ascii="宋体" w:hAnsi="宋体" w:cs="宋体" w:eastAsia="宋体" w:hint="default"/>
                <w:sz w:val="18"/>
                <w:szCs w:val="18"/>
              </w:rPr>
              <w:t>2017</w:t>
            </w:r>
            <w:r>
              <w:rPr>
                <w:rFonts w:ascii="宋体" w:hAnsi="宋体" w:cs="宋体" w:eastAsia="宋体" w:hint="default"/>
                <w:sz w:val="18"/>
                <w:szCs w:val="18"/>
              </w:rPr>
              <w:t>年度是全年度的完整数据，</w:t>
            </w:r>
            <w:r>
              <w:rPr>
                <w:rFonts w:ascii="宋体" w:hAnsi="宋体" w:cs="宋体" w:eastAsia="宋体" w:hint="default"/>
                <w:sz w:val="18"/>
                <w:szCs w:val="18"/>
              </w:rPr>
              <w:t>2017</w:t>
            </w:r>
            <w:r>
              <w:rPr>
                <w:rFonts w:ascii="宋体" w:hAnsi="宋体" w:cs="宋体" w:eastAsia="宋体" w:hint="default"/>
                <w:sz w:val="18"/>
                <w:szCs w:val="18"/>
              </w:rPr>
              <w:t>年度，公司利用闲置募集资金、</w:t>
            </w:r>
          </w:p>
        </w:tc>
      </w:tr>
    </w:tbl>
    <w:p>
      <w:pPr>
        <w:spacing w:after="0" w:line="316"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128"/>
        <w:gridCol w:w="7371"/>
      </w:tblGrid>
      <w:tr>
        <w:trPr>
          <w:trHeight w:val="386" w:hRule="exact"/>
        </w:trPr>
        <w:tc>
          <w:tcPr>
            <w:tcW w:w="2128" w:type="dxa"/>
            <w:tcBorders>
              <w:top w:val="single" w:sz="6" w:space="0" w:color="000000"/>
              <w:left w:val="single" w:sz="6" w:space="0" w:color="000000"/>
              <w:bottom w:val="single" w:sz="6" w:space="0" w:color="000000"/>
              <w:right w:val="single" w:sz="6" w:space="0" w:color="000000"/>
            </w:tcBorders>
          </w:tcPr>
          <w:p>
            <w:pPr/>
          </w:p>
        </w:tc>
        <w:tc>
          <w:tcPr>
            <w:tcW w:w="7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自有资金购买银行理财产品及按照合同约定分期支付</w:t>
            </w:r>
            <w:r>
              <w:rPr>
                <w:rFonts w:ascii="宋体" w:hAnsi="宋体" w:cs="宋体" w:eastAsia="宋体" w:hint="default"/>
                <w:sz w:val="18"/>
                <w:szCs w:val="18"/>
              </w:rPr>
              <w:t>spigot</w:t>
            </w:r>
            <w:r>
              <w:rPr>
                <w:rFonts w:ascii="宋体" w:hAnsi="宋体" w:cs="宋体" w:eastAsia="宋体" w:hint="default"/>
                <w:sz w:val="18"/>
                <w:szCs w:val="18"/>
              </w:rPr>
              <w:t>股权收购款所致。</w:t>
            </w:r>
          </w:p>
        </w:tc>
      </w:tr>
      <w:tr>
        <w:trPr>
          <w:trHeight w:val="1052"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737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月完成重大资产重组，</w:t>
            </w:r>
            <w:r>
              <w:rPr>
                <w:rFonts w:ascii="宋体" w:hAnsi="宋体" w:cs="宋体" w:eastAsia="宋体" w:hint="default"/>
                <w:sz w:val="18"/>
                <w:szCs w:val="18"/>
              </w:rPr>
              <w:t>2016</w:t>
            </w:r>
            <w:r>
              <w:rPr>
                <w:rFonts w:ascii="宋体" w:hAnsi="宋体" w:cs="宋体" w:eastAsia="宋体" w:hint="default"/>
                <w:sz w:val="18"/>
                <w:szCs w:val="18"/>
              </w:rPr>
              <w:t>年度的互联网及相关服务业务数据仅包括资产交割日 </w:t>
            </w:r>
            <w:r>
              <w:rPr>
                <w:rFonts w:ascii="宋体" w:hAnsi="宋体" w:cs="宋体" w:eastAsia="宋体" w:hint="default"/>
                <w:spacing w:val="-1"/>
                <w:sz w:val="18"/>
                <w:szCs w:val="18"/>
              </w:rPr>
              <w:t>起至</w:t>
            </w:r>
            <w:r>
              <w:rPr>
                <w:rFonts w:ascii="宋体" w:hAnsi="宋体" w:cs="宋体" w:eastAsia="宋体" w:hint="default"/>
                <w:spacing w:val="-1"/>
                <w:sz w:val="18"/>
                <w:szCs w:val="18"/>
              </w:rPr>
              <w:t>2016</w:t>
            </w:r>
            <w:r>
              <w:rPr>
                <w:rFonts w:ascii="宋体" w:hAnsi="宋体" w:cs="宋体" w:eastAsia="宋体" w:hint="default"/>
                <w:spacing w:val="-1"/>
                <w:sz w:val="18"/>
                <w:szCs w:val="18"/>
              </w:rPr>
              <w:t>年</w:t>
            </w:r>
            <w:r>
              <w:rPr>
                <w:rFonts w:ascii="宋体" w:hAnsi="宋体" w:cs="宋体" w:eastAsia="宋体" w:hint="default"/>
                <w:spacing w:val="-1"/>
                <w:sz w:val="18"/>
                <w:szCs w:val="18"/>
              </w:rPr>
              <w:t>12</w:t>
            </w:r>
            <w:r>
              <w:rPr>
                <w:rFonts w:ascii="宋体" w:hAnsi="宋体" w:cs="宋体" w:eastAsia="宋体" w:hint="default"/>
                <w:spacing w:val="-1"/>
                <w:sz w:val="18"/>
                <w:szCs w:val="18"/>
              </w:rPr>
              <w:t>月份数据，</w:t>
            </w:r>
            <w:r>
              <w:rPr>
                <w:rFonts w:ascii="宋体" w:hAnsi="宋体" w:cs="宋体" w:eastAsia="宋体" w:hint="default"/>
                <w:spacing w:val="-1"/>
                <w:sz w:val="18"/>
                <w:szCs w:val="18"/>
              </w:rPr>
              <w:t>2017</w:t>
            </w:r>
            <w:r>
              <w:rPr>
                <w:rFonts w:ascii="宋体" w:hAnsi="宋体" w:cs="宋体" w:eastAsia="宋体" w:hint="default"/>
                <w:spacing w:val="-1"/>
                <w:sz w:val="18"/>
                <w:szCs w:val="18"/>
              </w:rPr>
              <w:t>年度是全年度的完整数据，</w:t>
            </w:r>
            <w:r>
              <w:rPr>
                <w:rFonts w:ascii="宋体" w:hAnsi="宋体" w:cs="宋体" w:eastAsia="宋体" w:hint="default"/>
                <w:spacing w:val="-1"/>
                <w:sz w:val="18"/>
                <w:szCs w:val="18"/>
              </w:rPr>
              <w:t>2017</w:t>
            </w:r>
            <w:r>
              <w:rPr>
                <w:rFonts w:ascii="宋体" w:hAnsi="宋体" w:cs="宋体" w:eastAsia="宋体" w:hint="default"/>
                <w:spacing w:val="-1"/>
                <w:sz w:val="18"/>
                <w:szCs w:val="18"/>
              </w:rPr>
              <w:t>年度变动因素主要为上年同期公</w:t>
            </w:r>
            <w:r>
              <w:rPr>
                <w:rFonts w:ascii="宋体" w:hAnsi="宋体" w:cs="宋体" w:eastAsia="宋体" w:hint="default"/>
                <w:spacing w:val="-71"/>
                <w:sz w:val="18"/>
                <w:szCs w:val="18"/>
              </w:rPr>
              <w:t> </w:t>
            </w:r>
            <w:r>
              <w:rPr>
                <w:rFonts w:ascii="宋体" w:hAnsi="宋体" w:cs="宋体" w:eastAsia="宋体" w:hint="default"/>
                <w:sz w:val="18"/>
                <w:szCs w:val="18"/>
              </w:rPr>
              <w:t>司发行股份募集配套资金，本年度无该事项，及本年度取得银行及关联方借款增加所致。</w:t>
            </w:r>
          </w:p>
        </w:tc>
      </w:tr>
      <w:tr>
        <w:trPr>
          <w:trHeight w:val="1051"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737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月完成重大资产重组，</w:t>
            </w:r>
            <w:r>
              <w:rPr>
                <w:rFonts w:ascii="宋体" w:hAnsi="宋体" w:cs="宋体" w:eastAsia="宋体" w:hint="default"/>
                <w:sz w:val="18"/>
                <w:szCs w:val="18"/>
              </w:rPr>
              <w:t>2016</w:t>
            </w:r>
            <w:r>
              <w:rPr>
                <w:rFonts w:ascii="宋体" w:hAnsi="宋体" w:cs="宋体" w:eastAsia="宋体" w:hint="default"/>
                <w:sz w:val="18"/>
                <w:szCs w:val="18"/>
              </w:rPr>
              <w:t>年度的互联网及相关服务业务数据仅包括资产交割日 </w:t>
            </w:r>
            <w:r>
              <w:rPr>
                <w:rFonts w:ascii="宋体" w:hAnsi="宋体" w:cs="宋体" w:eastAsia="宋体" w:hint="default"/>
                <w:spacing w:val="-1"/>
                <w:sz w:val="18"/>
                <w:szCs w:val="18"/>
              </w:rPr>
              <w:t>起至</w:t>
            </w:r>
            <w:r>
              <w:rPr>
                <w:rFonts w:ascii="宋体" w:hAnsi="宋体" w:cs="宋体" w:eastAsia="宋体" w:hint="default"/>
                <w:spacing w:val="-1"/>
                <w:sz w:val="18"/>
                <w:szCs w:val="18"/>
              </w:rPr>
              <w:t>2016</w:t>
            </w:r>
            <w:r>
              <w:rPr>
                <w:rFonts w:ascii="宋体" w:hAnsi="宋体" w:cs="宋体" w:eastAsia="宋体" w:hint="default"/>
                <w:spacing w:val="-1"/>
                <w:sz w:val="18"/>
                <w:szCs w:val="18"/>
              </w:rPr>
              <w:t>年</w:t>
            </w:r>
            <w:r>
              <w:rPr>
                <w:rFonts w:ascii="宋体" w:hAnsi="宋体" w:cs="宋体" w:eastAsia="宋体" w:hint="default"/>
                <w:spacing w:val="-1"/>
                <w:sz w:val="18"/>
                <w:szCs w:val="18"/>
              </w:rPr>
              <w:t>12</w:t>
            </w:r>
            <w:r>
              <w:rPr>
                <w:rFonts w:ascii="宋体" w:hAnsi="宋体" w:cs="宋体" w:eastAsia="宋体" w:hint="default"/>
                <w:spacing w:val="-1"/>
                <w:sz w:val="18"/>
                <w:szCs w:val="18"/>
              </w:rPr>
              <w:t>月份数据，</w:t>
            </w:r>
            <w:r>
              <w:rPr>
                <w:rFonts w:ascii="宋体" w:hAnsi="宋体" w:cs="宋体" w:eastAsia="宋体" w:hint="default"/>
                <w:spacing w:val="-1"/>
                <w:sz w:val="18"/>
                <w:szCs w:val="18"/>
              </w:rPr>
              <w:t>2017</w:t>
            </w:r>
            <w:r>
              <w:rPr>
                <w:rFonts w:ascii="宋体" w:hAnsi="宋体" w:cs="宋体" w:eastAsia="宋体" w:hint="default"/>
                <w:spacing w:val="-1"/>
                <w:sz w:val="18"/>
                <w:szCs w:val="18"/>
              </w:rPr>
              <w:t>年度是全年度的完整数据，</w:t>
            </w:r>
            <w:r>
              <w:rPr>
                <w:rFonts w:ascii="宋体" w:hAnsi="宋体" w:cs="宋体" w:eastAsia="宋体" w:hint="default"/>
                <w:spacing w:val="-1"/>
                <w:sz w:val="18"/>
                <w:szCs w:val="18"/>
              </w:rPr>
              <w:t>2017</w:t>
            </w:r>
            <w:r>
              <w:rPr>
                <w:rFonts w:ascii="宋体" w:hAnsi="宋体" w:cs="宋体" w:eastAsia="宋体" w:hint="default"/>
                <w:spacing w:val="-1"/>
                <w:sz w:val="18"/>
                <w:szCs w:val="18"/>
              </w:rPr>
              <w:t>年度偿还债务及关联方借款及支</w:t>
            </w:r>
            <w:r>
              <w:rPr>
                <w:rFonts w:ascii="宋体" w:hAnsi="宋体" w:cs="宋体" w:eastAsia="宋体" w:hint="default"/>
                <w:spacing w:val="-71"/>
                <w:sz w:val="18"/>
                <w:szCs w:val="18"/>
              </w:rPr>
              <w:t> </w:t>
            </w:r>
            <w:r>
              <w:rPr>
                <w:rFonts w:ascii="宋体" w:hAnsi="宋体" w:cs="宋体" w:eastAsia="宋体" w:hint="default"/>
                <w:sz w:val="18"/>
                <w:szCs w:val="18"/>
              </w:rPr>
              <w:t>付融资性保函保证金所致。</w:t>
            </w:r>
          </w:p>
        </w:tc>
      </w:tr>
      <w:tr>
        <w:trPr>
          <w:trHeight w:val="1363"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29"/>
              <w:jc w:val="left"/>
              <w:rPr>
                <w:rFonts w:ascii="宋体" w:hAnsi="宋体" w:cs="宋体" w:eastAsia="宋体" w:hint="default"/>
                <w:sz w:val="18"/>
                <w:szCs w:val="18"/>
              </w:rPr>
            </w:pPr>
            <w:r>
              <w:rPr>
                <w:rFonts w:ascii="宋体" w:hAnsi="宋体" w:cs="宋体" w:eastAsia="宋体" w:hint="default"/>
                <w:sz w:val="18"/>
                <w:szCs w:val="18"/>
              </w:rPr>
              <w:t>筹资活动产生的现金流量 净额</w:t>
            </w:r>
          </w:p>
        </w:tc>
        <w:tc>
          <w:tcPr>
            <w:tcW w:w="737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月完成重大资产重组，</w:t>
            </w:r>
            <w:r>
              <w:rPr>
                <w:rFonts w:ascii="宋体" w:hAnsi="宋体" w:cs="宋体" w:eastAsia="宋体" w:hint="default"/>
                <w:sz w:val="18"/>
                <w:szCs w:val="18"/>
              </w:rPr>
              <w:t>2016</w:t>
            </w:r>
            <w:r>
              <w:rPr>
                <w:rFonts w:ascii="宋体" w:hAnsi="宋体" w:cs="宋体" w:eastAsia="宋体" w:hint="default"/>
                <w:sz w:val="18"/>
                <w:szCs w:val="18"/>
              </w:rPr>
              <w:t>年度的互联网及相关服务业务数据仅包括资产交割日 </w:t>
            </w:r>
            <w:r>
              <w:rPr>
                <w:rFonts w:ascii="宋体" w:hAnsi="宋体" w:cs="宋体" w:eastAsia="宋体" w:hint="default"/>
                <w:spacing w:val="-1"/>
                <w:sz w:val="18"/>
                <w:szCs w:val="18"/>
              </w:rPr>
              <w:t>起至</w:t>
            </w:r>
            <w:r>
              <w:rPr>
                <w:rFonts w:ascii="宋体" w:hAnsi="宋体" w:cs="宋体" w:eastAsia="宋体" w:hint="default"/>
                <w:spacing w:val="-1"/>
                <w:sz w:val="18"/>
                <w:szCs w:val="18"/>
              </w:rPr>
              <w:t>2016</w:t>
            </w:r>
            <w:r>
              <w:rPr>
                <w:rFonts w:ascii="宋体" w:hAnsi="宋体" w:cs="宋体" w:eastAsia="宋体" w:hint="default"/>
                <w:spacing w:val="-1"/>
                <w:sz w:val="18"/>
                <w:szCs w:val="18"/>
              </w:rPr>
              <w:t>年</w:t>
            </w:r>
            <w:r>
              <w:rPr>
                <w:rFonts w:ascii="宋体" w:hAnsi="宋体" w:cs="宋体" w:eastAsia="宋体" w:hint="default"/>
                <w:spacing w:val="-1"/>
                <w:sz w:val="18"/>
                <w:szCs w:val="18"/>
              </w:rPr>
              <w:t>12</w:t>
            </w:r>
            <w:r>
              <w:rPr>
                <w:rFonts w:ascii="宋体" w:hAnsi="宋体" w:cs="宋体" w:eastAsia="宋体" w:hint="default"/>
                <w:spacing w:val="-1"/>
                <w:sz w:val="18"/>
                <w:szCs w:val="18"/>
              </w:rPr>
              <w:t>月份数据，</w:t>
            </w:r>
            <w:r>
              <w:rPr>
                <w:rFonts w:ascii="宋体" w:hAnsi="宋体" w:cs="宋体" w:eastAsia="宋体" w:hint="default"/>
                <w:spacing w:val="-1"/>
                <w:sz w:val="18"/>
                <w:szCs w:val="18"/>
              </w:rPr>
              <w:t>2017</w:t>
            </w:r>
            <w:r>
              <w:rPr>
                <w:rFonts w:ascii="宋体" w:hAnsi="宋体" w:cs="宋体" w:eastAsia="宋体" w:hint="default"/>
                <w:spacing w:val="-1"/>
                <w:sz w:val="18"/>
                <w:szCs w:val="18"/>
              </w:rPr>
              <w:t>年度是全年度的完整数据，</w:t>
            </w:r>
            <w:r>
              <w:rPr>
                <w:rFonts w:ascii="宋体" w:hAnsi="宋体" w:cs="宋体" w:eastAsia="宋体" w:hint="default"/>
                <w:spacing w:val="-1"/>
                <w:sz w:val="18"/>
                <w:szCs w:val="18"/>
              </w:rPr>
              <w:t>2017</w:t>
            </w:r>
            <w:r>
              <w:rPr>
                <w:rFonts w:ascii="宋体" w:hAnsi="宋体" w:cs="宋体" w:eastAsia="宋体" w:hint="default"/>
                <w:spacing w:val="-1"/>
                <w:sz w:val="18"/>
                <w:szCs w:val="18"/>
              </w:rPr>
              <w:t>年度变动因素主要为上年同期公</w:t>
            </w:r>
            <w:r>
              <w:rPr>
                <w:rFonts w:ascii="宋体" w:hAnsi="宋体" w:cs="宋体" w:eastAsia="宋体" w:hint="default"/>
                <w:spacing w:val="-71"/>
                <w:sz w:val="18"/>
                <w:szCs w:val="18"/>
              </w:rPr>
              <w:t> </w:t>
            </w:r>
            <w:r>
              <w:rPr>
                <w:rFonts w:ascii="宋体" w:hAnsi="宋体" w:cs="宋体" w:eastAsia="宋体" w:hint="default"/>
                <w:spacing w:val="-1"/>
                <w:sz w:val="18"/>
                <w:szCs w:val="18"/>
              </w:rPr>
              <w:t>司发行股份募集配套资金，本年度无该事项，及本年度偿还债务、关联方借款及支付融资性保</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函保证金所致。</w:t>
            </w:r>
          </w:p>
        </w:tc>
      </w:tr>
    </w:tbl>
    <w:p>
      <w:pPr>
        <w:spacing w:line="240" w:lineRule="auto" w:before="5"/>
        <w:rPr>
          <w:rFonts w:ascii="宋体" w:hAnsi="宋体" w:cs="宋体" w:eastAsia="宋体" w:hint="default"/>
          <w:sz w:val="24"/>
          <w:szCs w:val="24"/>
        </w:rPr>
      </w:pPr>
    </w:p>
    <w:p>
      <w:pPr>
        <w:pStyle w:val="BodyText"/>
        <w:spacing w:line="240" w:lineRule="auto" w:before="44"/>
        <w:ind w:right="0"/>
        <w:jc w:val="left"/>
      </w:pPr>
      <w:r>
        <w:rPr/>
        <w:t>报告期内公司经营活动产生的现金净流量与本年度净利润存在重大差异的原因说明</w:t>
      </w:r>
    </w:p>
    <w:p>
      <w:pPr>
        <w:pStyle w:val="BodyText"/>
        <w:spacing w:line="240" w:lineRule="auto" w:before="117"/>
        <w:ind w:left="153"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三、非主营业务分析" w:id="39"/>
      <w:bookmarkEnd w:id="39"/>
      <w:r>
        <w:rPr>
          <w:b w:val="0"/>
          <w:bCs w:val="0"/>
        </w:rPr>
      </w:r>
      <w:r>
        <w:rPr/>
        <w:t>三、非主营业务分析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3" w:right="0"/>
        <w:jc w:val="left"/>
      </w:pPr>
      <w:r>
        <w:rPr/>
        <w:t>√ 适用 □ 不适用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3"/>
        <w:gridCol w:w="2736"/>
        <w:gridCol w:w="1770"/>
      </w:tblGrid>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17"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06" w:right="0"/>
              <w:jc w:val="left"/>
              <w:rPr>
                <w:rFonts w:ascii="宋体" w:hAnsi="宋体" w:cs="宋体" w:eastAsia="宋体" w:hint="default"/>
                <w:sz w:val="18"/>
                <w:szCs w:val="18"/>
              </w:rPr>
            </w:pPr>
            <w:r>
              <w:rPr>
                <w:rFonts w:ascii="宋体"/>
                <w:sz w:val="18"/>
              </w:rPr>
              <w:t>64,082,734.54</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0" w:right="0"/>
              <w:jc w:val="left"/>
              <w:rPr>
                <w:rFonts w:ascii="宋体" w:hAnsi="宋体" w:cs="宋体" w:eastAsia="宋体" w:hint="default"/>
                <w:sz w:val="18"/>
                <w:szCs w:val="18"/>
              </w:rPr>
            </w:pPr>
            <w:r>
              <w:rPr>
                <w:rFonts w:ascii="宋体"/>
                <w:sz w:val="18"/>
              </w:rPr>
              <w:t>11.67%</w:t>
            </w:r>
          </w:p>
        </w:tc>
        <w:tc>
          <w:tcPr>
            <w:tcW w:w="2736"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主要系取得银行理财产品投资收 </w:t>
            </w:r>
            <w:r>
              <w:rPr>
                <w:rFonts w:ascii="宋体" w:hAnsi="宋体" w:cs="宋体" w:eastAsia="宋体" w:hint="default"/>
                <w:spacing w:val="-2"/>
                <w:sz w:val="18"/>
                <w:szCs w:val="18"/>
              </w:rPr>
              <w:t>益、取得联营公司长期股权投资收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益及无需支付的分期收购对价。</w:t>
            </w:r>
          </w:p>
        </w:tc>
        <w:tc>
          <w:tcPr>
            <w:tcW w:w="17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736" w:type="dxa"/>
            <w:vMerge/>
            <w:tcBorders>
              <w:left w:val="single" w:sz="4" w:space="0" w:color="000000"/>
              <w:right w:val="single" w:sz="4" w:space="0" w:color="000000"/>
            </w:tcBorders>
          </w:tcPr>
          <w:p>
            <w:pPr/>
          </w:p>
        </w:tc>
        <w:tc>
          <w:tcPr>
            <w:tcW w:w="1770"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736" w:type="dxa"/>
            <w:vMerge/>
            <w:tcBorders>
              <w:left w:val="single" w:sz="4" w:space="0" w:color="000000"/>
              <w:bottom w:val="single" w:sz="4" w:space="0" w:color="000000"/>
              <w:right w:val="single" w:sz="4" w:space="0" w:color="000000"/>
            </w:tcBorders>
          </w:tcPr>
          <w:p>
            <w:pPr/>
          </w:p>
        </w:tc>
        <w:tc>
          <w:tcPr>
            <w:tcW w:w="1770" w:type="dxa"/>
            <w:vMerge/>
            <w:tcBorders>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2736"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6" w:right="0"/>
              <w:jc w:val="left"/>
              <w:rPr>
                <w:rFonts w:ascii="宋体" w:hAnsi="宋体" w:cs="宋体" w:eastAsia="宋体" w:hint="default"/>
                <w:sz w:val="18"/>
                <w:szCs w:val="18"/>
              </w:rPr>
            </w:pPr>
            <w:r>
              <w:rPr>
                <w:rFonts w:ascii="宋体"/>
                <w:sz w:val="18"/>
              </w:rPr>
              <w:t>14,336,669.11</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2.61%</w:t>
            </w:r>
          </w:p>
        </w:tc>
        <w:tc>
          <w:tcPr>
            <w:tcW w:w="2736"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22"/>
              <w:jc w:val="left"/>
              <w:rPr>
                <w:rFonts w:ascii="宋体" w:hAnsi="宋体" w:cs="宋体" w:eastAsia="宋体" w:hint="default"/>
                <w:sz w:val="18"/>
                <w:szCs w:val="18"/>
              </w:rPr>
            </w:pPr>
            <w:r>
              <w:rPr>
                <w:rFonts w:ascii="宋体" w:hAnsi="宋体" w:cs="宋体" w:eastAsia="宋体" w:hint="default"/>
                <w:spacing w:val="-2"/>
                <w:sz w:val="18"/>
                <w:szCs w:val="18"/>
              </w:rPr>
              <w:t>按照公司会计政策，采用账龄分析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法计提的资产减值损失。</w:t>
            </w:r>
          </w:p>
        </w:tc>
        <w:tc>
          <w:tcPr>
            <w:tcW w:w="177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736" w:type="dxa"/>
            <w:vMerge/>
            <w:tcBorders>
              <w:left w:val="single" w:sz="4" w:space="0" w:color="000000"/>
              <w:right w:val="single" w:sz="4" w:space="0" w:color="000000"/>
            </w:tcBorders>
          </w:tcPr>
          <w:p>
            <w:pPr/>
          </w:p>
        </w:tc>
        <w:tc>
          <w:tcPr>
            <w:tcW w:w="1770"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736" w:type="dxa"/>
            <w:vMerge/>
            <w:tcBorders>
              <w:left w:val="single" w:sz="4" w:space="0" w:color="000000"/>
              <w:bottom w:val="single" w:sz="4" w:space="0" w:color="000000"/>
              <w:right w:val="single" w:sz="4" w:space="0" w:color="000000"/>
            </w:tcBorders>
          </w:tcPr>
          <w:p>
            <w:pPr/>
          </w:p>
        </w:tc>
        <w:tc>
          <w:tcPr>
            <w:tcW w:w="1770"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96" w:right="0"/>
              <w:jc w:val="left"/>
              <w:rPr>
                <w:rFonts w:ascii="宋体" w:hAnsi="宋体" w:cs="宋体" w:eastAsia="宋体" w:hint="default"/>
                <w:sz w:val="18"/>
                <w:szCs w:val="18"/>
              </w:rPr>
            </w:pPr>
            <w:r>
              <w:rPr>
                <w:rFonts w:ascii="宋体"/>
                <w:sz w:val="18"/>
              </w:rPr>
              <w:t>1,412,201.78</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0.26%</w:t>
            </w:r>
          </w:p>
        </w:tc>
        <w:tc>
          <w:tcPr>
            <w:tcW w:w="2736"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80"/>
              <w:jc w:val="left"/>
              <w:rPr>
                <w:rFonts w:ascii="宋体" w:hAnsi="宋体" w:cs="宋体" w:eastAsia="宋体" w:hint="default"/>
                <w:sz w:val="18"/>
                <w:szCs w:val="18"/>
              </w:rPr>
            </w:pPr>
            <w:r>
              <w:rPr>
                <w:rFonts w:ascii="宋体" w:hAnsi="宋体" w:cs="宋体" w:eastAsia="宋体" w:hint="default"/>
                <w:sz w:val="18"/>
                <w:szCs w:val="18"/>
              </w:rPr>
              <w:t>报告年度取得的商标侵权赔偿收 益</w:t>
            </w:r>
          </w:p>
        </w:tc>
        <w:tc>
          <w:tcPr>
            <w:tcW w:w="177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736" w:type="dxa"/>
            <w:vMerge/>
            <w:tcBorders>
              <w:left w:val="single" w:sz="4" w:space="0" w:color="000000"/>
              <w:right w:val="single" w:sz="4" w:space="0" w:color="000000"/>
            </w:tcBorders>
          </w:tcPr>
          <w:p>
            <w:pPr/>
          </w:p>
        </w:tc>
        <w:tc>
          <w:tcPr>
            <w:tcW w:w="1770"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736" w:type="dxa"/>
            <w:vMerge/>
            <w:tcBorders>
              <w:left w:val="single" w:sz="4" w:space="0" w:color="000000"/>
              <w:bottom w:val="single" w:sz="4" w:space="0" w:color="000000"/>
              <w:right w:val="single" w:sz="4" w:space="0" w:color="000000"/>
            </w:tcBorders>
          </w:tcPr>
          <w:p>
            <w:pPr/>
          </w:p>
        </w:tc>
        <w:tc>
          <w:tcPr>
            <w:tcW w:w="1770" w:type="dxa"/>
            <w:vMerge/>
            <w:tcBorders>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1,598,462.54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0.29%</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子公司诉讼赔偿支出</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11,274,920.46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2.05%</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80"/>
              <w:jc w:val="left"/>
              <w:rPr>
                <w:rFonts w:ascii="宋体" w:hAnsi="宋体" w:cs="宋体" w:eastAsia="宋体" w:hint="default"/>
                <w:sz w:val="18"/>
                <w:szCs w:val="18"/>
              </w:rPr>
            </w:pPr>
            <w:r>
              <w:rPr>
                <w:rFonts w:ascii="宋体" w:hAnsi="宋体" w:cs="宋体" w:eastAsia="宋体" w:hint="default"/>
                <w:sz w:val="18"/>
                <w:szCs w:val="18"/>
              </w:rPr>
              <w:t>公司根据新企业会计准则核算与 日常经营活动相关的政府补助</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资产构成重大变动情况" w:id="41"/>
      <w:bookmarkEnd w:id="41"/>
      <w:r>
        <w:rPr>
          <w:b w:val="0"/>
          <w:bCs w:val="0"/>
        </w:rPr>
      </w:r>
      <w:r>
        <w:rPr>
          <w:rFonts w:ascii="宋体" w:hAnsi="宋体" w:cs="宋体" w:eastAsia="宋体" w:hint="default"/>
        </w:rPr>
        <w:t>1</w:t>
      </w:r>
      <w:r>
        <w:rPr/>
        <w:t>、资产构成重大变动情况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721,124,038.</w:t>
            </w:r>
          </w:p>
          <w:p>
            <w:pPr>
              <w:pStyle w:val="TableParagraph"/>
              <w:spacing w:line="240" w:lineRule="auto" w:before="77"/>
              <w:ind w:right="23"/>
              <w:jc w:val="right"/>
              <w:rPr>
                <w:rFonts w:ascii="宋体" w:hAnsi="宋体" w:cs="宋体" w:eastAsia="宋体" w:hint="default"/>
                <w:sz w:val="18"/>
                <w:szCs w:val="18"/>
              </w:rPr>
            </w:pPr>
            <w:r>
              <w:rPr>
                <w:rFonts w:ascii="宋体"/>
                <w:sz w:val="18"/>
              </w:rPr>
              <w:t>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10.26%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528,723,225.</w:t>
            </w:r>
          </w:p>
          <w:p>
            <w:pPr>
              <w:pStyle w:val="TableParagraph"/>
              <w:spacing w:line="240" w:lineRule="auto" w:before="77"/>
              <w:ind w:right="23"/>
              <w:jc w:val="right"/>
              <w:rPr>
                <w:rFonts w:ascii="宋体" w:hAnsi="宋体" w:cs="宋体" w:eastAsia="宋体" w:hint="default"/>
                <w:sz w:val="18"/>
                <w:szCs w:val="18"/>
              </w:rPr>
            </w:pPr>
            <w:r>
              <w:rPr>
                <w:rFonts w:ascii="宋体"/>
                <w:sz w:val="18"/>
              </w:rPr>
              <w:t>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8.15%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2.11%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主要系公司业务经营收付款、支付股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权收购款、偿还债务、及支付融资性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保函保证金所致。</w:t>
            </w:r>
          </w:p>
        </w:tc>
      </w:tr>
      <w:tr>
        <w:trPr>
          <w:trHeight w:val="165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3"/>
              <w:jc w:val="right"/>
              <w:rPr>
                <w:rFonts w:ascii="宋体" w:hAnsi="宋体" w:cs="宋体" w:eastAsia="宋体" w:hint="default"/>
                <w:sz w:val="18"/>
                <w:szCs w:val="18"/>
              </w:rPr>
            </w:pPr>
            <w:r>
              <w:rPr>
                <w:rFonts w:ascii="宋体"/>
                <w:sz w:val="18"/>
              </w:rPr>
              <w:t>1,380,115,18</w:t>
            </w:r>
          </w:p>
          <w:p>
            <w:pPr>
              <w:pStyle w:val="TableParagraph"/>
              <w:spacing w:line="240" w:lineRule="auto" w:before="77"/>
              <w:ind w:right="23"/>
              <w:jc w:val="right"/>
              <w:rPr>
                <w:rFonts w:ascii="宋体" w:hAnsi="宋体" w:cs="宋体" w:eastAsia="宋体" w:hint="default"/>
                <w:sz w:val="18"/>
                <w:szCs w:val="18"/>
              </w:rPr>
            </w:pPr>
            <w:r>
              <w:rPr>
                <w:rFonts w:ascii="宋体"/>
                <w:sz w:val="18"/>
              </w:rPr>
              <w:t>6.11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18"/>
                <w:szCs w:val="18"/>
              </w:rPr>
            </w:pPr>
            <w:r>
              <w:rPr>
                <w:rFonts w:ascii="宋体"/>
                <w:sz w:val="18"/>
              </w:rPr>
              <w:t>19.64%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2"/>
              <w:jc w:val="right"/>
              <w:rPr>
                <w:rFonts w:ascii="宋体" w:hAnsi="宋体" w:cs="宋体" w:eastAsia="宋体" w:hint="default"/>
                <w:sz w:val="18"/>
                <w:szCs w:val="18"/>
              </w:rPr>
            </w:pPr>
            <w:r>
              <w:rPr>
                <w:rFonts w:ascii="宋体"/>
                <w:sz w:val="18"/>
              </w:rPr>
              <w:t>745,004,128.</w:t>
            </w:r>
          </w:p>
          <w:p>
            <w:pPr>
              <w:pStyle w:val="TableParagraph"/>
              <w:spacing w:line="240" w:lineRule="auto" w:before="77"/>
              <w:ind w:right="23"/>
              <w:jc w:val="right"/>
              <w:rPr>
                <w:rFonts w:ascii="宋体" w:hAnsi="宋体" w:cs="宋体" w:eastAsia="宋体" w:hint="default"/>
                <w:sz w:val="18"/>
                <w:szCs w:val="18"/>
              </w:rPr>
            </w:pPr>
            <w:r>
              <w:rPr>
                <w:rFonts w:ascii="宋体"/>
                <w:sz w:val="18"/>
              </w:rPr>
              <w:t>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18"/>
                <w:szCs w:val="18"/>
              </w:rPr>
            </w:pPr>
            <w:r>
              <w:rPr>
                <w:rFonts w:ascii="宋体"/>
                <w:sz w:val="18"/>
              </w:rPr>
              <w:t>11.48%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18"/>
                <w:szCs w:val="18"/>
              </w:rPr>
            </w:pPr>
            <w:r>
              <w:rPr>
                <w:rFonts w:ascii="宋体"/>
                <w:sz w:val="18"/>
              </w:rPr>
              <w:t>8.16%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
              <w:jc w:val="left"/>
              <w:rPr>
                <w:rFonts w:ascii="宋体" w:hAnsi="宋体" w:cs="宋体" w:eastAsia="宋体" w:hint="default"/>
                <w:sz w:val="18"/>
                <w:szCs w:val="18"/>
              </w:rPr>
            </w:pPr>
            <w:r>
              <w:rPr>
                <w:rFonts w:ascii="宋体" w:hAnsi="宋体" w:cs="宋体" w:eastAsia="宋体" w:hint="default"/>
                <w:sz w:val="18"/>
                <w:szCs w:val="18"/>
              </w:rPr>
              <w:t>报告年度公司按照既定的发展战略 有序开展经营，主营业务发展良好， 主要客户投入预算逐步增长，同时加 大对新客户的开拓力度，使营业额快 速增长下应收账款增加所致。</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93,408,613.7</w:t>
            </w:r>
          </w:p>
          <w:p>
            <w:pPr>
              <w:pStyle w:val="TableParagraph"/>
              <w:spacing w:line="240" w:lineRule="auto" w:before="77"/>
              <w:ind w:right="23"/>
              <w:jc w:val="right"/>
              <w:rPr>
                <w:rFonts w:ascii="宋体" w:hAnsi="宋体" w:cs="宋体" w:eastAsia="宋体" w:hint="default"/>
                <w:sz w:val="18"/>
                <w:szCs w:val="18"/>
              </w:rPr>
            </w:pPr>
            <w:r>
              <w:rPr>
                <w:rFonts w:ascii="宋体"/>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宋体" w:hAnsi="宋体" w:cs="宋体" w:eastAsia="宋体" w:hint="default"/>
                <w:sz w:val="18"/>
                <w:szCs w:val="18"/>
              </w:rPr>
            </w:pPr>
            <w:r>
              <w:rPr>
                <w:rFonts w:ascii="宋体"/>
                <w:sz w:val="18"/>
              </w:rPr>
              <w:t>1.33%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宋体" w:hAnsi="宋体" w:cs="宋体" w:eastAsia="宋体" w:hint="default"/>
                <w:sz w:val="18"/>
                <w:szCs w:val="18"/>
              </w:rPr>
            </w:pPr>
            <w:r>
              <w:rPr>
                <w:rFonts w:ascii="宋体"/>
                <w:sz w:val="18"/>
              </w:rPr>
              <w:t>1,435,545.20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宋体" w:hAnsi="宋体" w:cs="宋体" w:eastAsia="宋体" w:hint="default"/>
                <w:sz w:val="18"/>
                <w:szCs w:val="18"/>
              </w:rPr>
            </w:pPr>
            <w:r>
              <w:rPr>
                <w:rFonts w:ascii="宋体"/>
                <w:sz w:val="18"/>
              </w:rPr>
              <w:t>0.02%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宋体" w:hAnsi="宋体" w:cs="宋体" w:eastAsia="宋体" w:hint="default"/>
                <w:sz w:val="18"/>
                <w:szCs w:val="18"/>
              </w:rPr>
            </w:pPr>
            <w:r>
              <w:rPr>
                <w:rFonts w:ascii="宋体"/>
                <w:sz w:val="18"/>
              </w:rPr>
              <w:t>1.31%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主要系报告期内公司相继完成对北 </w:t>
            </w:r>
            <w:r>
              <w:rPr>
                <w:rFonts w:ascii="宋体" w:hAnsi="宋体" w:cs="宋体" w:eastAsia="宋体" w:hint="default"/>
                <w:spacing w:val="-2"/>
                <w:sz w:val="18"/>
                <w:szCs w:val="18"/>
              </w:rPr>
              <w:t>京奇酷工场科技有限公司、天津六六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游科技有限公司等公司的股权投资 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center"/>
              <w:rPr>
                <w:rFonts w:ascii="宋体" w:hAnsi="宋体" w:cs="宋体" w:eastAsia="宋体" w:hint="default"/>
                <w:sz w:val="18"/>
                <w:szCs w:val="18"/>
              </w:rPr>
            </w:pPr>
            <w:r>
              <w:rPr>
                <w:rFonts w:ascii="宋体"/>
                <w:sz w:val="18"/>
              </w:rPr>
              <w:t>8,902,575.08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9,500,197.14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主要系公司正常经营过程中固定资 产的采购、折旧计提所致。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100,000,000.</w:t>
            </w:r>
          </w:p>
          <w:p>
            <w:pPr>
              <w:pStyle w:val="TableParagraph"/>
              <w:spacing w:line="240" w:lineRule="auto" w:before="77"/>
              <w:ind w:right="23"/>
              <w:jc w:val="right"/>
              <w:rPr>
                <w:rFonts w:ascii="宋体" w:hAnsi="宋体" w:cs="宋体" w:eastAsia="宋体" w:hint="default"/>
                <w:sz w:val="18"/>
                <w:szCs w:val="18"/>
              </w:rPr>
            </w:pPr>
            <w:r>
              <w:rPr>
                <w:rFonts w:ascii="宋体"/>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20,000,000.0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0.31%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1.11%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主要系报告期内向银行申请的短期 借款增加所致。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98,376,638.0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545,456.00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1.39%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主要系报告期内境外子公司拓展业 务新增银行借款所致。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183,795,556.</w:t>
            </w:r>
          </w:p>
          <w:p>
            <w:pPr>
              <w:pStyle w:val="TableParagraph"/>
              <w:spacing w:line="240" w:lineRule="auto" w:before="78"/>
              <w:ind w:right="23"/>
              <w:jc w:val="right"/>
              <w:rPr>
                <w:rFonts w:ascii="宋体" w:hAnsi="宋体" w:cs="宋体" w:eastAsia="宋体" w:hint="default"/>
                <w:sz w:val="18"/>
                <w:szCs w:val="18"/>
              </w:rPr>
            </w:pPr>
            <w:r>
              <w:rPr>
                <w:rFonts w:ascii="宋体"/>
                <w:sz w:val="18"/>
              </w:rPr>
              <w:t>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47,118,466.8</w:t>
            </w:r>
          </w:p>
          <w:p>
            <w:pPr>
              <w:pStyle w:val="TableParagraph"/>
              <w:spacing w:line="240" w:lineRule="auto" w:before="78"/>
              <w:ind w:right="23"/>
              <w:jc w:val="right"/>
              <w:rPr>
                <w:rFonts w:ascii="宋体" w:hAnsi="宋体" w:cs="宋体" w:eastAsia="宋体" w:hint="default"/>
                <w:sz w:val="18"/>
                <w:szCs w:val="18"/>
              </w:rPr>
            </w:pPr>
            <w:r>
              <w:rPr>
                <w:rFonts w:ascii="宋体"/>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0.73%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1.89%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主要系公司业务规模的增长，预付的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媒介采购款增加所致。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244,346,180.</w:t>
            </w:r>
          </w:p>
          <w:p>
            <w:pPr>
              <w:pStyle w:val="TableParagraph"/>
              <w:spacing w:line="240" w:lineRule="auto" w:before="77"/>
              <w:ind w:right="23"/>
              <w:jc w:val="right"/>
              <w:rPr>
                <w:rFonts w:ascii="宋体" w:hAnsi="宋体" w:cs="宋体" w:eastAsia="宋体" w:hint="default"/>
                <w:sz w:val="18"/>
                <w:szCs w:val="18"/>
              </w:rPr>
            </w:pPr>
            <w:r>
              <w:rPr>
                <w:rFonts w:ascii="宋体"/>
                <w:sz w:val="18"/>
              </w:rPr>
              <w:t>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188,288,252.</w:t>
            </w:r>
          </w:p>
          <w:p>
            <w:pPr>
              <w:pStyle w:val="TableParagraph"/>
              <w:spacing w:line="240" w:lineRule="auto" w:before="77"/>
              <w:ind w:right="23"/>
              <w:jc w:val="right"/>
              <w:rPr>
                <w:rFonts w:ascii="宋体" w:hAnsi="宋体" w:cs="宋体" w:eastAsia="宋体" w:hint="default"/>
                <w:sz w:val="18"/>
                <w:szCs w:val="18"/>
              </w:rPr>
            </w:pPr>
            <w:r>
              <w:rPr>
                <w:rFonts w:ascii="宋体"/>
                <w:sz w:val="18"/>
              </w:rPr>
              <w:t>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0.58%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主要系报告期内随营业额的大幅增 长相应的项目保证金增加所致。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一年内到期的非 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61,705,940.6</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0.88%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0.88%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主要系报告期内公司开展互联网金 融业务，发放的贷款余额。</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53,000,000.0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0.75%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0.75%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主要系报告期内公司对外投资、参股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相关行业公司所致。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382,042,709.</w:t>
            </w:r>
          </w:p>
          <w:p>
            <w:pPr>
              <w:pStyle w:val="TableParagraph"/>
              <w:spacing w:line="240" w:lineRule="auto" w:before="77"/>
              <w:ind w:right="23"/>
              <w:jc w:val="right"/>
              <w:rPr>
                <w:rFonts w:ascii="宋体" w:hAnsi="宋体" w:cs="宋体" w:eastAsia="宋体" w:hint="default"/>
                <w:sz w:val="18"/>
                <w:szCs w:val="18"/>
              </w:rPr>
            </w:pPr>
            <w:r>
              <w:rPr>
                <w:rFonts w:ascii="宋体"/>
                <w:sz w:val="18"/>
              </w:rPr>
              <w:t>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445,994,225.</w:t>
            </w:r>
          </w:p>
          <w:p>
            <w:pPr>
              <w:pStyle w:val="TableParagraph"/>
              <w:spacing w:line="240" w:lineRule="auto" w:before="77"/>
              <w:ind w:right="23"/>
              <w:jc w:val="right"/>
              <w:rPr>
                <w:rFonts w:ascii="宋体" w:hAnsi="宋体" w:cs="宋体" w:eastAsia="宋体" w:hint="default"/>
                <w:sz w:val="18"/>
                <w:szCs w:val="18"/>
              </w:rPr>
            </w:pPr>
            <w:r>
              <w:rPr>
                <w:rFonts w:ascii="宋体"/>
                <w:sz w:val="18"/>
              </w:rPr>
              <w:t>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6.87%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-1.43%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主要系公司正常经营过程中无形资 产的采购、摊销计提所致。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12,640,070.2</w:t>
            </w:r>
          </w:p>
          <w:p>
            <w:pPr>
              <w:pStyle w:val="TableParagraph"/>
              <w:spacing w:line="240" w:lineRule="auto" w:before="77"/>
              <w:ind w:right="23"/>
              <w:jc w:val="right"/>
              <w:rPr>
                <w:rFonts w:ascii="宋体" w:hAnsi="宋体" w:cs="宋体" w:eastAsia="宋体" w:hint="default"/>
                <w:sz w:val="18"/>
                <w:szCs w:val="18"/>
              </w:rPr>
            </w:pPr>
            <w:r>
              <w:rPr>
                <w:rFonts w:ascii="宋体"/>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165,582,340.</w:t>
            </w:r>
          </w:p>
          <w:p>
            <w:pPr>
              <w:pStyle w:val="TableParagraph"/>
              <w:spacing w:line="240" w:lineRule="auto" w:before="77"/>
              <w:ind w:right="23"/>
              <w:jc w:val="right"/>
              <w:rPr>
                <w:rFonts w:ascii="宋体" w:hAnsi="宋体" w:cs="宋体" w:eastAsia="宋体" w:hint="default"/>
                <w:sz w:val="18"/>
                <w:szCs w:val="18"/>
              </w:rPr>
            </w:pPr>
            <w:r>
              <w:rPr>
                <w:rFonts w:ascii="宋体"/>
                <w:sz w:val="18"/>
              </w:rPr>
              <w:t>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-2.37%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主要系相关资产在受益期内摊销完 毕所致。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44,518,583.9</w:t>
            </w:r>
          </w:p>
          <w:p>
            <w:pPr>
              <w:pStyle w:val="TableParagraph"/>
              <w:spacing w:line="240" w:lineRule="auto" w:before="77"/>
              <w:ind w:right="23"/>
              <w:jc w:val="right"/>
              <w:rPr>
                <w:rFonts w:ascii="宋体" w:hAnsi="宋体" w:cs="宋体" w:eastAsia="宋体" w:hint="default"/>
                <w:sz w:val="18"/>
                <w:szCs w:val="18"/>
              </w:rPr>
            </w:pPr>
            <w:r>
              <w:rPr>
                <w:rFonts w:ascii="宋体"/>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13,266,815.8</w:t>
            </w:r>
          </w:p>
          <w:p>
            <w:pPr>
              <w:pStyle w:val="TableParagraph"/>
              <w:spacing w:line="240" w:lineRule="auto" w:before="77"/>
              <w:ind w:right="23"/>
              <w:jc w:val="right"/>
              <w:rPr>
                <w:rFonts w:ascii="宋体" w:hAnsi="宋体" w:cs="宋体" w:eastAsia="宋体" w:hint="default"/>
                <w:sz w:val="18"/>
                <w:szCs w:val="18"/>
              </w:rPr>
            </w:pPr>
            <w:r>
              <w:rPr>
                <w:rFonts w:ascii="宋体"/>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0.43%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主要系在资产负债表日按照相关资 </w:t>
            </w:r>
            <w:r>
              <w:rPr>
                <w:rFonts w:ascii="宋体" w:hAnsi="宋体" w:cs="宋体" w:eastAsia="宋体" w:hint="default"/>
                <w:spacing w:val="-2"/>
                <w:sz w:val="18"/>
                <w:szCs w:val="18"/>
              </w:rPr>
              <w:t>产、负债的账面价值及计税基础确认</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196,905,498.</w:t>
            </w:r>
          </w:p>
          <w:p>
            <w:pPr>
              <w:pStyle w:val="TableParagraph"/>
              <w:spacing w:line="240" w:lineRule="auto" w:before="77"/>
              <w:ind w:right="23"/>
              <w:jc w:val="right"/>
              <w:rPr>
                <w:rFonts w:ascii="宋体" w:hAnsi="宋体" w:cs="宋体" w:eastAsia="宋体" w:hint="default"/>
                <w:sz w:val="18"/>
                <w:szCs w:val="18"/>
              </w:rPr>
            </w:pPr>
            <w:r>
              <w:rPr>
                <w:rFonts w:ascii="宋体"/>
                <w:sz w:val="18"/>
              </w:rPr>
              <w:t>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71,656,675.7</w:t>
            </w:r>
          </w:p>
          <w:p>
            <w:pPr>
              <w:pStyle w:val="TableParagraph"/>
              <w:spacing w:line="240" w:lineRule="auto" w:before="77"/>
              <w:ind w:right="23"/>
              <w:jc w:val="right"/>
              <w:rPr>
                <w:rFonts w:ascii="宋体" w:hAnsi="宋体" w:cs="宋体" w:eastAsia="宋体" w:hint="default"/>
                <w:sz w:val="18"/>
                <w:szCs w:val="18"/>
              </w:rPr>
            </w:pPr>
            <w:r>
              <w:rPr>
                <w:rFonts w:ascii="宋体"/>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1.70%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主要系报告年度公司营业额快速增 长下预收账款增加所致。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105,923,796.</w:t>
            </w:r>
          </w:p>
          <w:p>
            <w:pPr>
              <w:pStyle w:val="TableParagraph"/>
              <w:spacing w:line="240" w:lineRule="auto" w:before="77"/>
              <w:ind w:right="23"/>
              <w:jc w:val="right"/>
              <w:rPr>
                <w:rFonts w:ascii="宋体" w:hAnsi="宋体" w:cs="宋体" w:eastAsia="宋体" w:hint="default"/>
                <w:sz w:val="18"/>
                <w:szCs w:val="18"/>
              </w:rPr>
            </w:pPr>
            <w:r>
              <w:rPr>
                <w:rFonts w:ascii="宋体"/>
                <w:sz w:val="18"/>
              </w:rPr>
              <w:t>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14,831,940.5</w:t>
            </w:r>
          </w:p>
          <w:p>
            <w:pPr>
              <w:pStyle w:val="TableParagraph"/>
              <w:spacing w:line="240" w:lineRule="auto" w:before="77"/>
              <w:ind w:right="23"/>
              <w:jc w:val="right"/>
              <w:rPr>
                <w:rFonts w:ascii="宋体" w:hAnsi="宋体" w:cs="宋体" w:eastAsia="宋体" w:hint="default"/>
                <w:sz w:val="18"/>
                <w:szCs w:val="18"/>
              </w:rPr>
            </w:pPr>
            <w:r>
              <w:rPr>
                <w:rFonts w:ascii="宋体"/>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1.28%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主要系报告年度公司业绩快速增长， 增加员工奖金等福利所致。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6" w:right="0"/>
              <w:jc w:val="center"/>
              <w:rPr>
                <w:rFonts w:ascii="宋体" w:hAnsi="宋体" w:cs="宋体" w:eastAsia="宋体" w:hint="default"/>
                <w:sz w:val="18"/>
                <w:szCs w:val="18"/>
              </w:rPr>
            </w:pPr>
            <w:r>
              <w:rPr>
                <w:rFonts w:ascii="宋体"/>
                <w:sz w:val="18"/>
              </w:rPr>
              <w:t>122,385,209.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2"/>
              <w:jc w:val="right"/>
              <w:rPr>
                <w:rFonts w:ascii="宋体" w:hAnsi="宋体" w:cs="宋体" w:eastAsia="宋体" w:hint="default"/>
                <w:sz w:val="18"/>
                <w:szCs w:val="18"/>
              </w:rPr>
            </w:pPr>
            <w:r>
              <w:rPr>
                <w:rFonts w:ascii="宋体"/>
                <w:sz w:val="18"/>
              </w:rPr>
              <w:t>75,317,650.2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0.58%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主要系报告年度公司营业收入、利润</w:t>
            </w:r>
          </w:p>
        </w:tc>
      </w:tr>
    </w:tbl>
    <w:p>
      <w:pPr>
        <w:spacing w:after="0" w:line="24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674"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w:t>
            </w: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总额大幅增长，相应流转税金及所得</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税增加所致。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405,566.22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28,602.74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主要系计提的长短期借款应付利息 成本。</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299,191,739.</w:t>
            </w:r>
          </w:p>
          <w:p>
            <w:pPr>
              <w:pStyle w:val="TableParagraph"/>
              <w:spacing w:line="240" w:lineRule="auto" w:before="76"/>
              <w:ind w:right="23"/>
              <w:jc w:val="right"/>
              <w:rPr>
                <w:rFonts w:ascii="宋体" w:hAnsi="宋体" w:cs="宋体" w:eastAsia="宋体" w:hint="default"/>
                <w:sz w:val="18"/>
                <w:szCs w:val="18"/>
              </w:rPr>
            </w:pPr>
            <w:r>
              <w:rPr>
                <w:rFonts w:ascii="宋体"/>
                <w:sz w:val="18"/>
              </w:rPr>
              <w:t>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4.26%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587,949,992.</w:t>
            </w:r>
          </w:p>
          <w:p>
            <w:pPr>
              <w:pStyle w:val="TableParagraph"/>
              <w:spacing w:line="240" w:lineRule="auto" w:before="76"/>
              <w:ind w:right="23"/>
              <w:jc w:val="right"/>
              <w:rPr>
                <w:rFonts w:ascii="宋体" w:hAnsi="宋体" w:cs="宋体" w:eastAsia="宋体" w:hint="default"/>
                <w:sz w:val="18"/>
                <w:szCs w:val="18"/>
              </w:rPr>
            </w:pPr>
            <w:r>
              <w:rPr>
                <w:rFonts w:ascii="宋体"/>
                <w:sz w:val="18"/>
              </w:rPr>
              <w:t>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9.06%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-4.80%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主要系尚未支付的股权收购价款重 分类到一年内到期长期应付款。</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50,693.20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81,892,397.7</w:t>
            </w:r>
          </w:p>
          <w:p>
            <w:pPr>
              <w:pStyle w:val="TableParagraph"/>
              <w:spacing w:line="240" w:lineRule="auto" w:before="76"/>
              <w:ind w:right="23"/>
              <w:jc w:val="right"/>
              <w:rPr>
                <w:rFonts w:ascii="宋体" w:hAnsi="宋体" w:cs="宋体" w:eastAsia="宋体" w:hint="default"/>
                <w:sz w:val="18"/>
                <w:szCs w:val="18"/>
              </w:rPr>
            </w:pPr>
            <w:r>
              <w:rPr>
                <w:rFonts w:ascii="宋体"/>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1.26%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-1.26%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both"/>
              <w:rPr>
                <w:rFonts w:ascii="宋体" w:hAnsi="宋体" w:cs="宋体" w:eastAsia="宋体" w:hint="default"/>
                <w:sz w:val="18"/>
                <w:szCs w:val="18"/>
              </w:rPr>
            </w:pPr>
            <w:r>
              <w:rPr>
                <w:rFonts w:ascii="宋体" w:hAnsi="宋体" w:cs="宋体" w:eastAsia="宋体" w:hint="default"/>
                <w:sz w:val="18"/>
                <w:szCs w:val="18"/>
              </w:rPr>
              <w:t>主要系对分期支付收购对价的调整 及已明确事项重分类至其他应付款 科目所致。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13,961,324.3</w:t>
            </w:r>
          </w:p>
          <w:p>
            <w:pPr>
              <w:pStyle w:val="TableParagraph"/>
              <w:spacing w:line="240" w:lineRule="auto" w:before="76"/>
              <w:ind w:right="23"/>
              <w:jc w:val="right"/>
              <w:rPr>
                <w:rFonts w:ascii="宋体" w:hAnsi="宋体" w:cs="宋体" w:eastAsia="宋体" w:hint="default"/>
                <w:sz w:val="18"/>
                <w:szCs w:val="18"/>
              </w:rPr>
            </w:pPr>
            <w:r>
              <w:rPr>
                <w:rFonts w:ascii="宋体"/>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62,783,273.1</w:t>
            </w:r>
          </w:p>
          <w:p>
            <w:pPr>
              <w:pStyle w:val="TableParagraph"/>
              <w:spacing w:line="240" w:lineRule="auto" w:before="76"/>
              <w:ind w:right="23"/>
              <w:jc w:val="right"/>
              <w:rPr>
                <w:rFonts w:ascii="宋体" w:hAnsi="宋体" w:cs="宋体" w:eastAsia="宋体" w:hint="default"/>
                <w:sz w:val="18"/>
                <w:szCs w:val="18"/>
              </w:rPr>
            </w:pPr>
            <w:r>
              <w:rPr>
                <w:rFonts w:ascii="宋体"/>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-0.77%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主要系在资产负债表日按照相关资 </w:t>
            </w:r>
            <w:r>
              <w:rPr>
                <w:rFonts w:ascii="宋体" w:hAnsi="宋体" w:cs="宋体" w:eastAsia="宋体" w:hint="default"/>
                <w:spacing w:val="-2"/>
                <w:sz w:val="18"/>
                <w:szCs w:val="18"/>
              </w:rPr>
              <w:t>产、负债的账面价值及计税基础确认</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所致。</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2、以公允价值计量的资产和负债" w:id="42"/>
      <w:bookmarkEnd w:id="42"/>
      <w:r>
        <w:rPr>
          <w:b w:val="0"/>
          <w:bCs w:val="0"/>
        </w:rPr>
      </w:r>
      <w:r>
        <w:rPr>
          <w:rFonts w:ascii="宋体" w:hAnsi="宋体" w:cs="宋体" w:eastAsia="宋体" w:hint="default"/>
        </w:rPr>
        <w:t>2</w:t>
      </w:r>
      <w:r>
        <w:rPr/>
        <w:t>、以公允价值计量的资产和负债</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截至报告期末的资产权利受限情况" w:id="43"/>
      <w:bookmarkEnd w:id="43"/>
      <w:r>
        <w:rPr>
          <w:b w:val="0"/>
          <w:bCs w:val="0"/>
        </w:rPr>
      </w:r>
      <w:r>
        <w:rPr>
          <w:rFonts w:ascii="宋体" w:hAnsi="宋体" w:cs="宋体" w:eastAsia="宋体" w:hint="default"/>
        </w:rPr>
        <w:t>3</w:t>
      </w:r>
      <w:r>
        <w:rPr/>
        <w:t>、截至报告期末的资产权利受限情况</w:t>
      </w:r>
      <w:r>
        <w:rPr>
          <w:b w:val="0"/>
          <w:bCs w:val="0"/>
        </w:rPr>
      </w:r>
    </w:p>
    <w:p>
      <w:pPr>
        <w:spacing w:line="240" w:lineRule="auto" w:before="13"/>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2866"/>
        <w:gridCol w:w="1818"/>
        <w:gridCol w:w="4530"/>
      </w:tblGrid>
      <w:tr>
        <w:trPr>
          <w:trHeight w:val="422"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63" w:right="0"/>
              <w:jc w:val="left"/>
              <w:rPr>
                <w:rFonts w:ascii="宋体" w:hAnsi="宋体" w:cs="宋体" w:eastAsia="宋体" w:hint="default"/>
                <w:sz w:val="18"/>
                <w:szCs w:val="18"/>
              </w:rPr>
            </w:pPr>
            <w:r>
              <w:rPr>
                <w:rFonts w:ascii="宋体" w:hAnsi="宋体" w:cs="宋体" w:eastAsia="宋体" w:hint="default"/>
                <w:sz w:val="18"/>
                <w:szCs w:val="18"/>
              </w:rPr>
              <w:t>年末账面价值</w:t>
            </w:r>
          </w:p>
        </w:tc>
        <w:tc>
          <w:tcPr>
            <w:tcW w:w="4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23"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42" w:right="0"/>
              <w:jc w:val="left"/>
              <w:rPr>
                <w:rFonts w:ascii="宋体" w:hAnsi="宋体" w:cs="宋体" w:eastAsia="宋体" w:hint="default"/>
                <w:sz w:val="18"/>
                <w:szCs w:val="18"/>
              </w:rPr>
            </w:pPr>
            <w:r>
              <w:rPr>
                <w:rFonts w:ascii="宋体"/>
                <w:sz w:val="18"/>
              </w:rPr>
              <w:t>196,480,000.00</w:t>
            </w:r>
          </w:p>
        </w:tc>
        <w:tc>
          <w:tcPr>
            <w:tcW w:w="4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保函保证金，无法随意支取</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五、投资状况" w:id="44"/>
      <w:bookmarkEnd w:id="44"/>
      <w:r>
        <w:rPr>
          <w:b w:val="0"/>
          <w:bCs w:val="0"/>
        </w:rPr>
      </w:r>
      <w:r>
        <w:rPr/>
        <w:t>五、投资状况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总体情况" w:id="45"/>
      <w:bookmarkEnd w:id="45"/>
      <w:r>
        <w:rPr>
          <w:b w:val="0"/>
          <w:bCs w:val="0"/>
        </w:rPr>
      </w:r>
      <w:r>
        <w:rPr>
          <w:rFonts w:ascii="宋体" w:hAnsi="宋体" w:cs="宋体" w:eastAsia="宋体" w:hint="default"/>
        </w:rPr>
        <w:t>1</w:t>
      </w:r>
      <w:r>
        <w:rPr/>
        <w:t>、总体情况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53"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95" w:right="0"/>
              <w:jc w:val="left"/>
              <w:rPr>
                <w:rFonts w:ascii="宋体" w:hAnsi="宋体" w:cs="宋体" w:eastAsia="宋体" w:hint="default"/>
                <w:sz w:val="18"/>
                <w:szCs w:val="18"/>
              </w:rPr>
            </w:pPr>
            <w:r>
              <w:rPr>
                <w:rFonts w:ascii="宋体"/>
                <w:sz w:val="18"/>
              </w:rPr>
              <w:t>958,529,302.16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17" w:right="0"/>
              <w:jc w:val="left"/>
              <w:rPr>
                <w:rFonts w:ascii="宋体" w:hAnsi="宋体" w:cs="宋体" w:eastAsia="宋体" w:hint="default"/>
                <w:sz w:val="18"/>
                <w:szCs w:val="18"/>
              </w:rPr>
            </w:pPr>
            <w:r>
              <w:rPr>
                <w:rFonts w:ascii="宋体"/>
                <w:sz w:val="18"/>
              </w:rPr>
              <w:t>3,019,882,782.13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-68.26%</w:t>
            </w:r>
          </w:p>
        </w:tc>
      </w:tr>
    </w:tbl>
    <w:p>
      <w:pPr>
        <w:spacing w:after="0" w:line="240" w:lineRule="auto"/>
        <w:jc w:val="right"/>
        <w:rPr>
          <w:rFonts w:ascii="宋体" w:hAnsi="宋体" w:cs="宋体" w:eastAsia="宋体" w:hint="default"/>
          <w:sz w:val="18"/>
          <w:szCs w:val="18"/>
        </w:rPr>
        <w:sectPr>
          <w:pgSz w:w="11910" w:h="16840"/>
          <w:pgMar w:header="747" w:footer="1187" w:top="1060" w:bottom="1380" w:left="980" w:right="0"/>
        </w:sectPr>
      </w:pPr>
    </w:p>
    <w:p>
      <w:pPr>
        <w:spacing w:line="240" w:lineRule="auto" w:before="12"/>
        <w:rPr>
          <w:rFonts w:ascii="宋体" w:hAnsi="宋体" w:cs="宋体" w:eastAsia="宋体" w:hint="default"/>
          <w:sz w:val="2"/>
          <w:szCs w:val="2"/>
        </w:rPr>
      </w:pPr>
    </w:p>
    <w:p>
      <w:pPr>
        <w:spacing w:line="20" w:lineRule="exact"/>
        <w:ind w:left="36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400" w:right="0"/>
        <w:jc w:val="left"/>
        <w:rPr>
          <w:b w:val="0"/>
          <w:bCs w:val="0"/>
        </w:rPr>
      </w:pPr>
      <w:bookmarkStart w:name="2、报告期内获取的重大的股权投资情况" w:id="46"/>
      <w:bookmarkEnd w:id="46"/>
      <w:r>
        <w:rPr>
          <w:b w:val="0"/>
          <w:bCs w:val="0"/>
        </w:rPr>
      </w:r>
      <w:r>
        <w:rPr>
          <w:rFonts w:ascii="宋体" w:hAnsi="宋体" w:cs="宋体" w:eastAsia="宋体" w:hint="default"/>
        </w:rPr>
        <w:t>2</w:t>
      </w:r>
      <w:r>
        <w:rPr/>
        <w:t>、报告期内获取的重大的股权投资情况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400" w:right="0"/>
        <w:jc w:val="left"/>
      </w:pPr>
      <w:r>
        <w:rPr/>
        <w:t>√ 适用 □ 不适用</w:t>
      </w:r>
    </w:p>
    <w:p>
      <w:pPr>
        <w:pStyle w:val="BodyText"/>
        <w:spacing w:line="240" w:lineRule="auto" w:before="116"/>
        <w:ind w:left="0" w:right="1436"/>
        <w:jc w:val="right"/>
      </w:pPr>
      <w:r>
        <w:rPr/>
        <w:t>单位：元</w:t>
      </w:r>
    </w:p>
    <w:p>
      <w:pPr>
        <w:spacing w:line="240" w:lineRule="auto" w:before="1"/>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994"/>
        <w:gridCol w:w="1985"/>
        <w:gridCol w:w="568"/>
        <w:gridCol w:w="991"/>
        <w:gridCol w:w="568"/>
        <w:gridCol w:w="566"/>
        <w:gridCol w:w="1277"/>
        <w:gridCol w:w="708"/>
        <w:gridCol w:w="851"/>
        <w:gridCol w:w="991"/>
        <w:gridCol w:w="852"/>
        <w:gridCol w:w="1134"/>
        <w:gridCol w:w="566"/>
        <w:gridCol w:w="708"/>
        <w:gridCol w:w="1844"/>
      </w:tblGrid>
      <w:tr>
        <w:trPr>
          <w:trHeight w:val="1026"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12" w:right="41" w:hanging="270"/>
              <w:jc w:val="left"/>
              <w:rPr>
                <w:rFonts w:ascii="宋体" w:hAnsi="宋体" w:cs="宋体" w:eastAsia="宋体" w:hint="default"/>
                <w:sz w:val="18"/>
                <w:szCs w:val="18"/>
              </w:rPr>
            </w:pPr>
            <w:r>
              <w:rPr>
                <w:rFonts w:ascii="宋体" w:hAnsi="宋体" w:cs="宋体" w:eastAsia="宋体" w:hint="default"/>
                <w:sz w:val="18"/>
                <w:szCs w:val="18"/>
              </w:rPr>
              <w:t>被投资公司 名称</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26"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7"/>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0"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7"/>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6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7" w:right="78"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0"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 w:right="38"/>
              <w:jc w:val="center"/>
              <w:rPr>
                <w:rFonts w:ascii="宋体" w:hAnsi="宋体" w:cs="宋体" w:eastAsia="宋体" w:hint="default"/>
                <w:sz w:val="18"/>
                <w:szCs w:val="18"/>
              </w:rPr>
            </w:pPr>
            <w:r>
              <w:rPr>
                <w:rFonts w:ascii="宋体" w:hAnsi="宋体" w:cs="宋体" w:eastAsia="宋体" w:hint="default"/>
                <w:sz w:val="18"/>
                <w:szCs w:val="18"/>
              </w:rPr>
              <w:t>截至资产负 债表日的进 展情况</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1" w:right="0"/>
              <w:jc w:val="left"/>
              <w:rPr>
                <w:rFonts w:ascii="宋体" w:hAnsi="宋体" w:cs="宋体" w:eastAsia="宋体" w:hint="default"/>
                <w:sz w:val="18"/>
                <w:szCs w:val="18"/>
              </w:rPr>
            </w:pPr>
            <w:r>
              <w:rPr>
                <w:rFonts w:ascii="宋体" w:hAnsi="宋体" w:cs="宋体" w:eastAsia="宋体" w:hint="default"/>
                <w:sz w:val="18"/>
                <w:szCs w:val="18"/>
              </w:rPr>
              <w:t>预计收益</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71" w:right="110" w:hanging="360"/>
              <w:jc w:val="left"/>
              <w:rPr>
                <w:rFonts w:ascii="宋体" w:hAnsi="宋体" w:cs="宋体" w:eastAsia="宋体" w:hint="default"/>
                <w:sz w:val="18"/>
                <w:szCs w:val="18"/>
              </w:rPr>
            </w:pPr>
            <w:r>
              <w:rPr>
                <w:rFonts w:ascii="宋体" w:hAnsi="宋体" w:cs="宋体" w:eastAsia="宋体" w:hint="default"/>
                <w:sz w:val="18"/>
                <w:szCs w:val="18"/>
              </w:rPr>
              <w:t>本期投资盈 亏</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 w:right="7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5" w:right="0"/>
              <w:jc w:val="left"/>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59"/>
              <w:jc w:val="both"/>
              <w:rPr>
                <w:rFonts w:ascii="宋体" w:hAnsi="宋体" w:cs="宋体" w:eastAsia="宋体" w:hint="default"/>
                <w:sz w:val="18"/>
                <w:szCs w:val="18"/>
              </w:rPr>
            </w:pPr>
            <w:r>
              <w:rPr>
                <w:rFonts w:ascii="宋体" w:hAnsi="宋体" w:cs="宋体" w:eastAsia="宋体" w:hint="default"/>
                <w:sz w:val="18"/>
                <w:szCs w:val="18"/>
              </w:rPr>
              <w:t>拉萨经济技 术开发区猎 鹰网络科技 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5"/>
                <w:sz w:val="18"/>
                <w:szCs w:val="18"/>
              </w:rPr>
              <w:t>从事网络科技、计算机科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技领域内的技术开发、技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术咨询、技术服务、技术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转让；代理、发布各类广</w:t>
            </w:r>
            <w:r>
              <w:rPr>
                <w:rFonts w:ascii="宋体" w:hAnsi="宋体" w:cs="宋体" w:eastAsia="宋体" w:hint="default"/>
                <w:sz w:val="18"/>
                <w:szCs w:val="18"/>
              </w:rPr>
              <w:t> 告；</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3" w:right="0"/>
              <w:jc w:val="left"/>
              <w:rPr>
                <w:rFonts w:ascii="宋体" w:hAnsi="宋体" w:cs="宋体" w:eastAsia="宋体" w:hint="default"/>
                <w:sz w:val="18"/>
                <w:szCs w:val="18"/>
              </w:rPr>
            </w:pPr>
            <w:r>
              <w:rPr>
                <w:rFonts w:ascii="宋体"/>
                <w:sz w:val="18"/>
              </w:rPr>
              <w:t>100.0</w:t>
            </w:r>
          </w:p>
          <w:p>
            <w:pPr>
              <w:pStyle w:val="TableParagraph"/>
              <w:spacing w:line="240" w:lineRule="auto" w:before="76"/>
              <w:ind w:left="353" w:right="0"/>
              <w:jc w:val="left"/>
              <w:rPr>
                <w:rFonts w:ascii="宋体" w:hAnsi="宋体" w:cs="宋体" w:eastAsia="宋体" w:hint="default"/>
                <w:sz w:val="18"/>
                <w:szCs w:val="18"/>
              </w:rPr>
            </w:pPr>
            <w:r>
              <w:rPr>
                <w:rFonts w:ascii="宋体"/>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互联网和 相关服务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已完成设立</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191,662.37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59"/>
              <w:jc w:val="both"/>
              <w:rPr>
                <w:rFonts w:ascii="宋体" w:hAnsi="宋体" w:cs="宋体" w:eastAsia="宋体" w:hint="default"/>
                <w:sz w:val="18"/>
                <w:szCs w:val="18"/>
              </w:rPr>
            </w:pPr>
            <w:r>
              <w:rPr>
                <w:rFonts w:ascii="宋体" w:hAnsi="宋体" w:cs="宋体" w:eastAsia="宋体" w:hint="default"/>
                <w:sz w:val="18"/>
                <w:szCs w:val="18"/>
              </w:rPr>
              <w:t>上海宴杰网 络科技有限 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5"/>
                <w:sz w:val="18"/>
                <w:szCs w:val="18"/>
              </w:rPr>
              <w:t>从事网络科技、计算机科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技领域内的技术开发、技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术咨询、技术服务、技术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转让；代理、发布各类广</w:t>
            </w:r>
            <w:r>
              <w:rPr>
                <w:rFonts w:ascii="宋体" w:hAnsi="宋体" w:cs="宋体" w:eastAsia="宋体" w:hint="default"/>
                <w:sz w:val="18"/>
                <w:szCs w:val="18"/>
              </w:rPr>
              <w:t> 告；</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3" w:right="0"/>
              <w:jc w:val="left"/>
              <w:rPr>
                <w:rFonts w:ascii="宋体" w:hAnsi="宋体" w:cs="宋体" w:eastAsia="宋体" w:hint="default"/>
                <w:sz w:val="18"/>
                <w:szCs w:val="18"/>
              </w:rPr>
            </w:pPr>
            <w:r>
              <w:rPr>
                <w:rFonts w:ascii="宋体"/>
                <w:sz w:val="18"/>
              </w:rPr>
              <w:t>100.0</w:t>
            </w:r>
          </w:p>
          <w:p>
            <w:pPr>
              <w:pStyle w:val="TableParagraph"/>
              <w:spacing w:line="240" w:lineRule="auto" w:before="76"/>
              <w:ind w:left="353" w:right="0"/>
              <w:jc w:val="left"/>
              <w:rPr>
                <w:rFonts w:ascii="宋体" w:hAnsi="宋体" w:cs="宋体" w:eastAsia="宋体" w:hint="default"/>
                <w:sz w:val="18"/>
                <w:szCs w:val="18"/>
              </w:rPr>
            </w:pPr>
            <w:r>
              <w:rPr>
                <w:rFonts w:ascii="宋体"/>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互联网和 相关服务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已完成设立</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-4,885.49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4" w:right="59"/>
              <w:jc w:val="both"/>
              <w:rPr>
                <w:rFonts w:ascii="宋体" w:hAnsi="宋体" w:cs="宋体" w:eastAsia="宋体" w:hint="default"/>
                <w:sz w:val="18"/>
                <w:szCs w:val="18"/>
              </w:rPr>
            </w:pPr>
            <w:r>
              <w:rPr>
                <w:rFonts w:ascii="宋体" w:hAnsi="宋体" w:cs="宋体" w:eastAsia="宋体" w:hint="default"/>
                <w:sz w:val="18"/>
                <w:szCs w:val="18"/>
              </w:rPr>
              <w:t>天津六六游 科技有限公 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科学研究和技术服务业</w:t>
            </w:r>
            <w:r>
              <w:rPr>
                <w:rFonts w:ascii="宋体" w:hAnsi="宋体" w:cs="宋体" w:eastAsia="宋体" w:hint="default"/>
                <w:sz w:val="18"/>
                <w:szCs w:val="18"/>
              </w:rPr>
              <w:t>; </w:t>
            </w:r>
            <w:r>
              <w:rPr>
                <w:rFonts w:ascii="宋体" w:hAnsi="宋体" w:cs="宋体" w:eastAsia="宋体" w:hint="default"/>
                <w:spacing w:val="-5"/>
                <w:sz w:val="18"/>
                <w:szCs w:val="18"/>
              </w:rPr>
              <w:t>信息传输、软件和信息技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术服务业</w:t>
            </w:r>
            <w:r>
              <w:rPr>
                <w:rFonts w:ascii="宋体" w:hAnsi="宋体" w:cs="宋体" w:eastAsia="宋体" w:hint="default"/>
                <w:sz w:val="18"/>
                <w:szCs w:val="18"/>
              </w:rPr>
              <w:t>;</w:t>
            </w:r>
            <w:r>
              <w:rPr>
                <w:rFonts w:ascii="宋体" w:hAnsi="宋体" w:cs="宋体" w:eastAsia="宋体" w:hint="default"/>
                <w:sz w:val="18"/>
                <w:szCs w:val="18"/>
              </w:rPr>
              <w:t>商务服务业</w:t>
            </w:r>
            <w:r>
              <w:rPr>
                <w:rFonts w:ascii="宋体" w:hAnsi="宋体" w:cs="宋体" w:eastAsia="宋体" w:hint="default"/>
                <w:sz w:val="18"/>
                <w:szCs w:val="18"/>
              </w:rPr>
              <w:t>; </w:t>
            </w:r>
            <w:r>
              <w:rPr>
                <w:rFonts w:ascii="宋体" w:hAnsi="宋体" w:cs="宋体" w:eastAsia="宋体" w:hint="default"/>
                <w:sz w:val="18"/>
                <w:szCs w:val="18"/>
              </w:rPr>
              <w:t>批发和零售业。</w:t>
            </w:r>
            <w:r>
              <w:rPr>
                <w:rFonts w:ascii="宋体" w:hAnsi="宋体" w:cs="宋体" w:eastAsia="宋体" w:hint="default"/>
                <w:sz w:val="18"/>
                <w:szCs w:val="18"/>
              </w:rPr>
              <w:t>(</w:t>
            </w:r>
            <w:r>
              <w:rPr>
                <w:rFonts w:ascii="宋体" w:hAnsi="宋体" w:cs="宋体" w:eastAsia="宋体" w:hint="default"/>
                <w:sz w:val="18"/>
                <w:szCs w:val="18"/>
              </w:rPr>
              <w:t>依法须 经批准的项目</w:t>
            </w:r>
            <w:r>
              <w:rPr>
                <w:rFonts w:ascii="宋体" w:hAnsi="宋体" w:cs="宋体" w:eastAsia="宋体" w:hint="default"/>
                <w:sz w:val="18"/>
                <w:szCs w:val="18"/>
              </w:rPr>
              <w:t>,</w:t>
            </w:r>
            <w:r>
              <w:rPr>
                <w:rFonts w:ascii="宋体" w:hAnsi="宋体" w:cs="宋体" w:eastAsia="宋体" w:hint="default"/>
                <w:sz w:val="18"/>
                <w:szCs w:val="18"/>
              </w:rPr>
              <w:t>经相关部 门批准后方可开展经营 活动</w:t>
            </w:r>
            <w:r>
              <w:rPr>
                <w:rFonts w:ascii="宋体" w:hAnsi="宋体" w:cs="宋体" w:eastAsia="宋体" w:hint="default"/>
                <w:sz w:val="18"/>
                <w:szCs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宋体" w:hAnsi="宋体" w:cs="宋体" w:eastAsia="宋体" w:hint="default"/>
                <w:sz w:val="18"/>
                <w:szCs w:val="18"/>
              </w:rPr>
            </w:pPr>
            <w:r>
              <w:rPr>
                <w:rFonts w:ascii="宋体"/>
                <w:sz w:val="18"/>
              </w:rPr>
              <w:t>16,000,000</w:t>
            </w:r>
          </w:p>
          <w:p>
            <w:pPr>
              <w:pStyle w:val="TableParagraph"/>
              <w:spacing w:line="240" w:lineRule="auto" w:before="77"/>
              <w:ind w:right="20"/>
              <w:jc w:val="right"/>
              <w:rPr>
                <w:rFonts w:ascii="宋体" w:hAnsi="宋体" w:cs="宋体" w:eastAsia="宋体" w:hint="default"/>
                <w:sz w:val="18"/>
                <w:szCs w:val="18"/>
              </w:rPr>
            </w:pPr>
            <w:r>
              <w:rPr>
                <w:rFonts w:ascii="宋体"/>
                <w:sz w:val="18"/>
              </w:rPr>
              <w:t>.00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3"/>
              <w:jc w:val="right"/>
              <w:rPr>
                <w:rFonts w:ascii="宋体" w:hAnsi="宋体" w:cs="宋体" w:eastAsia="宋体" w:hint="default"/>
                <w:sz w:val="18"/>
                <w:szCs w:val="18"/>
              </w:rPr>
            </w:pPr>
            <w:r>
              <w:rPr>
                <w:rFonts w:ascii="宋体"/>
                <w:sz w:val="18"/>
              </w:rPr>
              <w:t>20.00</w:t>
            </w:r>
          </w:p>
          <w:p>
            <w:pPr>
              <w:pStyle w:val="TableParagraph"/>
              <w:spacing w:line="240" w:lineRule="auto" w:before="77"/>
              <w:ind w:right="23"/>
              <w:jc w:val="righ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z w:val="18"/>
                <w:szCs w:val="18"/>
              </w:rPr>
              <w:t>成都奇鲁科技 </w:t>
            </w:r>
            <w:r>
              <w:rPr>
                <w:rFonts w:ascii="宋体" w:hAnsi="宋体" w:cs="宋体" w:eastAsia="宋体" w:hint="default"/>
                <w:spacing w:val="-6"/>
                <w:sz w:val="18"/>
                <w:szCs w:val="18"/>
              </w:rPr>
              <w:t>有限公司、何世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96"/>
              <w:jc w:val="left"/>
              <w:rPr>
                <w:rFonts w:ascii="宋体" w:hAnsi="宋体" w:cs="宋体" w:eastAsia="宋体" w:hint="default"/>
                <w:sz w:val="18"/>
                <w:szCs w:val="18"/>
              </w:rPr>
            </w:pPr>
            <w:r>
              <w:rPr>
                <w:rFonts w:ascii="宋体" w:hAnsi="宋体" w:cs="宋体" w:eastAsia="宋体" w:hint="default"/>
                <w:sz w:val="18"/>
                <w:szCs w:val="18"/>
              </w:rPr>
              <w:t>互联网和 相关服务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已完成设立</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3"/>
              <w:jc w:val="right"/>
              <w:rPr>
                <w:rFonts w:ascii="宋体" w:hAnsi="宋体" w:cs="宋体" w:eastAsia="宋体" w:hint="default"/>
                <w:sz w:val="18"/>
                <w:szCs w:val="18"/>
              </w:rPr>
            </w:pPr>
            <w:r>
              <w:rPr>
                <w:rFonts w:ascii="宋体"/>
                <w:sz w:val="18"/>
              </w:rPr>
              <w:t>1,715,416.4</w:t>
            </w:r>
          </w:p>
          <w:p>
            <w:pPr>
              <w:pStyle w:val="TableParagraph"/>
              <w:spacing w:line="240" w:lineRule="auto" w:before="77"/>
              <w:ind w:right="23"/>
              <w:jc w:val="right"/>
              <w:rPr>
                <w:rFonts w:ascii="宋体" w:hAnsi="宋体" w:cs="宋体" w:eastAsia="宋体" w:hint="default"/>
                <w:sz w:val="18"/>
                <w:szCs w:val="18"/>
              </w:rPr>
            </w:pPr>
            <w:r>
              <w:rPr>
                <w:rFonts w:ascii="宋体"/>
                <w:sz w:val="18"/>
              </w:rPr>
              <w:t>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129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24" w:right="59"/>
              <w:jc w:val="both"/>
              <w:rPr>
                <w:rFonts w:ascii="宋体" w:hAnsi="宋体" w:cs="宋体" w:eastAsia="宋体" w:hint="default"/>
                <w:sz w:val="18"/>
                <w:szCs w:val="18"/>
              </w:rPr>
            </w:pPr>
            <w:r>
              <w:rPr>
                <w:rFonts w:ascii="宋体" w:hAnsi="宋体" w:cs="宋体" w:eastAsia="宋体" w:hint="default"/>
                <w:sz w:val="18"/>
                <w:szCs w:val="18"/>
              </w:rPr>
              <w:t>北京奇酷工 场科技有限 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5"/>
                <w:sz w:val="18"/>
                <w:szCs w:val="18"/>
              </w:rPr>
              <w:t>从事互联网文化活动；技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术推广服务；经济贸易咨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询；企业策划；设计、制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作、代理、发布广告；会</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20"/>
              <w:jc w:val="right"/>
              <w:rPr>
                <w:rFonts w:ascii="宋体" w:hAnsi="宋体" w:cs="宋体" w:eastAsia="宋体" w:hint="default"/>
                <w:sz w:val="18"/>
                <w:szCs w:val="18"/>
              </w:rPr>
            </w:pPr>
            <w:r>
              <w:rPr>
                <w:rFonts w:ascii="宋体"/>
                <w:sz w:val="18"/>
              </w:rPr>
              <w:t>70,000,000</w:t>
            </w:r>
          </w:p>
          <w:p>
            <w:pPr>
              <w:pStyle w:val="TableParagraph"/>
              <w:spacing w:line="240" w:lineRule="auto" w:before="77"/>
              <w:ind w:right="20"/>
              <w:jc w:val="right"/>
              <w:rPr>
                <w:rFonts w:ascii="宋体" w:hAnsi="宋体" w:cs="宋体" w:eastAsia="宋体" w:hint="default"/>
                <w:sz w:val="18"/>
                <w:szCs w:val="18"/>
              </w:rPr>
            </w:pPr>
            <w:r>
              <w:rPr>
                <w:rFonts w:ascii="宋体"/>
                <w:sz w:val="18"/>
              </w:rPr>
              <w:t>.00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23"/>
              <w:jc w:val="right"/>
              <w:rPr>
                <w:rFonts w:ascii="宋体" w:hAnsi="宋体" w:cs="宋体" w:eastAsia="宋体" w:hint="default"/>
                <w:sz w:val="18"/>
                <w:szCs w:val="18"/>
              </w:rPr>
            </w:pPr>
            <w:r>
              <w:rPr>
                <w:rFonts w:ascii="宋体"/>
                <w:sz w:val="18"/>
              </w:rPr>
              <w:t>20.00</w:t>
            </w:r>
          </w:p>
          <w:p>
            <w:pPr>
              <w:pStyle w:val="TableParagraph"/>
              <w:spacing w:line="240" w:lineRule="auto" w:before="77"/>
              <w:ind w:right="23"/>
              <w:jc w:val="righ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1277"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王琦、穆立志、 北京鑫富恒通 科技有限公司、 北京天神互动</w:t>
            </w:r>
          </w:p>
        </w:tc>
        <w:tc>
          <w:tcPr>
            <w:tcW w:w="70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2" w:right="96"/>
              <w:jc w:val="left"/>
              <w:rPr>
                <w:rFonts w:ascii="宋体" w:hAnsi="宋体" w:cs="宋体" w:eastAsia="宋体" w:hint="default"/>
                <w:sz w:val="18"/>
                <w:szCs w:val="18"/>
              </w:rPr>
            </w:pPr>
            <w:r>
              <w:rPr>
                <w:rFonts w:ascii="宋体" w:hAnsi="宋体" w:cs="宋体" w:eastAsia="宋体" w:hint="default"/>
                <w:sz w:val="18"/>
                <w:szCs w:val="18"/>
              </w:rPr>
              <w:t>互联网和 相关服务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2" w:right="56"/>
              <w:jc w:val="left"/>
              <w:rPr>
                <w:rFonts w:ascii="宋体" w:hAnsi="宋体" w:cs="宋体" w:eastAsia="宋体" w:hint="default"/>
                <w:sz w:val="18"/>
                <w:szCs w:val="18"/>
              </w:rPr>
            </w:pPr>
            <w:r>
              <w:rPr>
                <w:rFonts w:ascii="宋体" w:hAnsi="宋体" w:cs="宋体" w:eastAsia="宋体" w:hint="default"/>
                <w:sz w:val="18"/>
                <w:szCs w:val="18"/>
              </w:rPr>
              <w:t>已完成股权 收购</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23"/>
              <w:jc w:val="right"/>
              <w:rPr>
                <w:rFonts w:ascii="宋体" w:hAnsi="宋体" w:cs="宋体" w:eastAsia="宋体" w:hint="default"/>
                <w:sz w:val="18"/>
                <w:szCs w:val="18"/>
              </w:rPr>
            </w:pPr>
            <w:r>
              <w:rPr>
                <w:rFonts w:ascii="宋体"/>
                <w:sz w:val="18"/>
              </w:rPr>
              <w:t>5,118,679.7</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宋体" w:hAnsi="宋体" w:cs="宋体" w:eastAsia="宋体" w:hint="default"/>
                  <w:sz w:val="18"/>
                  <w:szCs w:val="18"/>
                </w:rPr>
                <w:t>www.cninfo.com.cn</w:t>
              </w:r>
            </w:hyperlink>
          </w:p>
          <w:p>
            <w:pPr>
              <w:pStyle w:val="TableParagraph"/>
              <w:spacing w:line="316" w:lineRule="auto" w:before="76"/>
              <w:ind w:left="22" w:right="21"/>
              <w:jc w:val="left"/>
              <w:rPr>
                <w:rFonts w:ascii="宋体" w:hAnsi="宋体" w:cs="宋体" w:eastAsia="宋体" w:hint="default"/>
                <w:sz w:val="18"/>
                <w:szCs w:val="18"/>
              </w:rPr>
            </w:pPr>
            <w:r>
              <w:rPr>
                <w:rFonts w:ascii="宋体" w:hAnsi="宋体" w:cs="宋体" w:eastAsia="宋体" w:hint="default"/>
                <w:spacing w:val="-2"/>
                <w:sz w:val="18"/>
                <w:szCs w:val="18"/>
              </w:rPr>
              <w:t>）公司披露的《关于购</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买北京奇酷工场科技</w:t>
            </w:r>
          </w:p>
        </w:tc>
      </w:tr>
    </w:tbl>
    <w:p>
      <w:pPr>
        <w:spacing w:after="0" w:line="316" w:lineRule="auto"/>
        <w:jc w:val="left"/>
        <w:rPr>
          <w:rFonts w:ascii="宋体" w:hAnsi="宋体" w:cs="宋体" w:eastAsia="宋体" w:hint="default"/>
          <w:sz w:val="18"/>
          <w:szCs w:val="18"/>
        </w:rPr>
        <w:sectPr>
          <w:headerReference w:type="default" r:id="rId14"/>
          <w:footerReference w:type="default" r:id="rId15"/>
          <w:pgSz w:w="16840" w:h="11910" w:orient="landscape"/>
          <w:pgMar w:header="867" w:footer="1187" w:top="1060" w:bottom="1380" w:left="1040" w:right="0"/>
          <w:pgNumType w:start="25"/>
        </w:sectPr>
      </w:pPr>
    </w:p>
    <w:p>
      <w:pPr>
        <w:spacing w:line="240" w:lineRule="auto" w:before="4"/>
        <w:rPr>
          <w:rFonts w:ascii="Times New Roman" w:hAnsi="Times New Roman" w:cs="Times New Roman" w:eastAsia="Times New Roman"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994"/>
        <w:gridCol w:w="1985"/>
        <w:gridCol w:w="568"/>
        <w:gridCol w:w="991"/>
        <w:gridCol w:w="568"/>
        <w:gridCol w:w="566"/>
        <w:gridCol w:w="1277"/>
        <w:gridCol w:w="708"/>
        <w:gridCol w:w="851"/>
        <w:gridCol w:w="991"/>
        <w:gridCol w:w="852"/>
        <w:gridCol w:w="1134"/>
        <w:gridCol w:w="566"/>
        <w:gridCol w:w="708"/>
        <w:gridCol w:w="1844"/>
      </w:tblGrid>
      <w:tr>
        <w:trPr>
          <w:trHeight w:val="689" w:hRule="exact"/>
        </w:trPr>
        <w:tc>
          <w:tcPr>
            <w:tcW w:w="994" w:type="dxa"/>
            <w:tcBorders>
              <w:top w:val="single" w:sz="15" w:space="0" w:color="000000"/>
              <w:left w:val="single" w:sz="4" w:space="0" w:color="000000"/>
              <w:bottom w:val="single" w:sz="4" w:space="0" w:color="000000"/>
              <w:right w:val="single" w:sz="4" w:space="0" w:color="000000"/>
            </w:tcBorders>
          </w:tcPr>
          <w:p>
            <w:pPr/>
          </w:p>
        </w:tc>
        <w:tc>
          <w:tcPr>
            <w:tcW w:w="1985"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5"/>
                <w:sz w:val="18"/>
                <w:szCs w:val="18"/>
              </w:rPr>
              <w:t>议及展览服务；货物进出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口、技术进出口。</w:t>
            </w:r>
          </w:p>
        </w:tc>
        <w:tc>
          <w:tcPr>
            <w:tcW w:w="568"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708" w:type="dxa"/>
            <w:tcBorders>
              <w:top w:val="single" w:sz="15" w:space="0" w:color="000000"/>
              <w:left w:val="single" w:sz="4" w:space="0" w:color="000000"/>
              <w:bottom w:val="single" w:sz="4" w:space="0" w:color="000000"/>
              <w:right w:val="single" w:sz="4" w:space="0" w:color="000000"/>
            </w:tcBorders>
          </w:tcPr>
          <w:p>
            <w:pPr/>
          </w:p>
        </w:tc>
        <w:tc>
          <w:tcPr>
            <w:tcW w:w="851"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852"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1844"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54"/>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z w:val="18"/>
                <w:szCs w:val="18"/>
              </w:rPr>
              <w:t>股权的公 告》</w:t>
            </w:r>
          </w:p>
        </w:tc>
      </w:tr>
      <w:tr>
        <w:trPr>
          <w:trHeight w:val="133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9"/>
              <w:jc w:val="left"/>
              <w:rPr>
                <w:rFonts w:ascii="宋体" w:hAnsi="宋体" w:cs="宋体" w:eastAsia="宋体" w:hint="default"/>
                <w:sz w:val="18"/>
                <w:szCs w:val="18"/>
              </w:rPr>
            </w:pPr>
            <w:r>
              <w:rPr>
                <w:rFonts w:ascii="宋体"/>
                <w:sz w:val="18"/>
              </w:rPr>
              <w:t>POLARITY INTERNET TECHNOLOGI ES SRL</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1"/>
              <w:jc w:val="left"/>
              <w:rPr>
                <w:rFonts w:ascii="宋体" w:hAnsi="宋体" w:cs="宋体" w:eastAsia="宋体" w:hint="default"/>
                <w:sz w:val="18"/>
                <w:szCs w:val="18"/>
              </w:rPr>
            </w:pPr>
            <w:r>
              <w:rPr>
                <w:rFonts w:ascii="宋体" w:hAnsi="宋体" w:cs="宋体" w:eastAsia="宋体" w:hint="default"/>
                <w:spacing w:val="-5"/>
                <w:sz w:val="18"/>
                <w:szCs w:val="18"/>
              </w:rPr>
              <w:t>互联网软件开发、应用和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分发</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334.41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83" w:right="0"/>
              <w:jc w:val="left"/>
              <w:rPr>
                <w:rFonts w:ascii="宋体" w:hAnsi="宋体" w:cs="宋体" w:eastAsia="宋体" w:hint="default"/>
                <w:sz w:val="18"/>
                <w:szCs w:val="18"/>
              </w:rPr>
            </w:pPr>
            <w:r>
              <w:rPr>
                <w:rFonts w:ascii="宋体"/>
                <w:sz w:val="18"/>
              </w:rPr>
              <w:t>100.0</w:t>
            </w:r>
          </w:p>
          <w:p>
            <w:pPr>
              <w:pStyle w:val="TableParagraph"/>
              <w:spacing w:line="240" w:lineRule="auto" w:before="76"/>
              <w:ind w:left="353" w:right="0"/>
              <w:jc w:val="left"/>
              <w:rPr>
                <w:rFonts w:ascii="宋体" w:hAnsi="宋体" w:cs="宋体" w:eastAsia="宋体" w:hint="default"/>
                <w:sz w:val="18"/>
                <w:szCs w:val="18"/>
              </w:rPr>
            </w:pPr>
            <w:r>
              <w:rPr>
                <w:rFonts w:ascii="宋体"/>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96"/>
              <w:jc w:val="left"/>
              <w:rPr>
                <w:rFonts w:ascii="宋体" w:hAnsi="宋体" w:cs="宋体" w:eastAsia="宋体" w:hint="default"/>
                <w:sz w:val="18"/>
                <w:szCs w:val="18"/>
              </w:rPr>
            </w:pPr>
            <w:r>
              <w:rPr>
                <w:rFonts w:ascii="宋体" w:hAnsi="宋体" w:cs="宋体" w:eastAsia="宋体" w:hint="default"/>
                <w:sz w:val="18"/>
                <w:szCs w:val="18"/>
              </w:rPr>
              <w:t>互联网和 相关服务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已完成设立</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宋体" w:hAnsi="宋体" w:cs="宋体" w:eastAsia="宋体" w:hint="default"/>
                <w:sz w:val="18"/>
                <w:szCs w:val="18"/>
              </w:rPr>
            </w:pPr>
            <w:r>
              <w:rPr>
                <w:rFonts w:ascii="宋体"/>
                <w:sz w:val="18"/>
              </w:rPr>
              <w:t>-26,118.59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8"/>
              <w:jc w:val="left"/>
              <w:rPr>
                <w:rFonts w:ascii="宋体" w:hAnsi="宋体" w:cs="宋体" w:eastAsia="宋体" w:hint="default"/>
                <w:sz w:val="18"/>
                <w:szCs w:val="18"/>
              </w:rPr>
            </w:pPr>
            <w:r>
              <w:rPr>
                <w:rFonts w:ascii="宋体"/>
                <w:sz w:val="18"/>
              </w:rPr>
              <w:t>SPRINGTECH LTD</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5"/>
                <w:sz w:val="18"/>
                <w:szCs w:val="18"/>
              </w:rPr>
              <w:t>互联网软件开发、应用和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分发</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7,691.72</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 w:right="0"/>
              <w:jc w:val="left"/>
              <w:rPr>
                <w:rFonts w:ascii="宋体" w:hAnsi="宋体" w:cs="宋体" w:eastAsia="宋体" w:hint="default"/>
                <w:sz w:val="18"/>
                <w:szCs w:val="18"/>
              </w:rPr>
            </w:pPr>
            <w:r>
              <w:rPr>
                <w:rFonts w:ascii="宋体"/>
                <w:sz w:val="18"/>
              </w:rPr>
              <w:t>100.0</w:t>
            </w:r>
          </w:p>
          <w:p>
            <w:pPr>
              <w:pStyle w:val="TableParagraph"/>
              <w:spacing w:line="240" w:lineRule="auto" w:before="76"/>
              <w:ind w:left="353" w:right="0"/>
              <w:jc w:val="left"/>
              <w:rPr>
                <w:rFonts w:ascii="宋体" w:hAnsi="宋体" w:cs="宋体" w:eastAsia="宋体" w:hint="default"/>
                <w:sz w:val="18"/>
                <w:szCs w:val="18"/>
              </w:rPr>
            </w:pPr>
            <w:r>
              <w:rPr>
                <w:rFonts w:ascii="宋体"/>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互联网和 相关服务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已完成设立</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-39,936.66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48"/>
              <w:jc w:val="left"/>
              <w:rPr>
                <w:rFonts w:ascii="宋体" w:hAnsi="宋体" w:cs="宋体" w:eastAsia="宋体" w:hint="default"/>
                <w:sz w:val="18"/>
                <w:szCs w:val="18"/>
              </w:rPr>
            </w:pPr>
            <w:r>
              <w:rPr>
                <w:rFonts w:ascii="宋体"/>
                <w:sz w:val="18"/>
              </w:rPr>
              <w:t>BETTER CLOUD SOLUTIONS LTD</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1"/>
              <w:jc w:val="left"/>
              <w:rPr>
                <w:rFonts w:ascii="宋体" w:hAnsi="宋体" w:cs="宋体" w:eastAsia="宋体" w:hint="default"/>
                <w:sz w:val="18"/>
                <w:szCs w:val="18"/>
              </w:rPr>
            </w:pPr>
            <w:r>
              <w:rPr>
                <w:rFonts w:ascii="宋体" w:hAnsi="宋体" w:cs="宋体" w:eastAsia="宋体" w:hint="default"/>
                <w:spacing w:val="-5"/>
                <w:sz w:val="18"/>
                <w:szCs w:val="18"/>
              </w:rPr>
              <w:t>互联网软件开发、应用和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分发</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7,610.80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83" w:right="0"/>
              <w:jc w:val="left"/>
              <w:rPr>
                <w:rFonts w:ascii="宋体" w:hAnsi="宋体" w:cs="宋体" w:eastAsia="宋体" w:hint="default"/>
                <w:sz w:val="18"/>
                <w:szCs w:val="18"/>
              </w:rPr>
            </w:pPr>
            <w:r>
              <w:rPr>
                <w:rFonts w:ascii="宋体"/>
                <w:sz w:val="18"/>
              </w:rPr>
              <w:t>100.0</w:t>
            </w:r>
          </w:p>
          <w:p>
            <w:pPr>
              <w:pStyle w:val="TableParagraph"/>
              <w:spacing w:line="240" w:lineRule="auto" w:before="76"/>
              <w:ind w:left="353" w:right="0"/>
              <w:jc w:val="left"/>
              <w:rPr>
                <w:rFonts w:ascii="宋体" w:hAnsi="宋体" w:cs="宋体" w:eastAsia="宋体" w:hint="default"/>
                <w:sz w:val="18"/>
                <w:szCs w:val="18"/>
              </w:rPr>
            </w:pPr>
            <w:r>
              <w:rPr>
                <w:rFonts w:ascii="宋体"/>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96"/>
              <w:jc w:val="left"/>
              <w:rPr>
                <w:rFonts w:ascii="宋体" w:hAnsi="宋体" w:cs="宋体" w:eastAsia="宋体" w:hint="default"/>
                <w:sz w:val="18"/>
                <w:szCs w:val="18"/>
              </w:rPr>
            </w:pPr>
            <w:r>
              <w:rPr>
                <w:rFonts w:ascii="宋体" w:hAnsi="宋体" w:cs="宋体" w:eastAsia="宋体" w:hint="default"/>
                <w:sz w:val="18"/>
                <w:szCs w:val="18"/>
              </w:rPr>
              <w:t>互联网和 相关服务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已完成设立</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宋体" w:hAnsi="宋体" w:cs="宋体" w:eastAsia="宋体" w:hint="default"/>
                <w:sz w:val="18"/>
                <w:szCs w:val="18"/>
              </w:rPr>
            </w:pPr>
            <w:r>
              <w:rPr>
                <w:rFonts w:ascii="宋体"/>
                <w:sz w:val="18"/>
              </w:rPr>
              <w:t>-39,936.66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59"/>
              <w:jc w:val="both"/>
              <w:rPr>
                <w:rFonts w:ascii="宋体" w:hAnsi="宋体" w:cs="宋体" w:eastAsia="宋体" w:hint="default"/>
                <w:sz w:val="18"/>
                <w:szCs w:val="18"/>
              </w:rPr>
            </w:pPr>
            <w:r>
              <w:rPr>
                <w:rFonts w:ascii="宋体" w:hAnsi="宋体" w:cs="宋体" w:eastAsia="宋体" w:hint="default"/>
                <w:sz w:val="18"/>
                <w:szCs w:val="18"/>
              </w:rPr>
              <w:t>西藏智媒网 络科技有限 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both"/>
              <w:rPr>
                <w:rFonts w:ascii="宋体" w:hAnsi="宋体" w:cs="宋体" w:eastAsia="宋体" w:hint="default"/>
                <w:sz w:val="18"/>
                <w:szCs w:val="18"/>
              </w:rPr>
            </w:pPr>
            <w:r>
              <w:rPr>
                <w:rFonts w:ascii="宋体" w:hAnsi="宋体" w:cs="宋体" w:eastAsia="宋体" w:hint="default"/>
                <w:spacing w:val="-5"/>
                <w:sz w:val="18"/>
                <w:szCs w:val="18"/>
              </w:rPr>
              <w:t>从事网络科技、计算机科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技领域内的技术开发、技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术咨询、技术服务、技术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转让；网络游戏开发、运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营与维护；</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30,000,000</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83" w:right="0"/>
              <w:jc w:val="left"/>
              <w:rPr>
                <w:rFonts w:ascii="宋体" w:hAnsi="宋体" w:cs="宋体" w:eastAsia="宋体" w:hint="default"/>
                <w:sz w:val="18"/>
                <w:szCs w:val="18"/>
              </w:rPr>
            </w:pPr>
            <w:r>
              <w:rPr>
                <w:rFonts w:ascii="宋体"/>
                <w:sz w:val="18"/>
              </w:rPr>
              <w:t>100.0</w:t>
            </w:r>
          </w:p>
          <w:p>
            <w:pPr>
              <w:pStyle w:val="TableParagraph"/>
              <w:spacing w:line="240" w:lineRule="auto" w:before="76"/>
              <w:ind w:left="353" w:right="0"/>
              <w:jc w:val="left"/>
              <w:rPr>
                <w:rFonts w:ascii="宋体" w:hAnsi="宋体" w:cs="宋体" w:eastAsia="宋体" w:hint="default"/>
                <w:sz w:val="18"/>
                <w:szCs w:val="18"/>
              </w:rPr>
            </w:pPr>
            <w:r>
              <w:rPr>
                <w:rFonts w:ascii="宋体"/>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互联网和 相关服务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已完成设立</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-82,800.82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宋体" w:hAnsi="宋体" w:cs="宋体" w:eastAsia="宋体" w:hint="default"/>
                  <w:sz w:val="18"/>
                  <w:szCs w:val="18"/>
                </w:rPr>
                <w:t>www.cninfo.com.cn</w:t>
              </w:r>
            </w:hyperlink>
          </w:p>
          <w:p>
            <w:pPr>
              <w:pStyle w:val="TableParagraph"/>
              <w:spacing w:line="319" w:lineRule="auto" w:before="76"/>
              <w:ind w:left="22" w:right="21"/>
              <w:jc w:val="left"/>
              <w:rPr>
                <w:rFonts w:ascii="宋体" w:hAnsi="宋体" w:cs="宋体" w:eastAsia="宋体" w:hint="default"/>
                <w:sz w:val="18"/>
                <w:szCs w:val="18"/>
              </w:rPr>
            </w:pPr>
            <w:r>
              <w:rPr>
                <w:rFonts w:ascii="宋体" w:hAnsi="宋体" w:cs="宋体" w:eastAsia="宋体" w:hint="default"/>
                <w:spacing w:val="-2"/>
                <w:sz w:val="18"/>
                <w:szCs w:val="18"/>
              </w:rPr>
              <w:t>）公司披露的《关于增</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资全资子公司并对外 投资产业投资基金的 公告》</w:t>
            </w:r>
          </w:p>
        </w:tc>
      </w:tr>
      <w:tr>
        <w:trPr>
          <w:trHeight w:val="196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智度投资</w:t>
            </w:r>
          </w:p>
          <w:p>
            <w:pPr>
              <w:pStyle w:val="TableParagraph"/>
              <w:spacing w:line="319" w:lineRule="auto" w:before="75"/>
              <w:ind w:left="24" w:right="59"/>
              <w:jc w:val="left"/>
              <w:rPr>
                <w:rFonts w:ascii="宋体" w:hAnsi="宋体" w:cs="宋体" w:eastAsia="宋体" w:hint="default"/>
                <w:sz w:val="18"/>
                <w:szCs w:val="18"/>
              </w:rPr>
            </w:pPr>
            <w:r>
              <w:rPr>
                <w:rFonts w:ascii="宋体" w:hAnsi="宋体" w:cs="宋体" w:eastAsia="宋体" w:hint="default"/>
                <w:sz w:val="18"/>
                <w:szCs w:val="18"/>
              </w:rPr>
              <w:t>（香港）有 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投资与资产管理等</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58" w:right="0"/>
              <w:jc w:val="left"/>
              <w:rPr>
                <w:rFonts w:ascii="宋体" w:hAnsi="宋体" w:cs="宋体" w:eastAsia="宋体" w:hint="default"/>
                <w:sz w:val="18"/>
                <w:szCs w:val="18"/>
              </w:rPr>
            </w:pPr>
            <w:r>
              <w:rPr>
                <w:rFonts w:ascii="宋体"/>
                <w:sz w:val="18"/>
              </w:rPr>
              <w:t>199,513,66</w:t>
            </w:r>
          </w:p>
          <w:p>
            <w:pPr>
              <w:pStyle w:val="TableParagraph"/>
              <w:spacing w:line="240" w:lineRule="auto" w:before="77"/>
              <w:ind w:left="598" w:right="0"/>
              <w:jc w:val="left"/>
              <w:rPr>
                <w:rFonts w:ascii="宋体" w:hAnsi="宋体" w:cs="宋体" w:eastAsia="宋体" w:hint="default"/>
                <w:sz w:val="18"/>
                <w:szCs w:val="18"/>
              </w:rPr>
            </w:pPr>
            <w:r>
              <w:rPr>
                <w:rFonts w:ascii="宋体"/>
                <w:sz w:val="18"/>
              </w:rPr>
              <w:t>5.23</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83" w:right="0"/>
              <w:jc w:val="left"/>
              <w:rPr>
                <w:rFonts w:ascii="宋体" w:hAnsi="宋体" w:cs="宋体" w:eastAsia="宋体" w:hint="default"/>
                <w:sz w:val="18"/>
                <w:szCs w:val="18"/>
              </w:rPr>
            </w:pPr>
            <w:r>
              <w:rPr>
                <w:rFonts w:ascii="宋体"/>
                <w:sz w:val="18"/>
              </w:rPr>
              <w:t>100.0</w:t>
            </w:r>
          </w:p>
          <w:p>
            <w:pPr>
              <w:pStyle w:val="TableParagraph"/>
              <w:spacing w:line="240" w:lineRule="auto" w:before="77"/>
              <w:ind w:left="353" w:right="0"/>
              <w:jc w:val="left"/>
              <w:rPr>
                <w:rFonts w:ascii="宋体" w:hAnsi="宋体" w:cs="宋体" w:eastAsia="宋体" w:hint="default"/>
                <w:sz w:val="18"/>
                <w:szCs w:val="18"/>
              </w:rPr>
            </w:pPr>
            <w:r>
              <w:rPr>
                <w:rFonts w:ascii="宋体"/>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96"/>
              <w:jc w:val="left"/>
              <w:rPr>
                <w:rFonts w:ascii="宋体" w:hAnsi="宋体" w:cs="宋体" w:eastAsia="宋体" w:hint="default"/>
                <w:sz w:val="18"/>
                <w:szCs w:val="18"/>
              </w:rPr>
            </w:pPr>
            <w:r>
              <w:rPr>
                <w:rFonts w:ascii="宋体" w:hAnsi="宋体" w:cs="宋体" w:eastAsia="宋体" w:hint="default"/>
                <w:sz w:val="18"/>
                <w:szCs w:val="18"/>
              </w:rPr>
              <w:t>互联网和 相关服务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已完成设立</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18"/>
                <w:szCs w:val="18"/>
              </w:rPr>
            </w:pPr>
            <w:r>
              <w:rPr>
                <w:rFonts w:ascii="宋体"/>
                <w:sz w:val="18"/>
              </w:rPr>
              <w:t>22,992,282.</w:t>
            </w:r>
          </w:p>
          <w:p>
            <w:pPr>
              <w:pStyle w:val="TableParagraph"/>
              <w:spacing w:line="240" w:lineRule="auto" w:before="77"/>
              <w:ind w:right="23"/>
              <w:jc w:val="right"/>
              <w:rPr>
                <w:rFonts w:ascii="宋体" w:hAnsi="宋体" w:cs="宋体" w:eastAsia="宋体" w:hint="default"/>
                <w:sz w:val="18"/>
                <w:szCs w:val="18"/>
              </w:rPr>
            </w:pPr>
            <w:r>
              <w:rPr>
                <w:rFonts w:ascii="宋体"/>
                <w:sz w:val="18"/>
              </w:rPr>
              <w:t>27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宋体" w:hAnsi="宋体" w:cs="宋体" w:eastAsia="宋体" w:hint="default"/>
                  <w:sz w:val="18"/>
                  <w:szCs w:val="18"/>
                </w:rPr>
                <w:t>www.cninfo.com.cn</w:t>
              </w:r>
            </w:hyperlink>
          </w:p>
          <w:p>
            <w:pPr>
              <w:pStyle w:val="TableParagraph"/>
              <w:spacing w:line="319" w:lineRule="auto" w:before="76"/>
              <w:ind w:left="22" w:right="21"/>
              <w:jc w:val="left"/>
              <w:rPr>
                <w:rFonts w:ascii="宋体" w:hAnsi="宋体" w:cs="宋体" w:eastAsia="宋体" w:hint="default"/>
                <w:sz w:val="18"/>
                <w:szCs w:val="18"/>
              </w:rPr>
            </w:pPr>
            <w:r>
              <w:rPr>
                <w:rFonts w:ascii="宋体" w:hAnsi="宋体" w:cs="宋体" w:eastAsia="宋体" w:hint="default"/>
                <w:spacing w:val="-2"/>
                <w:sz w:val="18"/>
                <w:szCs w:val="18"/>
              </w:rPr>
              <w:t>）公司披露的《关于使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用募集资金向全资子 </w:t>
            </w:r>
            <w:r>
              <w:rPr>
                <w:rFonts w:ascii="宋体" w:hAnsi="宋体" w:cs="宋体" w:eastAsia="宋体" w:hint="default"/>
                <w:spacing w:val="-2"/>
                <w:sz w:val="18"/>
                <w:szCs w:val="18"/>
              </w:rPr>
              <w:t>公司、全资孙公司逐层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增资的公告》</w:t>
            </w:r>
          </w:p>
        </w:tc>
      </w:tr>
      <w:tr>
        <w:trPr>
          <w:trHeight w:val="133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9"/>
              <w:jc w:val="both"/>
              <w:rPr>
                <w:rFonts w:ascii="宋体" w:hAnsi="宋体" w:cs="宋体" w:eastAsia="宋体" w:hint="default"/>
                <w:sz w:val="18"/>
                <w:szCs w:val="18"/>
              </w:rPr>
            </w:pPr>
            <w:r>
              <w:rPr>
                <w:rFonts w:ascii="宋体" w:hAnsi="宋体" w:cs="宋体" w:eastAsia="宋体" w:hint="default"/>
                <w:sz w:val="18"/>
                <w:szCs w:val="18"/>
              </w:rPr>
              <w:t>广州市智度 互联网小额 贷款有限公 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互联网小额贷款业务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58" w:right="0"/>
              <w:jc w:val="left"/>
              <w:rPr>
                <w:rFonts w:ascii="宋体" w:hAnsi="宋体" w:cs="宋体" w:eastAsia="宋体" w:hint="default"/>
                <w:sz w:val="18"/>
                <w:szCs w:val="18"/>
              </w:rPr>
            </w:pPr>
            <w:r>
              <w:rPr>
                <w:rFonts w:ascii="宋体"/>
                <w:sz w:val="18"/>
              </w:rPr>
              <w:t>500,000,00</w:t>
            </w:r>
          </w:p>
          <w:p>
            <w:pPr>
              <w:pStyle w:val="TableParagraph"/>
              <w:spacing w:line="240" w:lineRule="auto" w:before="76"/>
              <w:ind w:left="598" w:right="0"/>
              <w:jc w:val="left"/>
              <w:rPr>
                <w:rFonts w:ascii="宋体" w:hAnsi="宋体" w:cs="宋体" w:eastAsia="宋体" w:hint="default"/>
                <w:sz w:val="18"/>
                <w:szCs w:val="18"/>
              </w:rPr>
            </w:pPr>
            <w:r>
              <w:rPr>
                <w:rFonts w:ascii="宋体"/>
                <w:sz w:val="18"/>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83" w:right="0"/>
              <w:jc w:val="left"/>
              <w:rPr>
                <w:rFonts w:ascii="宋体" w:hAnsi="宋体" w:cs="宋体" w:eastAsia="宋体" w:hint="default"/>
                <w:sz w:val="18"/>
                <w:szCs w:val="18"/>
              </w:rPr>
            </w:pPr>
            <w:r>
              <w:rPr>
                <w:rFonts w:ascii="宋体"/>
                <w:sz w:val="18"/>
              </w:rPr>
              <w:t>100.0</w:t>
            </w:r>
          </w:p>
          <w:p>
            <w:pPr>
              <w:pStyle w:val="TableParagraph"/>
              <w:spacing w:line="240" w:lineRule="auto" w:before="76"/>
              <w:ind w:left="353" w:right="0"/>
              <w:jc w:val="left"/>
              <w:rPr>
                <w:rFonts w:ascii="宋体" w:hAnsi="宋体" w:cs="宋体" w:eastAsia="宋体" w:hint="default"/>
                <w:sz w:val="18"/>
                <w:szCs w:val="18"/>
              </w:rPr>
            </w:pPr>
            <w:r>
              <w:rPr>
                <w:rFonts w:ascii="宋体"/>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96"/>
              <w:jc w:val="left"/>
              <w:rPr>
                <w:rFonts w:ascii="宋体" w:hAnsi="宋体" w:cs="宋体" w:eastAsia="宋体" w:hint="default"/>
                <w:sz w:val="18"/>
                <w:szCs w:val="18"/>
              </w:rPr>
            </w:pPr>
            <w:r>
              <w:rPr>
                <w:rFonts w:ascii="宋体" w:hAnsi="宋体" w:cs="宋体" w:eastAsia="宋体" w:hint="default"/>
                <w:sz w:val="18"/>
                <w:szCs w:val="18"/>
              </w:rPr>
              <w:t>互联网和 相关服务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已完成设立</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-1,270,395.</w:t>
            </w:r>
          </w:p>
          <w:p>
            <w:pPr>
              <w:pStyle w:val="TableParagraph"/>
              <w:spacing w:line="240" w:lineRule="auto" w:before="76"/>
              <w:ind w:right="23"/>
              <w:jc w:val="right"/>
              <w:rPr>
                <w:rFonts w:ascii="宋体" w:hAnsi="宋体" w:cs="宋体" w:eastAsia="宋体" w:hint="default"/>
                <w:sz w:val="18"/>
                <w:szCs w:val="18"/>
              </w:rPr>
            </w:pPr>
            <w:r>
              <w:rPr>
                <w:rFonts w:ascii="宋体"/>
                <w:sz w:val="18"/>
              </w:rPr>
              <w:t>86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宋体" w:hAnsi="宋体" w:cs="宋体" w:eastAsia="宋体" w:hint="default"/>
                  <w:sz w:val="18"/>
                  <w:szCs w:val="18"/>
                </w:rPr>
                <w:t>www.cninfo.com.cn</w:t>
              </w:r>
            </w:hyperlink>
          </w:p>
          <w:p>
            <w:pPr>
              <w:pStyle w:val="TableParagraph"/>
              <w:spacing w:line="316" w:lineRule="auto" w:before="76"/>
              <w:ind w:left="22" w:right="21"/>
              <w:jc w:val="left"/>
              <w:rPr>
                <w:rFonts w:ascii="宋体" w:hAnsi="宋体" w:cs="宋体" w:eastAsia="宋体" w:hint="default"/>
                <w:sz w:val="18"/>
                <w:szCs w:val="18"/>
              </w:rPr>
            </w:pPr>
            <w:r>
              <w:rPr>
                <w:rFonts w:ascii="宋体" w:hAnsi="宋体" w:cs="宋体" w:eastAsia="宋体" w:hint="default"/>
                <w:spacing w:val="-2"/>
                <w:sz w:val="18"/>
                <w:szCs w:val="18"/>
              </w:rPr>
              <w:t>）公司披露的《关于投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资设立互联网小额贷</w:t>
            </w:r>
          </w:p>
        </w:tc>
      </w:tr>
    </w:tbl>
    <w:p>
      <w:pPr>
        <w:spacing w:after="0" w:line="316" w:lineRule="auto"/>
        <w:jc w:val="left"/>
        <w:rPr>
          <w:rFonts w:ascii="宋体" w:hAnsi="宋体" w:cs="宋体" w:eastAsia="宋体" w:hint="default"/>
          <w:sz w:val="18"/>
          <w:szCs w:val="18"/>
        </w:rPr>
        <w:sectPr>
          <w:pgSz w:w="16840" w:h="11910" w:orient="landscape"/>
          <w:pgMar w:header="867" w:footer="1187" w:top="1060" w:bottom="1420" w:left="104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994"/>
        <w:gridCol w:w="1985"/>
        <w:gridCol w:w="568"/>
        <w:gridCol w:w="991"/>
        <w:gridCol w:w="568"/>
        <w:gridCol w:w="566"/>
        <w:gridCol w:w="1277"/>
        <w:gridCol w:w="708"/>
        <w:gridCol w:w="851"/>
        <w:gridCol w:w="991"/>
        <w:gridCol w:w="852"/>
        <w:gridCol w:w="1134"/>
        <w:gridCol w:w="566"/>
        <w:gridCol w:w="708"/>
        <w:gridCol w:w="1844"/>
      </w:tblGrid>
      <w:tr>
        <w:trPr>
          <w:trHeight w:val="377" w:hRule="exact"/>
        </w:trPr>
        <w:tc>
          <w:tcPr>
            <w:tcW w:w="994" w:type="dxa"/>
            <w:tcBorders>
              <w:top w:val="single" w:sz="15" w:space="0" w:color="000000"/>
              <w:left w:val="single" w:sz="4" w:space="0" w:color="000000"/>
              <w:bottom w:val="single" w:sz="4" w:space="0" w:color="000000"/>
              <w:right w:val="single" w:sz="4" w:space="0" w:color="000000"/>
            </w:tcBorders>
          </w:tcPr>
          <w:p>
            <w:pPr/>
          </w:p>
        </w:tc>
        <w:tc>
          <w:tcPr>
            <w:tcW w:w="1985"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851"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852"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184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款公司的公告 》</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9"/>
              <w:jc w:val="both"/>
              <w:rPr>
                <w:rFonts w:ascii="宋体" w:hAnsi="宋体" w:cs="宋体" w:eastAsia="宋体" w:hint="default"/>
                <w:sz w:val="18"/>
                <w:szCs w:val="18"/>
              </w:rPr>
            </w:pPr>
            <w:r>
              <w:rPr>
                <w:rFonts w:ascii="宋体" w:hAnsi="宋体" w:cs="宋体" w:eastAsia="宋体" w:hint="default"/>
                <w:sz w:val="18"/>
                <w:szCs w:val="18"/>
              </w:rPr>
              <w:t>上海智度网 络科技有限 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5"/>
                <w:sz w:val="18"/>
                <w:szCs w:val="18"/>
              </w:rPr>
              <w:t>计算机网络科技、计算机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软硬件领域内的技术开 发等</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3"/>
              <w:jc w:val="right"/>
              <w:rPr>
                <w:rFonts w:ascii="宋体" w:hAnsi="宋体" w:cs="宋体" w:eastAsia="宋体" w:hint="default"/>
                <w:sz w:val="18"/>
                <w:szCs w:val="18"/>
              </w:rPr>
            </w:pPr>
            <w:r>
              <w:rPr>
                <w:rFonts w:ascii="宋体" w:hAnsi="宋体" w:cs="宋体" w:eastAsia="宋体" w:hint="default"/>
                <w:sz w:val="18"/>
                <w:szCs w:val="18"/>
              </w:rPr>
              <w:t>新设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83" w:right="0"/>
              <w:jc w:val="left"/>
              <w:rPr>
                <w:rFonts w:ascii="宋体" w:hAnsi="宋体" w:cs="宋体" w:eastAsia="宋体" w:hint="default"/>
                <w:sz w:val="18"/>
                <w:szCs w:val="18"/>
              </w:rPr>
            </w:pPr>
            <w:r>
              <w:rPr>
                <w:rFonts w:ascii="宋体"/>
                <w:sz w:val="18"/>
              </w:rPr>
              <w:t>100.0</w:t>
            </w:r>
          </w:p>
          <w:p>
            <w:pPr>
              <w:pStyle w:val="TableParagraph"/>
              <w:spacing w:line="240" w:lineRule="auto" w:before="76"/>
              <w:ind w:left="353" w:right="0"/>
              <w:jc w:val="left"/>
              <w:rPr>
                <w:rFonts w:ascii="宋体" w:hAnsi="宋体" w:cs="宋体" w:eastAsia="宋体" w:hint="default"/>
                <w:sz w:val="18"/>
                <w:szCs w:val="18"/>
              </w:rPr>
            </w:pPr>
            <w:r>
              <w:rPr>
                <w:rFonts w:ascii="宋体"/>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3"/>
              <w:jc w:val="right"/>
              <w:rPr>
                <w:rFonts w:ascii="宋体" w:hAnsi="宋体" w:cs="宋体" w:eastAsia="宋体" w:hint="default"/>
                <w:sz w:val="18"/>
                <w:szCs w:val="18"/>
              </w:rPr>
            </w:pPr>
            <w:r>
              <w:rPr>
                <w:rFonts w:ascii="宋体" w:hAnsi="宋体" w:cs="宋体" w:eastAsia="宋体" w:hint="default"/>
                <w:sz w:val="18"/>
                <w:szCs w:val="18"/>
              </w:rPr>
              <w:t>自有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15"/>
              <w:jc w:val="right"/>
              <w:rPr>
                <w:rFonts w:ascii="宋体" w:hAnsi="宋体" w:cs="宋体" w:eastAsia="宋体" w:hint="default"/>
                <w:sz w:val="18"/>
                <w:szCs w:val="18"/>
              </w:rPr>
            </w:pPr>
            <w:r>
              <w:rPr>
                <w:rFonts w:ascii="宋体" w:hAnsi="宋体" w:cs="宋体" w:eastAsia="宋体" w:hint="default"/>
                <w:sz w:val="18"/>
                <w:szCs w:val="18"/>
              </w:rPr>
              <w:t>长期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互联网和 相关服务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5"/>
              <w:jc w:val="center"/>
              <w:rPr>
                <w:rFonts w:ascii="宋体" w:hAnsi="宋体" w:cs="宋体" w:eastAsia="宋体" w:hint="default"/>
                <w:sz w:val="18"/>
                <w:szCs w:val="18"/>
              </w:rPr>
            </w:pPr>
            <w:r>
              <w:rPr>
                <w:rFonts w:ascii="宋体" w:hAnsi="宋体" w:cs="宋体" w:eastAsia="宋体" w:hint="default"/>
                <w:sz w:val="18"/>
                <w:szCs w:val="18"/>
              </w:rPr>
              <w:t>已完成设立</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9"/>
              <w:jc w:val="both"/>
              <w:rPr>
                <w:rFonts w:ascii="宋体" w:hAnsi="宋体" w:cs="宋体" w:eastAsia="宋体" w:hint="default"/>
                <w:sz w:val="18"/>
                <w:szCs w:val="18"/>
              </w:rPr>
            </w:pPr>
            <w:r>
              <w:rPr>
                <w:rFonts w:ascii="宋体" w:hAnsi="宋体" w:cs="宋体" w:eastAsia="宋体" w:hint="default"/>
                <w:sz w:val="18"/>
                <w:szCs w:val="18"/>
              </w:rPr>
              <w:t>深圳智度信 息技术有限 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计算机软硬件领域内的 </w:t>
            </w:r>
            <w:r>
              <w:rPr>
                <w:rFonts w:ascii="宋体" w:hAnsi="宋体" w:cs="宋体" w:eastAsia="宋体" w:hint="default"/>
                <w:spacing w:val="-5"/>
                <w:sz w:val="18"/>
                <w:szCs w:val="18"/>
              </w:rPr>
              <w:t>技术开发、技术咨询、技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术转让和技术服务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3"/>
              <w:jc w:val="right"/>
              <w:rPr>
                <w:rFonts w:ascii="宋体" w:hAnsi="宋体" w:cs="宋体" w:eastAsia="宋体" w:hint="default"/>
                <w:sz w:val="18"/>
                <w:szCs w:val="18"/>
              </w:rPr>
            </w:pPr>
            <w:r>
              <w:rPr>
                <w:rFonts w:ascii="宋体" w:hAnsi="宋体" w:cs="宋体" w:eastAsia="宋体" w:hint="default"/>
                <w:sz w:val="18"/>
                <w:szCs w:val="18"/>
              </w:rPr>
              <w:t>新设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3" w:right="0"/>
              <w:jc w:val="left"/>
              <w:rPr>
                <w:rFonts w:ascii="宋体" w:hAnsi="宋体" w:cs="宋体" w:eastAsia="宋体" w:hint="default"/>
                <w:sz w:val="18"/>
                <w:szCs w:val="18"/>
              </w:rPr>
            </w:pPr>
            <w:r>
              <w:rPr>
                <w:rFonts w:ascii="宋体"/>
                <w:sz w:val="18"/>
              </w:rPr>
              <w:t>100.0</w:t>
            </w:r>
          </w:p>
          <w:p>
            <w:pPr>
              <w:pStyle w:val="TableParagraph"/>
              <w:spacing w:line="240" w:lineRule="auto" w:before="76"/>
              <w:ind w:left="353" w:right="0"/>
              <w:jc w:val="left"/>
              <w:rPr>
                <w:rFonts w:ascii="宋体" w:hAnsi="宋体" w:cs="宋体" w:eastAsia="宋体" w:hint="default"/>
                <w:sz w:val="18"/>
                <w:szCs w:val="18"/>
              </w:rPr>
            </w:pPr>
            <w:r>
              <w:rPr>
                <w:rFonts w:ascii="宋体"/>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3"/>
              <w:jc w:val="right"/>
              <w:rPr>
                <w:rFonts w:ascii="宋体" w:hAnsi="宋体" w:cs="宋体" w:eastAsia="宋体" w:hint="default"/>
                <w:sz w:val="18"/>
                <w:szCs w:val="18"/>
              </w:rPr>
            </w:pPr>
            <w:r>
              <w:rPr>
                <w:rFonts w:ascii="宋体" w:hAnsi="宋体" w:cs="宋体" w:eastAsia="宋体" w:hint="default"/>
                <w:sz w:val="18"/>
                <w:szCs w:val="18"/>
              </w:rPr>
              <w:t>自有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15"/>
              <w:jc w:val="right"/>
              <w:rPr>
                <w:rFonts w:ascii="宋体" w:hAnsi="宋体" w:cs="宋体" w:eastAsia="宋体" w:hint="default"/>
                <w:sz w:val="18"/>
                <w:szCs w:val="18"/>
              </w:rPr>
            </w:pPr>
            <w:r>
              <w:rPr>
                <w:rFonts w:ascii="宋体" w:hAnsi="宋体" w:cs="宋体" w:eastAsia="宋体" w:hint="default"/>
                <w:sz w:val="18"/>
                <w:szCs w:val="18"/>
              </w:rPr>
              <w:t>长期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互联网和 相关服务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5"/>
              <w:jc w:val="center"/>
              <w:rPr>
                <w:rFonts w:ascii="宋体" w:hAnsi="宋体" w:cs="宋体" w:eastAsia="宋体" w:hint="default"/>
                <w:sz w:val="18"/>
                <w:szCs w:val="18"/>
              </w:rPr>
            </w:pPr>
            <w:r>
              <w:rPr>
                <w:rFonts w:ascii="宋体" w:hAnsi="宋体" w:cs="宋体" w:eastAsia="宋体" w:hint="default"/>
                <w:sz w:val="18"/>
                <w:szCs w:val="18"/>
              </w:rPr>
              <w:t>已完成设立</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-1,093.96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59"/>
              <w:jc w:val="both"/>
              <w:rPr>
                <w:rFonts w:ascii="宋体" w:hAnsi="宋体" w:cs="宋体" w:eastAsia="宋体" w:hint="default"/>
                <w:sz w:val="18"/>
                <w:szCs w:val="18"/>
              </w:rPr>
            </w:pPr>
            <w:r>
              <w:rPr>
                <w:rFonts w:ascii="宋体" w:hAnsi="宋体" w:cs="宋体" w:eastAsia="宋体" w:hint="default"/>
                <w:sz w:val="18"/>
                <w:szCs w:val="18"/>
              </w:rPr>
              <w:t>霍尔果斯白 猫科技有限 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2"/>
              <w:jc w:val="both"/>
              <w:rPr>
                <w:rFonts w:ascii="宋体" w:hAnsi="宋体" w:cs="宋体" w:eastAsia="宋体" w:hint="default"/>
                <w:sz w:val="18"/>
                <w:szCs w:val="18"/>
              </w:rPr>
            </w:pPr>
            <w:r>
              <w:rPr>
                <w:rFonts w:ascii="宋体" w:hAnsi="宋体" w:cs="宋体" w:eastAsia="宋体" w:hint="default"/>
                <w:sz w:val="18"/>
                <w:szCs w:val="18"/>
              </w:rPr>
              <w:t>科技信息交流、软件开 </w:t>
            </w:r>
            <w:r>
              <w:rPr>
                <w:rFonts w:ascii="宋体" w:hAnsi="宋体" w:cs="宋体" w:eastAsia="宋体" w:hint="default"/>
                <w:spacing w:val="-13"/>
                <w:sz w:val="18"/>
                <w:szCs w:val="18"/>
              </w:rPr>
              <w:t>发、技术咨询、技术孵化</w:t>
            </w:r>
            <w:r>
              <w:rPr>
                <w:rFonts w:ascii="宋体" w:hAnsi="宋体" w:cs="宋体" w:eastAsia="宋体" w:hint="default"/>
                <w:sz w:val="18"/>
                <w:szCs w:val="18"/>
              </w:rPr>
              <w:t> 科技成果评估和科技鉴 证服务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96" w:lineRule="exact" w:before="155"/>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新设</w:t>
            </w:r>
          </w:p>
          <w:p>
            <w:pPr>
              <w:pStyle w:val="TableParagraph"/>
              <w:spacing w:line="871" w:lineRule="exact"/>
              <w:ind w:right="-3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6"/>
                <w:sz w:val="20"/>
                <w:szCs w:val="20"/>
              </w:rPr>
              <w:pict>
                <v:group style="width:27.85pt;height:43.6pt;mso-position-horizontal-relative:char;mso-position-vertical-relative:line" coordorigin="0,0" coordsize="557,872">
                  <v:group style="position:absolute;left:0;top:0;width:557;height:468" coordorigin="0,0" coordsize="557,468">
                    <v:shape style="position:absolute;left:0;top:0;width:557;height:468" coordorigin="0,0" coordsize="557,468" path="m0,468l557,468,557,0,0,0,0,468xe" filled="true" fillcolor="#ffffff" stroked="false">
                      <v:path arrowok="t"/>
                      <v:fill type="solid"/>
                    </v:shape>
                  </v:group>
                  <v:group style="position:absolute;left:11;top:468;width:2;height:393" coordorigin="11,468" coordsize="2,393">
                    <v:shape style="position:absolute;left:11;top:468;width:2;height:393" coordorigin="11,468" coordsize="0,393" path="m11,468l11,860e" filled="false" stroked="true" strokeweight="1.140pt" strokecolor="#ffffff">
                      <v:path arrowok="t"/>
                    </v:shape>
                  </v:group>
                  <v:group style="position:absolute;left:23;top:468;width:512;height:393" coordorigin="23,468" coordsize="512,393">
                    <v:shape style="position:absolute;left:23;top:468;width:512;height:393" coordorigin="23,468" coordsize="512,393" path="m23,860l534,860,534,468,23,468,23,860xe" filled="true" fillcolor="#ffffff" stroked="false">
                      <v:path arrowok="t"/>
                      <v:fill type="solid"/>
                    </v:shape>
                  </v:group>
                </v:group>
              </w:pict>
            </w:r>
            <w:r>
              <w:rPr>
                <w:rFonts w:ascii="Times New Roman" w:hAnsi="Times New Roman" w:cs="Times New Roman" w:eastAsia="Times New Roman" w:hint="default"/>
                <w:position w:val="-1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10,000,000</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83" w:right="0"/>
              <w:jc w:val="left"/>
              <w:rPr>
                <w:rFonts w:ascii="宋体" w:hAnsi="宋体" w:cs="宋体" w:eastAsia="宋体" w:hint="default"/>
                <w:sz w:val="18"/>
                <w:szCs w:val="18"/>
              </w:rPr>
            </w:pPr>
            <w:r>
              <w:rPr>
                <w:rFonts w:ascii="宋体"/>
                <w:sz w:val="18"/>
              </w:rPr>
              <w:t>100.0</w:t>
            </w:r>
          </w:p>
          <w:p>
            <w:pPr>
              <w:pStyle w:val="TableParagraph"/>
              <w:spacing w:line="240" w:lineRule="auto" w:before="76"/>
              <w:ind w:left="353" w:right="0"/>
              <w:jc w:val="left"/>
              <w:rPr>
                <w:rFonts w:ascii="宋体" w:hAnsi="宋体" w:cs="宋体" w:eastAsia="宋体" w:hint="default"/>
                <w:sz w:val="18"/>
                <w:szCs w:val="18"/>
              </w:rPr>
            </w:pPr>
            <w:r>
              <w:rPr>
                <w:rFonts w:ascii="宋体"/>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73"/>
              <w:jc w:val="right"/>
              <w:rPr>
                <w:rFonts w:ascii="宋体" w:hAnsi="宋体" w:cs="宋体" w:eastAsia="宋体" w:hint="default"/>
                <w:sz w:val="18"/>
                <w:szCs w:val="18"/>
              </w:rPr>
            </w:pPr>
            <w:r>
              <w:rPr>
                <w:rFonts w:ascii="宋体" w:hAnsi="宋体" w:cs="宋体" w:eastAsia="宋体" w:hint="default"/>
                <w:sz w:val="18"/>
                <w:szCs w:val="18"/>
              </w:rPr>
              <w:t>自有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315"/>
              <w:jc w:val="right"/>
              <w:rPr>
                <w:rFonts w:ascii="宋体" w:hAnsi="宋体" w:cs="宋体" w:eastAsia="宋体" w:hint="default"/>
                <w:sz w:val="18"/>
                <w:szCs w:val="18"/>
              </w:rPr>
            </w:pPr>
            <w:r>
              <w:rPr>
                <w:rFonts w:ascii="宋体" w:hAnsi="宋体" w:cs="宋体" w:eastAsia="宋体" w:hint="default"/>
                <w:sz w:val="18"/>
                <w:szCs w:val="18"/>
              </w:rPr>
              <w:t>长期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96"/>
              <w:jc w:val="left"/>
              <w:rPr>
                <w:rFonts w:ascii="宋体" w:hAnsi="宋体" w:cs="宋体" w:eastAsia="宋体" w:hint="default"/>
                <w:sz w:val="18"/>
                <w:szCs w:val="18"/>
              </w:rPr>
            </w:pPr>
            <w:r>
              <w:rPr>
                <w:rFonts w:ascii="宋体" w:hAnsi="宋体" w:cs="宋体" w:eastAsia="宋体" w:hint="default"/>
                <w:sz w:val="18"/>
                <w:szCs w:val="18"/>
              </w:rPr>
              <w:t>互联网和 相关服务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35"/>
              <w:jc w:val="center"/>
              <w:rPr>
                <w:rFonts w:ascii="宋体" w:hAnsi="宋体" w:cs="宋体" w:eastAsia="宋体" w:hint="default"/>
                <w:sz w:val="18"/>
                <w:szCs w:val="18"/>
              </w:rPr>
            </w:pPr>
            <w:r>
              <w:rPr>
                <w:rFonts w:ascii="宋体" w:hAnsi="宋体" w:cs="宋体" w:eastAsia="宋体" w:hint="default"/>
                <w:sz w:val="18"/>
                <w:szCs w:val="18"/>
              </w:rPr>
              <w:t>已完成设立</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宋体" w:hAnsi="宋体" w:cs="宋体" w:eastAsia="宋体" w:hint="default"/>
                <w:sz w:val="18"/>
                <w:szCs w:val="18"/>
              </w:rPr>
            </w:pPr>
            <w:r>
              <w:rPr>
                <w:rFonts w:ascii="宋体"/>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9"/>
              <w:jc w:val="both"/>
              <w:rPr>
                <w:rFonts w:ascii="宋体" w:hAnsi="宋体" w:cs="宋体" w:eastAsia="宋体" w:hint="default"/>
                <w:sz w:val="18"/>
                <w:szCs w:val="18"/>
              </w:rPr>
            </w:pPr>
            <w:r>
              <w:rPr>
                <w:rFonts w:ascii="宋体" w:hAnsi="宋体" w:cs="宋体" w:eastAsia="宋体" w:hint="default"/>
                <w:sz w:val="18"/>
                <w:szCs w:val="18"/>
              </w:rPr>
              <w:t>厦门智得天 下金融信息 服务有限公 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870"/>
              <w:jc w:val="right"/>
              <w:rPr>
                <w:rFonts w:ascii="宋体" w:hAnsi="宋体" w:cs="宋体" w:eastAsia="宋体" w:hint="default"/>
                <w:sz w:val="18"/>
                <w:szCs w:val="18"/>
              </w:rPr>
            </w:pPr>
            <w:r>
              <w:rPr>
                <w:rFonts w:ascii="宋体" w:hAnsi="宋体" w:cs="宋体" w:eastAsia="宋体" w:hint="default"/>
                <w:sz w:val="18"/>
                <w:szCs w:val="18"/>
              </w:rPr>
              <w:t>金融信息服务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73"/>
              <w:jc w:val="right"/>
              <w:rPr>
                <w:rFonts w:ascii="宋体" w:hAnsi="宋体" w:cs="宋体" w:eastAsia="宋体" w:hint="default"/>
                <w:sz w:val="18"/>
                <w:szCs w:val="18"/>
              </w:rPr>
            </w:pPr>
            <w:r>
              <w:rPr>
                <w:rFonts w:ascii="宋体" w:hAnsi="宋体" w:cs="宋体" w:eastAsia="宋体" w:hint="default"/>
                <w:sz w:val="18"/>
                <w:szCs w:val="18"/>
              </w:rPr>
              <w:t>新设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10,000,000</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83" w:right="0"/>
              <w:jc w:val="left"/>
              <w:rPr>
                <w:rFonts w:ascii="宋体" w:hAnsi="宋体" w:cs="宋体" w:eastAsia="宋体" w:hint="default"/>
                <w:sz w:val="18"/>
                <w:szCs w:val="18"/>
              </w:rPr>
            </w:pPr>
            <w:r>
              <w:rPr>
                <w:rFonts w:ascii="宋体"/>
                <w:sz w:val="18"/>
              </w:rPr>
              <w:t>100.0</w:t>
            </w:r>
          </w:p>
          <w:p>
            <w:pPr>
              <w:pStyle w:val="TableParagraph"/>
              <w:spacing w:line="240" w:lineRule="auto" w:before="76"/>
              <w:ind w:left="353" w:right="0"/>
              <w:jc w:val="left"/>
              <w:rPr>
                <w:rFonts w:ascii="宋体" w:hAnsi="宋体" w:cs="宋体" w:eastAsia="宋体" w:hint="default"/>
                <w:sz w:val="18"/>
                <w:szCs w:val="18"/>
              </w:rPr>
            </w:pPr>
            <w:r>
              <w:rPr>
                <w:rFonts w:ascii="宋体"/>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73"/>
              <w:jc w:val="right"/>
              <w:rPr>
                <w:rFonts w:ascii="宋体" w:hAnsi="宋体" w:cs="宋体" w:eastAsia="宋体" w:hint="default"/>
                <w:sz w:val="18"/>
                <w:szCs w:val="18"/>
              </w:rPr>
            </w:pPr>
            <w:r>
              <w:rPr>
                <w:rFonts w:ascii="宋体" w:hAnsi="宋体" w:cs="宋体" w:eastAsia="宋体" w:hint="default"/>
                <w:sz w:val="18"/>
                <w:szCs w:val="18"/>
              </w:rPr>
              <w:t>自有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315"/>
              <w:jc w:val="right"/>
              <w:rPr>
                <w:rFonts w:ascii="宋体" w:hAnsi="宋体" w:cs="宋体" w:eastAsia="宋体" w:hint="default"/>
                <w:sz w:val="18"/>
                <w:szCs w:val="18"/>
              </w:rPr>
            </w:pPr>
            <w:r>
              <w:rPr>
                <w:rFonts w:ascii="宋体" w:hAnsi="宋体" w:cs="宋体" w:eastAsia="宋体" w:hint="default"/>
                <w:sz w:val="18"/>
                <w:szCs w:val="18"/>
              </w:rPr>
              <w:t>长期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96"/>
              <w:jc w:val="left"/>
              <w:rPr>
                <w:rFonts w:ascii="宋体" w:hAnsi="宋体" w:cs="宋体" w:eastAsia="宋体" w:hint="default"/>
                <w:sz w:val="18"/>
                <w:szCs w:val="18"/>
              </w:rPr>
            </w:pPr>
            <w:r>
              <w:rPr>
                <w:rFonts w:ascii="宋体" w:hAnsi="宋体" w:cs="宋体" w:eastAsia="宋体" w:hint="default"/>
                <w:sz w:val="18"/>
                <w:szCs w:val="18"/>
              </w:rPr>
              <w:t>互联网和 相关服务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35"/>
              <w:jc w:val="center"/>
              <w:rPr>
                <w:rFonts w:ascii="宋体" w:hAnsi="宋体" w:cs="宋体" w:eastAsia="宋体" w:hint="default"/>
                <w:sz w:val="18"/>
                <w:szCs w:val="18"/>
              </w:rPr>
            </w:pPr>
            <w:r>
              <w:rPr>
                <w:rFonts w:ascii="宋体" w:hAnsi="宋体" w:cs="宋体" w:eastAsia="宋体" w:hint="default"/>
                <w:sz w:val="18"/>
                <w:szCs w:val="18"/>
              </w:rPr>
              <w:t>已完成设立</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宋体" w:hAnsi="宋体" w:cs="宋体" w:eastAsia="宋体" w:hint="default"/>
                <w:sz w:val="18"/>
                <w:szCs w:val="18"/>
              </w:rPr>
            </w:pPr>
            <w:r>
              <w:rPr>
                <w:rFonts w:ascii="宋体"/>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59"/>
              <w:jc w:val="both"/>
              <w:rPr>
                <w:rFonts w:ascii="宋体" w:hAnsi="宋体" w:cs="宋体" w:eastAsia="宋体" w:hint="default"/>
                <w:sz w:val="18"/>
                <w:szCs w:val="18"/>
              </w:rPr>
            </w:pPr>
            <w:r>
              <w:rPr>
                <w:rFonts w:ascii="宋体" w:hAnsi="宋体" w:cs="宋体" w:eastAsia="宋体" w:hint="default"/>
                <w:sz w:val="18"/>
                <w:szCs w:val="18"/>
              </w:rPr>
              <w:t>广州市智度 商业保理有 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870"/>
              <w:jc w:val="right"/>
              <w:rPr>
                <w:rFonts w:ascii="宋体" w:hAnsi="宋体" w:cs="宋体" w:eastAsia="宋体" w:hint="default"/>
                <w:sz w:val="18"/>
                <w:szCs w:val="18"/>
              </w:rPr>
            </w:pPr>
            <w:r>
              <w:rPr>
                <w:rFonts w:ascii="宋体" w:hAnsi="宋体" w:cs="宋体" w:eastAsia="宋体" w:hint="default"/>
                <w:sz w:val="18"/>
                <w:szCs w:val="18"/>
              </w:rPr>
              <w:t>商业保理业务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新设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30,000,000</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18"/>
                <w:szCs w:val="18"/>
              </w:rPr>
            </w:pPr>
            <w:r>
              <w:rPr>
                <w:rFonts w:ascii="宋体"/>
                <w:sz w:val="18"/>
              </w:rPr>
              <w:t>60.00</w:t>
            </w:r>
          </w:p>
          <w:p>
            <w:pPr>
              <w:pStyle w:val="TableParagraph"/>
              <w:spacing w:line="240" w:lineRule="auto" w:before="76"/>
              <w:ind w:right="23"/>
              <w:jc w:val="righ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自有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智度集团有限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315"/>
              <w:jc w:val="right"/>
              <w:rPr>
                <w:rFonts w:ascii="宋体" w:hAnsi="宋体" w:cs="宋体" w:eastAsia="宋体" w:hint="default"/>
                <w:sz w:val="18"/>
                <w:szCs w:val="18"/>
              </w:rPr>
            </w:pPr>
            <w:r>
              <w:rPr>
                <w:rFonts w:ascii="宋体" w:hAnsi="宋体" w:cs="宋体" w:eastAsia="宋体" w:hint="default"/>
                <w:sz w:val="18"/>
                <w:szCs w:val="18"/>
              </w:rPr>
              <w:t>长期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互联网和 相关服务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已完成设立</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宋体" w:hAnsi="宋体" w:cs="宋体" w:eastAsia="宋体" w:hint="default"/>
                  <w:sz w:val="18"/>
                  <w:szCs w:val="18"/>
                </w:rPr>
                <w:t>www.cninfo.com.cn</w:t>
              </w:r>
            </w:hyperlink>
          </w:p>
          <w:p>
            <w:pPr>
              <w:pStyle w:val="TableParagraph"/>
              <w:spacing w:line="319" w:lineRule="auto" w:before="76"/>
              <w:ind w:left="22" w:right="21"/>
              <w:jc w:val="left"/>
              <w:rPr>
                <w:rFonts w:ascii="宋体" w:hAnsi="宋体" w:cs="宋体" w:eastAsia="宋体" w:hint="default"/>
                <w:sz w:val="18"/>
                <w:szCs w:val="18"/>
              </w:rPr>
            </w:pPr>
            <w:r>
              <w:rPr>
                <w:rFonts w:ascii="宋体" w:hAnsi="宋体" w:cs="宋体" w:eastAsia="宋体" w:hint="default"/>
                <w:spacing w:val="-2"/>
                <w:sz w:val="18"/>
                <w:szCs w:val="18"/>
              </w:rPr>
              <w:t>）公司披露的《关于拟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设立广州市智度商业 保理有限公司暨关联 交易的公告 》</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896"/>
              <w:jc w:val="right"/>
              <w:rPr>
                <w:rFonts w:ascii="宋体" w:hAnsi="宋体" w:cs="宋体" w:eastAsia="宋体" w:hint="default"/>
                <w:sz w:val="18"/>
                <w:szCs w:val="18"/>
              </w:rPr>
            </w:pPr>
            <w:r>
              <w:rPr>
                <w:rFonts w:ascii="宋体"/>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7"/>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 w:right="0"/>
              <w:jc w:val="left"/>
              <w:rPr>
                <w:rFonts w:ascii="宋体" w:hAnsi="宋体" w:cs="宋体" w:eastAsia="宋体" w:hint="default"/>
                <w:sz w:val="18"/>
                <w:szCs w:val="18"/>
              </w:rPr>
            </w:pPr>
            <w:r>
              <w:rPr>
                <w:rFonts w:ascii="宋体"/>
                <w:sz w:val="18"/>
              </w:rPr>
              <w:t>905,529,30</w:t>
            </w:r>
          </w:p>
          <w:p>
            <w:pPr>
              <w:pStyle w:val="TableParagraph"/>
              <w:spacing w:line="240" w:lineRule="auto" w:before="76"/>
              <w:ind w:left="598" w:right="0"/>
              <w:jc w:val="left"/>
              <w:rPr>
                <w:rFonts w:ascii="宋体" w:hAnsi="宋体" w:cs="宋体" w:eastAsia="宋体" w:hint="default"/>
                <w:sz w:val="18"/>
                <w:szCs w:val="18"/>
              </w:rPr>
            </w:pPr>
            <w:r>
              <w:rPr>
                <w:rFonts w:ascii="宋体"/>
                <w:sz w:val="18"/>
              </w:rPr>
              <w:t>2.16</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6"/>
              <w:jc w:val="right"/>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58"/>
              <w:jc w:val="right"/>
              <w:rPr>
                <w:rFonts w:ascii="宋体" w:hAnsi="宋体" w:cs="宋体" w:eastAsia="宋体" w:hint="default"/>
                <w:sz w:val="18"/>
                <w:szCs w:val="18"/>
              </w:rPr>
            </w:pPr>
            <w:r>
              <w:rPr>
                <w:rFonts w:ascii="宋体"/>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59" w:right="0"/>
              <w:jc w:val="left"/>
              <w:rPr>
                <w:rFonts w:ascii="宋体" w:hAnsi="宋体" w:cs="宋体" w:eastAsia="宋体" w:hint="default"/>
                <w:sz w:val="18"/>
                <w:szCs w:val="18"/>
              </w:rPr>
            </w:pPr>
            <w:r>
              <w:rPr>
                <w:rFonts w:ascii="宋体"/>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28,552,872.</w:t>
            </w:r>
          </w:p>
          <w:p>
            <w:pPr>
              <w:pStyle w:val="TableParagraph"/>
              <w:spacing w:line="240" w:lineRule="auto" w:before="76"/>
              <w:ind w:right="23"/>
              <w:jc w:val="right"/>
              <w:rPr>
                <w:rFonts w:ascii="宋体" w:hAnsi="宋体" w:cs="宋体" w:eastAsia="宋体" w:hint="default"/>
                <w:sz w:val="18"/>
                <w:szCs w:val="18"/>
              </w:rPr>
            </w:pPr>
            <w:r>
              <w:rPr>
                <w:rFonts w:ascii="宋体"/>
                <w:sz w:val="18"/>
              </w:rPr>
              <w:t>71</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6840" w:h="11910" w:orient="landscape"/>
          <w:pgMar w:header="867" w:footer="1187" w:top="1060" w:bottom="1380" w:left="1040" w:right="0"/>
        </w:sectPr>
      </w:pPr>
    </w:p>
    <w:p>
      <w:pPr>
        <w:pStyle w:val="BodyText"/>
        <w:spacing w:line="240" w:lineRule="auto" w:before="23"/>
        <w:ind w:left="6283" w:right="0"/>
        <w:jc w:val="left"/>
      </w:pPr>
      <w:r>
        <w:rPr/>
        <w:t>智度科技股份有限公司</w:t>
      </w:r>
      <w:r>
        <w:rPr>
          <w:spacing w:val="-46"/>
        </w:rPr>
        <w:t> </w:t>
      </w:r>
      <w:r>
        <w:rPr>
          <w:rFonts w:ascii="Times New Roman" w:hAnsi="Times New Roman" w:cs="Times New Roman" w:eastAsia="Times New Roman" w:hint="default"/>
        </w:rPr>
        <w:t>2017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0"/>
          <w:szCs w:val="20"/>
        </w:rPr>
      </w:pPr>
    </w:p>
    <w:p>
      <w:pPr>
        <w:pStyle w:val="Heading3"/>
        <w:spacing w:line="240" w:lineRule="auto" w:before="35"/>
        <w:ind w:left="153" w:right="0"/>
        <w:jc w:val="left"/>
        <w:rPr>
          <w:b w:val="0"/>
          <w:bCs w:val="0"/>
        </w:rPr>
      </w:pPr>
      <w:bookmarkStart w:name="3、报告期内正在进行的重大的非股权投资情况" w:id="47"/>
      <w:bookmarkEnd w:id="47"/>
      <w:r>
        <w:rPr>
          <w:b w:val="0"/>
          <w:bCs w:val="0"/>
        </w:rPr>
      </w:r>
      <w:r>
        <w:rPr>
          <w:rFonts w:ascii="宋体" w:hAnsi="宋体" w:cs="宋体" w:eastAsia="宋体" w:hint="default"/>
        </w:rPr>
        <w:t>3</w:t>
      </w:r>
      <w:r>
        <w:rPr/>
        <w:t>、报告期内正在进行的重大的非股权投资情况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53"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金融资产投资" w:id="48"/>
      <w:bookmarkEnd w:id="48"/>
      <w:r>
        <w:rPr>
          <w:b w:val="0"/>
          <w:bCs w:val="0"/>
        </w:rPr>
      </w:r>
      <w:r>
        <w:rPr>
          <w:rFonts w:ascii="宋体" w:hAnsi="宋体" w:cs="宋体" w:eastAsia="宋体" w:hint="default"/>
        </w:rPr>
        <w:t>4</w:t>
      </w:r>
      <w:r>
        <w:rPr/>
        <w:t>、金融资产投资</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证券投资情况" w:id="49"/>
      <w:bookmarkEnd w:id="49"/>
      <w:r>
        <w:rPr>
          <w:b w:val="0"/>
          <w:bCs w:val="0"/>
        </w:rPr>
      </w:r>
      <w:r>
        <w:rPr/>
        <w:t>（</w:t>
      </w:r>
      <w:r>
        <w:rPr>
          <w:rFonts w:ascii="宋体" w:hAnsi="宋体" w:cs="宋体" w:eastAsia="宋体" w:hint="default"/>
        </w:rPr>
        <w:t>1</w:t>
      </w:r>
      <w:r>
        <w:rPr/>
        <w:t>）证券投资情况</w:t>
      </w:r>
      <w:r>
        <w:rPr>
          <w:b w:val="0"/>
          <w:bCs w:val="0"/>
        </w:rPr>
      </w:r>
    </w:p>
    <w:p>
      <w:pPr>
        <w:spacing w:line="240" w:lineRule="auto" w:before="11"/>
        <w:rPr>
          <w:rFonts w:ascii="宋体" w:hAnsi="宋体" w:cs="宋体" w:eastAsia="宋体" w:hint="default"/>
          <w:b/>
          <w:bCs/>
          <w:sz w:val="27"/>
          <w:szCs w:val="27"/>
        </w:rPr>
      </w:pPr>
    </w:p>
    <w:p>
      <w:pPr>
        <w:pStyle w:val="BodyText"/>
        <w:spacing w:line="360" w:lineRule="auto"/>
        <w:ind w:right="8412"/>
        <w:jc w:val="left"/>
      </w:pPr>
      <w:r>
        <w:rPr/>
        <w:t>□ 适用 √ 不适用 公司报告期不存在证券投资。</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衍生品投资情况" w:id="50"/>
      <w:bookmarkEnd w:id="50"/>
      <w:r>
        <w:rPr>
          <w:b w:val="0"/>
          <w:bCs w:val="0"/>
        </w:rPr>
      </w:r>
      <w:r>
        <w:rPr/>
        <w:t>（</w:t>
      </w:r>
      <w:r>
        <w:rPr>
          <w:rFonts w:ascii="宋体" w:hAnsi="宋体" w:cs="宋体" w:eastAsia="宋体" w:hint="default"/>
        </w:rPr>
        <w:t>2</w:t>
      </w:r>
      <w:r>
        <w:rPr/>
        <w:t>）衍生品投资情况</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right="8232"/>
        <w:jc w:val="left"/>
      </w:pPr>
      <w:r>
        <w:rPr/>
        <w:t>□ 适用 √ 不适用 公司报告期不存在衍生品投资。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before="76"/>
        <w:ind w:left="615" w:right="1591"/>
        <w:jc w:val="center"/>
        <w:rPr>
          <w:rFonts w:ascii="Times New Roman" w:hAnsi="Times New Roman" w:cs="Times New Roman" w:eastAsia="Times New Roman" w:hint="default"/>
        </w:rPr>
      </w:pPr>
      <w:r>
        <w:rPr/>
        <w:pict>
          <v:shape style="position:absolute;margin-left:527.820007pt;margin-top:35.802341pt;width:67.5pt;height:38.5pt;mso-position-horizontal-relative:page;mso-position-vertical-relative:paragraph;z-index:1240" type="#_x0000_t75" stroked="false">
            <v:imagedata r:id="rId18" o:title=""/>
          </v:shape>
        </w:pict>
      </w:r>
      <w:r>
        <w:rPr>
          <w:rFonts w:ascii="Times New Roman"/>
        </w:rPr>
        <w:t>28</w:t>
      </w:r>
    </w:p>
    <w:p>
      <w:pPr>
        <w:spacing w:after="0" w:line="240" w:lineRule="auto"/>
        <w:jc w:val="center"/>
        <w:rPr>
          <w:rFonts w:ascii="Times New Roman" w:hAnsi="Times New Roman" w:cs="Times New Roman" w:eastAsia="Times New Roman" w:hint="default"/>
        </w:rPr>
        <w:sectPr>
          <w:headerReference w:type="default" r:id="rId16"/>
          <w:footerReference w:type="default" r:id="rId17"/>
          <w:pgSz w:w="11910" w:h="16840"/>
          <w:pgMar w:header="0" w:footer="0" w:top="780" w:bottom="0" w:left="980" w:right="0"/>
        </w:sectPr>
      </w:pPr>
    </w:p>
    <w:p>
      <w:pPr>
        <w:spacing w:line="240" w:lineRule="auto" w:before="9"/>
        <w:rPr>
          <w:rFonts w:ascii="Times New Roman" w:hAnsi="Times New Roman" w:cs="Times New Roman" w:eastAsia="Times New Roman" w:hint="default"/>
          <w:sz w:val="27"/>
          <w:szCs w:val="27"/>
        </w:rPr>
      </w:pPr>
      <w:r>
        <w:rPr/>
        <w:pict>
          <v:group style="position:absolute;margin-left:70.5pt;margin-top:55.620007pt;width:701pt;height:.1pt;mso-position-horizontal-relative:page;mso-position-vertical-relative:page;z-index:1264" coordorigin="1410,1112" coordsize="14020,2">
            <v:shape style="position:absolute;left:1410;top:1112;width:14020;height:2" coordorigin="1410,1112" coordsize="14020,0" path="m1410,1112l15430,1112e" filled="false" stroked="true" strokeweight=".72pt" strokecolor="#000000">
              <v:path arrowok="t"/>
            </v:shape>
            <w10:wrap type="none"/>
          </v:group>
        </w:pict>
      </w:r>
    </w:p>
    <w:p>
      <w:pPr>
        <w:pStyle w:val="BodyText"/>
        <w:spacing w:line="240" w:lineRule="auto" w:before="44"/>
        <w:ind w:left="140" w:right="0"/>
        <w:jc w:val="left"/>
      </w:pPr>
      <w:bookmarkStart w:name="5、募集资金使用情况" w:id="51"/>
      <w:bookmarkEnd w:id="51"/>
      <w:r>
        <w:rPr/>
      </w:r>
      <w:r>
        <w:rPr/>
        <w:t>√ 适用 □ 不适用</w:t>
      </w:r>
    </w:p>
    <w:p>
      <w:pPr>
        <w:spacing w:line="240" w:lineRule="auto" w:before="10"/>
        <w:rPr>
          <w:rFonts w:ascii="宋体" w:hAnsi="宋体" w:cs="宋体" w:eastAsia="宋体" w:hint="default"/>
          <w:sz w:val="26"/>
          <w:szCs w:val="26"/>
        </w:rPr>
      </w:pPr>
    </w:p>
    <w:p>
      <w:pPr>
        <w:pStyle w:val="Heading3"/>
        <w:spacing w:line="240" w:lineRule="auto"/>
        <w:ind w:left="140" w:right="0"/>
        <w:jc w:val="left"/>
        <w:rPr>
          <w:b w:val="0"/>
          <w:bCs w:val="0"/>
        </w:rPr>
      </w:pPr>
      <w:bookmarkStart w:name="（1）募集资金总体使用情况" w:id="52"/>
      <w:bookmarkEnd w:id="52"/>
      <w:r>
        <w:rPr>
          <w:b w:val="0"/>
          <w:bCs w:val="0"/>
        </w:rPr>
      </w:r>
      <w:r>
        <w:rPr/>
        <w:t>（</w:t>
      </w:r>
      <w:r>
        <w:rPr>
          <w:rFonts w:ascii="宋体" w:hAnsi="宋体" w:cs="宋体" w:eastAsia="宋体" w:hint="default"/>
        </w:rPr>
        <w:t>1</w:t>
      </w:r>
      <w:r>
        <w:rPr/>
        <w:t>）募集资金总体使用情况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140" w:right="0"/>
        <w:jc w:val="left"/>
      </w:pPr>
      <w:r>
        <w:rPr/>
        <w:t>√ 适用 □ 不适用</w:t>
      </w:r>
    </w:p>
    <w:p>
      <w:pPr>
        <w:pStyle w:val="BodyText"/>
        <w:spacing w:line="240" w:lineRule="auto" w:before="116"/>
        <w:ind w:left="0" w:right="1436"/>
        <w:jc w:val="right"/>
      </w:pPr>
      <w:r>
        <w:rPr/>
        <w:t>单位：万元</w:t>
      </w:r>
    </w:p>
    <w:p>
      <w:pPr>
        <w:spacing w:line="240" w:lineRule="auto" w:before="1"/>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709"/>
        <w:gridCol w:w="993"/>
        <w:gridCol w:w="992"/>
        <w:gridCol w:w="1134"/>
        <w:gridCol w:w="992"/>
        <w:gridCol w:w="1134"/>
        <w:gridCol w:w="1134"/>
        <w:gridCol w:w="1134"/>
        <w:gridCol w:w="1134"/>
        <w:gridCol w:w="3118"/>
        <w:gridCol w:w="1053"/>
      </w:tblGrid>
      <w:tr>
        <w:trPr>
          <w:trHeight w:val="1294" w:hRule="exact"/>
        </w:trPr>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59" w:right="78" w:hanging="180"/>
              <w:jc w:val="left"/>
              <w:rPr>
                <w:rFonts w:ascii="宋体" w:hAnsi="宋体" w:cs="宋体" w:eastAsia="宋体" w:hint="default"/>
                <w:sz w:val="18"/>
                <w:szCs w:val="18"/>
              </w:rPr>
            </w:pPr>
            <w:r>
              <w:rPr>
                <w:rFonts w:ascii="宋体" w:hAnsi="宋体" w:cs="宋体" w:eastAsia="宋体" w:hint="default"/>
                <w:sz w:val="18"/>
                <w:szCs w:val="18"/>
              </w:rPr>
              <w:t>募集年 份</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400" w:right="41" w:hanging="360"/>
              <w:jc w:val="left"/>
              <w:rPr>
                <w:rFonts w:ascii="宋体" w:hAnsi="宋体" w:cs="宋体" w:eastAsia="宋体" w:hint="default"/>
                <w:sz w:val="18"/>
                <w:szCs w:val="18"/>
              </w:rPr>
            </w:pPr>
            <w:r>
              <w:rPr>
                <w:rFonts w:ascii="宋体" w:hAnsi="宋体" w:cs="宋体" w:eastAsia="宋体" w:hint="default"/>
                <w:sz w:val="18"/>
                <w:szCs w:val="18"/>
              </w:rPr>
              <w:t>募集资金总 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111" w:right="110"/>
              <w:jc w:val="center"/>
              <w:rPr>
                <w:rFonts w:ascii="宋体" w:hAnsi="宋体" w:cs="宋体" w:eastAsia="宋体" w:hint="default"/>
                <w:sz w:val="18"/>
                <w:szCs w:val="18"/>
              </w:rPr>
            </w:pPr>
            <w:r>
              <w:rPr>
                <w:rFonts w:ascii="宋体" w:hAnsi="宋体" w:cs="宋体" w:eastAsia="宋体" w:hint="default"/>
                <w:sz w:val="18"/>
                <w:szCs w:val="18"/>
              </w:rPr>
              <w:t>本期已使用 募集资金总 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40" w:right="41"/>
              <w:jc w:val="center"/>
              <w:rPr>
                <w:rFonts w:ascii="宋体" w:hAnsi="宋体" w:cs="宋体" w:eastAsia="宋体" w:hint="default"/>
                <w:sz w:val="18"/>
                <w:szCs w:val="18"/>
              </w:rPr>
            </w:pPr>
            <w:r>
              <w:rPr>
                <w:rFonts w:ascii="宋体" w:hAnsi="宋体" w:cs="宋体" w:eastAsia="宋体" w:hint="default"/>
                <w:sz w:val="18"/>
                <w:szCs w:val="18"/>
              </w:rPr>
              <w:t>已累计使用 募集资金总 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111" w:right="110"/>
              <w:jc w:val="both"/>
              <w:rPr>
                <w:rFonts w:ascii="宋体" w:hAnsi="宋体" w:cs="宋体" w:eastAsia="宋体" w:hint="default"/>
                <w:sz w:val="18"/>
                <w:szCs w:val="18"/>
              </w:rPr>
            </w:pPr>
            <w:r>
              <w:rPr>
                <w:rFonts w:ascii="宋体" w:hAnsi="宋体" w:cs="宋体" w:eastAsia="宋体" w:hint="default"/>
                <w:sz w:val="18"/>
                <w:szCs w:val="18"/>
              </w:rPr>
              <w:t>报告期内变 更用途的募 集资金总额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111" w:right="111"/>
              <w:jc w:val="center"/>
              <w:rPr>
                <w:rFonts w:ascii="宋体" w:hAnsi="宋体" w:cs="宋体" w:eastAsia="宋体" w:hint="default"/>
                <w:sz w:val="18"/>
                <w:szCs w:val="18"/>
              </w:rPr>
            </w:pPr>
            <w:r>
              <w:rPr>
                <w:rFonts w:ascii="宋体" w:hAnsi="宋体" w:cs="宋体" w:eastAsia="宋体" w:hint="default"/>
                <w:sz w:val="18"/>
                <w:szCs w:val="18"/>
              </w:rPr>
              <w:t>累计变更用 途的募集资 金总额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111" w:right="110"/>
              <w:jc w:val="both"/>
              <w:rPr>
                <w:rFonts w:ascii="宋体" w:hAnsi="宋体" w:cs="宋体" w:eastAsia="宋体" w:hint="default"/>
                <w:sz w:val="18"/>
                <w:szCs w:val="18"/>
              </w:rPr>
            </w:pPr>
            <w:r>
              <w:rPr>
                <w:rFonts w:ascii="宋体" w:hAnsi="宋体" w:cs="宋体" w:eastAsia="宋体" w:hint="default"/>
                <w:sz w:val="18"/>
                <w:szCs w:val="18"/>
              </w:rPr>
              <w:t>累计变更用 途的募集资 金总额比例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111" w:right="110"/>
              <w:jc w:val="left"/>
              <w:rPr>
                <w:rFonts w:ascii="宋体" w:hAnsi="宋体" w:cs="宋体" w:eastAsia="宋体" w:hint="default"/>
                <w:sz w:val="18"/>
                <w:szCs w:val="18"/>
              </w:rPr>
            </w:pPr>
            <w:r>
              <w:rPr>
                <w:rFonts w:ascii="宋体" w:hAnsi="宋体" w:cs="宋体" w:eastAsia="宋体" w:hint="default"/>
                <w:sz w:val="18"/>
                <w:szCs w:val="18"/>
              </w:rPr>
              <w:t>尚未使用募 集资金总额</w:t>
            </w:r>
          </w:p>
        </w:tc>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尚未使用募集资金用途及去向</w:t>
            </w:r>
          </w:p>
        </w:tc>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68" w:right="72"/>
              <w:jc w:val="center"/>
              <w:rPr>
                <w:rFonts w:ascii="宋体" w:hAnsi="宋体" w:cs="宋体" w:eastAsia="宋体" w:hint="default"/>
                <w:sz w:val="18"/>
                <w:szCs w:val="18"/>
              </w:rPr>
            </w:pPr>
            <w:r>
              <w:rPr>
                <w:rFonts w:ascii="宋体" w:hAnsi="宋体" w:cs="宋体" w:eastAsia="宋体" w:hint="default"/>
                <w:sz w:val="18"/>
                <w:szCs w:val="18"/>
              </w:rPr>
              <w:t>闲置两年以 上募集资金 金额</w:t>
            </w:r>
          </w:p>
        </w:tc>
      </w:tr>
      <w:tr>
        <w:trPr>
          <w:trHeight w:val="196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sz w:val="18"/>
              </w:rPr>
              <w:t>2016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58"/>
              <w:jc w:val="left"/>
              <w:rPr>
                <w:rFonts w:ascii="宋体" w:hAnsi="宋体" w:cs="宋体" w:eastAsia="宋体" w:hint="default"/>
                <w:sz w:val="18"/>
                <w:szCs w:val="18"/>
              </w:rPr>
            </w:pPr>
            <w:r>
              <w:rPr>
                <w:rFonts w:ascii="宋体" w:hAnsi="宋体" w:cs="宋体" w:eastAsia="宋体" w:hint="default"/>
                <w:sz w:val="18"/>
                <w:szCs w:val="18"/>
              </w:rPr>
              <w:t>非公开发行 股份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59" w:right="0"/>
              <w:jc w:val="left"/>
              <w:rPr>
                <w:rFonts w:ascii="宋体" w:hAnsi="宋体" w:cs="宋体" w:eastAsia="宋体" w:hint="default"/>
                <w:sz w:val="18"/>
                <w:szCs w:val="18"/>
              </w:rPr>
            </w:pPr>
            <w:r>
              <w:rPr>
                <w:rFonts w:ascii="宋体"/>
                <w:sz w:val="18"/>
              </w:rPr>
              <w:t>281,824.49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00" w:right="0"/>
              <w:jc w:val="left"/>
              <w:rPr>
                <w:rFonts w:ascii="宋体" w:hAnsi="宋体" w:cs="宋体" w:eastAsia="宋体" w:hint="default"/>
                <w:sz w:val="18"/>
                <w:szCs w:val="18"/>
              </w:rPr>
            </w:pPr>
            <w:r>
              <w:rPr>
                <w:rFonts w:ascii="宋体"/>
                <w:sz w:val="18"/>
              </w:rPr>
              <w:t>110,005.44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58" w:right="0"/>
              <w:jc w:val="left"/>
              <w:rPr>
                <w:rFonts w:ascii="宋体" w:hAnsi="宋体" w:cs="宋体" w:eastAsia="宋体" w:hint="default"/>
                <w:sz w:val="18"/>
                <w:szCs w:val="18"/>
              </w:rPr>
            </w:pPr>
            <w:r>
              <w:rPr>
                <w:rFonts w:ascii="宋体"/>
                <w:sz w:val="18"/>
              </w:rPr>
              <w:t>206,065.45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470" w:right="0"/>
              <w:jc w:val="left"/>
              <w:rPr>
                <w:rFonts w:ascii="宋体" w:hAnsi="宋体" w:cs="宋体" w:eastAsia="宋体" w:hint="default"/>
                <w:sz w:val="18"/>
                <w:szCs w:val="18"/>
              </w:rPr>
            </w:pPr>
            <w:r>
              <w:rPr>
                <w:rFonts w:ascii="宋体"/>
                <w:sz w:val="18"/>
              </w:rPr>
              <w:t>110,000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470" w:right="0"/>
              <w:jc w:val="left"/>
              <w:rPr>
                <w:rFonts w:ascii="宋体" w:hAnsi="宋体" w:cs="宋体" w:eastAsia="宋体" w:hint="default"/>
                <w:sz w:val="18"/>
                <w:szCs w:val="18"/>
              </w:rPr>
            </w:pPr>
            <w:r>
              <w:rPr>
                <w:rFonts w:ascii="宋体"/>
                <w:sz w:val="18"/>
              </w:rPr>
              <w:t>110,000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560" w:right="0"/>
              <w:jc w:val="left"/>
              <w:rPr>
                <w:rFonts w:ascii="宋体" w:hAnsi="宋体" w:cs="宋体" w:eastAsia="宋体" w:hint="default"/>
                <w:sz w:val="18"/>
                <w:szCs w:val="18"/>
              </w:rPr>
            </w:pPr>
            <w:r>
              <w:rPr>
                <w:rFonts w:ascii="宋体"/>
                <w:sz w:val="18"/>
              </w:rPr>
              <w:t>39.03%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90" w:right="0"/>
              <w:jc w:val="left"/>
              <w:rPr>
                <w:rFonts w:ascii="宋体" w:hAnsi="宋体" w:cs="宋体" w:eastAsia="宋体" w:hint="default"/>
                <w:sz w:val="18"/>
                <w:szCs w:val="18"/>
              </w:rPr>
            </w:pPr>
            <w:r>
              <w:rPr>
                <w:rFonts w:ascii="宋体"/>
                <w:sz w:val="18"/>
              </w:rPr>
              <w:t>75,629.66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本公司对募集资金实行专户存储，公司 设立了</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个募集资金专户，分别开设于 上海浦东发展银行股份有限公司北京分 行、中国建设银行股份有限公司北京苏 州桥支行。尚未使用的募集资金余额与 募集资金银行专户余额不存在差异。</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05" w:right="0"/>
              <w:jc w:val="left"/>
              <w:rPr>
                <w:rFonts w:ascii="宋体" w:hAnsi="宋体" w:cs="宋体" w:eastAsia="宋体" w:hint="default"/>
                <w:sz w:val="18"/>
                <w:szCs w:val="18"/>
              </w:rPr>
            </w:pPr>
            <w:r>
              <w:rPr>
                <w:rFonts w:ascii="宋体"/>
                <w:sz w:val="18"/>
              </w:rPr>
              <w:t>75,629.66</w:t>
            </w:r>
          </w:p>
        </w:tc>
      </w:tr>
      <w:tr>
        <w:trPr>
          <w:trHeight w:val="154" w:hRule="exact"/>
        </w:trPr>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993"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13" w:space="0" w:color="D2D2D2"/>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sz w:val="18"/>
              </w:rPr>
              <w:t>281,824.49</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sz w:val="18"/>
              </w:rPr>
              <w:t>110,005.44</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8" w:right="0"/>
              <w:jc w:val="left"/>
              <w:rPr>
                <w:rFonts w:ascii="宋体" w:hAnsi="宋体" w:cs="宋体" w:eastAsia="宋体" w:hint="default"/>
                <w:sz w:val="18"/>
                <w:szCs w:val="18"/>
              </w:rPr>
            </w:pPr>
            <w:r>
              <w:rPr>
                <w:rFonts w:ascii="宋体"/>
                <w:sz w:val="18"/>
              </w:rPr>
              <w:t>206,065.45</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sz w:val="18"/>
              </w:rPr>
              <w:t>110,000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sz w:val="18"/>
              </w:rPr>
              <w:t>110,000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sz w:val="18"/>
              </w:rPr>
              <w:t>39.03%</w:t>
            </w:r>
          </w:p>
        </w:tc>
        <w:tc>
          <w:tcPr>
            <w:tcW w:w="1134" w:type="dxa"/>
            <w:vMerge w:val="restart"/>
            <w:tcBorders>
              <w:top w:val="single" w:sz="4" w:space="0" w:color="000000"/>
              <w:left w:val="single" w:sz="4" w:space="0" w:color="000000"/>
              <w:right w:val="single" w:sz="13" w:space="0" w:color="D2D2D2"/>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sz w:val="18"/>
              </w:rPr>
              <w:t>75,629.66</w:t>
            </w:r>
          </w:p>
        </w:tc>
        <w:tc>
          <w:tcPr>
            <w:tcW w:w="31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3" w:type="dxa"/>
            <w:vMerge w:val="restart"/>
            <w:tcBorders>
              <w:top w:val="single" w:sz="4" w:space="0" w:color="000000"/>
              <w:left w:val="single" w:sz="13" w:space="0" w:color="D2D2D2"/>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sz w:val="18"/>
              </w:rPr>
              <w:t>75,629.66</w:t>
            </w:r>
          </w:p>
        </w:tc>
      </w:tr>
      <w:tr>
        <w:trPr>
          <w:trHeight w:val="391" w:hRule="exact"/>
        </w:trPr>
        <w:tc>
          <w:tcPr>
            <w:tcW w:w="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92" w:type="dxa"/>
            <w:vMerge/>
            <w:tcBorders>
              <w:left w:val="single" w:sz="13" w:space="0" w:color="D2D2D2"/>
              <w:right w:val="single" w:sz="4" w:space="0" w:color="000000"/>
            </w:tcBorders>
          </w:tcPr>
          <w:p>
            <w:pP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13" w:space="0" w:color="D2D2D2"/>
            </w:tcBorders>
          </w:tcPr>
          <w:p>
            <w:pPr/>
          </w:p>
        </w:tc>
        <w:tc>
          <w:tcPr>
            <w:tcW w:w="31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053" w:type="dxa"/>
            <w:vMerge/>
            <w:tcBorders>
              <w:left w:val="single" w:sz="13" w:space="0" w:color="D2D2D2"/>
              <w:right w:val="single" w:sz="4" w:space="0" w:color="000000"/>
            </w:tcBorders>
          </w:tcPr>
          <w:p>
            <w:pPr/>
          </w:p>
        </w:tc>
      </w:tr>
      <w:tr>
        <w:trPr>
          <w:trHeight w:val="154" w:hRule="exact"/>
        </w:trPr>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13" w:space="0" w:color="D2D2D2"/>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13" w:space="0" w:color="D2D2D2"/>
            </w:tcBorders>
          </w:tcPr>
          <w:p>
            <w:pPr/>
          </w:p>
        </w:tc>
        <w:tc>
          <w:tcPr>
            <w:tcW w:w="31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3" w:type="dxa"/>
            <w:vMerge/>
            <w:tcBorders>
              <w:left w:val="single" w:sz="13" w:space="0" w:color="D2D2D2"/>
              <w:bottom w:val="single" w:sz="4" w:space="0" w:color="000000"/>
              <w:right w:val="single" w:sz="4" w:space="0" w:color="000000"/>
            </w:tcBorders>
          </w:tcPr>
          <w:p>
            <w:pPr/>
          </w:p>
        </w:tc>
      </w:tr>
      <w:tr>
        <w:trPr>
          <w:trHeight w:val="402" w:hRule="exact"/>
        </w:trPr>
        <w:tc>
          <w:tcPr>
            <w:tcW w:w="1352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235" w:hRule="exact"/>
        </w:trPr>
        <w:tc>
          <w:tcPr>
            <w:tcW w:w="13528"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pacing w:val="-2"/>
                <w:sz w:val="18"/>
                <w:szCs w:val="18"/>
              </w:rPr>
              <w:t>经中国证券监督管理委员会《关于核准智度投资股份有限公司向北京智度德普股权投资中心（有限合伙）等发行股份购买资产并募集配套资金的批复》（证监许可</w:t>
            </w:r>
            <w:r>
              <w:rPr>
                <w:rFonts w:ascii="宋体" w:hAnsi="宋体" w:cs="宋体" w:eastAsia="宋体" w:hint="default"/>
                <w:spacing w:val="-2"/>
                <w:sz w:val="18"/>
                <w:szCs w:val="18"/>
              </w:rPr>
              <w:t>[2016]834</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号）文件核准，并经深圳证券交易所同意，智度投资股份有限公司（现已更名为“智度科技股份有限公司”）获准非公开发行人民币普通股（</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w:t>
            </w:r>
            <w:r>
              <w:rPr>
                <w:rFonts w:ascii="宋体" w:hAnsi="宋体" w:cs="宋体" w:eastAsia="宋体" w:hint="default"/>
                <w:sz w:val="18"/>
                <w:szCs w:val="18"/>
              </w:rPr>
              <w:t>419,381,688</w:t>
            </w:r>
            <w:r>
              <w:rPr>
                <w:rFonts w:ascii="宋体" w:hAnsi="宋体" w:cs="宋体" w:eastAsia="宋体" w:hint="default"/>
                <w:spacing w:val="-46"/>
                <w:sz w:val="18"/>
                <w:szCs w:val="18"/>
              </w:rPr>
              <w:t> </w:t>
            </w:r>
            <w:r>
              <w:rPr>
                <w:rFonts w:ascii="宋体" w:hAnsi="宋体" w:cs="宋体" w:eastAsia="宋体" w:hint="default"/>
                <w:sz w:val="18"/>
                <w:szCs w:val="18"/>
              </w:rPr>
              <w:t>股，每股 面值人民币</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pacing w:val="-5"/>
                <w:sz w:val="18"/>
                <w:szCs w:val="18"/>
              </w:rPr>
              <w:t>元，每股发行价格为人民币</w:t>
            </w:r>
            <w:r>
              <w:rPr>
                <w:rFonts w:ascii="宋体" w:hAnsi="宋体" w:cs="宋体" w:eastAsia="宋体" w:hint="default"/>
                <w:spacing w:val="-44"/>
                <w:sz w:val="18"/>
                <w:szCs w:val="18"/>
              </w:rPr>
              <w:t> </w:t>
            </w:r>
            <w:r>
              <w:rPr>
                <w:rFonts w:ascii="宋体" w:hAnsi="宋体" w:cs="宋体" w:eastAsia="宋体" w:hint="default"/>
                <w:sz w:val="18"/>
                <w:szCs w:val="18"/>
              </w:rPr>
              <w:t>6.72</w:t>
            </w:r>
            <w:r>
              <w:rPr>
                <w:rFonts w:ascii="宋体" w:hAnsi="宋体" w:cs="宋体" w:eastAsia="宋体" w:hint="default"/>
                <w:spacing w:val="-44"/>
                <w:sz w:val="18"/>
                <w:szCs w:val="18"/>
              </w:rPr>
              <w:t> </w:t>
            </w:r>
            <w:r>
              <w:rPr>
                <w:rFonts w:ascii="宋体" w:hAnsi="宋体" w:cs="宋体" w:eastAsia="宋体" w:hint="default"/>
                <w:spacing w:val="-13"/>
                <w:sz w:val="18"/>
                <w:szCs w:val="18"/>
              </w:rPr>
              <w:t>元。截至</w:t>
            </w:r>
            <w:r>
              <w:rPr>
                <w:rFonts w:ascii="宋体" w:hAnsi="宋体" w:cs="宋体" w:eastAsia="宋体" w:hint="default"/>
                <w:spacing w:val="-44"/>
                <w:sz w:val="18"/>
                <w:szCs w:val="18"/>
              </w:rPr>
              <w:t> </w:t>
            </w: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29</w:t>
            </w:r>
            <w:r>
              <w:rPr>
                <w:rFonts w:ascii="宋体" w:hAnsi="宋体" w:cs="宋体" w:eastAsia="宋体" w:hint="default"/>
                <w:spacing w:val="-44"/>
                <w:sz w:val="18"/>
                <w:szCs w:val="18"/>
              </w:rPr>
              <w:t> </w:t>
            </w:r>
            <w:r>
              <w:rPr>
                <w:rFonts w:ascii="宋体" w:hAnsi="宋体" w:cs="宋体" w:eastAsia="宋体" w:hint="default"/>
                <w:spacing w:val="-5"/>
                <w:sz w:val="18"/>
                <w:szCs w:val="18"/>
              </w:rPr>
              <w:t>日，本公司共募集资金</w:t>
            </w:r>
            <w:r>
              <w:rPr>
                <w:rFonts w:ascii="宋体" w:hAnsi="宋体" w:cs="宋体" w:eastAsia="宋体" w:hint="default"/>
                <w:spacing w:val="-44"/>
                <w:sz w:val="18"/>
                <w:szCs w:val="18"/>
              </w:rPr>
              <w:t> </w:t>
            </w:r>
            <w:r>
              <w:rPr>
                <w:rFonts w:ascii="宋体" w:hAnsi="宋体" w:cs="宋体" w:eastAsia="宋体" w:hint="default"/>
                <w:sz w:val="18"/>
                <w:szCs w:val="18"/>
              </w:rPr>
              <w:t>281,824.49</w:t>
            </w:r>
            <w:r>
              <w:rPr>
                <w:rFonts w:ascii="宋体" w:hAnsi="宋体" w:cs="宋体" w:eastAsia="宋体" w:hint="default"/>
                <w:spacing w:val="-44"/>
                <w:sz w:val="18"/>
                <w:szCs w:val="18"/>
              </w:rPr>
              <w:t> </w:t>
            </w:r>
            <w:r>
              <w:rPr>
                <w:rFonts w:ascii="宋体" w:hAnsi="宋体" w:cs="宋体" w:eastAsia="宋体" w:hint="default"/>
                <w:spacing w:val="-5"/>
                <w:sz w:val="18"/>
                <w:szCs w:val="18"/>
              </w:rPr>
              <w:t>万元，扣除发生的券商承销佣金、保荐费及其他发行费用</w:t>
            </w:r>
            <w:r>
              <w:rPr>
                <w:rFonts w:ascii="宋体" w:hAnsi="宋体" w:cs="宋体" w:eastAsia="宋体" w:hint="default"/>
                <w:spacing w:val="-44"/>
                <w:sz w:val="18"/>
                <w:szCs w:val="18"/>
              </w:rPr>
              <w:t> </w:t>
            </w:r>
            <w:r>
              <w:rPr>
                <w:rFonts w:ascii="宋体" w:hAnsi="宋体" w:cs="宋体" w:eastAsia="宋体" w:hint="default"/>
                <w:sz w:val="18"/>
                <w:szCs w:val="18"/>
              </w:rPr>
              <w:t>1,940.00</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万元后，募集资金净额为</w:t>
            </w:r>
            <w:r>
              <w:rPr>
                <w:rFonts w:ascii="宋体" w:hAnsi="宋体" w:cs="宋体" w:eastAsia="宋体" w:hint="default"/>
                <w:spacing w:val="-50"/>
                <w:sz w:val="18"/>
                <w:szCs w:val="18"/>
              </w:rPr>
              <w:t> </w:t>
            </w:r>
            <w:r>
              <w:rPr>
                <w:rFonts w:ascii="宋体" w:hAnsi="宋体" w:cs="宋体" w:eastAsia="宋体" w:hint="default"/>
                <w:sz w:val="18"/>
                <w:szCs w:val="18"/>
              </w:rPr>
              <w:t>279,884.49</w:t>
            </w:r>
            <w:r>
              <w:rPr>
                <w:rFonts w:ascii="宋体" w:hAnsi="宋体" w:cs="宋体" w:eastAsia="宋体" w:hint="default"/>
                <w:spacing w:val="-50"/>
                <w:sz w:val="18"/>
                <w:szCs w:val="18"/>
              </w:rPr>
              <w:t> </w:t>
            </w:r>
            <w:r>
              <w:rPr>
                <w:rFonts w:ascii="宋体" w:hAnsi="宋体" w:cs="宋体" w:eastAsia="宋体" w:hint="default"/>
                <w:sz w:val="18"/>
                <w:szCs w:val="18"/>
              </w:rPr>
              <w:t>万元。业经瑞华会计师事务所（特殊普通合伙）瑞华验字</w:t>
            </w:r>
            <w:r>
              <w:rPr>
                <w:rFonts w:ascii="宋体" w:hAnsi="宋体" w:cs="宋体" w:eastAsia="宋体" w:hint="default"/>
                <w:sz w:val="18"/>
                <w:szCs w:val="18"/>
              </w:rPr>
              <w:t>[2016]01660009</w:t>
            </w:r>
            <w:r>
              <w:rPr>
                <w:rFonts w:ascii="宋体" w:hAnsi="宋体" w:cs="宋体" w:eastAsia="宋体" w:hint="default"/>
                <w:spacing w:val="-50"/>
                <w:sz w:val="18"/>
                <w:szCs w:val="18"/>
              </w:rPr>
              <w:t> </w:t>
            </w:r>
            <w:r>
              <w:rPr>
                <w:rFonts w:ascii="宋体" w:hAnsi="宋体" w:cs="宋体" w:eastAsia="宋体" w:hint="default"/>
                <w:spacing w:val="-3"/>
                <w:sz w:val="18"/>
                <w:szCs w:val="18"/>
              </w:rPr>
              <w:t>号《验资报告》验证。截止</w:t>
            </w:r>
            <w:r>
              <w:rPr>
                <w:rFonts w:ascii="宋体" w:hAnsi="宋体" w:cs="宋体" w:eastAsia="宋体" w:hint="default"/>
                <w:spacing w:val="-50"/>
                <w:sz w:val="18"/>
                <w:szCs w:val="18"/>
              </w:rPr>
              <w:t> </w:t>
            </w:r>
            <w:r>
              <w:rPr>
                <w:rFonts w:ascii="宋体" w:hAnsi="宋体" w:cs="宋体" w:eastAsia="宋体" w:hint="default"/>
                <w:sz w:val="18"/>
                <w:szCs w:val="18"/>
              </w:rPr>
              <w:t>2016</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12</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31</w:t>
            </w:r>
            <w:r>
              <w:rPr>
                <w:rFonts w:ascii="宋体" w:hAnsi="宋体" w:cs="宋体" w:eastAsia="宋体" w:hint="default"/>
                <w:spacing w:val="-50"/>
                <w:sz w:val="18"/>
                <w:szCs w:val="18"/>
              </w:rPr>
              <w:t> </w:t>
            </w:r>
            <w:r>
              <w:rPr>
                <w:rFonts w:ascii="宋体" w:hAnsi="宋体" w:cs="宋体" w:eastAsia="宋体" w:hint="default"/>
                <w:sz w:val="18"/>
                <w:szCs w:val="18"/>
              </w:rPr>
              <w:t>日，本公司募集</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资金累计已使用金额</w:t>
            </w:r>
            <w:r>
              <w:rPr>
                <w:rFonts w:ascii="宋体" w:hAnsi="宋体" w:cs="宋体" w:eastAsia="宋体" w:hint="default"/>
                <w:spacing w:val="-46"/>
                <w:sz w:val="18"/>
                <w:szCs w:val="18"/>
              </w:rPr>
              <w:t> </w:t>
            </w:r>
            <w:r>
              <w:rPr>
                <w:rFonts w:ascii="宋体" w:hAnsi="宋体" w:cs="宋体" w:eastAsia="宋体" w:hint="default"/>
                <w:sz w:val="18"/>
                <w:szCs w:val="18"/>
              </w:rPr>
              <w:t>96,060.01</w:t>
            </w:r>
            <w:r>
              <w:rPr>
                <w:rFonts w:ascii="宋体" w:hAnsi="宋体" w:cs="宋体" w:eastAsia="宋体" w:hint="default"/>
                <w:spacing w:val="-46"/>
                <w:sz w:val="18"/>
                <w:szCs w:val="18"/>
              </w:rPr>
              <w:t> </w:t>
            </w:r>
            <w:r>
              <w:rPr>
                <w:rFonts w:ascii="宋体" w:hAnsi="宋体" w:cs="宋体" w:eastAsia="宋体" w:hint="default"/>
                <w:sz w:val="18"/>
                <w:szCs w:val="18"/>
              </w:rPr>
              <w:t>万</w:t>
            </w:r>
            <w:r>
              <w:rPr>
                <w:rFonts w:ascii="宋体" w:hAnsi="宋体" w:cs="宋体" w:eastAsia="宋体" w:hint="default"/>
                <w:spacing w:val="-5"/>
                <w:sz w:val="18"/>
                <w:szCs w:val="18"/>
              </w:rPr>
              <w:t>元</w:t>
            </w:r>
            <w:r>
              <w:rPr>
                <w:rFonts w:ascii="宋体" w:hAnsi="宋体" w:cs="宋体" w:eastAsia="宋体" w:hint="default"/>
                <w:sz w:val="18"/>
                <w:szCs w:val="18"/>
              </w:rPr>
              <w:t>（含发行费用</w:t>
            </w:r>
            <w:r>
              <w:rPr>
                <w:rFonts w:ascii="宋体" w:hAnsi="宋体" w:cs="宋体" w:eastAsia="宋体" w:hint="default"/>
                <w:spacing w:val="-46"/>
                <w:sz w:val="18"/>
                <w:szCs w:val="18"/>
              </w:rPr>
              <w:t> </w:t>
            </w:r>
            <w:r>
              <w:rPr>
                <w:rFonts w:ascii="宋体" w:hAnsi="宋体" w:cs="宋体" w:eastAsia="宋体" w:hint="default"/>
                <w:sz w:val="18"/>
                <w:szCs w:val="18"/>
              </w:rPr>
              <w:t>1,940.00</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尚未使用的金额</w:t>
            </w:r>
            <w:r>
              <w:rPr>
                <w:rFonts w:ascii="宋体" w:hAnsi="宋体" w:cs="宋体" w:eastAsia="宋体" w:hint="default"/>
                <w:spacing w:val="-46"/>
                <w:sz w:val="18"/>
                <w:szCs w:val="18"/>
              </w:rPr>
              <w:t> </w:t>
            </w:r>
            <w:r>
              <w:rPr>
                <w:rFonts w:ascii="宋体" w:hAnsi="宋体" w:cs="宋体" w:eastAsia="宋体" w:hint="default"/>
                <w:sz w:val="18"/>
                <w:szCs w:val="18"/>
              </w:rPr>
              <w:t>188,028.22</w:t>
            </w:r>
            <w:r>
              <w:rPr>
                <w:rFonts w:ascii="宋体" w:hAnsi="宋体" w:cs="宋体" w:eastAsia="宋体" w:hint="default"/>
                <w:spacing w:val="-46"/>
                <w:sz w:val="18"/>
                <w:szCs w:val="18"/>
              </w:rPr>
              <w:t> </w:t>
            </w:r>
            <w:r>
              <w:rPr>
                <w:rFonts w:ascii="宋体" w:hAnsi="宋体" w:cs="宋体" w:eastAsia="宋体" w:hint="default"/>
                <w:sz w:val="18"/>
                <w:szCs w:val="18"/>
              </w:rPr>
              <w:t>万</w:t>
            </w:r>
            <w:r>
              <w:rPr>
                <w:rFonts w:ascii="宋体" w:hAnsi="宋体" w:cs="宋体" w:eastAsia="宋体" w:hint="default"/>
                <w:spacing w:val="-5"/>
                <w:sz w:val="18"/>
                <w:szCs w:val="18"/>
              </w:rPr>
              <w:t>元</w:t>
            </w:r>
            <w:r>
              <w:rPr>
                <w:rFonts w:ascii="宋体" w:hAnsi="宋体" w:cs="宋体" w:eastAsia="宋体" w:hint="default"/>
                <w:sz w:val="18"/>
                <w:szCs w:val="18"/>
              </w:rPr>
              <w:t>（其中</w:t>
            </w:r>
            <w:r>
              <w:rPr>
                <w:rFonts w:ascii="宋体" w:hAnsi="宋体" w:cs="宋体" w:eastAsia="宋体" w:hint="default"/>
                <w:spacing w:val="-5"/>
                <w:sz w:val="18"/>
                <w:szCs w:val="18"/>
              </w:rPr>
              <w:t>：</w:t>
            </w:r>
            <w:r>
              <w:rPr>
                <w:rFonts w:ascii="宋体" w:hAnsi="宋体" w:cs="宋体" w:eastAsia="宋体" w:hint="default"/>
                <w:sz w:val="18"/>
                <w:szCs w:val="18"/>
              </w:rPr>
              <w:t>募集资金余额</w:t>
            </w:r>
            <w:r>
              <w:rPr>
                <w:rFonts w:ascii="宋体" w:hAnsi="宋体" w:cs="宋体" w:eastAsia="宋体" w:hint="default"/>
                <w:spacing w:val="-46"/>
                <w:sz w:val="18"/>
                <w:szCs w:val="18"/>
              </w:rPr>
              <w:t> </w:t>
            </w:r>
            <w:r>
              <w:rPr>
                <w:rFonts w:ascii="宋体" w:hAnsi="宋体" w:cs="宋体" w:eastAsia="宋体" w:hint="default"/>
                <w:sz w:val="18"/>
                <w:szCs w:val="18"/>
              </w:rPr>
              <w:t>185,764.48</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pacing w:val="-5"/>
                <w:sz w:val="18"/>
                <w:szCs w:val="18"/>
              </w:rPr>
              <w:t>，</w:t>
            </w:r>
            <w:r>
              <w:rPr>
                <w:rFonts w:ascii="宋体" w:hAnsi="宋体" w:cs="宋体" w:eastAsia="宋体" w:hint="default"/>
                <w:sz w:val="18"/>
                <w:szCs w:val="18"/>
              </w:rPr>
              <w:t>专户存储累计利息及利</w:t>
            </w:r>
            <w:r>
              <w:rPr>
                <w:rFonts w:ascii="宋体" w:hAnsi="宋体" w:cs="宋体" w:eastAsia="宋体" w:hint="default"/>
                <w:spacing w:val="1"/>
                <w:sz w:val="18"/>
                <w:szCs w:val="18"/>
              </w:rPr>
              <w:t>用</w:t>
            </w:r>
            <w:r>
              <w:rPr>
                <w:rFonts w:ascii="宋体" w:hAnsi="宋体" w:cs="宋体" w:eastAsia="宋体" w:hint="default"/>
                <w:sz w:val="18"/>
                <w:szCs w:val="18"/>
              </w:rPr>
              <w:t>闲</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置募投资金购买理财产品取得的投资收益扣除手续费</w:t>
            </w:r>
            <w:r>
              <w:rPr>
                <w:rFonts w:ascii="宋体" w:hAnsi="宋体" w:cs="宋体" w:eastAsia="宋体" w:hint="default"/>
                <w:spacing w:val="-46"/>
                <w:sz w:val="18"/>
                <w:szCs w:val="18"/>
              </w:rPr>
              <w:t> </w:t>
            </w:r>
            <w:r>
              <w:rPr>
                <w:rFonts w:ascii="宋体" w:hAnsi="宋体" w:cs="宋体" w:eastAsia="宋体" w:hint="default"/>
                <w:sz w:val="18"/>
                <w:szCs w:val="18"/>
              </w:rPr>
              <w:t>2,263.74</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pacing w:val="-6"/>
                <w:sz w:val="18"/>
                <w:szCs w:val="18"/>
              </w:rPr>
              <w:t>。</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w:t>
            </w:r>
            <w:r>
              <w:rPr>
                <w:rFonts w:ascii="宋体" w:hAnsi="宋体" w:cs="宋体" w:eastAsia="宋体" w:hint="default"/>
                <w:spacing w:val="-6"/>
                <w:sz w:val="18"/>
                <w:szCs w:val="18"/>
              </w:rPr>
              <w:t>，</w:t>
            </w:r>
            <w:r>
              <w:rPr>
                <w:rFonts w:ascii="宋体" w:hAnsi="宋体" w:cs="宋体" w:eastAsia="宋体" w:hint="default"/>
                <w:sz w:val="18"/>
                <w:szCs w:val="18"/>
              </w:rPr>
              <w:t>本公司募集资金使用情况为</w:t>
            </w:r>
            <w:r>
              <w:rPr>
                <w:rFonts w:ascii="宋体" w:hAnsi="宋体" w:cs="宋体" w:eastAsia="宋体" w:hint="default"/>
                <w:spacing w:val="-6"/>
                <w:sz w:val="18"/>
                <w:szCs w:val="18"/>
              </w:rPr>
              <w:t>：</w:t>
            </w:r>
            <w:r>
              <w:rPr>
                <w:rFonts w:ascii="宋体" w:hAnsi="宋体" w:cs="宋体" w:eastAsia="宋体" w:hint="default"/>
                <w:sz w:val="18"/>
                <w:szCs w:val="18"/>
              </w:rPr>
              <w:t>以募集资金直接投入募投项目</w:t>
            </w:r>
            <w:r>
              <w:rPr>
                <w:rFonts w:ascii="宋体" w:hAnsi="宋体" w:cs="宋体" w:eastAsia="宋体" w:hint="default"/>
                <w:spacing w:val="-46"/>
                <w:sz w:val="18"/>
                <w:szCs w:val="18"/>
              </w:rPr>
              <w:t> </w:t>
            </w:r>
            <w:r>
              <w:rPr>
                <w:rFonts w:ascii="宋体" w:hAnsi="宋体" w:cs="宋体" w:eastAsia="宋体" w:hint="default"/>
                <w:sz w:val="18"/>
                <w:szCs w:val="18"/>
              </w:rPr>
              <w:t>110,005.44</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pacing w:val="-6"/>
                <w:sz w:val="18"/>
                <w:szCs w:val="18"/>
              </w:rPr>
              <w:t>。</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2017</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日，本公司募集资金累计直接投入募投项目</w:t>
            </w:r>
            <w:r>
              <w:rPr>
                <w:rFonts w:ascii="宋体" w:hAnsi="宋体" w:cs="宋体" w:eastAsia="宋体" w:hint="default"/>
                <w:spacing w:val="-46"/>
                <w:sz w:val="18"/>
                <w:szCs w:val="18"/>
              </w:rPr>
              <w:t> </w:t>
            </w:r>
            <w:r>
              <w:rPr>
                <w:rFonts w:ascii="宋体" w:hAnsi="宋体" w:cs="宋体" w:eastAsia="宋体" w:hint="default"/>
                <w:sz w:val="18"/>
                <w:szCs w:val="18"/>
              </w:rPr>
              <w:t>206,065.45</w:t>
            </w:r>
            <w:r>
              <w:rPr>
                <w:rFonts w:ascii="宋体" w:hAnsi="宋体" w:cs="宋体" w:eastAsia="宋体" w:hint="default"/>
                <w:spacing w:val="-46"/>
                <w:sz w:val="18"/>
                <w:szCs w:val="18"/>
              </w:rPr>
              <w:t> </w:t>
            </w:r>
            <w:r>
              <w:rPr>
                <w:rFonts w:ascii="宋体" w:hAnsi="宋体" w:cs="宋体" w:eastAsia="宋体" w:hint="default"/>
                <w:sz w:val="18"/>
                <w:szCs w:val="18"/>
              </w:rPr>
              <w:t>万元，支付</w:t>
            </w:r>
            <w:r>
              <w:rPr>
                <w:rFonts w:ascii="宋体" w:hAnsi="宋体" w:cs="宋体" w:eastAsia="宋体" w:hint="default"/>
                <w:spacing w:val="-46"/>
                <w:sz w:val="18"/>
                <w:szCs w:val="18"/>
              </w:rPr>
              <w:t> </w:t>
            </w:r>
            <w:r>
              <w:rPr>
                <w:rFonts w:ascii="宋体" w:hAnsi="宋体" w:cs="宋体" w:eastAsia="宋体" w:hint="default"/>
                <w:sz w:val="18"/>
                <w:szCs w:val="18"/>
              </w:rPr>
              <w:t>Spigot</w:t>
            </w:r>
            <w:r>
              <w:rPr>
                <w:rFonts w:ascii="宋体" w:hAnsi="宋体" w:cs="宋体" w:eastAsia="宋体" w:hint="default"/>
                <w:spacing w:val="-45"/>
                <w:sz w:val="18"/>
                <w:szCs w:val="18"/>
              </w:rPr>
              <w:t> </w:t>
            </w:r>
            <w:r>
              <w:rPr>
                <w:rFonts w:ascii="宋体" w:hAnsi="宋体" w:cs="宋体" w:eastAsia="宋体" w:hint="default"/>
                <w:sz w:val="18"/>
                <w:szCs w:val="18"/>
              </w:rPr>
              <w:t>公司的现金对价在实际付款日的汇率差异暂时留存在流动资金账户</w:t>
            </w:r>
            <w:r>
              <w:rPr>
                <w:rFonts w:ascii="宋体" w:hAnsi="宋体" w:cs="宋体" w:eastAsia="宋体" w:hint="default"/>
                <w:spacing w:val="-46"/>
                <w:sz w:val="18"/>
                <w:szCs w:val="18"/>
              </w:rPr>
              <w:t> </w:t>
            </w:r>
            <w:r>
              <w:rPr>
                <w:rFonts w:ascii="宋体" w:hAnsi="宋体" w:cs="宋体" w:eastAsia="宋体" w:hint="default"/>
                <w:sz w:val="18"/>
                <w:szCs w:val="18"/>
              </w:rPr>
              <w:t>129.38</w:t>
            </w:r>
            <w:r>
              <w:rPr>
                <w:rFonts w:ascii="宋体" w:hAnsi="宋体" w:cs="宋体" w:eastAsia="宋体" w:hint="default"/>
                <w:spacing w:val="-46"/>
                <w:sz w:val="18"/>
                <w:szCs w:val="18"/>
              </w:rPr>
              <w:t> </w:t>
            </w:r>
            <w:r>
              <w:rPr>
                <w:rFonts w:ascii="宋体" w:hAnsi="宋体" w:cs="宋体" w:eastAsia="宋体" w:hint="default"/>
                <w:sz w:val="18"/>
                <w:szCs w:val="18"/>
              </w:rPr>
              <w:t>万元，尚</w:t>
            </w:r>
          </w:p>
        </w:tc>
      </w:tr>
    </w:tbl>
    <w:p>
      <w:pPr>
        <w:spacing w:after="0" w:line="240" w:lineRule="auto"/>
        <w:jc w:val="left"/>
        <w:rPr>
          <w:rFonts w:ascii="宋体" w:hAnsi="宋体" w:cs="宋体" w:eastAsia="宋体" w:hint="default"/>
          <w:sz w:val="18"/>
          <w:szCs w:val="18"/>
        </w:rPr>
        <w:sectPr>
          <w:headerReference w:type="default" r:id="rId19"/>
          <w:footerReference w:type="default" r:id="rId20"/>
          <w:pgSz w:w="16840" w:h="11910" w:orient="landscape"/>
          <w:pgMar w:header="877" w:footer="1187" w:top="1380" w:bottom="1380" w:left="1300" w:right="0"/>
          <w:pgNumType w:start="29"/>
        </w:sectPr>
      </w:pPr>
    </w:p>
    <w:p>
      <w:pPr>
        <w:spacing w:line="240" w:lineRule="auto" w:before="12"/>
        <w:rPr>
          <w:rFonts w:ascii="宋体" w:hAnsi="宋体" w:cs="宋体" w:eastAsia="宋体" w:hint="default"/>
          <w:sz w:val="2"/>
          <w:szCs w:val="2"/>
        </w:rPr>
      </w:pPr>
    </w:p>
    <w:p>
      <w:pPr>
        <w:spacing w:line="2183" w:lineRule="exact"/>
        <w:ind w:left="102" w:right="0" w:firstLine="0"/>
        <w:rPr>
          <w:rFonts w:ascii="宋体" w:hAnsi="宋体" w:cs="宋体" w:eastAsia="宋体" w:hint="default"/>
          <w:sz w:val="20"/>
          <w:szCs w:val="20"/>
        </w:rPr>
      </w:pPr>
      <w:r>
        <w:rPr>
          <w:rFonts w:ascii="宋体" w:hAnsi="宋体" w:cs="宋体" w:eastAsia="宋体" w:hint="default"/>
          <w:position w:val="-43"/>
          <w:sz w:val="20"/>
          <w:szCs w:val="20"/>
        </w:rPr>
        <w:pict>
          <v:group style="width:701.7pt;height:109.2pt;mso-position-horizontal-relative:char;mso-position-vertical-relative:line" coordorigin="0,0" coordsize="14034,2184">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style="position:absolute;left:42;top:34;width:13522;height:2" coordorigin="42,34" coordsize="13522,2">
              <v:shape style="position:absolute;left:42;top:34;width:13522;height:2" coordorigin="42,34" coordsize="13522,0" path="m42,34l13564,34e" filled="false" stroked="true" strokeweight=".48pt" strokecolor="#000000">
                <v:path arrowok="t"/>
              </v:shape>
            </v:group>
            <v:group style="position:absolute;left:37;top:29;width:2;height:2150" coordorigin="37,29" coordsize="2,2150">
              <v:shape style="position:absolute;left:37;top:29;width:2;height:2150" coordorigin="37,29" coordsize="0,2150" path="m37,29l37,2178e" filled="false" stroked="true" strokeweight=".48pt" strokecolor="#000000">
                <v:path arrowok="t"/>
              </v:shape>
            </v:group>
            <v:group style="position:absolute;left:42;top:2174;width:13522;height:2" coordorigin="42,2174" coordsize="13522,2">
              <v:shape style="position:absolute;left:42;top:2174;width:13522;height:2" coordorigin="42,2174" coordsize="13522,0" path="m42,2174l13564,2174e" filled="false" stroked="true" strokeweight=".48pt" strokecolor="#000000">
                <v:path arrowok="t"/>
              </v:shape>
            </v:group>
            <v:group style="position:absolute;left:13568;top:29;width:2;height:2150" coordorigin="13568,29" coordsize="2,2150">
              <v:shape style="position:absolute;left:13568;top:29;width:2;height:2150" coordorigin="13568,29" coordsize="0,2150" path="m13568,29l13568,2178e" filled="false" stroked="true" strokeweight=".48pt" strokecolor="#000000">
                <v:path arrowok="t"/>
              </v:shape>
              <v:shape style="position:absolute;left:65;top:106;width:34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未使用的募集资金余额为</w:t>
                      </w:r>
                      <w:r>
                        <w:rPr>
                          <w:rFonts w:ascii="宋体" w:hAnsi="宋体" w:cs="宋体" w:eastAsia="宋体" w:hint="default"/>
                          <w:spacing w:val="-46"/>
                          <w:sz w:val="18"/>
                          <w:szCs w:val="18"/>
                        </w:rPr>
                        <w:t> </w:t>
                      </w:r>
                      <w:r>
                        <w:rPr>
                          <w:rFonts w:ascii="宋体" w:hAnsi="宋体" w:cs="宋体" w:eastAsia="宋体" w:hint="default"/>
                          <w:sz w:val="18"/>
                          <w:szCs w:val="18"/>
                        </w:rPr>
                        <w:t>75,629.66</w:t>
                      </w:r>
                      <w:r>
                        <w:rPr>
                          <w:rFonts w:ascii="宋体" w:hAnsi="宋体" w:cs="宋体" w:eastAsia="宋体" w:hint="default"/>
                          <w:spacing w:val="-46"/>
                          <w:sz w:val="18"/>
                          <w:szCs w:val="18"/>
                        </w:rPr>
                        <w:t> </w:t>
                      </w:r>
                      <w:r>
                        <w:rPr>
                          <w:rFonts w:ascii="宋体" w:hAnsi="宋体" w:cs="宋体" w:eastAsia="宋体" w:hint="default"/>
                          <w:sz w:val="18"/>
                          <w:szCs w:val="18"/>
                        </w:rPr>
                        <w:t>万元。</w:t>
                      </w:r>
                    </w:p>
                  </w:txbxContent>
                </v:textbox>
                <w10:wrap type="none"/>
              </v:shape>
            </v:group>
          </v:group>
        </w:pict>
      </w:r>
      <w:r>
        <w:rPr>
          <w:rFonts w:ascii="宋体" w:hAnsi="宋体" w:cs="宋体" w:eastAsia="宋体" w:hint="default"/>
          <w:position w:val="-43"/>
          <w:sz w:val="20"/>
          <w:szCs w:val="20"/>
        </w:rPr>
      </w:r>
    </w:p>
    <w:p>
      <w:pPr>
        <w:spacing w:line="240" w:lineRule="auto" w:before="11"/>
        <w:rPr>
          <w:rFonts w:ascii="宋体" w:hAnsi="宋体" w:cs="宋体" w:eastAsia="宋体" w:hint="default"/>
          <w:sz w:val="18"/>
          <w:szCs w:val="18"/>
        </w:rPr>
      </w:pPr>
    </w:p>
    <w:p>
      <w:pPr>
        <w:pStyle w:val="Heading3"/>
        <w:spacing w:line="240" w:lineRule="auto" w:before="35"/>
        <w:ind w:left="140" w:right="0"/>
        <w:jc w:val="left"/>
        <w:rPr>
          <w:b w:val="0"/>
          <w:bCs w:val="0"/>
        </w:rPr>
      </w:pPr>
      <w:bookmarkStart w:name="（2）募集资金承诺项目情况" w:id="53"/>
      <w:bookmarkEnd w:id="53"/>
      <w:r>
        <w:rPr>
          <w:b w:val="0"/>
          <w:bCs w:val="0"/>
        </w:rPr>
      </w:r>
      <w:r>
        <w:rPr/>
        <w:t>（</w:t>
      </w:r>
      <w:r>
        <w:rPr>
          <w:rFonts w:ascii="宋体" w:hAnsi="宋体" w:cs="宋体" w:eastAsia="宋体" w:hint="default"/>
        </w:rPr>
        <w:t>2</w:t>
      </w:r>
      <w:r>
        <w:rPr/>
        <w:t>）募集资金承诺项目情况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140" w:right="0"/>
        <w:jc w:val="left"/>
      </w:pPr>
      <w:r>
        <w:rPr/>
        <w:t>√ 适用 □ 不适用</w:t>
      </w:r>
    </w:p>
    <w:p>
      <w:pPr>
        <w:pStyle w:val="BodyText"/>
        <w:spacing w:line="240" w:lineRule="auto" w:before="116"/>
        <w:ind w:left="0" w:right="1436"/>
        <w:jc w:val="right"/>
      </w:pPr>
      <w:r>
        <w:rPr/>
        <w:t>单位：万元</w:t>
      </w:r>
    </w:p>
    <w:p>
      <w:pPr>
        <w:spacing w:line="240" w:lineRule="auto" w:before="1"/>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2836"/>
        <w:gridCol w:w="972"/>
        <w:gridCol w:w="1165"/>
        <w:gridCol w:w="1165"/>
        <w:gridCol w:w="1164"/>
        <w:gridCol w:w="1165"/>
        <w:gridCol w:w="1165"/>
        <w:gridCol w:w="1165"/>
        <w:gridCol w:w="1393"/>
        <w:gridCol w:w="936"/>
        <w:gridCol w:w="1170"/>
      </w:tblGrid>
      <w:tr>
        <w:trPr>
          <w:trHeight w:val="132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承诺投资项目和超募资金投向</w:t>
            </w:r>
          </w:p>
        </w:tc>
        <w:tc>
          <w:tcPr>
            <w:tcW w:w="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319" w:lineRule="auto"/>
              <w:ind w:left="75" w:right="29" w:hanging="45"/>
              <w:jc w:val="both"/>
              <w:rPr>
                <w:rFonts w:ascii="宋体" w:hAnsi="宋体" w:cs="宋体" w:eastAsia="宋体" w:hint="default"/>
                <w:sz w:val="18"/>
                <w:szCs w:val="18"/>
              </w:rPr>
            </w:pPr>
            <w:r>
              <w:rPr>
                <w:rFonts w:ascii="宋体" w:hAnsi="宋体" w:cs="宋体" w:eastAsia="宋体" w:hint="default"/>
                <w:sz w:val="18"/>
                <w:szCs w:val="18"/>
              </w:rPr>
              <w:t>是否已变更 项目</w:t>
            </w:r>
            <w:r>
              <w:rPr>
                <w:rFonts w:ascii="宋体" w:hAnsi="宋体" w:cs="宋体" w:eastAsia="宋体" w:hint="default"/>
                <w:sz w:val="18"/>
                <w:szCs w:val="18"/>
              </w:rPr>
              <w:t>(</w:t>
            </w:r>
            <w:r>
              <w:rPr>
                <w:rFonts w:ascii="宋体" w:hAnsi="宋体" w:cs="宋体" w:eastAsia="宋体" w:hint="default"/>
                <w:sz w:val="18"/>
                <w:szCs w:val="18"/>
              </w:rPr>
              <w:t>含部 分变更</w:t>
            </w:r>
            <w:r>
              <w:rPr>
                <w:rFonts w:ascii="宋体" w:hAnsi="宋体" w:cs="宋体" w:eastAsia="宋体" w:hint="default"/>
                <w:sz w:val="18"/>
                <w:szCs w:val="18"/>
              </w:rPr>
              <w:t>)</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8"/>
              <w:ind w:left="218" w:right="35" w:hanging="180"/>
              <w:jc w:val="left"/>
              <w:rPr>
                <w:rFonts w:ascii="宋体" w:hAnsi="宋体" w:cs="宋体" w:eastAsia="宋体" w:hint="default"/>
                <w:sz w:val="18"/>
                <w:szCs w:val="18"/>
              </w:rPr>
            </w:pPr>
            <w:r>
              <w:rPr>
                <w:rFonts w:ascii="宋体" w:hAnsi="宋体" w:cs="宋体" w:eastAsia="宋体" w:hint="default"/>
                <w:sz w:val="18"/>
                <w:szCs w:val="18"/>
              </w:rPr>
              <w:t>募集资金承诺 投资总额</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8"/>
              <w:ind w:left="351" w:right="36" w:hanging="315"/>
              <w:jc w:val="left"/>
              <w:rPr>
                <w:rFonts w:ascii="宋体" w:hAnsi="宋体" w:cs="宋体" w:eastAsia="宋体" w:hint="default"/>
                <w:sz w:val="18"/>
                <w:szCs w:val="18"/>
              </w:rPr>
            </w:pPr>
            <w:r>
              <w:rPr>
                <w:rFonts w:ascii="宋体" w:hAnsi="宋体" w:cs="宋体" w:eastAsia="宋体" w:hint="default"/>
                <w:sz w:val="18"/>
                <w:szCs w:val="18"/>
              </w:rPr>
              <w:t>调整后投资总 额</w:t>
            </w:r>
            <w:r>
              <w:rPr>
                <w:rFonts w:ascii="宋体" w:hAnsi="宋体" w:cs="宋体" w:eastAsia="宋体" w:hint="default"/>
                <w:sz w:val="18"/>
                <w:szCs w:val="18"/>
              </w:rPr>
              <w:t>(1)</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8"/>
              <w:ind w:left="395" w:right="36"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8"/>
              <w:ind w:left="81" w:right="36" w:hanging="45"/>
              <w:jc w:val="left"/>
              <w:rPr>
                <w:rFonts w:ascii="宋体" w:hAnsi="宋体" w:cs="宋体" w:eastAsia="宋体" w:hint="default"/>
                <w:sz w:val="18"/>
                <w:szCs w:val="18"/>
              </w:rPr>
            </w:pPr>
            <w:r>
              <w:rPr>
                <w:rFonts w:ascii="宋体" w:hAnsi="宋体" w:cs="宋体" w:eastAsia="宋体" w:hint="default"/>
                <w:sz w:val="18"/>
                <w:szCs w:val="18"/>
              </w:rPr>
              <w:t>截至期末累计 投入金额</w:t>
            </w:r>
            <w:r>
              <w:rPr>
                <w:rFonts w:ascii="宋体" w:hAnsi="宋体" w:cs="宋体" w:eastAsia="宋体" w:hint="default"/>
                <w:sz w:val="18"/>
                <w:szCs w:val="18"/>
              </w:rPr>
              <w:t>(2)</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319" w:lineRule="auto"/>
              <w:ind w:left="37" w:right="36"/>
              <w:jc w:val="center"/>
              <w:rPr>
                <w:rFonts w:ascii="宋体" w:hAnsi="宋体" w:cs="宋体" w:eastAsia="宋体" w:hint="default"/>
                <w:sz w:val="18"/>
                <w:szCs w:val="18"/>
              </w:rPr>
            </w:pPr>
            <w:r>
              <w:rPr>
                <w:rFonts w:ascii="宋体" w:hAnsi="宋体" w:cs="宋体" w:eastAsia="宋体" w:hint="default"/>
                <w:sz w:val="18"/>
                <w:szCs w:val="18"/>
              </w:rPr>
              <w:t>截至期末投资 进度</w:t>
            </w:r>
            <w:r>
              <w:rPr>
                <w:rFonts w:ascii="宋体" w:hAnsi="宋体" w:cs="宋体" w:eastAsia="宋体" w:hint="default"/>
                <w:sz w:val="18"/>
                <w:szCs w:val="18"/>
              </w:rPr>
              <w:t>(3)</w:t>
            </w:r>
            <w:r>
              <w:rPr>
                <w:rFonts w:ascii="宋体" w:hAnsi="宋体" w:cs="宋体" w:eastAsia="宋体" w:hint="default"/>
                <w:sz w:val="18"/>
                <w:szCs w:val="18"/>
              </w:rPr>
              <w:t>＝ </w:t>
            </w:r>
            <w:r>
              <w:rPr>
                <w:rFonts w:ascii="宋体" w:hAnsi="宋体" w:cs="宋体" w:eastAsia="宋体" w:hint="default"/>
                <w:sz w:val="18"/>
                <w:szCs w:val="18"/>
              </w:rPr>
              <w:t>(2)/(1)</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319" w:lineRule="auto"/>
              <w:ind w:left="37" w:right="36"/>
              <w:jc w:val="center"/>
              <w:rPr>
                <w:rFonts w:ascii="宋体" w:hAnsi="宋体" w:cs="宋体" w:eastAsia="宋体" w:hint="default"/>
                <w:sz w:val="18"/>
                <w:szCs w:val="18"/>
              </w:rPr>
            </w:pPr>
            <w:r>
              <w:rPr>
                <w:rFonts w:ascii="宋体" w:hAnsi="宋体" w:cs="宋体" w:eastAsia="宋体" w:hint="default"/>
                <w:sz w:val="18"/>
                <w:szCs w:val="18"/>
              </w:rPr>
              <w:t>项目达到预定 可使用状态日 期</w:t>
            </w:r>
          </w:p>
        </w:tc>
        <w:tc>
          <w:tcPr>
            <w:tcW w:w="1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8"/>
              <w:ind w:left="511" w:right="60" w:hanging="450"/>
              <w:jc w:val="left"/>
              <w:rPr>
                <w:rFonts w:ascii="宋体" w:hAnsi="宋体" w:cs="宋体" w:eastAsia="宋体" w:hint="default"/>
                <w:sz w:val="18"/>
                <w:szCs w:val="18"/>
              </w:rPr>
            </w:pPr>
            <w:r>
              <w:rPr>
                <w:rFonts w:ascii="宋体" w:hAnsi="宋体" w:cs="宋体" w:eastAsia="宋体" w:hint="default"/>
                <w:sz w:val="18"/>
                <w:szCs w:val="18"/>
              </w:rPr>
              <w:t>本报告期实现的 效益</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8"/>
              <w:ind w:left="101" w:right="102"/>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1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319" w:lineRule="auto"/>
              <w:ind w:left="40" w:right="37"/>
              <w:jc w:val="center"/>
              <w:rPr>
                <w:rFonts w:ascii="宋体" w:hAnsi="宋体" w:cs="宋体" w:eastAsia="宋体" w:hint="default"/>
                <w:sz w:val="18"/>
                <w:szCs w:val="18"/>
              </w:rPr>
            </w:pPr>
            <w:r>
              <w:rPr>
                <w:rFonts w:ascii="宋体" w:hAnsi="宋体" w:cs="宋体" w:eastAsia="宋体" w:hint="default"/>
                <w:sz w:val="18"/>
                <w:szCs w:val="18"/>
              </w:rPr>
              <w:t>项目可行性是 否发生重大变 化</w:t>
            </w:r>
          </w:p>
        </w:tc>
      </w:tr>
      <w:tr>
        <w:trPr>
          <w:trHeight w:val="402" w:hRule="exact"/>
        </w:trPr>
        <w:tc>
          <w:tcPr>
            <w:tcW w:w="1429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509"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、支付</w:t>
            </w:r>
            <w:r>
              <w:rPr>
                <w:rFonts w:ascii="宋体" w:hAnsi="宋体" w:cs="宋体" w:eastAsia="宋体" w:hint="default"/>
                <w:spacing w:val="-46"/>
                <w:sz w:val="18"/>
                <w:szCs w:val="18"/>
              </w:rPr>
              <w:t> </w:t>
            </w:r>
            <w:r>
              <w:rPr>
                <w:rFonts w:ascii="宋体" w:hAnsi="宋体" w:cs="宋体" w:eastAsia="宋体" w:hint="default"/>
                <w:sz w:val="18"/>
                <w:szCs w:val="18"/>
              </w:rPr>
              <w:t>Spigot</w:t>
            </w:r>
            <w:r>
              <w:rPr>
                <w:rFonts w:ascii="宋体" w:hAnsi="宋体" w:cs="宋体" w:eastAsia="宋体" w:hint="default"/>
                <w:spacing w:val="-46"/>
                <w:sz w:val="18"/>
                <w:szCs w:val="18"/>
              </w:rPr>
              <w:t> </w:t>
            </w:r>
            <w:r>
              <w:rPr>
                <w:rFonts w:ascii="宋体" w:hAnsi="宋体" w:cs="宋体" w:eastAsia="宋体" w:hint="default"/>
                <w:sz w:val="18"/>
                <w:szCs w:val="18"/>
              </w:rPr>
              <w:t>公司的现金对价</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宋体" w:hAnsi="宋体" w:cs="宋体" w:eastAsia="宋体" w:hint="default"/>
                <w:sz w:val="18"/>
                <w:szCs w:val="18"/>
              </w:rPr>
            </w:pPr>
            <w:r>
              <w:rPr>
                <w:rFonts w:ascii="宋体"/>
                <w:sz w:val="18"/>
              </w:rPr>
              <w:t>161,085.88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宋体" w:hAnsi="宋体" w:cs="宋体" w:eastAsia="宋体" w:hint="default"/>
                <w:sz w:val="18"/>
                <w:szCs w:val="18"/>
              </w:rPr>
            </w:pPr>
            <w:r>
              <w:rPr>
                <w:rFonts w:ascii="宋体"/>
                <w:sz w:val="18"/>
              </w:rPr>
              <w:t>161,085.88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宋体" w:hAnsi="宋体" w:cs="宋体" w:eastAsia="宋体" w:hint="default"/>
                <w:sz w:val="18"/>
                <w:szCs w:val="18"/>
              </w:rPr>
            </w:pPr>
            <w:r>
              <w:rPr>
                <w:rFonts w:ascii="宋体"/>
                <w:sz w:val="18"/>
              </w:rPr>
              <w:t>19,951.37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宋体" w:hAnsi="宋体" w:cs="宋体" w:eastAsia="宋体" w:hint="default"/>
                <w:sz w:val="18"/>
                <w:szCs w:val="18"/>
              </w:rPr>
            </w:pPr>
            <w:r>
              <w:rPr>
                <w:rFonts w:ascii="宋体"/>
                <w:sz w:val="18"/>
              </w:rPr>
              <w:t>109,951.37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宋体" w:hAnsi="宋体" w:cs="宋体" w:eastAsia="宋体" w:hint="default"/>
                <w:sz w:val="18"/>
                <w:szCs w:val="18"/>
              </w:rPr>
            </w:pPr>
            <w:r>
              <w:rPr>
                <w:rFonts w:ascii="宋体"/>
                <w:sz w:val="18"/>
              </w:rPr>
              <w:t>68.26%</w:t>
            </w:r>
          </w:p>
        </w:tc>
        <w:tc>
          <w:tcPr>
            <w:tcW w:w="1165"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宋体" w:hAnsi="宋体" w:cs="宋体" w:eastAsia="宋体" w:hint="default"/>
                <w:sz w:val="18"/>
                <w:szCs w:val="18"/>
              </w:rPr>
            </w:pPr>
            <w:r>
              <w:rPr>
                <w:rFonts w:ascii="宋体" w:hAnsi="宋体" w:cs="宋体" w:eastAsia="宋体" w:hint="default"/>
                <w:sz w:val="18"/>
                <w:szCs w:val="18"/>
              </w:rPr>
              <w:t>4,229.01</w:t>
            </w:r>
            <w:r>
              <w:rPr>
                <w:rFonts w:ascii="宋体" w:hAnsi="宋体" w:cs="宋体" w:eastAsia="宋体" w:hint="default"/>
                <w:spacing w:val="-46"/>
                <w:sz w:val="18"/>
                <w:szCs w:val="18"/>
              </w:rPr>
              <w:t> </w:t>
            </w:r>
            <w:r>
              <w:rPr>
                <w:rFonts w:ascii="宋体" w:hAnsi="宋体" w:cs="宋体" w:eastAsia="宋体" w:hint="default"/>
                <w:sz w:val="18"/>
                <w:szCs w:val="18"/>
              </w:rPr>
              <w:t>万美元</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、支付重组相关费用</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Admath Trading Desk</w:t>
            </w:r>
            <w:r>
              <w:rPr>
                <w:rFonts w:ascii="宋体" w:hAnsi="宋体" w:cs="宋体" w:eastAsia="宋体" w:hint="default"/>
                <w:spacing w:val="-46"/>
                <w:sz w:val="18"/>
                <w:szCs w:val="18"/>
              </w:rPr>
              <w:t> </w:t>
            </w:r>
            <w:r>
              <w:rPr>
                <w:rFonts w:ascii="宋体" w:hAnsi="宋体" w:cs="宋体" w:eastAsia="宋体" w:hint="default"/>
                <w:sz w:val="18"/>
                <w:szCs w:val="18"/>
              </w:rPr>
              <w:t>开发项目</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5,729.94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1,913.82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750.69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1,913.82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、中小企业数字营销体系建设项目</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宋体" w:hAnsi="宋体" w:cs="宋体" w:eastAsia="宋体" w:hint="default"/>
                <w:sz w:val="18"/>
                <w:szCs w:val="18"/>
              </w:rPr>
            </w:pPr>
            <w:r>
              <w:rPr>
                <w:rFonts w:ascii="宋体"/>
                <w:sz w:val="18"/>
              </w:rPr>
              <w:t>43,007.06</w:t>
            </w:r>
          </w:p>
        </w:tc>
        <w:tc>
          <w:tcPr>
            <w:tcW w:w="1165"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宋体" w:hAnsi="宋体" w:cs="宋体" w:eastAsia="宋体" w:hint="default"/>
                <w:sz w:val="18"/>
                <w:szCs w:val="18"/>
              </w:rPr>
            </w:pPr>
            <w:r>
              <w:rPr>
                <w:rFonts w:ascii="宋体"/>
                <w:sz w:val="18"/>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Android</w:t>
            </w:r>
            <w:r>
              <w:rPr>
                <w:rFonts w:ascii="宋体" w:hAnsi="宋体" w:cs="宋体" w:eastAsia="宋体" w:hint="default"/>
                <w:spacing w:val="-46"/>
                <w:sz w:val="18"/>
                <w:szCs w:val="18"/>
              </w:rPr>
              <w:t> </w:t>
            </w:r>
            <w:r>
              <w:rPr>
                <w:rFonts w:ascii="宋体" w:hAnsi="宋体" w:cs="宋体" w:eastAsia="宋体" w:hint="default"/>
                <w:sz w:val="18"/>
                <w:szCs w:val="18"/>
              </w:rPr>
              <w:t>项目</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w:t>
            </w:r>
            <w:r>
              <w:rPr>
                <w:rFonts w:ascii="宋体" w:hAnsi="宋体" w:cs="宋体" w:eastAsia="宋体" w:hint="default"/>
                <w:sz w:val="18"/>
                <w:szCs w:val="18"/>
              </w:rPr>
              <w:t>iOS</w:t>
            </w:r>
            <w:r>
              <w:rPr>
                <w:rFonts w:ascii="宋体" w:hAnsi="宋体" w:cs="宋体" w:eastAsia="宋体" w:hint="default"/>
                <w:spacing w:val="-46"/>
                <w:sz w:val="18"/>
                <w:szCs w:val="18"/>
              </w:rPr>
              <w:t> </w:t>
            </w:r>
            <w:r>
              <w:rPr>
                <w:rFonts w:ascii="宋体" w:hAnsi="宋体" w:cs="宋体" w:eastAsia="宋体" w:hint="default"/>
                <w:sz w:val="18"/>
                <w:szCs w:val="18"/>
              </w:rPr>
              <w:t>项目</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7</w:t>
            </w:r>
            <w:r>
              <w:rPr>
                <w:rFonts w:ascii="宋体" w:hAnsi="宋体" w:cs="宋体" w:eastAsia="宋体" w:hint="default"/>
                <w:spacing w:val="-1"/>
                <w:sz w:val="18"/>
                <w:szCs w:val="18"/>
              </w:rPr>
              <w:t>、运营平台（胜效通）的升级及功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能完善项目</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9,359.85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1,100.34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440.88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1,100.34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、游戏业务的海外发行及推广项目</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14,848.38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799.92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562.5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799.92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headerReference w:type="default" r:id="rId21"/>
          <w:pgSz w:w="16840" w:h="11910" w:orient="landscape"/>
          <w:pgMar w:header="867" w:footer="1187" w:top="1060" w:bottom="1380" w:left="13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836"/>
        <w:gridCol w:w="972"/>
        <w:gridCol w:w="1165"/>
        <w:gridCol w:w="1165"/>
        <w:gridCol w:w="1164"/>
        <w:gridCol w:w="1165"/>
        <w:gridCol w:w="1165"/>
        <w:gridCol w:w="1165"/>
        <w:gridCol w:w="1393"/>
        <w:gridCol w:w="936"/>
        <w:gridCol w:w="1170"/>
      </w:tblGrid>
      <w:tr>
        <w:trPr>
          <w:trHeight w:val="419" w:hRule="exact"/>
        </w:trPr>
        <w:tc>
          <w:tcPr>
            <w:tcW w:w="283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、新游戏项目的研发项目</w:t>
            </w:r>
          </w:p>
        </w:tc>
        <w:tc>
          <w:tcPr>
            <w:tcW w:w="97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6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11,887</w:t>
            </w:r>
          </w:p>
        </w:tc>
        <w:tc>
          <w:tcPr>
            <w:tcW w:w="1165" w:type="dxa"/>
            <w:tcBorders>
              <w:top w:val="single" w:sz="15" w:space="0" w:color="000000"/>
              <w:left w:val="single" w:sz="4" w:space="0" w:color="000000"/>
              <w:bottom w:val="single" w:sz="4" w:space="0" w:color="000000"/>
              <w:right w:val="single" w:sz="4" w:space="0" w:color="000000"/>
            </w:tcBorders>
          </w:tcPr>
          <w:p>
            <w:pPr/>
          </w:p>
        </w:tc>
        <w:tc>
          <w:tcPr>
            <w:tcW w:w="1164" w:type="dxa"/>
            <w:tcBorders>
              <w:top w:val="single" w:sz="15" w:space="0" w:color="000000"/>
              <w:left w:val="single" w:sz="4" w:space="0" w:color="000000"/>
              <w:bottom w:val="single" w:sz="4" w:space="0" w:color="000000"/>
              <w:right w:val="single" w:sz="4" w:space="0" w:color="000000"/>
            </w:tcBorders>
          </w:tcPr>
          <w:p>
            <w:pPr/>
          </w:p>
        </w:tc>
        <w:tc>
          <w:tcPr>
            <w:tcW w:w="1165" w:type="dxa"/>
            <w:tcBorders>
              <w:top w:val="single" w:sz="15" w:space="0" w:color="000000"/>
              <w:left w:val="single" w:sz="4" w:space="0" w:color="000000"/>
              <w:bottom w:val="single" w:sz="4" w:space="0" w:color="000000"/>
              <w:right w:val="single" w:sz="4" w:space="0" w:color="000000"/>
            </w:tcBorders>
          </w:tcPr>
          <w:p>
            <w:pPr/>
          </w:p>
        </w:tc>
        <w:tc>
          <w:tcPr>
            <w:tcW w:w="1165" w:type="dxa"/>
            <w:tcBorders>
              <w:top w:val="single" w:sz="15" w:space="0" w:color="000000"/>
              <w:left w:val="single" w:sz="4" w:space="0" w:color="000000"/>
              <w:bottom w:val="single" w:sz="4" w:space="0" w:color="000000"/>
              <w:right w:val="single" w:sz="4" w:space="0" w:color="000000"/>
            </w:tcBorders>
          </w:tcPr>
          <w:p>
            <w:pPr/>
          </w:p>
        </w:tc>
        <w:tc>
          <w:tcPr>
            <w:tcW w:w="1165" w:type="dxa"/>
            <w:tcBorders>
              <w:top w:val="single" w:sz="15" w:space="0" w:color="000000"/>
              <w:left w:val="single" w:sz="4" w:space="0" w:color="000000"/>
              <w:bottom w:val="single" w:sz="4" w:space="0" w:color="000000"/>
              <w:right w:val="single" w:sz="4" w:space="0" w:color="000000"/>
            </w:tcBorders>
          </w:tcPr>
          <w:p>
            <w:pPr/>
          </w:p>
        </w:tc>
        <w:tc>
          <w:tcPr>
            <w:tcW w:w="139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0</w:t>
            </w:r>
          </w:p>
        </w:tc>
        <w:tc>
          <w:tcPr>
            <w:tcW w:w="93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3"/>
              <w:ind w:right="363"/>
              <w:jc w:val="right"/>
              <w:rPr>
                <w:rFonts w:ascii="宋体" w:hAnsi="宋体" w:cs="宋体" w:eastAsia="宋体" w:hint="default"/>
                <w:sz w:val="18"/>
                <w:szCs w:val="18"/>
              </w:rPr>
            </w:pPr>
            <w:r>
              <w:rPr>
                <w:rFonts w:ascii="宋体" w:hAnsi="宋体" w:cs="宋体" w:eastAsia="宋体" w:hint="default"/>
                <w:sz w:val="18"/>
                <w:szCs w:val="18"/>
              </w:rPr>
              <w:t>不适用</w:t>
            </w:r>
          </w:p>
        </w:tc>
        <w:tc>
          <w:tcPr>
            <w:tcW w:w="117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、外购超级</w:t>
            </w:r>
            <w:r>
              <w:rPr>
                <w:rFonts w:ascii="宋体" w:hAnsi="宋体" w:cs="宋体" w:eastAsia="宋体" w:hint="default"/>
                <w:spacing w:val="-46"/>
                <w:sz w:val="18"/>
                <w:szCs w:val="18"/>
              </w:rPr>
              <w:t> </w:t>
            </w:r>
            <w:r>
              <w:rPr>
                <w:rFonts w:ascii="宋体" w:hAnsi="宋体" w:cs="宋体" w:eastAsia="宋体" w:hint="default"/>
                <w:sz w:val="18"/>
                <w:szCs w:val="18"/>
              </w:rPr>
              <w:t>App</w:t>
            </w:r>
            <w:r>
              <w:rPr>
                <w:rFonts w:ascii="宋体" w:hAnsi="宋体" w:cs="宋体" w:eastAsia="宋体" w:hint="default"/>
                <w:spacing w:val="-46"/>
                <w:sz w:val="18"/>
                <w:szCs w:val="18"/>
              </w:rPr>
              <w:t> </w:t>
            </w:r>
            <w:r>
              <w:rPr>
                <w:rFonts w:ascii="宋体" w:hAnsi="宋体" w:cs="宋体" w:eastAsia="宋体" w:hint="default"/>
                <w:sz w:val="18"/>
                <w:szCs w:val="18"/>
              </w:rPr>
              <w:t>项目</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17,406.38</w:t>
            </w:r>
          </w:p>
        </w:tc>
        <w:tc>
          <w:tcPr>
            <w:tcW w:w="1165"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63"/>
              <w:jc w:val="right"/>
              <w:rPr>
                <w:rFonts w:ascii="宋体" w:hAnsi="宋体" w:cs="宋体" w:eastAsia="宋体" w:hint="default"/>
                <w:sz w:val="18"/>
                <w:szCs w:val="18"/>
              </w:rPr>
            </w:pPr>
            <w:r>
              <w:rPr>
                <w:rFonts w:ascii="宋体" w:hAnsi="宋体" w:cs="宋体" w:eastAsia="宋体" w:hint="default"/>
                <w:sz w:val="18"/>
                <w:szCs w:val="18"/>
              </w:rPr>
              <w:t>不适用</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36" w:type="dxa"/>
            <w:tcBorders>
              <w:top w:val="single" w:sz="4" w:space="0" w:color="000000"/>
              <w:left w:val="single" w:sz="4" w:space="0" w:color="000000"/>
              <w:bottom w:val="single" w:sz="11" w:space="0" w:color="D2D2D2"/>
              <w:right w:val="single" w:sz="4" w:space="0" w:color="000000"/>
            </w:tcBorders>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、移动媒体资源采购项目</w:t>
            </w:r>
          </w:p>
        </w:tc>
        <w:tc>
          <w:tcPr>
            <w:tcW w:w="972" w:type="dxa"/>
            <w:tcBorders>
              <w:top w:val="single" w:sz="4" w:space="0" w:color="000000"/>
              <w:left w:val="single" w:sz="4" w:space="0" w:color="000000"/>
              <w:bottom w:val="single" w:sz="11" w:space="0" w:color="D2D2D2"/>
              <w:right w:val="single" w:sz="4" w:space="0" w:color="000000"/>
            </w:tcBorders>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宋体" w:hAnsi="宋体" w:cs="宋体" w:eastAsia="宋体" w:hint="default"/>
                <w:sz w:val="18"/>
                <w:szCs w:val="18"/>
              </w:rPr>
            </w:pPr>
            <w:r>
              <w:rPr>
                <w:rFonts w:ascii="宋体"/>
                <w:sz w:val="18"/>
              </w:rPr>
              <w:t>110,000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8"/>
                <w:szCs w:val="18"/>
              </w:rPr>
            </w:pPr>
            <w:r>
              <w:rPr>
                <w:rFonts w:ascii="宋体"/>
                <w:sz w:val="18"/>
              </w:rPr>
              <w:t>88,300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宋体" w:hAnsi="宋体" w:cs="宋体" w:eastAsia="宋体" w:hint="default"/>
                <w:sz w:val="18"/>
                <w:szCs w:val="18"/>
              </w:rPr>
            </w:pPr>
            <w:r>
              <w:rPr>
                <w:rFonts w:ascii="宋体"/>
                <w:sz w:val="18"/>
              </w:rPr>
              <w:t>88,300</w:t>
            </w:r>
          </w:p>
        </w:tc>
        <w:tc>
          <w:tcPr>
            <w:tcW w:w="1165" w:type="dxa"/>
            <w:tcBorders>
              <w:top w:val="single" w:sz="4" w:space="0" w:color="000000"/>
              <w:left w:val="single" w:sz="4" w:space="0" w:color="000000"/>
              <w:bottom w:val="single" w:sz="11" w:space="0" w:color="D2D2D2"/>
              <w:right w:val="single" w:sz="4" w:space="0" w:color="000000"/>
            </w:tcBorders>
          </w:tcPr>
          <w:p>
            <w:pPr>
              <w:pStyle w:val="TableParagraph"/>
              <w:spacing w:line="240" w:lineRule="auto" w:before="74"/>
              <w:ind w:left="591" w:right="0"/>
              <w:jc w:val="left"/>
              <w:rPr>
                <w:rFonts w:ascii="宋体" w:hAnsi="宋体" w:cs="宋体" w:eastAsia="宋体" w:hint="default"/>
                <w:sz w:val="18"/>
                <w:szCs w:val="18"/>
              </w:rPr>
            </w:pPr>
            <w:r>
              <w:rPr>
                <w:rFonts w:ascii="宋体"/>
                <w:sz w:val="18"/>
              </w:rPr>
              <w:t>80.27%</w:t>
            </w:r>
          </w:p>
        </w:tc>
        <w:tc>
          <w:tcPr>
            <w:tcW w:w="1165" w:type="dxa"/>
            <w:tcBorders>
              <w:top w:val="single" w:sz="4" w:space="0" w:color="000000"/>
              <w:left w:val="single" w:sz="4" w:space="0" w:color="000000"/>
              <w:bottom w:val="single" w:sz="11" w:space="0" w:color="D2D2D2"/>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8"/>
                <w:szCs w:val="18"/>
              </w:rPr>
            </w:pPr>
            <w:r>
              <w:rPr>
                <w:rFonts w:ascii="宋体"/>
                <w:sz w:val="18"/>
              </w:rPr>
              <w:t>0</w:t>
            </w:r>
          </w:p>
        </w:tc>
        <w:tc>
          <w:tcPr>
            <w:tcW w:w="936" w:type="dxa"/>
            <w:tcBorders>
              <w:top w:val="single" w:sz="4" w:space="0" w:color="000000"/>
              <w:left w:val="single" w:sz="4" w:space="0" w:color="000000"/>
              <w:bottom w:val="single" w:sz="11" w:space="0" w:color="D2D2D2"/>
              <w:right w:val="single" w:sz="4" w:space="0" w:color="000000"/>
            </w:tcBorders>
          </w:tcPr>
          <w:p>
            <w:pPr>
              <w:pStyle w:val="TableParagraph"/>
              <w:spacing w:line="240" w:lineRule="auto" w:before="74"/>
              <w:ind w:right="363"/>
              <w:jc w:val="right"/>
              <w:rPr>
                <w:rFonts w:ascii="宋体" w:hAnsi="宋体" w:cs="宋体" w:eastAsia="宋体" w:hint="default"/>
                <w:sz w:val="18"/>
                <w:szCs w:val="18"/>
              </w:rPr>
            </w:pPr>
            <w:r>
              <w:rPr>
                <w:rFonts w:ascii="宋体" w:hAnsi="宋体" w:cs="宋体" w:eastAsia="宋体" w:hint="default"/>
                <w:sz w:val="18"/>
                <w:szCs w:val="18"/>
              </w:rPr>
              <w:t>不适用</w:t>
            </w:r>
          </w:p>
        </w:tc>
        <w:tc>
          <w:tcPr>
            <w:tcW w:w="1170" w:type="dxa"/>
            <w:tcBorders>
              <w:top w:val="single" w:sz="4" w:space="0" w:color="000000"/>
              <w:left w:val="single" w:sz="4" w:space="0" w:color="000000"/>
              <w:bottom w:val="single" w:sz="11" w:space="0" w:color="D2D2D2"/>
              <w:right w:val="single" w:sz="4" w:space="0" w:color="000000"/>
            </w:tcBorders>
          </w:tcPr>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3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389"/>
              <w:jc w:val="right"/>
              <w:rPr>
                <w:rFonts w:ascii="宋体" w:hAnsi="宋体" w:cs="宋体" w:eastAsia="宋体" w:hint="default"/>
                <w:sz w:val="18"/>
                <w:szCs w:val="18"/>
              </w:rPr>
            </w:pPr>
            <w:r>
              <w:rPr>
                <w:rFonts w:ascii="宋体"/>
                <w:sz w:val="18"/>
              </w:rPr>
              <w:t>--</w:t>
            </w:r>
          </w:p>
        </w:tc>
        <w:tc>
          <w:tcPr>
            <w:tcW w:w="11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0"/>
              <w:ind w:right="20"/>
              <w:jc w:val="right"/>
              <w:rPr>
                <w:rFonts w:ascii="宋体" w:hAnsi="宋体" w:cs="宋体" w:eastAsia="宋体" w:hint="default"/>
                <w:sz w:val="18"/>
                <w:szCs w:val="18"/>
              </w:rPr>
            </w:pPr>
            <w:r>
              <w:rPr>
                <w:rFonts w:ascii="宋体"/>
                <w:sz w:val="18"/>
              </w:rPr>
              <w:t>281,824.49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3"/>
              <w:jc w:val="right"/>
              <w:rPr>
                <w:rFonts w:ascii="宋体" w:hAnsi="宋体" w:cs="宋体" w:eastAsia="宋体" w:hint="default"/>
                <w:sz w:val="18"/>
                <w:szCs w:val="18"/>
              </w:rPr>
            </w:pPr>
            <w:r>
              <w:rPr>
                <w:rFonts w:ascii="宋体"/>
                <w:sz w:val="18"/>
              </w:rPr>
              <w:t>278,899.96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宋体" w:hAnsi="宋体" w:cs="宋体" w:eastAsia="宋体" w:hint="default"/>
                <w:sz w:val="18"/>
                <w:szCs w:val="18"/>
              </w:rPr>
            </w:pPr>
            <w:r>
              <w:rPr>
                <w:rFonts w:ascii="宋体"/>
                <w:sz w:val="18"/>
              </w:rPr>
              <w:t>110,005.44</w:t>
            </w:r>
          </w:p>
        </w:tc>
        <w:tc>
          <w:tcPr>
            <w:tcW w:w="1165"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60"/>
              <w:ind w:right="15"/>
              <w:jc w:val="right"/>
              <w:rPr>
                <w:rFonts w:ascii="宋体" w:hAnsi="宋体" w:cs="宋体" w:eastAsia="宋体" w:hint="default"/>
                <w:sz w:val="18"/>
                <w:szCs w:val="18"/>
              </w:rPr>
            </w:pPr>
            <w:r>
              <w:rPr>
                <w:rFonts w:ascii="宋体"/>
                <w:sz w:val="18"/>
              </w:rPr>
              <w:t>206,065.45</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487" w:right="0"/>
              <w:jc w:val="left"/>
              <w:rPr>
                <w:rFonts w:ascii="宋体" w:hAnsi="宋体" w:cs="宋体" w:eastAsia="宋体" w:hint="default"/>
                <w:sz w:val="18"/>
                <w:szCs w:val="18"/>
              </w:rPr>
            </w:pPr>
            <w:r>
              <w:rPr>
                <w:rFonts w:ascii="宋体"/>
                <w:sz w:val="18"/>
              </w:rPr>
              <w:t>--</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486"/>
              <w:jc w:val="right"/>
              <w:rPr>
                <w:rFonts w:ascii="宋体" w:hAnsi="宋体" w:cs="宋体" w:eastAsia="宋体" w:hint="default"/>
                <w:sz w:val="18"/>
                <w:szCs w:val="18"/>
              </w:rPr>
            </w:pPr>
            <w:r>
              <w:rPr>
                <w:rFonts w:ascii="宋体"/>
                <w:sz w:val="18"/>
              </w:rPr>
              <w:t>--</w:t>
            </w:r>
          </w:p>
        </w:tc>
        <w:tc>
          <w:tcPr>
            <w:tcW w:w="139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0"/>
              <w:ind w:right="9"/>
              <w:jc w:val="right"/>
              <w:rPr>
                <w:rFonts w:ascii="宋体" w:hAnsi="宋体" w:cs="宋体" w:eastAsia="宋体" w:hint="default"/>
                <w:sz w:val="18"/>
                <w:szCs w:val="18"/>
              </w:rPr>
            </w:pPr>
            <w:r>
              <w:rPr>
                <w:rFonts w:ascii="宋体"/>
                <w:sz w:val="18"/>
              </w:rPr>
              <w:t>0</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372"/>
              <w:jc w:val="right"/>
              <w:rPr>
                <w:rFonts w:ascii="宋体" w:hAnsi="宋体" w:cs="宋体" w:eastAsia="宋体" w:hint="default"/>
                <w:sz w:val="18"/>
                <w:szCs w:val="18"/>
              </w:rPr>
            </w:pPr>
            <w:r>
              <w:rPr>
                <w:rFonts w:ascii="宋体"/>
                <w:sz w:val="18"/>
              </w:rPr>
              <w:t>--</w:t>
            </w:r>
          </w:p>
        </w:tc>
        <w:tc>
          <w:tcPr>
            <w:tcW w:w="1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487"/>
              <w:jc w:val="right"/>
              <w:rPr>
                <w:rFonts w:ascii="宋体" w:hAnsi="宋体" w:cs="宋体" w:eastAsia="宋体" w:hint="default"/>
                <w:sz w:val="18"/>
                <w:szCs w:val="18"/>
              </w:rPr>
            </w:pPr>
            <w:r>
              <w:rPr>
                <w:rFonts w:ascii="宋体"/>
                <w:sz w:val="18"/>
              </w:rPr>
              <w:t>--</w:t>
            </w:r>
          </w:p>
        </w:tc>
      </w:tr>
      <w:tr>
        <w:trPr>
          <w:trHeight w:val="396" w:hRule="exact"/>
        </w:trPr>
        <w:tc>
          <w:tcPr>
            <w:tcW w:w="1429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12" w:hRule="exact"/>
        </w:trPr>
        <w:tc>
          <w:tcPr>
            <w:tcW w:w="2836"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72" w:type="dxa"/>
            <w:tcBorders>
              <w:top w:val="single" w:sz="4" w:space="0" w:color="000000"/>
              <w:left w:val="single" w:sz="4" w:space="0" w:color="000000"/>
              <w:bottom w:val="single" w:sz="12" w:space="0" w:color="D2D2D2"/>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12" w:space="0" w:color="D2D2D2"/>
              <w:right w:val="single" w:sz="4" w:space="0" w:color="000000"/>
            </w:tcBorders>
          </w:tcPr>
          <w:p>
            <w:pPr/>
          </w:p>
        </w:tc>
        <w:tc>
          <w:tcPr>
            <w:tcW w:w="1165" w:type="dxa"/>
            <w:tcBorders>
              <w:top w:val="single" w:sz="4" w:space="0" w:color="000000"/>
              <w:left w:val="single" w:sz="4" w:space="0" w:color="000000"/>
              <w:bottom w:val="single" w:sz="12" w:space="0" w:color="D2D2D2"/>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12" w:space="0" w:color="D2D2D2"/>
              <w:right w:val="single" w:sz="4" w:space="0" w:color="000000"/>
            </w:tcBorders>
          </w:tcPr>
          <w:p>
            <w:pPr/>
          </w:p>
        </w:tc>
        <w:tc>
          <w:tcPr>
            <w:tcW w:w="1170" w:type="dxa"/>
            <w:tcBorders>
              <w:top w:val="single" w:sz="4" w:space="0" w:color="000000"/>
              <w:left w:val="single" w:sz="4" w:space="0" w:color="000000"/>
              <w:bottom w:val="single" w:sz="12" w:space="0" w:color="D2D2D2"/>
              <w:right w:val="single" w:sz="4" w:space="0" w:color="000000"/>
            </w:tcBorders>
          </w:tcPr>
          <w:p>
            <w:pPr/>
          </w:p>
        </w:tc>
      </w:tr>
      <w:tr>
        <w:trPr>
          <w:trHeight w:val="42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389"/>
              <w:jc w:val="right"/>
              <w:rPr>
                <w:rFonts w:ascii="宋体" w:hAnsi="宋体" w:cs="宋体" w:eastAsia="宋体" w:hint="default"/>
                <w:sz w:val="18"/>
                <w:szCs w:val="18"/>
              </w:rPr>
            </w:pPr>
            <w:r>
              <w:rPr>
                <w:rFonts w:ascii="宋体"/>
                <w:sz w:val="18"/>
              </w:rPr>
              <w:t>--</w:t>
            </w:r>
          </w:p>
        </w:tc>
        <w:tc>
          <w:tcPr>
            <w:tcW w:w="11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281,824.49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278,899.96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z w:val="18"/>
              </w:rPr>
              <w:t>110,005.44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206,065.45</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87" w:right="0"/>
              <w:jc w:val="left"/>
              <w:rPr>
                <w:rFonts w:ascii="宋体" w:hAnsi="宋体" w:cs="宋体" w:eastAsia="宋体" w:hint="default"/>
                <w:sz w:val="18"/>
                <w:szCs w:val="18"/>
              </w:rPr>
            </w:pPr>
            <w:r>
              <w:rPr>
                <w:rFonts w:ascii="宋体"/>
                <w:sz w:val="18"/>
              </w:rPr>
              <w:t>--</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486"/>
              <w:jc w:val="right"/>
              <w:rPr>
                <w:rFonts w:ascii="宋体" w:hAnsi="宋体" w:cs="宋体" w:eastAsia="宋体" w:hint="default"/>
                <w:sz w:val="18"/>
                <w:szCs w:val="18"/>
              </w:rPr>
            </w:pPr>
            <w:r>
              <w:rPr>
                <w:rFonts w:ascii="宋体"/>
                <w:sz w:val="18"/>
              </w:rPr>
              <w:t>--</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0</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372"/>
              <w:jc w:val="right"/>
              <w:rPr>
                <w:rFonts w:ascii="宋体" w:hAnsi="宋体" w:cs="宋体" w:eastAsia="宋体" w:hint="default"/>
                <w:sz w:val="18"/>
                <w:szCs w:val="18"/>
              </w:rPr>
            </w:pPr>
            <w:r>
              <w:rPr>
                <w:rFonts w:ascii="宋体"/>
                <w:sz w:val="18"/>
              </w:rPr>
              <w:t>--</w:t>
            </w:r>
          </w:p>
        </w:tc>
        <w:tc>
          <w:tcPr>
            <w:tcW w:w="1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487"/>
              <w:jc w:val="right"/>
              <w:rPr>
                <w:rFonts w:ascii="宋体" w:hAnsi="宋体" w:cs="宋体" w:eastAsia="宋体" w:hint="default"/>
                <w:sz w:val="18"/>
                <w:szCs w:val="18"/>
              </w:rPr>
            </w:pPr>
            <w:r>
              <w:rPr>
                <w:rFonts w:ascii="宋体"/>
                <w:sz w:val="18"/>
              </w:rPr>
              <w:t>--</w:t>
            </w:r>
          </w:p>
        </w:tc>
      </w:tr>
      <w:tr>
        <w:trPr>
          <w:trHeight w:val="170"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62" w:type="dxa"/>
            <w:gridSpan w:val="10"/>
            <w:vMerge w:val="restart"/>
            <w:tcBorders>
              <w:top w:val="single" w:sz="7" w:space="0" w:color="D2D2D2"/>
              <w:left w:val="single" w:sz="9" w:space="0" w:color="D2D2D2"/>
              <w:right w:val="single" w:sz="4" w:space="0" w:color="000000"/>
            </w:tcBorders>
          </w:tcPr>
          <w:p>
            <w:pPr>
              <w:pStyle w:val="TableParagraph"/>
              <w:spacing w:line="240" w:lineRule="auto" w:before="56"/>
              <w:ind w:left="376"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日第七届董事会第三十六次会议及第七届监事会第二十五次会议，</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年第二次临时股东大会审议</w:t>
            </w:r>
          </w:p>
          <w:p>
            <w:pPr>
              <w:pStyle w:val="TableParagraph"/>
              <w:spacing w:line="319" w:lineRule="auto" w:before="75"/>
              <w:ind w:left="16" w:right="23"/>
              <w:jc w:val="left"/>
              <w:rPr>
                <w:rFonts w:ascii="宋体" w:hAnsi="宋体" w:cs="宋体" w:eastAsia="宋体" w:hint="default"/>
                <w:sz w:val="18"/>
                <w:szCs w:val="18"/>
              </w:rPr>
            </w:pPr>
            <w:r>
              <w:rPr>
                <w:rFonts w:ascii="宋体" w:hAnsi="宋体" w:cs="宋体" w:eastAsia="宋体" w:hint="default"/>
                <w:sz w:val="18"/>
                <w:szCs w:val="18"/>
              </w:rPr>
              <w:t>通过</w:t>
            </w:r>
            <w:r>
              <w:rPr>
                <w:rFonts w:ascii="宋体" w:hAnsi="宋体" w:cs="宋体" w:eastAsia="宋体" w:hint="default"/>
                <w:spacing w:val="-6"/>
                <w:sz w:val="18"/>
                <w:szCs w:val="18"/>
              </w:rPr>
              <w:t>了</w:t>
            </w:r>
            <w:r>
              <w:rPr>
                <w:rFonts w:ascii="宋体" w:hAnsi="宋体" w:cs="宋体" w:eastAsia="宋体" w:hint="default"/>
                <w:sz w:val="18"/>
                <w:szCs w:val="18"/>
              </w:rPr>
              <w:t>《关于变更部分募集资金用途的议案</w:t>
            </w:r>
            <w:r>
              <w:rPr>
                <w:rFonts w:ascii="宋体" w:hAnsi="宋体" w:cs="宋体" w:eastAsia="宋体" w:hint="default"/>
                <w:spacing w:val="-90"/>
                <w:sz w:val="18"/>
                <w:szCs w:val="18"/>
              </w:rPr>
              <w:t>》</w:t>
            </w:r>
            <w:r>
              <w:rPr>
                <w:rFonts w:ascii="宋体" w:hAnsi="宋体" w:cs="宋体" w:eastAsia="宋体" w:hint="default"/>
                <w:spacing w:val="-6"/>
                <w:sz w:val="18"/>
                <w:szCs w:val="18"/>
              </w:rPr>
              <w:t>。</w:t>
            </w:r>
            <w:r>
              <w:rPr>
                <w:rFonts w:ascii="宋体" w:hAnsi="宋体" w:cs="宋体" w:eastAsia="宋体" w:hint="default"/>
                <w:sz w:val="18"/>
                <w:szCs w:val="18"/>
              </w:rPr>
              <w:t>本公司终止了原</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个</w:t>
            </w:r>
            <w:r>
              <w:rPr>
                <w:rFonts w:ascii="宋体" w:hAnsi="宋体" w:cs="宋体" w:eastAsia="宋体" w:hint="default"/>
                <w:spacing w:val="1"/>
                <w:sz w:val="18"/>
                <w:szCs w:val="18"/>
              </w:rPr>
              <w:t>募</w:t>
            </w:r>
            <w:r>
              <w:rPr>
                <w:rFonts w:ascii="宋体" w:hAnsi="宋体" w:cs="宋体" w:eastAsia="宋体" w:hint="default"/>
                <w:sz w:val="18"/>
                <w:szCs w:val="18"/>
              </w:rPr>
              <w:t>集资金投资项目</w:t>
            </w:r>
            <w:r>
              <w:rPr>
                <w:rFonts w:ascii="宋体" w:hAnsi="宋体" w:cs="宋体" w:eastAsia="宋体" w:hint="default"/>
                <w:spacing w:val="-6"/>
                <w:sz w:val="18"/>
                <w:szCs w:val="18"/>
              </w:rPr>
              <w:t>，</w:t>
            </w:r>
            <w:r>
              <w:rPr>
                <w:rFonts w:ascii="宋体" w:hAnsi="宋体" w:cs="宋体" w:eastAsia="宋体" w:hint="default"/>
                <w:sz w:val="18"/>
                <w:szCs w:val="18"/>
              </w:rPr>
              <w:t>开展了新项目</w:t>
            </w:r>
            <w:r>
              <w:rPr>
                <w:rFonts w:ascii="宋体" w:hAnsi="宋体" w:cs="宋体" w:eastAsia="宋体" w:hint="default"/>
                <w:spacing w:val="-6"/>
                <w:sz w:val="18"/>
                <w:szCs w:val="18"/>
              </w:rPr>
              <w:t>，</w:t>
            </w:r>
            <w:r>
              <w:rPr>
                <w:rFonts w:ascii="宋体" w:hAnsi="宋体" w:cs="宋体" w:eastAsia="宋体" w:hint="default"/>
                <w:sz w:val="18"/>
                <w:szCs w:val="18"/>
              </w:rPr>
              <w:t>终止原因参见本公司</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日发 布的《关于变更部分募集资金用途的公告</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704"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 和原因（分具体项目）</w:t>
            </w:r>
          </w:p>
        </w:tc>
        <w:tc>
          <w:tcPr>
            <w:tcW w:w="11462" w:type="dxa"/>
            <w:gridSpan w:val="10"/>
            <w:vMerge/>
            <w:tcBorders>
              <w:left w:val="single" w:sz="9" w:space="0" w:color="D2D2D2"/>
              <w:right w:val="single" w:sz="4" w:space="0" w:color="000000"/>
            </w:tcBorders>
          </w:tcPr>
          <w:p>
            <w:pPr/>
          </w:p>
        </w:tc>
      </w:tr>
      <w:tr>
        <w:trPr>
          <w:trHeight w:val="161"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62" w:type="dxa"/>
            <w:gridSpan w:val="10"/>
            <w:vMerge/>
            <w:tcBorders>
              <w:left w:val="single" w:sz="9" w:space="0" w:color="D2D2D2"/>
              <w:bottom w:val="single" w:sz="4" w:space="0" w:color="000000"/>
              <w:right w:val="single" w:sz="4" w:space="0" w:color="000000"/>
            </w:tcBorders>
          </w:tcPr>
          <w:p>
            <w:pPr/>
          </w:p>
        </w:tc>
      </w:tr>
      <w:tr>
        <w:trPr>
          <w:trHeight w:val="162"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62" w:type="dxa"/>
            <w:gridSpan w:val="10"/>
            <w:vMerge w:val="restart"/>
            <w:tcBorders>
              <w:top w:val="single" w:sz="4" w:space="0" w:color="000000"/>
              <w:left w:val="single" w:sz="9" w:space="0" w:color="D2D2D2"/>
              <w:right w:val="single" w:sz="4" w:space="0" w:color="000000"/>
            </w:tcBorders>
          </w:tcPr>
          <w:p>
            <w:pPr>
              <w:pStyle w:val="TableParagraph"/>
              <w:spacing w:line="240" w:lineRule="auto" w:before="52"/>
              <w:ind w:left="376"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日第七届董事会第三十六次会议及第七届监事会第二十五次会议，</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年第二次临时股东大会审议</w:t>
            </w:r>
          </w:p>
          <w:p>
            <w:pPr>
              <w:pStyle w:val="TableParagraph"/>
              <w:spacing w:line="319" w:lineRule="auto" w:before="75"/>
              <w:ind w:left="16" w:right="23"/>
              <w:jc w:val="left"/>
              <w:rPr>
                <w:rFonts w:ascii="宋体" w:hAnsi="宋体" w:cs="宋体" w:eastAsia="宋体" w:hint="default"/>
                <w:sz w:val="18"/>
                <w:szCs w:val="18"/>
              </w:rPr>
            </w:pPr>
            <w:r>
              <w:rPr>
                <w:rFonts w:ascii="宋体" w:hAnsi="宋体" w:cs="宋体" w:eastAsia="宋体" w:hint="default"/>
                <w:sz w:val="18"/>
                <w:szCs w:val="18"/>
              </w:rPr>
              <w:t>通过</w:t>
            </w:r>
            <w:r>
              <w:rPr>
                <w:rFonts w:ascii="宋体" w:hAnsi="宋体" w:cs="宋体" w:eastAsia="宋体" w:hint="default"/>
                <w:spacing w:val="-6"/>
                <w:sz w:val="18"/>
                <w:szCs w:val="18"/>
              </w:rPr>
              <w:t>了</w:t>
            </w:r>
            <w:r>
              <w:rPr>
                <w:rFonts w:ascii="宋体" w:hAnsi="宋体" w:cs="宋体" w:eastAsia="宋体" w:hint="default"/>
                <w:sz w:val="18"/>
                <w:szCs w:val="18"/>
              </w:rPr>
              <w:t>《关于变更部分募集资金用途的议案</w:t>
            </w:r>
            <w:r>
              <w:rPr>
                <w:rFonts w:ascii="宋体" w:hAnsi="宋体" w:cs="宋体" w:eastAsia="宋体" w:hint="default"/>
                <w:spacing w:val="-90"/>
                <w:sz w:val="18"/>
                <w:szCs w:val="18"/>
              </w:rPr>
              <w:t>》</w:t>
            </w:r>
            <w:r>
              <w:rPr>
                <w:rFonts w:ascii="宋体" w:hAnsi="宋体" w:cs="宋体" w:eastAsia="宋体" w:hint="default"/>
                <w:spacing w:val="-6"/>
                <w:sz w:val="18"/>
                <w:szCs w:val="18"/>
              </w:rPr>
              <w:t>。</w:t>
            </w:r>
            <w:r>
              <w:rPr>
                <w:rFonts w:ascii="宋体" w:hAnsi="宋体" w:cs="宋体" w:eastAsia="宋体" w:hint="default"/>
                <w:sz w:val="18"/>
                <w:szCs w:val="18"/>
              </w:rPr>
              <w:t>本公司终止了原</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个</w:t>
            </w:r>
            <w:r>
              <w:rPr>
                <w:rFonts w:ascii="宋体" w:hAnsi="宋体" w:cs="宋体" w:eastAsia="宋体" w:hint="default"/>
                <w:spacing w:val="1"/>
                <w:sz w:val="18"/>
                <w:szCs w:val="18"/>
              </w:rPr>
              <w:t>募</w:t>
            </w:r>
            <w:r>
              <w:rPr>
                <w:rFonts w:ascii="宋体" w:hAnsi="宋体" w:cs="宋体" w:eastAsia="宋体" w:hint="default"/>
                <w:sz w:val="18"/>
                <w:szCs w:val="18"/>
              </w:rPr>
              <w:t>集资金投资项目</w:t>
            </w:r>
            <w:r>
              <w:rPr>
                <w:rFonts w:ascii="宋体" w:hAnsi="宋体" w:cs="宋体" w:eastAsia="宋体" w:hint="default"/>
                <w:spacing w:val="-6"/>
                <w:sz w:val="18"/>
                <w:szCs w:val="18"/>
              </w:rPr>
              <w:t>，</w:t>
            </w:r>
            <w:r>
              <w:rPr>
                <w:rFonts w:ascii="宋体" w:hAnsi="宋体" w:cs="宋体" w:eastAsia="宋体" w:hint="default"/>
                <w:sz w:val="18"/>
                <w:szCs w:val="18"/>
              </w:rPr>
              <w:t>开展了新项目</w:t>
            </w:r>
            <w:r>
              <w:rPr>
                <w:rFonts w:ascii="宋体" w:hAnsi="宋体" w:cs="宋体" w:eastAsia="宋体" w:hint="default"/>
                <w:spacing w:val="-6"/>
                <w:sz w:val="18"/>
                <w:szCs w:val="18"/>
              </w:rPr>
              <w:t>，</w:t>
            </w:r>
            <w:r>
              <w:rPr>
                <w:rFonts w:ascii="宋体" w:hAnsi="宋体" w:cs="宋体" w:eastAsia="宋体" w:hint="default"/>
                <w:sz w:val="18"/>
                <w:szCs w:val="18"/>
              </w:rPr>
              <w:t>终止原因参见本公司</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日发 布的《关于变更部分募集资金用途的公告</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703"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 明</w:t>
            </w:r>
          </w:p>
        </w:tc>
        <w:tc>
          <w:tcPr>
            <w:tcW w:w="11462" w:type="dxa"/>
            <w:gridSpan w:val="10"/>
            <w:vMerge/>
            <w:tcBorders>
              <w:left w:val="single" w:sz="9" w:space="0" w:color="D2D2D2"/>
              <w:right w:val="single" w:sz="4" w:space="0" w:color="000000"/>
            </w:tcBorders>
          </w:tcPr>
          <w:p>
            <w:pPr/>
          </w:p>
        </w:tc>
      </w:tr>
      <w:tr>
        <w:trPr>
          <w:trHeight w:val="161"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62" w:type="dxa"/>
            <w:gridSpan w:val="10"/>
            <w:vMerge/>
            <w:tcBorders>
              <w:left w:val="single" w:sz="9" w:space="0" w:color="D2D2D2"/>
              <w:bottom w:val="single" w:sz="4" w:space="0" w:color="000000"/>
              <w:right w:val="single" w:sz="4" w:space="0" w:color="000000"/>
            </w:tcBorders>
          </w:tcPr>
          <w:p>
            <w:pPr/>
          </w:p>
        </w:tc>
      </w:tr>
      <w:tr>
        <w:trPr>
          <w:trHeight w:val="402"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22" w:right="101"/>
              <w:jc w:val="left"/>
              <w:rPr>
                <w:rFonts w:ascii="宋体" w:hAnsi="宋体" w:cs="宋体" w:eastAsia="宋体" w:hint="default"/>
                <w:sz w:val="18"/>
                <w:szCs w:val="18"/>
              </w:rPr>
            </w:pPr>
            <w:r>
              <w:rPr>
                <w:rFonts w:ascii="宋体" w:hAnsi="宋体" w:cs="宋体" w:eastAsia="宋体" w:hint="default"/>
                <w:sz w:val="18"/>
                <w:szCs w:val="18"/>
              </w:rPr>
              <w:t>超募资金的金额、用途及使用进展 情况</w:t>
            </w:r>
          </w:p>
        </w:tc>
        <w:tc>
          <w:tcPr>
            <w:tcW w:w="11462"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462" w:type="dxa"/>
            <w:gridSpan w:val="10"/>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22" w:right="101"/>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 况</w:t>
            </w:r>
          </w:p>
        </w:tc>
        <w:tc>
          <w:tcPr>
            <w:tcW w:w="11462"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462" w:type="dxa"/>
            <w:gridSpan w:val="10"/>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22" w:right="101"/>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募集资金投资项目实施方式调整情 况</w:t>
            </w:r>
          </w:p>
        </w:tc>
        <w:tc>
          <w:tcPr>
            <w:tcW w:w="11462"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462" w:type="dxa"/>
            <w:gridSpan w:val="10"/>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4"/>
              <w:ind w:left="22" w:right="101"/>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募集资金投资项目先期投入及置换 情况</w:t>
            </w:r>
          </w:p>
        </w:tc>
        <w:tc>
          <w:tcPr>
            <w:tcW w:w="11462"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462" w:type="dxa"/>
            <w:gridSpan w:val="10"/>
            <w:tcBorders>
              <w:top w:val="single" w:sz="4" w:space="0" w:color="000000"/>
              <w:left w:val="single" w:sz="13" w:space="0" w:color="D2D2D2"/>
              <w:bottom w:val="single" w:sz="4" w:space="0" w:color="000000"/>
              <w:right w:val="single" w:sz="4" w:space="0" w:color="000000"/>
            </w:tcBorders>
          </w:tcPr>
          <w:p>
            <w:pP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用闲置募集资金暂时补充流动资金</w:t>
            </w:r>
          </w:p>
        </w:tc>
        <w:tc>
          <w:tcPr>
            <w:tcW w:w="11462"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spacing w:after="0" w:line="240" w:lineRule="auto"/>
        <w:jc w:val="left"/>
        <w:rPr>
          <w:rFonts w:ascii="宋体" w:hAnsi="宋体" w:cs="宋体" w:eastAsia="宋体" w:hint="default"/>
          <w:sz w:val="18"/>
          <w:szCs w:val="18"/>
        </w:rPr>
        <w:sectPr>
          <w:pgSz w:w="16840" w:h="11910" w:orient="landscape"/>
          <w:pgMar w:header="867" w:footer="1187" w:top="1060" w:bottom="1380" w:left="132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835"/>
        <w:gridCol w:w="11463"/>
      </w:tblGrid>
      <w:tr>
        <w:trPr>
          <w:trHeight w:val="1353" w:hRule="exact"/>
        </w:trPr>
        <w:tc>
          <w:tcPr>
            <w:tcW w:w="2835" w:type="dxa"/>
            <w:tcBorders>
              <w:top w:val="single" w:sz="15"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11463" w:type="dxa"/>
            <w:tcBorders>
              <w:top w:val="single" w:sz="15" w:space="0" w:color="000000"/>
              <w:left w:val="single" w:sz="4" w:space="0" w:color="000000"/>
              <w:bottom w:val="single" w:sz="4" w:space="0" w:color="FFFFFF"/>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50"/>
                <w:sz w:val="18"/>
                <w:szCs w:val="18"/>
              </w:rPr>
              <w:t> </w:t>
            </w:r>
            <w:r>
              <w:rPr>
                <w:rFonts w:ascii="宋体" w:hAnsi="宋体" w:cs="宋体" w:eastAsia="宋体" w:hint="default"/>
                <w:sz w:val="18"/>
                <w:szCs w:val="18"/>
              </w:rPr>
              <w:t>2016</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23</w:t>
            </w:r>
            <w:r>
              <w:rPr>
                <w:rFonts w:ascii="宋体" w:hAnsi="宋体" w:cs="宋体" w:eastAsia="宋体" w:hint="default"/>
                <w:spacing w:val="-50"/>
                <w:sz w:val="18"/>
                <w:szCs w:val="18"/>
              </w:rPr>
              <w:t> </w:t>
            </w:r>
            <w:r>
              <w:rPr>
                <w:rFonts w:ascii="宋体" w:hAnsi="宋体" w:cs="宋体" w:eastAsia="宋体" w:hint="default"/>
                <w:sz w:val="18"/>
                <w:szCs w:val="18"/>
              </w:rPr>
              <w:t>日第七届董事会第二十三次会议和第七届监事会第十七次会议审议通过了《关于使用部分闲置募集资金暂时补充流动</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资金的议案</w:t>
            </w:r>
            <w:r>
              <w:rPr>
                <w:rFonts w:ascii="宋体" w:hAnsi="宋体" w:cs="宋体" w:eastAsia="宋体" w:hint="default"/>
                <w:spacing w:val="-90"/>
                <w:sz w:val="18"/>
                <w:szCs w:val="18"/>
              </w:rPr>
              <w:t>》</w:t>
            </w:r>
            <w:r>
              <w:rPr>
                <w:rFonts w:ascii="宋体" w:hAnsi="宋体" w:cs="宋体" w:eastAsia="宋体" w:hint="default"/>
                <w:spacing w:val="-9"/>
                <w:sz w:val="18"/>
                <w:szCs w:val="18"/>
              </w:rPr>
              <w:t>，</w:t>
            </w:r>
            <w:r>
              <w:rPr>
                <w:rFonts w:ascii="宋体" w:hAnsi="宋体" w:cs="宋体" w:eastAsia="宋体" w:hint="default"/>
                <w:sz w:val="18"/>
                <w:szCs w:val="18"/>
              </w:rPr>
              <w:t>同意本公司使用部分闲置的募集资金暂时补充流动资金</w:t>
            </w:r>
            <w:r>
              <w:rPr>
                <w:rFonts w:ascii="宋体" w:hAnsi="宋体" w:cs="宋体" w:eastAsia="宋体" w:hint="default"/>
                <w:spacing w:val="-9"/>
                <w:sz w:val="18"/>
                <w:szCs w:val="18"/>
              </w:rPr>
              <w:t>，</w:t>
            </w:r>
            <w:r>
              <w:rPr>
                <w:rFonts w:ascii="宋体" w:hAnsi="宋体" w:cs="宋体" w:eastAsia="宋体" w:hint="default"/>
                <w:sz w:val="18"/>
                <w:szCs w:val="18"/>
              </w:rPr>
              <w:t>总额为人民币</w:t>
            </w:r>
            <w:r>
              <w:rPr>
                <w:rFonts w:ascii="宋体" w:hAnsi="宋体" w:cs="宋体" w:eastAsia="宋体" w:hint="default"/>
                <w:spacing w:val="-46"/>
                <w:sz w:val="18"/>
                <w:szCs w:val="18"/>
              </w:rPr>
              <w:t> </w:t>
            </w:r>
            <w:r>
              <w:rPr>
                <w:rFonts w:ascii="宋体" w:hAnsi="宋体" w:cs="宋体" w:eastAsia="宋体" w:hint="default"/>
                <w:sz w:val="18"/>
                <w:szCs w:val="18"/>
              </w:rPr>
              <w:t>3.00</w:t>
            </w:r>
            <w:r>
              <w:rPr>
                <w:rFonts w:ascii="宋体" w:hAnsi="宋体" w:cs="宋体" w:eastAsia="宋体" w:hint="default"/>
                <w:spacing w:val="-46"/>
                <w:sz w:val="18"/>
                <w:szCs w:val="18"/>
              </w:rPr>
              <w:t> </w:t>
            </w:r>
            <w:r>
              <w:rPr>
                <w:rFonts w:ascii="宋体" w:hAnsi="宋体" w:cs="宋体" w:eastAsia="宋体" w:hint="default"/>
                <w:sz w:val="18"/>
                <w:szCs w:val="18"/>
              </w:rPr>
              <w:t>亿元</w:t>
            </w:r>
            <w:r>
              <w:rPr>
                <w:rFonts w:ascii="宋体" w:hAnsi="宋体" w:cs="宋体" w:eastAsia="宋体" w:hint="default"/>
                <w:spacing w:val="-8"/>
                <w:sz w:val="18"/>
                <w:szCs w:val="18"/>
              </w:rPr>
              <w:t>，</w:t>
            </w:r>
            <w:r>
              <w:rPr>
                <w:rFonts w:ascii="宋体" w:hAnsi="宋体" w:cs="宋体" w:eastAsia="宋体" w:hint="default"/>
                <w:sz w:val="18"/>
                <w:szCs w:val="18"/>
              </w:rPr>
              <w:t>使用期限自董事会审议通过之日起不超过</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个</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月，到期前归还至募集资金专用账户。本公司已于</w:t>
            </w:r>
            <w:r>
              <w:rPr>
                <w:rFonts w:ascii="宋体" w:hAnsi="宋体" w:cs="宋体" w:eastAsia="宋体" w:hint="default"/>
                <w:spacing w:val="-48"/>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8"/>
                <w:sz w:val="18"/>
                <w:szCs w:val="18"/>
              </w:rPr>
              <w:t> </w:t>
            </w:r>
            <w:r>
              <w:rPr>
                <w:rFonts w:ascii="宋体" w:hAnsi="宋体" w:cs="宋体" w:eastAsia="宋体" w:hint="default"/>
                <w:sz w:val="18"/>
                <w:szCs w:val="18"/>
              </w:rPr>
              <w:t>日和</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19</w:t>
            </w:r>
            <w:r>
              <w:rPr>
                <w:rFonts w:ascii="宋体" w:hAnsi="宋体" w:cs="宋体" w:eastAsia="宋体" w:hint="default"/>
                <w:spacing w:val="-48"/>
                <w:sz w:val="18"/>
                <w:szCs w:val="18"/>
              </w:rPr>
              <w:t> </w:t>
            </w:r>
            <w:r>
              <w:rPr>
                <w:rFonts w:ascii="宋体" w:hAnsi="宋体" w:cs="宋体" w:eastAsia="宋体" w:hint="default"/>
                <w:sz w:val="18"/>
                <w:szCs w:val="18"/>
              </w:rPr>
              <w:t>日每次归还</w:t>
            </w:r>
            <w:r>
              <w:rPr>
                <w:rFonts w:ascii="宋体" w:hAnsi="宋体" w:cs="宋体" w:eastAsia="宋体" w:hint="default"/>
                <w:spacing w:val="-48"/>
                <w:sz w:val="18"/>
                <w:szCs w:val="18"/>
              </w:rPr>
              <w:t> </w:t>
            </w:r>
            <w:r>
              <w:rPr>
                <w:rFonts w:ascii="宋体" w:hAnsi="宋体" w:cs="宋体" w:eastAsia="宋体" w:hint="default"/>
                <w:sz w:val="18"/>
                <w:szCs w:val="18"/>
              </w:rPr>
              <w:t>1.50</w:t>
            </w:r>
            <w:r>
              <w:rPr>
                <w:rFonts w:ascii="宋体" w:hAnsi="宋体" w:cs="宋体" w:eastAsia="宋体" w:hint="default"/>
                <w:spacing w:val="-48"/>
                <w:sz w:val="18"/>
                <w:szCs w:val="18"/>
              </w:rPr>
              <w:t> </w:t>
            </w:r>
            <w:r>
              <w:rPr>
                <w:rFonts w:ascii="宋体" w:hAnsi="宋体" w:cs="宋体" w:eastAsia="宋体" w:hint="default"/>
                <w:sz w:val="18"/>
                <w:szCs w:val="18"/>
              </w:rPr>
              <w:t>亿元至募集资金专用账户。截至</w:t>
            </w:r>
            <w:r>
              <w:rPr>
                <w:rFonts w:ascii="宋体" w:hAnsi="宋体" w:cs="宋体" w:eastAsia="宋体" w:hint="default"/>
                <w:spacing w:val="-48"/>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日，本公司用于补充流动资金的闲置募集资金已全部归还完毕。</w:t>
            </w:r>
          </w:p>
        </w:tc>
      </w:tr>
      <w:tr>
        <w:trPr>
          <w:trHeight w:val="402" w:hRule="exact"/>
        </w:trPr>
        <w:tc>
          <w:tcPr>
            <w:tcW w:w="2835"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103"/>
              <w:ind w:left="22" w:right="102"/>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项目实施出现募集资金结余的金额 及原因</w:t>
            </w:r>
          </w:p>
        </w:tc>
        <w:tc>
          <w:tcPr>
            <w:tcW w:w="1146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15"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1463"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1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8"/>
                <w:sz w:val="18"/>
                <w:szCs w:val="18"/>
              </w:rPr>
              <w:t> </w:t>
            </w:r>
            <w:r>
              <w:rPr>
                <w:rFonts w:ascii="宋体" w:hAnsi="宋体" w:cs="宋体" w:eastAsia="宋体" w:hint="default"/>
                <w:sz w:val="18"/>
                <w:szCs w:val="18"/>
              </w:rPr>
              <w:t>2016</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14</w:t>
            </w:r>
            <w:r>
              <w:rPr>
                <w:rFonts w:ascii="宋体" w:hAnsi="宋体" w:cs="宋体" w:eastAsia="宋体" w:hint="default"/>
                <w:spacing w:val="-48"/>
                <w:sz w:val="18"/>
                <w:szCs w:val="18"/>
              </w:rPr>
              <w:t> </w:t>
            </w:r>
            <w:r>
              <w:rPr>
                <w:rFonts w:ascii="宋体" w:hAnsi="宋体" w:cs="宋体" w:eastAsia="宋体" w:hint="default"/>
                <w:sz w:val="18"/>
                <w:szCs w:val="18"/>
              </w:rPr>
              <w:t>日召开的第七届董事会第十七次会议和</w:t>
            </w:r>
            <w:r>
              <w:rPr>
                <w:rFonts w:ascii="宋体" w:hAnsi="宋体" w:cs="宋体" w:eastAsia="宋体" w:hint="default"/>
                <w:spacing w:val="-48"/>
                <w:sz w:val="18"/>
                <w:szCs w:val="18"/>
              </w:rPr>
              <w:t> </w:t>
            </w:r>
            <w:r>
              <w:rPr>
                <w:rFonts w:ascii="宋体" w:hAnsi="宋体" w:cs="宋体" w:eastAsia="宋体" w:hint="default"/>
                <w:sz w:val="18"/>
                <w:szCs w:val="18"/>
              </w:rPr>
              <w:t>2016</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30</w:t>
            </w:r>
            <w:r>
              <w:rPr>
                <w:rFonts w:ascii="宋体" w:hAnsi="宋体" w:cs="宋体" w:eastAsia="宋体" w:hint="default"/>
                <w:spacing w:val="-48"/>
                <w:sz w:val="18"/>
                <w:szCs w:val="18"/>
              </w:rPr>
              <w:t> </w:t>
            </w:r>
            <w:r>
              <w:rPr>
                <w:rFonts w:ascii="宋体" w:hAnsi="宋体" w:cs="宋体" w:eastAsia="宋体" w:hint="default"/>
                <w:sz w:val="18"/>
                <w:szCs w:val="18"/>
              </w:rPr>
              <w:t>日召开的</w:t>
            </w:r>
            <w:r>
              <w:rPr>
                <w:rFonts w:ascii="宋体" w:hAnsi="宋体" w:cs="宋体" w:eastAsia="宋体" w:hint="default"/>
                <w:spacing w:val="-48"/>
                <w:sz w:val="18"/>
                <w:szCs w:val="18"/>
              </w:rPr>
              <w:t> </w:t>
            </w:r>
            <w:r>
              <w:rPr>
                <w:rFonts w:ascii="宋体" w:hAnsi="宋体" w:cs="宋体" w:eastAsia="宋体" w:hint="default"/>
                <w:sz w:val="18"/>
                <w:szCs w:val="18"/>
              </w:rPr>
              <w:t>2016</w:t>
            </w:r>
            <w:r>
              <w:rPr>
                <w:rFonts w:ascii="宋体" w:hAnsi="宋体" w:cs="宋体" w:eastAsia="宋体" w:hint="default"/>
                <w:spacing w:val="-48"/>
                <w:sz w:val="18"/>
                <w:szCs w:val="18"/>
              </w:rPr>
              <w:t> </w:t>
            </w:r>
            <w:r>
              <w:rPr>
                <w:rFonts w:ascii="宋体" w:hAnsi="宋体" w:cs="宋体" w:eastAsia="宋体" w:hint="default"/>
                <w:sz w:val="18"/>
                <w:szCs w:val="18"/>
              </w:rPr>
              <w:t>年第一次临时股东大会，审议通过了《关于使用部</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分闲置募集资金购买理财产品的议案</w:t>
            </w:r>
            <w:r>
              <w:rPr>
                <w:rFonts w:ascii="宋体" w:hAnsi="宋体" w:cs="宋体" w:eastAsia="宋体" w:hint="default"/>
                <w:spacing w:val="-90"/>
                <w:sz w:val="18"/>
                <w:szCs w:val="18"/>
              </w:rPr>
              <w:t>》</w:t>
            </w:r>
            <w:r>
              <w:rPr>
                <w:rFonts w:ascii="宋体" w:hAnsi="宋体" w:cs="宋体" w:eastAsia="宋体" w:hint="default"/>
                <w:spacing w:val="-13"/>
                <w:sz w:val="18"/>
                <w:szCs w:val="18"/>
              </w:rPr>
              <w:t>，</w:t>
            </w:r>
            <w:r>
              <w:rPr>
                <w:rFonts w:ascii="宋体" w:hAnsi="宋体" w:cs="宋体" w:eastAsia="宋体" w:hint="default"/>
                <w:sz w:val="18"/>
                <w:szCs w:val="18"/>
              </w:rPr>
              <w:t>同意公司使用部分闲置募集资金最高不超过人民币</w:t>
            </w:r>
            <w:r>
              <w:rPr>
                <w:rFonts w:ascii="宋体" w:hAnsi="宋体" w:cs="宋体" w:eastAsia="宋体" w:hint="default"/>
                <w:spacing w:val="-46"/>
                <w:sz w:val="18"/>
                <w:szCs w:val="18"/>
              </w:rPr>
              <w:t> </w:t>
            </w:r>
            <w:r>
              <w:rPr>
                <w:rFonts w:ascii="宋体" w:hAnsi="宋体" w:cs="宋体" w:eastAsia="宋体" w:hint="default"/>
                <w:sz w:val="18"/>
                <w:szCs w:val="18"/>
              </w:rPr>
              <w:t>18.98</w:t>
            </w:r>
            <w:r>
              <w:rPr>
                <w:rFonts w:ascii="宋体" w:hAnsi="宋体" w:cs="宋体" w:eastAsia="宋体" w:hint="default"/>
                <w:spacing w:val="-45"/>
                <w:sz w:val="18"/>
                <w:szCs w:val="18"/>
              </w:rPr>
              <w:t> </w:t>
            </w:r>
            <w:r>
              <w:rPr>
                <w:rFonts w:ascii="宋体" w:hAnsi="宋体" w:cs="宋体" w:eastAsia="宋体" w:hint="default"/>
                <w:sz w:val="18"/>
                <w:szCs w:val="18"/>
              </w:rPr>
              <w:t>亿元购买保本型理财产品</w:t>
            </w:r>
            <w:r>
              <w:rPr>
                <w:rFonts w:ascii="宋体" w:hAnsi="宋体" w:cs="宋体" w:eastAsia="宋体" w:hint="default"/>
                <w:spacing w:val="-13"/>
                <w:sz w:val="18"/>
                <w:szCs w:val="18"/>
              </w:rPr>
              <w:t>，</w:t>
            </w:r>
            <w:r>
              <w:rPr>
                <w:rFonts w:ascii="宋体" w:hAnsi="宋体" w:cs="宋体" w:eastAsia="宋体" w:hint="default"/>
                <w:sz w:val="18"/>
                <w:szCs w:val="18"/>
              </w:rPr>
              <w:t>投资期限为自公司股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东大会审议通过之日起一年内。公司</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日召开的第七届董事会第三十二次会议审议通过了《关于使用部分闲置募集资金购买理财产</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品的议案</w:t>
            </w:r>
            <w:r>
              <w:rPr>
                <w:rFonts w:ascii="宋体" w:hAnsi="宋体" w:cs="宋体" w:eastAsia="宋体" w:hint="default"/>
                <w:spacing w:val="-90"/>
                <w:sz w:val="18"/>
                <w:szCs w:val="18"/>
              </w:rPr>
              <w:t>》</w:t>
            </w:r>
            <w:r>
              <w:rPr>
                <w:rFonts w:ascii="宋体" w:hAnsi="宋体" w:cs="宋体" w:eastAsia="宋体" w:hint="default"/>
                <w:sz w:val="18"/>
                <w:szCs w:val="18"/>
              </w:rPr>
              <w:t>，同意公司使用部分闲置募集资金最高不超过人民币</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亿</w:t>
            </w:r>
            <w:r>
              <w:rPr>
                <w:rFonts w:ascii="宋体" w:hAnsi="宋体" w:cs="宋体" w:eastAsia="宋体" w:hint="default"/>
                <w:spacing w:val="1"/>
                <w:sz w:val="18"/>
                <w:szCs w:val="18"/>
              </w:rPr>
              <w:t>元</w:t>
            </w:r>
            <w:r>
              <w:rPr>
                <w:rFonts w:ascii="宋体" w:hAnsi="宋体" w:cs="宋体" w:eastAsia="宋体" w:hint="default"/>
                <w:sz w:val="18"/>
                <w:szCs w:val="18"/>
              </w:rPr>
              <w:t>购买保本型理财产品。投资期限为自公司董事会审议通过之日起一年内。</w:t>
            </w:r>
          </w:p>
          <w:p>
            <w:pPr>
              <w:pStyle w:val="TableParagraph"/>
              <w:spacing w:line="319" w:lineRule="auto" w:before="76"/>
              <w:ind w:left="23" w:right="89"/>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日，本公司使用闲置募集资金购买保本型理财产品的余额为</w:t>
            </w:r>
            <w:r>
              <w:rPr>
                <w:rFonts w:ascii="宋体" w:hAnsi="宋体" w:cs="宋体" w:eastAsia="宋体" w:hint="default"/>
                <w:spacing w:val="-46"/>
                <w:sz w:val="18"/>
                <w:szCs w:val="18"/>
              </w:rPr>
              <w:t> </w:t>
            </w:r>
            <w:r>
              <w:rPr>
                <w:rFonts w:ascii="宋体" w:hAnsi="宋体" w:cs="宋体" w:eastAsia="宋体" w:hint="default"/>
                <w:sz w:val="18"/>
                <w:szCs w:val="18"/>
              </w:rPr>
              <w:t>7.5</w:t>
            </w:r>
            <w:r>
              <w:rPr>
                <w:rFonts w:ascii="宋体" w:hAnsi="宋体" w:cs="宋体" w:eastAsia="宋体" w:hint="default"/>
                <w:spacing w:val="-46"/>
                <w:sz w:val="18"/>
                <w:szCs w:val="18"/>
              </w:rPr>
              <w:t> </w:t>
            </w:r>
            <w:r>
              <w:rPr>
                <w:rFonts w:ascii="宋体" w:hAnsi="宋体" w:cs="宋体" w:eastAsia="宋体" w:hint="default"/>
                <w:sz w:val="18"/>
                <w:szCs w:val="18"/>
              </w:rPr>
              <w:t>亿元，其余尚未使用的募集资金余额为人民币</w:t>
            </w:r>
            <w:r>
              <w:rPr>
                <w:rFonts w:ascii="宋体" w:hAnsi="宋体" w:cs="宋体" w:eastAsia="宋体" w:hint="default"/>
                <w:spacing w:val="-46"/>
                <w:sz w:val="18"/>
                <w:szCs w:val="18"/>
              </w:rPr>
              <w:t> </w:t>
            </w:r>
            <w:r>
              <w:rPr>
                <w:rFonts w:ascii="宋体" w:hAnsi="宋体" w:cs="宋体" w:eastAsia="宋体" w:hint="default"/>
                <w:sz w:val="18"/>
                <w:szCs w:val="18"/>
              </w:rPr>
              <w:t>7,365.36</w:t>
            </w:r>
            <w:r>
              <w:rPr>
                <w:rFonts w:ascii="宋体" w:hAnsi="宋体" w:cs="宋体" w:eastAsia="宋体" w:hint="default"/>
                <w:spacing w:val="-45"/>
                <w:sz w:val="18"/>
                <w:szCs w:val="18"/>
              </w:rPr>
              <w:t> </w:t>
            </w:r>
            <w:r>
              <w:rPr>
                <w:rFonts w:ascii="宋体" w:hAnsi="宋体" w:cs="宋体" w:eastAsia="宋体" w:hint="default"/>
                <w:sz w:val="18"/>
                <w:szCs w:val="18"/>
              </w:rPr>
              <w:t>万 元。</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募集资金使用及披露中存在的问题 或其他情况</w:t>
            </w:r>
          </w:p>
        </w:tc>
        <w:tc>
          <w:tcPr>
            <w:tcW w:w="1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20" w:right="0"/>
        <w:jc w:val="left"/>
        <w:rPr>
          <w:b w:val="0"/>
          <w:bCs w:val="0"/>
        </w:rPr>
      </w:pPr>
      <w:bookmarkStart w:name="（3）募集资金变更项目情况" w:id="54"/>
      <w:bookmarkEnd w:id="54"/>
      <w:r>
        <w:rPr>
          <w:b w:val="0"/>
          <w:bCs w:val="0"/>
        </w:rPr>
      </w:r>
      <w:r>
        <w:rPr/>
        <w:t>（</w:t>
      </w:r>
      <w:r>
        <w:rPr>
          <w:rFonts w:ascii="宋体" w:hAnsi="宋体" w:cs="宋体" w:eastAsia="宋体" w:hint="default"/>
        </w:rPr>
        <w:t>3</w:t>
      </w:r>
      <w:r>
        <w:rPr/>
        <w:t>）募集资金变更项目情况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120" w:right="0"/>
        <w:jc w:val="left"/>
      </w:pPr>
      <w:r>
        <w:rPr/>
        <w:t>√ 适用 □ 不适用</w:t>
      </w:r>
    </w:p>
    <w:p>
      <w:pPr>
        <w:pStyle w:val="BodyText"/>
        <w:spacing w:line="240" w:lineRule="auto" w:before="117"/>
        <w:ind w:left="0" w:right="1436"/>
        <w:jc w:val="right"/>
      </w:pPr>
      <w:r>
        <w:rPr/>
        <w:t>单位：万元</w:t>
      </w:r>
    </w:p>
    <w:p>
      <w:pPr>
        <w:spacing w:line="240" w:lineRule="auto" w:before="13"/>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994"/>
        <w:gridCol w:w="1416"/>
        <w:gridCol w:w="1277"/>
        <w:gridCol w:w="1958"/>
        <w:gridCol w:w="1410"/>
        <w:gridCol w:w="1409"/>
        <w:gridCol w:w="1410"/>
        <w:gridCol w:w="1410"/>
        <w:gridCol w:w="1410"/>
        <w:gridCol w:w="1412"/>
      </w:tblGrid>
      <w:tr>
        <w:trPr>
          <w:trHeight w:val="1186"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1"/>
                <w:szCs w:val="21"/>
              </w:rPr>
            </w:pPr>
          </w:p>
          <w:p>
            <w:pPr>
              <w:pStyle w:val="TableParagraph"/>
              <w:spacing w:line="319" w:lineRule="auto"/>
              <w:ind w:left="400" w:right="41"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1"/>
                <w:szCs w:val="21"/>
              </w:rPr>
            </w:pPr>
          </w:p>
          <w:p>
            <w:pPr>
              <w:pStyle w:val="TableParagraph"/>
              <w:spacing w:line="319" w:lineRule="auto"/>
              <w:ind w:left="613" w:right="71" w:hanging="541"/>
              <w:jc w:val="left"/>
              <w:rPr>
                <w:rFonts w:ascii="宋体" w:hAnsi="宋体" w:cs="宋体" w:eastAsia="宋体" w:hint="default"/>
                <w:sz w:val="18"/>
                <w:szCs w:val="18"/>
              </w:rPr>
            </w:pPr>
            <w:r>
              <w:rPr>
                <w:rFonts w:ascii="宋体" w:hAnsi="宋体" w:cs="宋体" w:eastAsia="宋体" w:hint="default"/>
                <w:sz w:val="18"/>
                <w:szCs w:val="18"/>
              </w:rPr>
              <w:t>对应的原承诺项 目</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31"/>
              <w:ind w:left="93" w:right="91"/>
              <w:jc w:val="center"/>
              <w:rPr>
                <w:rFonts w:ascii="宋体" w:hAnsi="宋体" w:cs="宋体" w:eastAsia="宋体" w:hint="default"/>
                <w:sz w:val="18"/>
                <w:szCs w:val="18"/>
              </w:rPr>
            </w:pPr>
            <w:r>
              <w:rPr>
                <w:rFonts w:ascii="宋体" w:hAnsi="宋体" w:cs="宋体" w:eastAsia="宋体" w:hint="default"/>
                <w:sz w:val="18"/>
                <w:szCs w:val="18"/>
              </w:rPr>
              <w:t>变更后项目拟 投入募集资金 总额</w:t>
            </w:r>
            <w:r>
              <w:rPr>
                <w:rFonts w:ascii="宋体" w:hAnsi="宋体" w:cs="宋体" w:eastAsia="宋体" w:hint="default"/>
                <w:sz w:val="18"/>
                <w:szCs w:val="18"/>
              </w:rPr>
              <w:t>(1)</w:t>
            </w:r>
          </w:p>
        </w:tc>
        <w:tc>
          <w:tcPr>
            <w:tcW w:w="1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本报告期实际投入金额</w:t>
            </w:r>
          </w:p>
        </w:tc>
        <w:tc>
          <w:tcPr>
            <w:tcW w:w="1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1"/>
                <w:szCs w:val="21"/>
              </w:rPr>
            </w:pPr>
          </w:p>
          <w:p>
            <w:pPr>
              <w:pStyle w:val="TableParagraph"/>
              <w:spacing w:line="319" w:lineRule="auto"/>
              <w:ind w:left="113" w:right="69" w:hanging="45"/>
              <w:jc w:val="left"/>
              <w:rPr>
                <w:rFonts w:ascii="宋体" w:hAnsi="宋体" w:cs="宋体" w:eastAsia="宋体" w:hint="default"/>
                <w:sz w:val="18"/>
                <w:szCs w:val="18"/>
              </w:rPr>
            </w:pPr>
            <w:r>
              <w:rPr>
                <w:rFonts w:ascii="宋体" w:hAnsi="宋体" w:cs="宋体" w:eastAsia="宋体" w:hint="default"/>
                <w:sz w:val="18"/>
                <w:szCs w:val="18"/>
              </w:rPr>
              <w:t>截至期末实际累 计投入金额</w:t>
            </w:r>
            <w:r>
              <w:rPr>
                <w:rFonts w:ascii="宋体" w:hAnsi="宋体" w:cs="宋体" w:eastAsia="宋体" w:hint="default"/>
                <w:sz w:val="18"/>
                <w:szCs w:val="18"/>
              </w:rPr>
              <w:t>(2)</w:t>
            </w: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1"/>
                <w:szCs w:val="21"/>
              </w:rPr>
            </w:pPr>
          </w:p>
          <w:p>
            <w:pPr>
              <w:pStyle w:val="TableParagraph"/>
              <w:spacing w:line="319" w:lineRule="auto"/>
              <w:ind w:left="113" w:right="68" w:hanging="46"/>
              <w:jc w:val="left"/>
              <w:rPr>
                <w:rFonts w:ascii="宋体" w:hAnsi="宋体" w:cs="宋体" w:eastAsia="宋体" w:hint="default"/>
                <w:sz w:val="18"/>
                <w:szCs w:val="18"/>
              </w:rPr>
            </w:pPr>
            <w:r>
              <w:rPr>
                <w:rFonts w:ascii="宋体" w:hAnsi="宋体" w:cs="宋体" w:eastAsia="宋体" w:hint="default"/>
                <w:sz w:val="18"/>
                <w:szCs w:val="18"/>
              </w:rPr>
              <w:t>截至期末投资进 度</w:t>
            </w:r>
            <w:r>
              <w:rPr>
                <w:rFonts w:ascii="宋体" w:hAnsi="宋体" w:cs="宋体" w:eastAsia="宋体" w:hint="default"/>
                <w:sz w:val="18"/>
                <w:szCs w:val="18"/>
              </w:rPr>
              <w:t>(3)=(2)/(1)</w:t>
            </w:r>
          </w:p>
        </w:tc>
        <w:tc>
          <w:tcPr>
            <w:tcW w:w="1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1"/>
                <w:szCs w:val="21"/>
              </w:rPr>
            </w:pPr>
          </w:p>
          <w:p>
            <w:pPr>
              <w:pStyle w:val="TableParagraph"/>
              <w:spacing w:line="319" w:lineRule="auto"/>
              <w:ind w:left="160" w:right="67" w:hanging="90"/>
              <w:jc w:val="left"/>
              <w:rPr>
                <w:rFonts w:ascii="宋体" w:hAnsi="宋体" w:cs="宋体" w:eastAsia="宋体" w:hint="default"/>
                <w:sz w:val="18"/>
                <w:szCs w:val="18"/>
              </w:rPr>
            </w:pPr>
            <w:r>
              <w:rPr>
                <w:rFonts w:ascii="宋体" w:hAnsi="宋体" w:cs="宋体" w:eastAsia="宋体" w:hint="default"/>
                <w:sz w:val="18"/>
                <w:szCs w:val="18"/>
              </w:rPr>
              <w:t>项目达到预定可 使用状态日期</w:t>
            </w:r>
          </w:p>
        </w:tc>
        <w:tc>
          <w:tcPr>
            <w:tcW w:w="1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1"/>
                <w:szCs w:val="21"/>
              </w:rPr>
            </w:pPr>
          </w:p>
          <w:p>
            <w:pPr>
              <w:pStyle w:val="TableParagraph"/>
              <w:spacing w:line="319" w:lineRule="auto"/>
              <w:ind w:left="519" w:right="68" w:hanging="450"/>
              <w:jc w:val="left"/>
              <w:rPr>
                <w:rFonts w:ascii="宋体" w:hAnsi="宋体" w:cs="宋体" w:eastAsia="宋体" w:hint="default"/>
                <w:sz w:val="18"/>
                <w:szCs w:val="18"/>
              </w:rPr>
            </w:pPr>
            <w:r>
              <w:rPr>
                <w:rFonts w:ascii="宋体" w:hAnsi="宋体" w:cs="宋体" w:eastAsia="宋体" w:hint="default"/>
                <w:sz w:val="18"/>
                <w:szCs w:val="18"/>
              </w:rPr>
              <w:t>本报告期实现的 效益</w:t>
            </w:r>
          </w:p>
        </w:tc>
        <w:tc>
          <w:tcPr>
            <w:tcW w:w="1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1"/>
                <w:szCs w:val="21"/>
              </w:rPr>
            </w:pPr>
          </w:p>
          <w:p>
            <w:pPr>
              <w:pStyle w:val="TableParagraph"/>
              <w:spacing w:line="319" w:lineRule="auto"/>
              <w:ind w:left="609" w:right="69" w:hanging="540"/>
              <w:jc w:val="left"/>
              <w:rPr>
                <w:rFonts w:ascii="宋体" w:hAnsi="宋体" w:cs="宋体" w:eastAsia="宋体" w:hint="default"/>
                <w:sz w:val="18"/>
                <w:szCs w:val="18"/>
              </w:rPr>
            </w:pPr>
            <w:r>
              <w:rPr>
                <w:rFonts w:ascii="宋体" w:hAnsi="宋体" w:cs="宋体" w:eastAsia="宋体" w:hint="default"/>
                <w:sz w:val="18"/>
                <w:szCs w:val="18"/>
              </w:rPr>
              <w:t>是否达到预计效 益</w:t>
            </w:r>
          </w:p>
        </w:tc>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31"/>
              <w:ind w:left="70" w:right="71"/>
              <w:jc w:val="center"/>
              <w:rPr>
                <w:rFonts w:ascii="宋体" w:hAnsi="宋体" w:cs="宋体" w:eastAsia="宋体" w:hint="default"/>
                <w:sz w:val="18"/>
                <w:szCs w:val="18"/>
              </w:rPr>
            </w:pPr>
            <w:r>
              <w:rPr>
                <w:rFonts w:ascii="宋体" w:hAnsi="宋体" w:cs="宋体" w:eastAsia="宋体" w:hint="default"/>
                <w:sz w:val="18"/>
                <w:szCs w:val="18"/>
              </w:rPr>
              <w:t>变更后的项目可 行性是否发生重 大变化</w:t>
            </w:r>
          </w:p>
        </w:tc>
      </w:tr>
      <w:tr>
        <w:trPr>
          <w:trHeight w:val="76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9"/>
              <w:ind w:left="22" w:right="59"/>
              <w:jc w:val="left"/>
              <w:rPr>
                <w:rFonts w:ascii="宋体" w:hAnsi="宋体" w:cs="宋体" w:eastAsia="宋体" w:hint="default"/>
                <w:sz w:val="18"/>
                <w:szCs w:val="18"/>
              </w:rPr>
            </w:pPr>
            <w:r>
              <w:rPr>
                <w:rFonts w:ascii="宋体" w:hAnsi="宋体" w:cs="宋体" w:eastAsia="宋体" w:hint="default"/>
                <w:sz w:val="18"/>
                <w:szCs w:val="18"/>
              </w:rPr>
              <w:t>移动媒体资 源采购项目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9"/>
              <w:ind w:left="22" w:right="123"/>
              <w:jc w:val="left"/>
              <w:rPr>
                <w:rFonts w:ascii="宋体" w:hAnsi="宋体" w:cs="宋体" w:eastAsia="宋体" w:hint="default"/>
                <w:sz w:val="18"/>
                <w:szCs w:val="18"/>
              </w:rPr>
            </w:pPr>
            <w:r>
              <w:rPr>
                <w:rFonts w:ascii="宋体" w:hAnsi="宋体" w:cs="宋体" w:eastAsia="宋体" w:hint="default"/>
                <w:sz w:val="18"/>
                <w:szCs w:val="18"/>
              </w:rPr>
              <w:t>参见承诺投资项 目“</w:t>
            </w:r>
            <w:r>
              <w:rPr>
                <w:rFonts w:ascii="宋体" w:hAnsi="宋体" w:cs="宋体" w:eastAsia="宋体" w:hint="default"/>
                <w:sz w:val="18"/>
                <w:szCs w:val="18"/>
              </w:rPr>
              <w:t>3-10</w:t>
            </w:r>
            <w:r>
              <w:rPr>
                <w:rFonts w:ascii="宋体" w:hAnsi="宋体" w:cs="宋体" w:eastAsia="宋体" w:hint="default"/>
                <w:spacing w:val="-46"/>
                <w:sz w:val="18"/>
                <w:szCs w:val="18"/>
              </w:rPr>
              <w:t> </w:t>
            </w:r>
            <w:r>
              <w:rPr>
                <w:rFonts w:ascii="宋体" w:hAnsi="宋体" w:cs="宋体" w:eastAsia="宋体" w:hint="default"/>
                <w:sz w:val="18"/>
                <w:szCs w:val="18"/>
              </w:rPr>
              <w:t>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110,000</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88,300</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z w:val="18"/>
              </w:rPr>
              <w:t>88,300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835" w:right="0"/>
              <w:jc w:val="left"/>
              <w:rPr>
                <w:rFonts w:ascii="宋体" w:hAnsi="宋体" w:cs="宋体" w:eastAsia="宋体" w:hint="default"/>
                <w:sz w:val="18"/>
                <w:szCs w:val="18"/>
              </w:rPr>
            </w:pPr>
            <w:r>
              <w:rPr>
                <w:rFonts w:ascii="宋体"/>
                <w:sz w:val="18"/>
              </w:rPr>
              <w:t>80.27%</w:t>
            </w:r>
          </w:p>
        </w:tc>
        <w:tc>
          <w:tcPr>
            <w:tcW w:w="1410"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110,000</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88,300</w:t>
            </w:r>
          </w:p>
        </w:tc>
        <w:tc>
          <w:tcPr>
            <w:tcW w:w="141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t>88,300</w:t>
            </w: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sz w:val="18"/>
              </w:rPr>
              <w:t>--</w:t>
            </w:r>
          </w:p>
        </w:tc>
        <w:tc>
          <w:tcPr>
            <w:tcW w:w="141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2"/>
              <w:ind w:right="10"/>
              <w:jc w:val="right"/>
              <w:rPr>
                <w:rFonts w:ascii="宋体" w:hAnsi="宋体" w:cs="宋体" w:eastAsia="宋体" w:hint="default"/>
                <w:sz w:val="18"/>
                <w:szCs w:val="18"/>
              </w:rPr>
            </w:pPr>
            <w:r>
              <w:rPr>
                <w:rFonts w:ascii="宋体"/>
                <w:sz w:val="18"/>
              </w:rPr>
              <w:t>0</w:t>
            </w:r>
          </w:p>
        </w:tc>
        <w:tc>
          <w:tcPr>
            <w:tcW w:w="1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6840" w:h="11910" w:orient="landscape"/>
          <w:pgMar w:header="867" w:footer="1187" w:top="1060" w:bottom="1380" w:left="1320" w:right="0"/>
        </w:sectPr>
      </w:pPr>
    </w:p>
    <w:p>
      <w:pPr>
        <w:spacing w:line="240" w:lineRule="auto" w:before="0"/>
        <w:rPr>
          <w:rFonts w:ascii="宋体" w:hAnsi="宋体" w:cs="宋体" w:eastAsia="宋体" w:hint="default"/>
          <w:sz w:val="20"/>
          <w:szCs w:val="20"/>
        </w:rPr>
      </w:pPr>
      <w:r>
        <w:rPr/>
        <w:pict>
          <v:shape style="position:absolute;margin-left:71.760002pt;margin-top:55.260006pt;width:706.1pt;height:459.3pt;mso-position-horizontal-relative:page;mso-position-vertical-relative:page;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87"/>
                    <w:gridCol w:w="10420"/>
                  </w:tblGrid>
                  <w:tr>
                    <w:trPr>
                      <w:trHeight w:val="9162" w:hRule="exact"/>
                    </w:trPr>
                    <w:tc>
                      <w:tcPr>
                        <w:tcW w:w="368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3"/>
                            <w:sz w:val="18"/>
                            <w:szCs w:val="18"/>
                          </w:rPr>
                          <w:t>变更原因、决策程序及信息披露情况说明</w:t>
                        </w:r>
                        <w:r>
                          <w:rPr>
                            <w:rFonts w:ascii="宋体" w:hAnsi="宋体" w:cs="宋体" w:eastAsia="宋体" w:hint="default"/>
                            <w:spacing w:val="-3"/>
                            <w:sz w:val="18"/>
                            <w:szCs w:val="18"/>
                          </w:rPr>
                          <w:t>(</w:t>
                        </w:r>
                        <w:r>
                          <w:rPr>
                            <w:rFonts w:ascii="宋体" w:hAnsi="宋体" w:cs="宋体" w:eastAsia="宋体" w:hint="default"/>
                            <w:spacing w:val="-3"/>
                            <w:sz w:val="18"/>
                            <w:szCs w:val="18"/>
                          </w:rPr>
                          <w:t>分具</w:t>
                        </w:r>
                        <w:r>
                          <w:rPr>
                            <w:rFonts w:ascii="宋体" w:hAnsi="宋体" w:cs="宋体" w:eastAsia="宋体" w:hint="default"/>
                            <w:spacing w:val="-87"/>
                            <w:sz w:val="18"/>
                            <w:szCs w:val="18"/>
                          </w:rPr>
                          <w:t> </w:t>
                        </w:r>
                        <w:r>
                          <w:rPr>
                            <w:rFonts w:ascii="宋体" w:hAnsi="宋体" w:cs="宋体" w:eastAsia="宋体" w:hint="default"/>
                            <w:sz w:val="18"/>
                            <w:szCs w:val="18"/>
                          </w:rPr>
                          <w:t>体项目</w:t>
                        </w:r>
                        <w:r>
                          <w:rPr>
                            <w:rFonts w:ascii="宋体" w:hAnsi="宋体" w:cs="宋体" w:eastAsia="宋体" w:hint="default"/>
                            <w:sz w:val="18"/>
                            <w:szCs w:val="18"/>
                          </w:rPr>
                          <w:t>)</w:t>
                        </w:r>
                      </w:p>
                    </w:tc>
                    <w:tc>
                      <w:tcPr>
                        <w:tcW w:w="104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、变更原因：</w:t>
                        </w:r>
                      </w:p>
                      <w:p>
                        <w:pPr>
                          <w:pStyle w:val="TableParagraph"/>
                          <w:spacing w:line="319" w:lineRule="auto" w:before="116"/>
                          <w:ind w:left="22" w:right="22"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）原募投项目终止的原因公司打造了移动互联网流量入口、移动互联网流量经营平台和商业变现渠道的三位一体的全产业链 </w:t>
                        </w:r>
                        <w:r>
                          <w:rPr>
                            <w:rFonts w:ascii="宋体" w:hAnsi="宋体" w:cs="宋体" w:eastAsia="宋体" w:hint="default"/>
                            <w:spacing w:val="-2"/>
                            <w:sz w:val="18"/>
                            <w:szCs w:val="18"/>
                          </w:rPr>
                          <w:t>商业模式。上海猎鹰网络有限公司（以下简称“猎鹰网络”）和上海智度亦复信息技术有限公司（以下简称“智度亦复”）是上市公</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2"/>
                            <w:sz w:val="18"/>
                            <w:szCs w:val="18"/>
                          </w:rPr>
                          <w:t>司在移动互联网全产业链中的核心板块，业务发展迅速。为满足公司实际业务发展需要，公司拟大力发展上述核心板块，投入核心资</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2"/>
                            <w:sz w:val="18"/>
                            <w:szCs w:val="18"/>
                          </w:rPr>
                          <w:t>源，扩大业务规模，完善产业链布局，提高公司的市场竞争力。随着互联网行业的快速发展，公司所处的外部环境和自身的业务发展</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2"/>
                            <w:sz w:val="18"/>
                            <w:szCs w:val="18"/>
                          </w:rPr>
                          <w:t>都发生了很大变化，影响原项目可行性的主要因素也发生了一些变化，项目在实施过程中出现了一些不确定性。鉴于以下原因，公司</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决定终止部分募投项目，具体如下：</w:t>
                        </w:r>
                      </w:p>
                      <w:p>
                        <w:pPr>
                          <w:pStyle w:val="TableParagraph"/>
                          <w:spacing w:line="319" w:lineRule="auto" w:before="55"/>
                          <w:ind w:left="22" w:right="22" w:firstLine="420"/>
                          <w:jc w:val="both"/>
                          <w:rPr>
                            <w:rFonts w:ascii="宋体" w:hAnsi="宋体" w:cs="宋体" w:eastAsia="宋体" w:hint="default"/>
                            <w:sz w:val="18"/>
                            <w:szCs w:val="18"/>
                          </w:rPr>
                        </w:pPr>
                        <w:r>
                          <w:rPr>
                            <w:rFonts w:ascii="宋体" w:hAnsi="宋体" w:cs="宋体" w:eastAsia="宋体" w:hint="default"/>
                            <w:sz w:val="18"/>
                            <w:szCs w:val="18"/>
                          </w:rPr>
                          <w:t>Admath Trading Desk</w:t>
                        </w:r>
                        <w:r>
                          <w:rPr>
                            <w:rFonts w:ascii="宋体" w:hAnsi="宋体" w:cs="宋体" w:eastAsia="宋体" w:hint="default"/>
                            <w:spacing w:val="-46"/>
                            <w:sz w:val="18"/>
                            <w:szCs w:val="18"/>
                          </w:rPr>
                          <w:t> </w:t>
                        </w:r>
                        <w:r>
                          <w:rPr>
                            <w:rFonts w:ascii="宋体" w:hAnsi="宋体" w:cs="宋体" w:eastAsia="宋体" w:hint="default"/>
                            <w:sz w:val="18"/>
                            <w:szCs w:val="18"/>
                          </w:rPr>
                          <w:t>开发项目：公司已投入募集资金</w:t>
                        </w:r>
                        <w:r>
                          <w:rPr>
                            <w:rFonts w:ascii="宋体" w:hAnsi="宋体" w:cs="宋体" w:eastAsia="宋体" w:hint="default"/>
                            <w:spacing w:val="-46"/>
                            <w:sz w:val="18"/>
                            <w:szCs w:val="18"/>
                          </w:rPr>
                          <w:t> </w:t>
                        </w:r>
                        <w:r>
                          <w:rPr>
                            <w:rFonts w:ascii="宋体" w:hAnsi="宋体" w:cs="宋体" w:eastAsia="宋体" w:hint="default"/>
                            <w:sz w:val="18"/>
                            <w:szCs w:val="18"/>
                          </w:rPr>
                          <w:t>1,913.82</w:t>
                        </w:r>
                        <w:r>
                          <w:rPr>
                            <w:rFonts w:ascii="宋体" w:hAnsi="宋体" w:cs="宋体" w:eastAsia="宋体" w:hint="default"/>
                            <w:spacing w:val="-46"/>
                            <w:sz w:val="18"/>
                            <w:szCs w:val="18"/>
                          </w:rPr>
                          <w:t> </w:t>
                        </w:r>
                        <w:r>
                          <w:rPr>
                            <w:rFonts w:ascii="宋体" w:hAnsi="宋体" w:cs="宋体" w:eastAsia="宋体" w:hint="default"/>
                            <w:sz w:val="18"/>
                            <w:szCs w:val="18"/>
                          </w:rPr>
                          <w:t>万元建设该项目。目前，该项目的研发现状已能满足公司基本 需求。为提高募集资金的使用效率，本项目拟不再使用募集资金继续投入。</w:t>
                        </w:r>
                      </w:p>
                      <w:p>
                        <w:pPr>
                          <w:pStyle w:val="TableParagraph"/>
                          <w:spacing w:line="319" w:lineRule="auto" w:before="56"/>
                          <w:ind w:left="22" w:right="23" w:firstLine="360"/>
                          <w:jc w:val="both"/>
                          <w:rPr>
                            <w:rFonts w:ascii="宋体" w:hAnsi="宋体" w:cs="宋体" w:eastAsia="宋体" w:hint="default"/>
                            <w:sz w:val="18"/>
                            <w:szCs w:val="18"/>
                          </w:rPr>
                        </w:pPr>
                        <w:r>
                          <w:rPr>
                            <w:rFonts w:ascii="宋体" w:hAnsi="宋体" w:cs="宋体" w:eastAsia="宋体" w:hint="default"/>
                            <w:spacing w:val="-2"/>
                            <w:sz w:val="18"/>
                            <w:szCs w:val="18"/>
                          </w:rPr>
                          <w:t>中小企业数字营销体系建设项目：公司结合自身业务整合发展的实际情况，对中小客户营销网络建设项目进行了深入的研究和分</w:t>
                        </w:r>
                        <w:r>
                          <w:rPr>
                            <w:rFonts w:ascii="宋体" w:hAnsi="宋体" w:cs="宋体" w:eastAsia="宋体" w:hint="default"/>
                            <w:sz w:val="18"/>
                            <w:szCs w:val="18"/>
                          </w:rPr>
                          <w:t> </w:t>
                        </w:r>
                        <w:r>
                          <w:rPr>
                            <w:rFonts w:ascii="宋体" w:hAnsi="宋体" w:cs="宋体" w:eastAsia="宋体" w:hint="default"/>
                            <w:spacing w:val="-2"/>
                            <w:sz w:val="18"/>
                            <w:szCs w:val="18"/>
                          </w:rPr>
                          <w:t>析。鉴于行业市场发生了较大变化，继续开展该项目难以在短期内建设有效的团队，并为公司快速带来业绩贡献。公司拟不再使用募</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集资金继续投入该项目。</w:t>
                        </w:r>
                      </w:p>
                      <w:p>
                        <w:pPr>
                          <w:pStyle w:val="TableParagraph"/>
                          <w:spacing w:line="319" w:lineRule="auto" w:before="55"/>
                          <w:ind w:left="22" w:right="21" w:firstLine="360"/>
                          <w:jc w:val="both"/>
                          <w:rPr>
                            <w:rFonts w:ascii="宋体" w:hAnsi="宋体" w:cs="宋体" w:eastAsia="宋体" w:hint="default"/>
                            <w:sz w:val="18"/>
                            <w:szCs w:val="18"/>
                          </w:rPr>
                        </w:pPr>
                        <w:r>
                          <w:rPr>
                            <w:rFonts w:ascii="宋体" w:hAnsi="宋体" w:cs="宋体" w:eastAsia="宋体" w:hint="default"/>
                            <w:sz w:val="18"/>
                            <w:szCs w:val="18"/>
                          </w:rPr>
                          <w:t>Android</w:t>
                        </w:r>
                        <w:r>
                          <w:rPr>
                            <w:rFonts w:ascii="宋体" w:hAnsi="宋体" w:cs="宋体" w:eastAsia="宋体" w:hint="default"/>
                            <w:spacing w:val="-69"/>
                            <w:sz w:val="18"/>
                            <w:szCs w:val="18"/>
                          </w:rPr>
                          <w:t> </w:t>
                        </w:r>
                        <w:r>
                          <w:rPr>
                            <w:rFonts w:ascii="宋体" w:hAnsi="宋体" w:cs="宋体" w:eastAsia="宋体" w:hint="default"/>
                            <w:sz w:val="18"/>
                            <w:szCs w:val="18"/>
                          </w:rPr>
                          <w:t>项目：公司针对新技术、新产品的研发、推广及应用，结合目前移动互联网行业的发展和公司的业务形态，认为在目前 的市场环境下，实施该项目难以及时为上市公司带来业绩贡献。为提高募集资金使用效率，本项目不再使用募集资金继续投入。</w:t>
                        </w:r>
                      </w:p>
                      <w:p>
                        <w:pPr>
                          <w:pStyle w:val="TableParagraph"/>
                          <w:spacing w:line="319" w:lineRule="auto" w:before="55"/>
                          <w:ind w:left="22" w:right="20" w:firstLine="360"/>
                          <w:jc w:val="both"/>
                          <w:rPr>
                            <w:rFonts w:ascii="宋体" w:hAnsi="宋体" w:cs="宋体" w:eastAsia="宋体" w:hint="default"/>
                            <w:sz w:val="18"/>
                            <w:szCs w:val="18"/>
                          </w:rPr>
                        </w:pPr>
                        <w:r>
                          <w:rPr>
                            <w:rFonts w:ascii="宋体" w:hAnsi="宋体" w:cs="宋体" w:eastAsia="宋体" w:hint="default"/>
                            <w:sz w:val="18"/>
                            <w:szCs w:val="18"/>
                          </w:rPr>
                          <w:t>iOS</w:t>
                        </w:r>
                        <w:r>
                          <w:rPr>
                            <w:rFonts w:ascii="宋体" w:hAnsi="宋体" w:cs="宋体" w:eastAsia="宋体" w:hint="default"/>
                            <w:spacing w:val="-70"/>
                            <w:sz w:val="18"/>
                            <w:szCs w:val="18"/>
                          </w:rPr>
                          <w:t> </w:t>
                        </w:r>
                        <w:r>
                          <w:rPr>
                            <w:rFonts w:ascii="宋体" w:hAnsi="宋体" w:cs="宋体" w:eastAsia="宋体" w:hint="default"/>
                            <w:sz w:val="18"/>
                            <w:szCs w:val="18"/>
                          </w:rPr>
                          <w:t>项目：公司对该项目进行了长时间的市场调查和论证，考虑到该项目研发周期较长，资金需要逐步投放等特点，为提高募集 资金使用效率，拟不再使用募集资金继续投入该项目。</w:t>
                        </w:r>
                      </w:p>
                      <w:p>
                        <w:pPr>
                          <w:pStyle w:val="TableParagraph"/>
                          <w:spacing w:line="319" w:lineRule="auto" w:before="56"/>
                          <w:ind w:left="22" w:right="23" w:firstLine="360"/>
                          <w:jc w:val="both"/>
                          <w:rPr>
                            <w:rFonts w:ascii="宋体" w:hAnsi="宋体" w:cs="宋体" w:eastAsia="宋体" w:hint="default"/>
                            <w:sz w:val="18"/>
                            <w:szCs w:val="18"/>
                          </w:rPr>
                        </w:pPr>
                        <w:r>
                          <w:rPr>
                            <w:rFonts w:ascii="宋体" w:hAnsi="宋体" w:cs="宋体" w:eastAsia="宋体" w:hint="default"/>
                            <w:sz w:val="18"/>
                            <w:szCs w:val="18"/>
                          </w:rPr>
                          <w:t>运营平台（胜效通）的升级及功能完善项目：上市公司在运营平台（胜效通）的升级及功能完善项目中投入</w:t>
                        </w:r>
                        <w:r>
                          <w:rPr>
                            <w:rFonts w:ascii="宋体" w:hAnsi="宋体" w:cs="宋体" w:eastAsia="宋体" w:hint="default"/>
                            <w:spacing w:val="-45"/>
                            <w:sz w:val="18"/>
                            <w:szCs w:val="18"/>
                          </w:rPr>
                          <w:t> </w:t>
                        </w:r>
                        <w:r>
                          <w:rPr>
                            <w:rFonts w:ascii="宋体" w:hAnsi="宋体" w:cs="宋体" w:eastAsia="宋体" w:hint="default"/>
                            <w:sz w:val="18"/>
                            <w:szCs w:val="18"/>
                          </w:rPr>
                          <w:t>1,100.34</w:t>
                        </w:r>
                        <w:r>
                          <w:rPr>
                            <w:rFonts w:ascii="宋体" w:hAnsi="宋体" w:cs="宋体" w:eastAsia="宋体" w:hint="default"/>
                            <w:spacing w:val="-46"/>
                            <w:sz w:val="18"/>
                            <w:szCs w:val="18"/>
                          </w:rPr>
                          <w:t> </w:t>
                        </w:r>
                        <w:r>
                          <w:rPr>
                            <w:rFonts w:ascii="宋体" w:hAnsi="宋体" w:cs="宋体" w:eastAsia="宋体" w:hint="default"/>
                            <w:sz w:val="18"/>
                            <w:szCs w:val="18"/>
                          </w:rPr>
                          <w:t>万元，对 </w:t>
                        </w:r>
                        <w:r>
                          <w:rPr>
                            <w:rFonts w:ascii="宋体" w:hAnsi="宋体" w:cs="宋体" w:eastAsia="宋体" w:hint="default"/>
                            <w:spacing w:val="-2"/>
                            <w:sz w:val="18"/>
                            <w:szCs w:val="18"/>
                          </w:rPr>
                          <w:t>胜效通平台（现已更名为</w:t>
                        </w:r>
                        <w:r>
                          <w:rPr>
                            <w:rFonts w:ascii="宋体" w:hAnsi="宋体" w:cs="宋体" w:eastAsia="宋体" w:hint="default"/>
                            <w:spacing w:val="-33"/>
                            <w:sz w:val="18"/>
                            <w:szCs w:val="18"/>
                          </w:rPr>
                          <w:t> </w:t>
                        </w:r>
                        <w:r>
                          <w:rPr>
                            <w:rFonts w:ascii="宋体" w:hAnsi="宋体" w:cs="宋体" w:eastAsia="宋体" w:hint="default"/>
                            <w:sz w:val="18"/>
                            <w:szCs w:val="18"/>
                          </w:rPr>
                          <w:t>FMOBI</w:t>
                        </w:r>
                        <w:r>
                          <w:rPr>
                            <w:rFonts w:ascii="宋体" w:hAnsi="宋体" w:cs="宋体" w:eastAsia="宋体" w:hint="default"/>
                            <w:spacing w:val="-33"/>
                            <w:sz w:val="18"/>
                            <w:szCs w:val="18"/>
                          </w:rPr>
                          <w:t> </w:t>
                        </w:r>
                        <w:r>
                          <w:rPr>
                            <w:rFonts w:ascii="宋体" w:hAnsi="宋体" w:cs="宋体" w:eastAsia="宋体" w:hint="default"/>
                            <w:spacing w:val="-2"/>
                            <w:sz w:val="18"/>
                            <w:szCs w:val="18"/>
                          </w:rPr>
                          <w:t>广告平台）进行了多方面的升级更新，主要集中在技术研发更新，以及新功能的开发设计，已能满足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公司日常业务经营的需求。考虑到</w:t>
                        </w:r>
                        <w:r>
                          <w:rPr>
                            <w:rFonts w:ascii="宋体" w:hAnsi="宋体" w:cs="宋体" w:eastAsia="宋体" w:hint="default"/>
                            <w:spacing w:val="-46"/>
                            <w:sz w:val="18"/>
                            <w:szCs w:val="18"/>
                          </w:rPr>
                          <w:t> </w:t>
                        </w:r>
                        <w:r>
                          <w:rPr>
                            <w:rFonts w:ascii="宋体" w:hAnsi="宋体" w:cs="宋体" w:eastAsia="宋体" w:hint="default"/>
                            <w:sz w:val="18"/>
                            <w:szCs w:val="18"/>
                          </w:rPr>
                          <w:t>FMOBI</w:t>
                        </w:r>
                        <w:r>
                          <w:rPr>
                            <w:rFonts w:ascii="宋体" w:hAnsi="宋体" w:cs="宋体" w:eastAsia="宋体" w:hint="default"/>
                            <w:spacing w:val="-45"/>
                            <w:sz w:val="18"/>
                            <w:szCs w:val="18"/>
                          </w:rPr>
                          <w:t> </w:t>
                        </w:r>
                        <w:r>
                          <w:rPr>
                            <w:rFonts w:ascii="宋体" w:hAnsi="宋体" w:cs="宋体" w:eastAsia="宋体" w:hint="default"/>
                            <w:sz w:val="18"/>
                            <w:szCs w:val="18"/>
                          </w:rPr>
                          <w:t>平台是上市公司流量经营的核心平台，公司未来将持续根据客户</w:t>
                        </w:r>
                        <w:r>
                          <w:rPr>
                            <w:rFonts w:ascii="宋体" w:hAnsi="宋体" w:cs="宋体" w:eastAsia="宋体" w:hint="default"/>
                            <w:sz w:val="18"/>
                            <w:szCs w:val="18"/>
                          </w:rPr>
                          <w:t>/</w:t>
                        </w:r>
                        <w:r>
                          <w:rPr>
                            <w:rFonts w:ascii="宋体" w:hAnsi="宋体" w:cs="宋体" w:eastAsia="宋体" w:hint="default"/>
                            <w:sz w:val="18"/>
                            <w:szCs w:val="18"/>
                          </w:rPr>
                          <w:t>市场的需求、变化，利用 自有资金对运营平台功能进行持续的升级及完善。为提高募集资金使用效率，公司拟不再使用募集资金继续投入该项目。</w:t>
                        </w:r>
                      </w:p>
                      <w:p>
                        <w:pPr>
                          <w:pStyle w:val="TableParagraph"/>
                          <w:spacing w:line="319" w:lineRule="auto" w:before="55"/>
                          <w:ind w:left="22" w:right="23" w:firstLine="360"/>
                          <w:jc w:val="left"/>
                          <w:rPr>
                            <w:rFonts w:ascii="宋体" w:hAnsi="宋体" w:cs="宋体" w:eastAsia="宋体" w:hint="default"/>
                            <w:sz w:val="18"/>
                            <w:szCs w:val="18"/>
                          </w:rPr>
                        </w:pPr>
                        <w:r>
                          <w:rPr>
                            <w:rFonts w:ascii="宋体" w:hAnsi="宋体" w:cs="宋体" w:eastAsia="宋体" w:hint="default"/>
                            <w:sz w:val="18"/>
                            <w:szCs w:val="18"/>
                          </w:rPr>
                          <w:t>游戏业务的海外发行及推广项目：上市公司结合游戏行业的发展趋势，适度调整项目实施策略，相应放缓了该项目的投入进度 本公司游戏业务子公司范特西，在</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年一季度以自有资金</w:t>
                        </w:r>
                        <w:r>
                          <w:rPr>
                            <w:rFonts w:ascii="宋体" w:hAnsi="宋体" w:cs="宋体" w:eastAsia="宋体" w:hint="default"/>
                            <w:spacing w:val="-46"/>
                            <w:sz w:val="18"/>
                            <w:szCs w:val="18"/>
                          </w:rPr>
                          <w:t> </w:t>
                        </w:r>
                        <w:r>
                          <w:rPr>
                            <w:rFonts w:ascii="宋体" w:hAnsi="宋体" w:cs="宋体" w:eastAsia="宋体" w:hint="default"/>
                            <w:sz w:val="18"/>
                            <w:szCs w:val="18"/>
                          </w:rPr>
                          <w:t>7,000</w:t>
                        </w:r>
                        <w:r>
                          <w:rPr>
                            <w:rFonts w:ascii="宋体" w:hAnsi="宋体" w:cs="宋体" w:eastAsia="宋体" w:hint="default"/>
                            <w:spacing w:val="-46"/>
                            <w:sz w:val="18"/>
                            <w:szCs w:val="18"/>
                          </w:rPr>
                          <w:t> </w:t>
                        </w:r>
                        <w:r>
                          <w:rPr>
                            <w:rFonts w:ascii="宋体" w:hAnsi="宋体" w:cs="宋体" w:eastAsia="宋体" w:hint="default"/>
                            <w:sz w:val="18"/>
                            <w:szCs w:val="18"/>
                          </w:rPr>
                          <w:t>万元参股国内领先的日本市场游戏发行商北京奇酷工厂科技有限 </w:t>
                        </w:r>
                        <w:r>
                          <w:rPr>
                            <w:rFonts w:ascii="宋体" w:hAnsi="宋体" w:cs="宋体" w:eastAsia="宋体" w:hint="default"/>
                            <w:spacing w:val="-2"/>
                            <w:sz w:val="18"/>
                            <w:szCs w:val="18"/>
                          </w:rPr>
                          <w:t>公司，观察投资效果，吸取项目建设经验。奇酷项目的投资效果需一定时间显现，为提高募集资金使用效率，公司拟不再使用募集资</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金继续投入该项目。</w:t>
                        </w:r>
                      </w:p>
                      <w:p>
                        <w:pPr>
                          <w:pStyle w:val="TableParagraph"/>
                          <w:spacing w:line="319" w:lineRule="auto" w:before="55"/>
                          <w:ind w:left="22" w:right="22" w:firstLine="360"/>
                          <w:jc w:val="left"/>
                          <w:rPr>
                            <w:rFonts w:ascii="宋体" w:hAnsi="宋体" w:cs="宋体" w:eastAsia="宋体" w:hint="default"/>
                            <w:sz w:val="18"/>
                            <w:szCs w:val="18"/>
                          </w:rPr>
                        </w:pPr>
                        <w:r>
                          <w:rPr>
                            <w:rFonts w:ascii="宋体" w:hAnsi="宋体" w:cs="宋体" w:eastAsia="宋体" w:hint="default"/>
                            <w:sz w:val="18"/>
                            <w:szCs w:val="18"/>
                          </w:rPr>
                          <w:t>新游戏项目的研发项目：</w:t>
                        </w:r>
                        <w:r>
                          <w:rPr>
                            <w:rFonts w:ascii="宋体" w:hAnsi="宋体" w:cs="宋体" w:eastAsia="宋体" w:hint="default"/>
                            <w:sz w:val="18"/>
                            <w:szCs w:val="18"/>
                          </w:rPr>
                          <w:t>shitou</w:t>
                        </w:r>
                        <w:r>
                          <w:rPr>
                            <w:rFonts w:ascii="宋体" w:hAnsi="宋体" w:cs="宋体" w:eastAsia="宋体" w:hint="default"/>
                            <w:spacing w:val="-46"/>
                            <w:sz w:val="18"/>
                            <w:szCs w:val="18"/>
                          </w:rPr>
                          <w:t> </w:t>
                        </w:r>
                        <w:r>
                          <w:rPr>
                            <w:rFonts w:ascii="宋体" w:hAnsi="宋体" w:cs="宋体" w:eastAsia="宋体" w:hint="default"/>
                            <w:sz w:val="18"/>
                            <w:szCs w:val="18"/>
                          </w:rPr>
                          <w:t>考虑到网络游戏行业竞争日益加剧，行业的发展趋势变化多样，游戏产品品质要求及游戏行业 </w:t>
                        </w:r>
                        <w:r>
                          <w:rPr>
                            <w:rFonts w:ascii="宋体" w:hAnsi="宋体" w:cs="宋体" w:eastAsia="宋体" w:hint="default"/>
                            <w:spacing w:val="-2"/>
                            <w:sz w:val="18"/>
                            <w:szCs w:val="18"/>
                          </w:rPr>
                          <w:t>制作成本不断提高，在目前的市场环境下，该项目难以及时为上市公司带来业绩贡献。为提高募集资金使用效率，本项目不再使用募</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集资金继续投入。</w:t>
                        </w:r>
                      </w:p>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外购超级</w:t>
                        </w:r>
                        <w:r>
                          <w:rPr>
                            <w:rFonts w:ascii="宋体" w:hAnsi="宋体" w:cs="宋体" w:eastAsia="宋体" w:hint="default"/>
                            <w:spacing w:val="-46"/>
                            <w:sz w:val="18"/>
                            <w:szCs w:val="18"/>
                          </w:rPr>
                          <w:t> </w:t>
                        </w:r>
                        <w:r>
                          <w:rPr>
                            <w:rFonts w:ascii="宋体" w:hAnsi="宋体" w:cs="宋体" w:eastAsia="宋体" w:hint="default"/>
                            <w:sz w:val="18"/>
                            <w:szCs w:val="18"/>
                          </w:rPr>
                          <w:t>App</w:t>
                        </w:r>
                        <w:r>
                          <w:rPr>
                            <w:rFonts w:ascii="宋体" w:hAnsi="宋体" w:cs="宋体" w:eastAsia="宋体" w:hint="default"/>
                            <w:spacing w:val="-45"/>
                            <w:sz w:val="18"/>
                            <w:szCs w:val="18"/>
                          </w:rPr>
                          <w:t> </w:t>
                        </w:r>
                        <w:r>
                          <w:rPr>
                            <w:rFonts w:ascii="宋体" w:hAnsi="宋体" w:cs="宋体" w:eastAsia="宋体" w:hint="default"/>
                            <w:sz w:val="18"/>
                            <w:szCs w:val="18"/>
                          </w:rPr>
                          <w:t>项目：由于商务条款未达一致，原目标</w:t>
                        </w:r>
                        <w:r>
                          <w:rPr>
                            <w:rFonts w:ascii="宋体" w:hAnsi="宋体" w:cs="宋体" w:eastAsia="宋体" w:hint="default"/>
                            <w:spacing w:val="-46"/>
                            <w:sz w:val="18"/>
                            <w:szCs w:val="18"/>
                          </w:rPr>
                          <w:t> </w:t>
                        </w:r>
                        <w:r>
                          <w:rPr>
                            <w:rFonts w:ascii="宋体" w:hAnsi="宋体" w:cs="宋体" w:eastAsia="宋体" w:hint="default"/>
                            <w:sz w:val="18"/>
                            <w:szCs w:val="18"/>
                          </w:rPr>
                          <w:t>App</w:t>
                        </w:r>
                        <w:r>
                          <w:rPr>
                            <w:rFonts w:ascii="宋体" w:hAnsi="宋体" w:cs="宋体" w:eastAsia="宋体" w:hint="default"/>
                            <w:spacing w:val="-46"/>
                            <w:sz w:val="18"/>
                            <w:szCs w:val="18"/>
                          </w:rPr>
                          <w:t> </w:t>
                        </w:r>
                        <w:r>
                          <w:rPr>
                            <w:rFonts w:ascii="宋体" w:hAnsi="宋体" w:cs="宋体" w:eastAsia="宋体" w:hint="default"/>
                            <w:sz w:val="18"/>
                            <w:szCs w:val="18"/>
                          </w:rPr>
                          <w:t>项目在完成框架协议签署后，未能与交易对方最终达成交易。本年度</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BodyText"/>
        <w:spacing w:line="240" w:lineRule="auto" w:before="44"/>
        <w:ind w:left="0" w:right="1243"/>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0" w:right="1242"/>
        <w:jc w:val="right"/>
      </w:pPr>
      <w:r>
        <w:rPr/>
        <w:t>，</w:t>
      </w:r>
    </w:p>
    <w:p>
      <w:pPr>
        <w:spacing w:after="0" w:line="240" w:lineRule="auto"/>
        <w:jc w:val="right"/>
        <w:sectPr>
          <w:pgSz w:w="16840" w:h="11910" w:orient="landscape"/>
          <w:pgMar w:header="867" w:footer="1187" w:top="1060" w:bottom="1380" w:left="132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3687"/>
        <w:gridCol w:w="10420"/>
      </w:tblGrid>
      <w:tr>
        <w:trPr>
          <w:trHeight w:val="7794" w:hRule="exact"/>
        </w:trPr>
        <w:tc>
          <w:tcPr>
            <w:tcW w:w="3687"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0420"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22"/>
              <w:jc w:val="both"/>
              <w:rPr>
                <w:rFonts w:ascii="宋体" w:hAnsi="宋体" w:cs="宋体" w:eastAsia="宋体" w:hint="default"/>
                <w:sz w:val="18"/>
                <w:szCs w:val="18"/>
              </w:rPr>
            </w:pPr>
            <w:r>
              <w:rPr>
                <w:rFonts w:ascii="宋体" w:hAnsi="宋体" w:cs="宋体" w:eastAsia="宋体" w:hint="default"/>
                <w:sz w:val="18"/>
                <w:szCs w:val="18"/>
              </w:rPr>
              <w:t>公司针对合适的</w:t>
            </w:r>
            <w:r>
              <w:rPr>
                <w:rFonts w:ascii="宋体" w:hAnsi="宋体" w:cs="宋体" w:eastAsia="宋体" w:hint="default"/>
                <w:spacing w:val="-64"/>
                <w:sz w:val="18"/>
                <w:szCs w:val="18"/>
              </w:rPr>
              <w:t> </w:t>
            </w:r>
            <w:r>
              <w:rPr>
                <w:rFonts w:ascii="宋体" w:hAnsi="宋体" w:cs="宋体" w:eastAsia="宋体" w:hint="default"/>
                <w:sz w:val="18"/>
                <w:szCs w:val="18"/>
              </w:rPr>
              <w:t>App</w:t>
            </w:r>
            <w:r>
              <w:rPr>
                <w:rFonts w:ascii="宋体" w:hAnsi="宋体" w:cs="宋体" w:eastAsia="宋体" w:hint="default"/>
                <w:spacing w:val="-64"/>
                <w:sz w:val="18"/>
                <w:szCs w:val="18"/>
              </w:rPr>
              <w:t> </w:t>
            </w:r>
            <w:r>
              <w:rPr>
                <w:rFonts w:ascii="宋体" w:hAnsi="宋体" w:cs="宋体" w:eastAsia="宋体" w:hint="default"/>
                <w:sz w:val="18"/>
                <w:szCs w:val="18"/>
              </w:rPr>
              <w:t>项目继续进行了大量的市场调研和洽谈工作。但部分</w:t>
            </w:r>
            <w:r>
              <w:rPr>
                <w:rFonts w:ascii="宋体" w:hAnsi="宋体" w:cs="宋体" w:eastAsia="宋体" w:hint="default"/>
                <w:spacing w:val="-64"/>
                <w:sz w:val="18"/>
                <w:szCs w:val="18"/>
              </w:rPr>
              <w:t> </w:t>
            </w:r>
            <w:r>
              <w:rPr>
                <w:rFonts w:ascii="宋体" w:hAnsi="宋体" w:cs="宋体" w:eastAsia="宋体" w:hint="default"/>
                <w:sz w:val="18"/>
                <w:szCs w:val="18"/>
              </w:rPr>
              <w:t>App</w:t>
            </w:r>
            <w:r>
              <w:rPr>
                <w:rFonts w:ascii="宋体" w:hAnsi="宋体" w:cs="宋体" w:eastAsia="宋体" w:hint="default"/>
                <w:spacing w:val="-64"/>
                <w:sz w:val="18"/>
                <w:szCs w:val="18"/>
              </w:rPr>
              <w:t> </w:t>
            </w:r>
            <w:r>
              <w:rPr>
                <w:rFonts w:ascii="宋体" w:hAnsi="宋体" w:cs="宋体" w:eastAsia="宋体" w:hint="default"/>
                <w:sz w:val="18"/>
                <w:szCs w:val="18"/>
              </w:rPr>
              <w:t>项目在洽谈期间表现不稳定，研发公司在与公司进行估 </w:t>
            </w:r>
            <w:r>
              <w:rPr>
                <w:rFonts w:ascii="宋体" w:hAnsi="宋体" w:cs="宋体" w:eastAsia="宋体" w:hint="default"/>
                <w:spacing w:val="-2"/>
                <w:sz w:val="18"/>
                <w:szCs w:val="18"/>
              </w:rPr>
              <w:t>值、商业条款等方面的磋商中一直未能达成一致，导致公司始终未能寻求到合适的收购对象。未来，公司将结合收购、投资等多种方</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式获取超级</w:t>
            </w:r>
            <w:r>
              <w:rPr>
                <w:rFonts w:ascii="宋体" w:hAnsi="宋体" w:cs="宋体" w:eastAsia="宋体" w:hint="default"/>
                <w:spacing w:val="-46"/>
                <w:sz w:val="18"/>
                <w:szCs w:val="18"/>
              </w:rPr>
              <w:t> </w:t>
            </w:r>
            <w:r>
              <w:rPr>
                <w:rFonts w:ascii="宋体" w:hAnsi="宋体" w:cs="宋体" w:eastAsia="宋体" w:hint="default"/>
                <w:sz w:val="18"/>
                <w:szCs w:val="18"/>
              </w:rPr>
              <w:t>App</w:t>
            </w:r>
            <w:r>
              <w:rPr>
                <w:rFonts w:ascii="宋体" w:hAnsi="宋体" w:cs="宋体" w:eastAsia="宋体" w:hint="default"/>
                <w:spacing w:val="-46"/>
                <w:sz w:val="18"/>
                <w:szCs w:val="18"/>
              </w:rPr>
              <w:t> </w:t>
            </w:r>
            <w:r>
              <w:rPr>
                <w:rFonts w:ascii="宋体" w:hAnsi="宋体" w:cs="宋体" w:eastAsia="宋体" w:hint="default"/>
                <w:sz w:val="18"/>
                <w:szCs w:val="18"/>
              </w:rPr>
              <w:t>的流量资源。本项目将不再使用募集资金继续投入。</w:t>
            </w:r>
          </w:p>
          <w:p>
            <w:pPr>
              <w:pStyle w:val="TableParagraph"/>
              <w:spacing w:line="357" w:lineRule="auto" w:before="58"/>
              <w:ind w:left="382" w:right="21"/>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）变更后的募投项目经济效益分析 </w:t>
            </w:r>
            <w:r>
              <w:rPr>
                <w:rFonts w:ascii="宋体" w:hAnsi="宋体" w:cs="宋体" w:eastAsia="宋体" w:hint="default"/>
                <w:spacing w:val="-2"/>
                <w:sz w:val="18"/>
                <w:szCs w:val="18"/>
              </w:rPr>
              <w:t>本次变更募投项目的实施对公司进一步完善移动互联网行业全产业链的战略布局十分必要，使公司能持续获得优质的媒体资源并</w:t>
            </w:r>
          </w:p>
          <w:p>
            <w:pPr>
              <w:pStyle w:val="TableParagraph"/>
              <w:spacing w:line="224" w:lineRule="exact"/>
              <w:ind w:left="22" w:right="0"/>
              <w:jc w:val="both"/>
              <w:rPr>
                <w:rFonts w:ascii="宋体" w:hAnsi="宋体" w:cs="宋体" w:eastAsia="宋体" w:hint="default"/>
                <w:sz w:val="18"/>
                <w:szCs w:val="18"/>
              </w:rPr>
            </w:pPr>
            <w:r>
              <w:rPr>
                <w:rFonts w:ascii="宋体" w:hAnsi="宋体" w:cs="宋体" w:eastAsia="宋体" w:hint="default"/>
                <w:spacing w:val="-2"/>
                <w:sz w:val="18"/>
                <w:szCs w:val="18"/>
              </w:rPr>
              <w:t>与国内优质移动端平台和资源更深度合作，更好的满足广告主需求，有利于提升公司业绩，快速提升公司品牌形象和市场影响力。本</w:t>
            </w:r>
          </w:p>
          <w:p>
            <w:pPr>
              <w:pStyle w:val="TableParagraph"/>
              <w:spacing w:line="240" w:lineRule="auto" w:before="77"/>
              <w:ind w:left="22" w:right="0"/>
              <w:jc w:val="both"/>
              <w:rPr>
                <w:rFonts w:ascii="宋体" w:hAnsi="宋体" w:cs="宋体" w:eastAsia="宋体" w:hint="default"/>
                <w:sz w:val="18"/>
                <w:szCs w:val="18"/>
              </w:rPr>
            </w:pPr>
            <w:r>
              <w:rPr>
                <w:rFonts w:ascii="宋体" w:hAnsi="宋体" w:cs="宋体" w:eastAsia="宋体" w:hint="default"/>
                <w:sz w:val="18"/>
                <w:szCs w:val="18"/>
              </w:rPr>
              <w:t>募投项目无法单独核算其经济效益。</w:t>
            </w:r>
          </w:p>
          <w:p>
            <w:pPr>
              <w:pStyle w:val="TableParagraph"/>
              <w:spacing w:line="357" w:lineRule="auto" w:before="116"/>
              <w:ind w:left="382" w:right="21"/>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）本次变更募集资金用途对公司的影响 </w:t>
            </w:r>
            <w:r>
              <w:rPr>
                <w:rFonts w:ascii="宋体" w:hAnsi="宋体" w:cs="宋体" w:eastAsia="宋体" w:hint="default"/>
                <w:spacing w:val="-2"/>
                <w:sz w:val="18"/>
                <w:szCs w:val="18"/>
              </w:rPr>
              <w:t>有利于提高公司资金使用效率，提升公司盈利能力公司本次变更募集资金用途是在综合考虑行业的发展现状和上市公司自身业务</w:t>
            </w:r>
          </w:p>
          <w:p>
            <w:pPr>
              <w:pStyle w:val="TableParagraph"/>
              <w:spacing w:line="224" w:lineRule="exact"/>
              <w:ind w:left="22" w:right="0"/>
              <w:jc w:val="both"/>
              <w:rPr>
                <w:rFonts w:ascii="宋体" w:hAnsi="宋体" w:cs="宋体" w:eastAsia="宋体" w:hint="default"/>
                <w:sz w:val="18"/>
                <w:szCs w:val="18"/>
              </w:rPr>
            </w:pPr>
            <w:r>
              <w:rPr>
                <w:rFonts w:ascii="宋体" w:hAnsi="宋体" w:cs="宋体" w:eastAsia="宋体" w:hint="default"/>
                <w:spacing w:val="-2"/>
                <w:sz w:val="18"/>
                <w:szCs w:val="18"/>
              </w:rPr>
              <w:t>整合发展的实际情况的基础上做出的决策，有利于充分发挥募集资金经济效益，提高募集资金使用效率，提升公司盈利能力，符合广</w:t>
            </w:r>
          </w:p>
          <w:p>
            <w:pPr>
              <w:pStyle w:val="TableParagraph"/>
              <w:spacing w:line="319" w:lineRule="auto" w:before="76"/>
              <w:ind w:left="22" w:right="21"/>
              <w:jc w:val="both"/>
              <w:rPr>
                <w:rFonts w:ascii="宋体" w:hAnsi="宋体" w:cs="宋体" w:eastAsia="宋体" w:hint="default"/>
                <w:sz w:val="18"/>
                <w:szCs w:val="18"/>
              </w:rPr>
            </w:pPr>
            <w:r>
              <w:rPr>
                <w:rFonts w:ascii="宋体" w:hAnsi="宋体" w:cs="宋体" w:eastAsia="宋体" w:hint="default"/>
                <w:spacing w:val="-2"/>
                <w:sz w:val="18"/>
                <w:szCs w:val="18"/>
              </w:rPr>
              <w:t>大股东的利益。有利于推动公司全产业链的战略布局新的募投项目能够有效扩大猎鹰网络和智度亦复与国内优质移动端平台和核心媒</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2"/>
                <w:sz w:val="18"/>
                <w:szCs w:val="18"/>
              </w:rPr>
              <w:t>体资源的深度合作，将利用所购买的移动互联网流量入口资源，整合为具有较高商业价值的流量，精准分发给广告、游戏、电商、阅</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2"/>
                <w:sz w:val="18"/>
                <w:szCs w:val="18"/>
              </w:rPr>
              <w:t>读等各行业的广告主或开发者，为其创造较高的商业价值，最终实现流量变现。新的募投项目的建设内容，是上市公司三位一体全产</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2"/>
                <w:sz w:val="18"/>
                <w:szCs w:val="18"/>
              </w:rPr>
              <w:t>业链商业模式中重要的环节，有助于上市公司推动移动互联网行业全产业链的战略布局。有利于巩固公司行业领先地位，保持公司可</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持续发展猎鹰网络和智度亦复是公司在移动互联网全产业链中的核心板块，业务发展迅速。为满足公司实际业务发展需要，公司拟大</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力发展上述核心板块，投入核心资源，扩大业务规模，完善产业链布局，提高公司的市场竞争力。新的募投项目能更好的帮助猎鹰网</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2"/>
                <w:sz w:val="18"/>
                <w:szCs w:val="18"/>
              </w:rPr>
              <w:t>络和智度亦复利用其在各自细分领域中积累的品牌知名度，发挥其品牌优势和市场影响力，从而对提升公司形象，树立企业价值、吸</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引用户起到良好促进作用，保持公司可持续发展。</w:t>
            </w:r>
          </w:p>
          <w:p>
            <w:pPr>
              <w:pStyle w:val="TableParagraph"/>
              <w:spacing w:line="240" w:lineRule="auto" w:before="55"/>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、决策程序：公司于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日召开的第七届董事会第三十六次会议和第七届监事会第二十五次会议，均以全票赞成的</w:t>
            </w:r>
          </w:p>
          <w:p>
            <w:pPr>
              <w:pStyle w:val="TableParagraph"/>
              <w:spacing w:line="240" w:lineRule="auto" w:before="76"/>
              <w:ind w:left="22" w:right="0"/>
              <w:jc w:val="both"/>
              <w:rPr>
                <w:rFonts w:ascii="宋体" w:hAnsi="宋体" w:cs="宋体" w:eastAsia="宋体" w:hint="default"/>
                <w:sz w:val="18"/>
                <w:szCs w:val="18"/>
              </w:rPr>
            </w:pPr>
            <w:r>
              <w:rPr>
                <w:rFonts w:ascii="宋体" w:hAnsi="宋体" w:cs="宋体" w:eastAsia="宋体" w:hint="default"/>
                <w:sz w:val="18"/>
                <w:szCs w:val="18"/>
              </w:rPr>
              <w:t>表决结果审议通过</w:t>
            </w:r>
            <w:r>
              <w:rPr>
                <w:rFonts w:ascii="宋体" w:hAnsi="宋体" w:cs="宋体" w:eastAsia="宋体" w:hint="default"/>
                <w:spacing w:val="-71"/>
                <w:sz w:val="18"/>
                <w:szCs w:val="18"/>
              </w:rPr>
              <w:t>了</w:t>
            </w:r>
            <w:r>
              <w:rPr>
                <w:rFonts w:ascii="宋体" w:hAnsi="宋体" w:cs="宋体" w:eastAsia="宋体" w:hint="default"/>
                <w:sz w:val="18"/>
                <w:szCs w:val="18"/>
              </w:rPr>
              <w:t>《关于变更部分募集资金用途的议案</w:t>
            </w:r>
            <w:r>
              <w:rPr>
                <w:rFonts w:ascii="宋体" w:hAnsi="宋体" w:cs="宋体" w:eastAsia="宋体" w:hint="default"/>
                <w:spacing w:val="-90"/>
                <w:sz w:val="18"/>
                <w:szCs w:val="18"/>
              </w:rPr>
              <w:t>》</w:t>
            </w:r>
            <w:r>
              <w:rPr>
                <w:rFonts w:ascii="宋体" w:hAnsi="宋体" w:cs="宋体" w:eastAsia="宋体" w:hint="default"/>
                <w:spacing w:val="-71"/>
                <w:sz w:val="18"/>
                <w:szCs w:val="18"/>
              </w:rPr>
              <w:t>；</w:t>
            </w:r>
            <w:r>
              <w:rPr>
                <w:rFonts w:ascii="宋体" w:hAnsi="宋体" w:cs="宋体" w:eastAsia="宋体" w:hint="default"/>
                <w:sz w:val="18"/>
                <w:szCs w:val="18"/>
              </w:rPr>
              <w:t>独立董事和独立财务顾问均对该事项发表了同意的独立意见</w:t>
            </w:r>
            <w:r>
              <w:rPr>
                <w:rFonts w:ascii="宋体" w:hAnsi="宋体" w:cs="宋体" w:eastAsia="宋体" w:hint="default"/>
                <w:spacing w:val="-71"/>
                <w:sz w:val="18"/>
                <w:szCs w:val="18"/>
              </w:rPr>
              <w:t>；</w:t>
            </w: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z w:val="18"/>
                <w:szCs w:val="18"/>
              </w:rPr>
              <w:t>017</w:t>
            </w:r>
          </w:p>
          <w:p>
            <w:pPr>
              <w:pStyle w:val="TableParagraph"/>
              <w:spacing w:line="319" w:lineRule="auto" w:before="76"/>
              <w:ind w:left="22" w:right="36"/>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日召开的</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pacing w:val="-2"/>
                <w:sz w:val="18"/>
                <w:szCs w:val="18"/>
              </w:rPr>
              <w:t>年第二次临时股东大会审议通过了上述《关于变更部分募集资金用途的议案》。本事项不涉及关联交易，无</w:t>
            </w:r>
            <w:r>
              <w:rPr>
                <w:rFonts w:ascii="宋体" w:hAnsi="宋体" w:cs="宋体" w:eastAsia="宋体" w:hint="default"/>
                <w:sz w:val="18"/>
                <w:szCs w:val="18"/>
              </w:rPr>
              <w:t> 须回避表决，也不构成《上市公司重大资产重组管理办法》规定的重大资产重组。</w:t>
            </w:r>
          </w:p>
          <w:p>
            <w:pPr>
              <w:pStyle w:val="TableParagraph"/>
              <w:spacing w:line="240" w:lineRule="auto" w:before="55"/>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、信息披露情况：关于本次变更部分募集资金用途事项，公司已按照规定履行了信息披露义务，具体内容详见公司于</w:t>
            </w:r>
            <w:r>
              <w:rPr>
                <w:rFonts w:ascii="宋体" w:hAnsi="宋体" w:cs="宋体" w:eastAsia="宋体" w:hint="default"/>
                <w:spacing w:val="-56"/>
                <w:sz w:val="18"/>
                <w:szCs w:val="18"/>
              </w:rPr>
              <w:t> </w:t>
            </w:r>
            <w:r>
              <w:rPr>
                <w:rFonts w:ascii="宋体" w:hAnsi="宋体" w:cs="宋体" w:eastAsia="宋体" w:hint="default"/>
                <w:sz w:val="18"/>
                <w:szCs w:val="18"/>
              </w:rPr>
              <w:t>2017</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9</w:t>
            </w:r>
          </w:p>
          <w:p>
            <w:pPr>
              <w:pStyle w:val="TableParagraph"/>
              <w:spacing w:line="240" w:lineRule="auto" w:before="77"/>
              <w:ind w:left="22"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日和</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日披露在巨潮资讯网（</w:t>
            </w:r>
            <w:hyperlink r:id="rId12">
              <w:r>
                <w:rPr>
                  <w:rFonts w:ascii="宋体" w:hAnsi="宋体" w:cs="宋体" w:eastAsia="宋体" w:hint="default"/>
                  <w:sz w:val="18"/>
                  <w:szCs w:val="18"/>
                </w:rPr>
                <w:t>http://www.cninfo.com.cn</w:t>
              </w:r>
            </w:hyperlink>
            <w:r>
              <w:rPr>
                <w:rFonts w:ascii="宋体" w:hAnsi="宋体" w:cs="宋体" w:eastAsia="宋体" w:hint="default"/>
                <w:sz w:val="18"/>
                <w:szCs w:val="18"/>
              </w:rPr>
              <w:t>）上的公告。</w:t>
            </w: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未达到计划进度或预计收益的情况和原因</w:t>
            </w:r>
            <w:r>
              <w:rPr>
                <w:rFonts w:ascii="宋体" w:hAnsi="宋体" w:cs="宋体" w:eastAsia="宋体" w:hint="default"/>
                <w:sz w:val="18"/>
                <w:szCs w:val="18"/>
              </w:rPr>
              <w:t>(</w:t>
            </w:r>
            <w:r>
              <w:rPr>
                <w:rFonts w:ascii="宋体" w:hAnsi="宋体" w:cs="宋体" w:eastAsia="宋体" w:hint="default"/>
                <w:sz w:val="18"/>
                <w:szCs w:val="18"/>
              </w:rPr>
              <w:t>分 具体项目</w:t>
            </w:r>
            <w:r>
              <w:rPr>
                <w:rFonts w:ascii="宋体" w:hAnsi="宋体" w:cs="宋体" w:eastAsia="宋体" w:hint="default"/>
                <w:sz w:val="18"/>
                <w:szCs w:val="18"/>
              </w:rPr>
              <w:t>)</w:t>
            </w:r>
          </w:p>
        </w:tc>
        <w:tc>
          <w:tcPr>
            <w:tcW w:w="10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34"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变更后的项目可行性发生重大变化的情况说明</w:t>
            </w:r>
          </w:p>
        </w:tc>
        <w:tc>
          <w:tcPr>
            <w:tcW w:w="10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6840" w:h="11910" w:orient="landscape"/>
          <w:pgMar w:header="867" w:footer="1187" w:top="1060" w:bottom="1380" w:left="1320" w:right="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left="153" w:right="0"/>
        <w:jc w:val="left"/>
        <w:rPr>
          <w:b w:val="0"/>
          <w:bCs w:val="0"/>
        </w:rPr>
      </w:pPr>
      <w:bookmarkStart w:name="六、重大资产和股权出售" w:id="55"/>
      <w:bookmarkEnd w:id="55"/>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出售重大资产情况" w:id="56"/>
      <w:bookmarkEnd w:id="56"/>
      <w:r>
        <w:rPr>
          <w:b w:val="0"/>
          <w:bCs w:val="0"/>
        </w:rPr>
      </w:r>
      <w:r>
        <w:rPr>
          <w:rFonts w:ascii="宋体" w:hAnsi="宋体" w:cs="宋体" w:eastAsia="宋体" w:hint="default"/>
        </w:rPr>
        <w:t>1</w:t>
      </w:r>
      <w:r>
        <w:rPr/>
        <w:t>、出售重大资产情况</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right="8412"/>
        <w:jc w:val="left"/>
      </w:pPr>
      <w:r>
        <w:rPr/>
        <w:t>□ 适用 √ 不适用 公司报告期未出售重大资产。</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出售重大股权情况" w:id="57"/>
      <w:bookmarkEnd w:id="57"/>
      <w:r>
        <w:rPr>
          <w:b w:val="0"/>
          <w:bCs w:val="0"/>
        </w:rPr>
      </w:r>
      <w:r>
        <w:rPr>
          <w:rFonts w:ascii="宋体" w:hAnsi="宋体" w:cs="宋体" w:eastAsia="宋体" w:hint="default"/>
        </w:rPr>
        <w:t>2</w:t>
      </w:r>
      <w:r>
        <w:rPr/>
        <w:t>、出售重大股权情况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七、主要控股参股公司分析" w:id="58"/>
      <w:bookmarkEnd w:id="58"/>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22"/>
          <w:footerReference w:type="default" r:id="rId23"/>
          <w:pgSz w:w="11910" w:h="16840"/>
          <w:pgMar w:header="877" w:footer="1187" w:top="1100" w:bottom="1380" w:left="980" w:right="0"/>
          <w:pgNumType w:start="35"/>
        </w:sectPr>
      </w:pPr>
    </w:p>
    <w:p>
      <w:pPr>
        <w:pStyle w:val="BodyText"/>
        <w:spacing w:line="240" w:lineRule="auto" w:before="44"/>
        <w:ind w:left="153" w:right="-20"/>
        <w:jc w:val="left"/>
      </w:pPr>
      <w:r>
        <w:rPr/>
        <w:t>√ 适用 □ 不适用</w:t>
      </w:r>
    </w:p>
    <w:p>
      <w:pPr>
        <w:pStyle w:val="BodyText"/>
        <w:spacing w:line="240" w:lineRule="auto" w:before="116"/>
        <w:ind w:right="-20"/>
        <w:jc w:val="left"/>
      </w:pPr>
      <w:r>
        <w:rPr/>
        <w:t>主要子公司及对公司净利润影响达</w:t>
      </w:r>
      <w:r>
        <w:rPr>
          <w:spacing w:val="-46"/>
        </w:rPr>
        <w:t> </w:t>
      </w:r>
      <w:r>
        <w:rPr>
          <w:rFonts w:ascii="宋体" w:hAnsi="宋体" w:cs="宋体" w:eastAsia="宋体"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380" w:left="980" w:right="0"/>
          <w:cols w:num="2" w:equalWidth="0">
            <w:col w:w="4789" w:space="4130"/>
            <w:col w:w="201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上海猎鹰网 络有限公司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移动互联网 广告服务业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sz w:val="18"/>
              </w:rPr>
              <w:t>35,714,299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1,028,322,3</w:t>
            </w:r>
          </w:p>
          <w:p>
            <w:pPr>
              <w:pStyle w:val="TableParagraph"/>
              <w:spacing w:line="240" w:lineRule="auto" w:before="76"/>
              <w:ind w:left="562" w:right="0"/>
              <w:jc w:val="left"/>
              <w:rPr>
                <w:rFonts w:ascii="宋体" w:hAnsi="宋体" w:cs="宋体" w:eastAsia="宋体" w:hint="default"/>
                <w:sz w:val="18"/>
                <w:szCs w:val="18"/>
              </w:rPr>
            </w:pPr>
            <w:r>
              <w:rPr>
                <w:rFonts w:ascii="宋体"/>
                <w:sz w:val="18"/>
              </w:rPr>
              <w:t>74.70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sz w:val="18"/>
              </w:rPr>
              <w:t>429,720,42</w:t>
            </w:r>
          </w:p>
          <w:p>
            <w:pPr>
              <w:pStyle w:val="TableParagraph"/>
              <w:spacing w:line="240" w:lineRule="auto" w:before="76"/>
              <w:ind w:left="652" w:right="0"/>
              <w:jc w:val="left"/>
              <w:rPr>
                <w:rFonts w:ascii="宋体" w:hAnsi="宋体" w:cs="宋体" w:eastAsia="宋体" w:hint="default"/>
                <w:sz w:val="18"/>
                <w:szCs w:val="18"/>
              </w:rPr>
            </w:pPr>
            <w:r>
              <w:rPr>
                <w:rFonts w:ascii="宋体"/>
                <w:sz w:val="18"/>
              </w:rPr>
              <w:t>1.05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sz w:val="18"/>
              </w:rPr>
              <w:t>2,359,309,</w:t>
            </w:r>
          </w:p>
          <w:p>
            <w:pPr>
              <w:pStyle w:val="TableParagraph"/>
              <w:spacing w:line="240" w:lineRule="auto" w:before="76"/>
              <w:ind w:left="471" w:right="0"/>
              <w:jc w:val="left"/>
              <w:rPr>
                <w:rFonts w:ascii="宋体" w:hAnsi="宋体" w:cs="宋体" w:eastAsia="宋体" w:hint="default"/>
                <w:sz w:val="18"/>
                <w:szCs w:val="18"/>
              </w:rPr>
            </w:pPr>
            <w:r>
              <w:rPr>
                <w:rFonts w:ascii="宋体"/>
                <w:sz w:val="18"/>
              </w:rPr>
              <w:t>180.09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sz w:val="18"/>
              </w:rPr>
              <w:t>189,684,75</w:t>
            </w:r>
          </w:p>
          <w:p>
            <w:pPr>
              <w:pStyle w:val="TableParagraph"/>
              <w:spacing w:line="240" w:lineRule="auto" w:before="76"/>
              <w:ind w:left="651" w:right="0"/>
              <w:jc w:val="left"/>
              <w:rPr>
                <w:rFonts w:ascii="宋体" w:hAnsi="宋体" w:cs="宋体" w:eastAsia="宋体" w:hint="default"/>
                <w:sz w:val="18"/>
                <w:szCs w:val="18"/>
              </w:rPr>
            </w:pPr>
            <w:r>
              <w:rPr>
                <w:rFonts w:ascii="宋体"/>
                <w:sz w:val="18"/>
              </w:rPr>
              <w:t>9.33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167,641,157</w:t>
            </w:r>
          </w:p>
          <w:p>
            <w:pPr>
              <w:pStyle w:val="TableParagraph"/>
              <w:spacing w:line="240" w:lineRule="auto" w:before="76"/>
              <w:ind w:right="23"/>
              <w:jc w:val="right"/>
              <w:rPr>
                <w:rFonts w:ascii="宋体" w:hAnsi="宋体" w:cs="宋体" w:eastAsia="宋体" w:hint="default"/>
                <w:sz w:val="18"/>
                <w:szCs w:val="18"/>
              </w:rPr>
            </w:pPr>
            <w:r>
              <w:rPr>
                <w:rFonts w:ascii="宋体"/>
                <w:sz w:val="18"/>
              </w:rPr>
              <w:t>.07</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上海智度亦 复信息技术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互联网整合 营销专业服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sz w:val="18"/>
              </w:rPr>
              <w:t>30,000,000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1,099,236,6</w:t>
            </w:r>
          </w:p>
          <w:p>
            <w:pPr>
              <w:pStyle w:val="TableParagraph"/>
              <w:spacing w:line="240" w:lineRule="auto" w:before="77"/>
              <w:ind w:left="562" w:right="0"/>
              <w:jc w:val="left"/>
              <w:rPr>
                <w:rFonts w:ascii="宋体" w:hAnsi="宋体" w:cs="宋体" w:eastAsia="宋体" w:hint="default"/>
                <w:sz w:val="18"/>
                <w:szCs w:val="18"/>
              </w:rPr>
            </w:pPr>
            <w:r>
              <w:rPr>
                <w:rFonts w:ascii="宋体"/>
                <w:sz w:val="18"/>
              </w:rPr>
              <w:t>74.19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sz w:val="18"/>
              </w:rPr>
              <w:t>161,515,84</w:t>
            </w:r>
          </w:p>
          <w:p>
            <w:pPr>
              <w:pStyle w:val="TableParagraph"/>
              <w:spacing w:line="240" w:lineRule="auto" w:before="77"/>
              <w:ind w:left="652" w:right="0"/>
              <w:jc w:val="left"/>
              <w:rPr>
                <w:rFonts w:ascii="宋体" w:hAnsi="宋体" w:cs="宋体" w:eastAsia="宋体" w:hint="default"/>
                <w:sz w:val="18"/>
                <w:szCs w:val="18"/>
              </w:rPr>
            </w:pPr>
            <w:r>
              <w:rPr>
                <w:rFonts w:ascii="宋体"/>
                <w:sz w:val="18"/>
              </w:rPr>
              <w:t>1.07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sz w:val="18"/>
              </w:rPr>
              <w:t>3,182,896,</w:t>
            </w:r>
          </w:p>
          <w:p>
            <w:pPr>
              <w:pStyle w:val="TableParagraph"/>
              <w:spacing w:line="240" w:lineRule="auto" w:before="77"/>
              <w:ind w:left="471" w:right="0"/>
              <w:jc w:val="left"/>
              <w:rPr>
                <w:rFonts w:ascii="宋体" w:hAnsi="宋体" w:cs="宋体" w:eastAsia="宋体" w:hint="default"/>
                <w:sz w:val="18"/>
                <w:szCs w:val="18"/>
              </w:rPr>
            </w:pPr>
            <w:r>
              <w:rPr>
                <w:rFonts w:ascii="宋体"/>
                <w:sz w:val="18"/>
              </w:rPr>
              <w:t>292.07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80,041,534</w:t>
            </w:r>
          </w:p>
          <w:p>
            <w:pPr>
              <w:pStyle w:val="TableParagraph"/>
              <w:spacing w:line="240" w:lineRule="auto" w:before="77"/>
              <w:ind w:right="23"/>
              <w:jc w:val="right"/>
              <w:rPr>
                <w:rFonts w:ascii="宋体" w:hAnsi="宋体" w:cs="宋体" w:eastAsia="宋体" w:hint="default"/>
                <w:sz w:val="18"/>
                <w:szCs w:val="18"/>
              </w:rPr>
            </w:pPr>
            <w:r>
              <w:rPr>
                <w:rFonts w:ascii="宋体"/>
                <w:sz w:val="18"/>
              </w:rPr>
              <w:t>.52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69,318,789.</w:t>
            </w:r>
          </w:p>
          <w:p>
            <w:pPr>
              <w:pStyle w:val="TableParagraph"/>
              <w:spacing w:line="240" w:lineRule="auto" w:before="77"/>
              <w:ind w:right="23"/>
              <w:jc w:val="right"/>
              <w:rPr>
                <w:rFonts w:ascii="宋体" w:hAnsi="宋体" w:cs="宋体" w:eastAsia="宋体" w:hint="default"/>
                <w:sz w:val="18"/>
                <w:szCs w:val="18"/>
              </w:rPr>
            </w:pPr>
            <w:r>
              <w:rPr>
                <w:rFonts w:ascii="宋体"/>
                <w:sz w:val="18"/>
              </w:rPr>
              <w:t>13</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6"/>
              <w:jc w:val="center"/>
              <w:rPr>
                <w:rFonts w:ascii="宋体" w:hAnsi="宋体" w:cs="宋体" w:eastAsia="宋体" w:hint="default"/>
                <w:sz w:val="18"/>
                <w:szCs w:val="18"/>
              </w:rPr>
            </w:pPr>
            <w:r>
              <w:rPr>
                <w:rFonts w:ascii="宋体"/>
                <w:sz w:val="18"/>
              </w:rPr>
              <w:t>SPIGOT INC.</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互联网软件 开发、应用 和分发等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1"/>
              <w:jc w:val="left"/>
              <w:rPr>
                <w:rFonts w:ascii="宋体" w:hAnsi="宋体" w:cs="宋体" w:eastAsia="宋体" w:hint="default"/>
                <w:sz w:val="18"/>
                <w:szCs w:val="18"/>
              </w:rPr>
            </w:pPr>
            <w:r>
              <w:rPr>
                <w:rFonts w:ascii="宋体"/>
                <w:sz w:val="18"/>
              </w:rPr>
              <w:t>USD62,511. 75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424,234,352</w:t>
            </w:r>
          </w:p>
          <w:p>
            <w:pPr>
              <w:pStyle w:val="TableParagraph"/>
              <w:spacing w:line="240" w:lineRule="auto" w:before="76"/>
              <w:ind w:right="20"/>
              <w:jc w:val="right"/>
              <w:rPr>
                <w:rFonts w:ascii="宋体" w:hAnsi="宋体" w:cs="宋体" w:eastAsia="宋体" w:hint="default"/>
                <w:sz w:val="18"/>
                <w:szCs w:val="18"/>
              </w:rPr>
            </w:pPr>
            <w:r>
              <w:rPr>
                <w:rFonts w:ascii="宋体"/>
                <w:sz w:val="18"/>
              </w:rPr>
              <w:t>.33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sz w:val="18"/>
              </w:rPr>
              <w:t>188,845,40</w:t>
            </w:r>
          </w:p>
          <w:p>
            <w:pPr>
              <w:pStyle w:val="TableParagraph"/>
              <w:spacing w:line="240" w:lineRule="auto" w:before="76"/>
              <w:ind w:left="652" w:right="0"/>
              <w:jc w:val="left"/>
              <w:rPr>
                <w:rFonts w:ascii="宋体" w:hAnsi="宋体" w:cs="宋体" w:eastAsia="宋体" w:hint="default"/>
                <w:sz w:val="18"/>
                <w:szCs w:val="18"/>
              </w:rPr>
            </w:pPr>
            <w:r>
              <w:rPr>
                <w:rFonts w:ascii="宋体"/>
                <w:sz w:val="18"/>
              </w:rPr>
              <w:t>0.74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sz w:val="18"/>
              </w:rPr>
              <w:t>618,626,17</w:t>
            </w:r>
          </w:p>
          <w:p>
            <w:pPr>
              <w:pStyle w:val="TableParagraph"/>
              <w:spacing w:line="240" w:lineRule="auto" w:before="76"/>
              <w:ind w:left="651" w:right="0"/>
              <w:jc w:val="left"/>
              <w:rPr>
                <w:rFonts w:ascii="宋体" w:hAnsi="宋体" w:cs="宋体" w:eastAsia="宋体" w:hint="default"/>
                <w:sz w:val="18"/>
                <w:szCs w:val="18"/>
              </w:rPr>
            </w:pPr>
            <w:r>
              <w:rPr>
                <w:rFonts w:ascii="宋体"/>
                <w:sz w:val="18"/>
              </w:rPr>
              <w:t>1.79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sz w:val="18"/>
              </w:rPr>
              <w:t>-76,109,04</w:t>
            </w:r>
          </w:p>
          <w:p>
            <w:pPr>
              <w:pStyle w:val="TableParagraph"/>
              <w:spacing w:line="240" w:lineRule="auto" w:before="76"/>
              <w:ind w:left="651" w:right="0"/>
              <w:jc w:val="left"/>
              <w:rPr>
                <w:rFonts w:ascii="宋体" w:hAnsi="宋体" w:cs="宋体" w:eastAsia="宋体" w:hint="default"/>
                <w:sz w:val="18"/>
                <w:szCs w:val="18"/>
              </w:rPr>
            </w:pPr>
            <w:r>
              <w:rPr>
                <w:rFonts w:ascii="宋体"/>
                <w:sz w:val="18"/>
              </w:rPr>
              <w:t>3.27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-56,172,387</w:t>
            </w:r>
          </w:p>
          <w:p>
            <w:pPr>
              <w:pStyle w:val="TableParagraph"/>
              <w:spacing w:line="240" w:lineRule="auto" w:before="76"/>
              <w:ind w:right="23"/>
              <w:jc w:val="right"/>
              <w:rPr>
                <w:rFonts w:ascii="宋体" w:hAnsi="宋体" w:cs="宋体" w:eastAsia="宋体" w:hint="default"/>
                <w:sz w:val="18"/>
                <w:szCs w:val="18"/>
              </w:rPr>
            </w:pPr>
            <w:r>
              <w:rPr>
                <w:rFonts w:ascii="宋体"/>
                <w:sz w:val="18"/>
              </w:rPr>
              <w:t>.59</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sz w:val="18"/>
              </w:rPr>
              <w:t>Polarity Technologie s Limited</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互联网信息 服务等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sz w:val="18"/>
              </w:rPr>
              <w:t>USD 1.17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558,910,484</w:t>
            </w:r>
          </w:p>
          <w:p>
            <w:pPr>
              <w:pStyle w:val="TableParagraph"/>
              <w:spacing w:line="240" w:lineRule="auto" w:before="76"/>
              <w:ind w:right="20"/>
              <w:jc w:val="right"/>
              <w:rPr>
                <w:rFonts w:ascii="宋体" w:hAnsi="宋体" w:cs="宋体" w:eastAsia="宋体" w:hint="default"/>
                <w:sz w:val="18"/>
                <w:szCs w:val="18"/>
              </w:rPr>
            </w:pPr>
            <w:r>
              <w:rPr>
                <w:rFonts w:ascii="宋体"/>
                <w:sz w:val="18"/>
              </w:rPr>
              <w:t>.94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80,963,879</w:t>
            </w:r>
          </w:p>
          <w:p>
            <w:pPr>
              <w:pStyle w:val="TableParagraph"/>
              <w:spacing w:line="240" w:lineRule="auto" w:before="76"/>
              <w:ind w:right="20"/>
              <w:jc w:val="right"/>
              <w:rPr>
                <w:rFonts w:ascii="宋体" w:hAnsi="宋体" w:cs="宋体" w:eastAsia="宋体" w:hint="default"/>
                <w:sz w:val="18"/>
                <w:szCs w:val="18"/>
              </w:rPr>
            </w:pPr>
            <w:r>
              <w:rPr>
                <w:rFonts w:ascii="宋体"/>
                <w:sz w:val="18"/>
              </w:rPr>
              <w:t>.57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sz w:val="18"/>
              </w:rPr>
              <w:t>989,362,63</w:t>
            </w:r>
          </w:p>
          <w:p>
            <w:pPr>
              <w:pStyle w:val="TableParagraph"/>
              <w:spacing w:line="240" w:lineRule="auto" w:before="76"/>
              <w:ind w:left="651" w:right="0"/>
              <w:jc w:val="left"/>
              <w:rPr>
                <w:rFonts w:ascii="宋体" w:hAnsi="宋体" w:cs="宋体" w:eastAsia="宋体" w:hint="default"/>
                <w:sz w:val="18"/>
                <w:szCs w:val="18"/>
              </w:rPr>
            </w:pPr>
            <w:r>
              <w:rPr>
                <w:rFonts w:ascii="宋体"/>
                <w:sz w:val="18"/>
              </w:rPr>
              <w:t>3.56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61,386,261</w:t>
            </w:r>
          </w:p>
          <w:p>
            <w:pPr>
              <w:pStyle w:val="TableParagraph"/>
              <w:spacing w:line="240" w:lineRule="auto" w:before="76"/>
              <w:ind w:right="23"/>
              <w:jc w:val="right"/>
              <w:rPr>
                <w:rFonts w:ascii="宋体" w:hAnsi="宋体" w:cs="宋体" w:eastAsia="宋体" w:hint="default"/>
                <w:sz w:val="18"/>
                <w:szCs w:val="18"/>
              </w:rPr>
            </w:pPr>
            <w:r>
              <w:rPr>
                <w:rFonts w:ascii="宋体"/>
                <w:sz w:val="18"/>
              </w:rPr>
              <w:t>.61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53,689,138.</w:t>
            </w:r>
          </w:p>
          <w:p>
            <w:pPr>
              <w:pStyle w:val="TableParagraph"/>
              <w:spacing w:line="240" w:lineRule="auto" w:before="76"/>
              <w:ind w:right="23"/>
              <w:jc w:val="right"/>
              <w:rPr>
                <w:rFonts w:ascii="宋体" w:hAnsi="宋体" w:cs="宋体" w:eastAsia="宋体" w:hint="default"/>
                <w:sz w:val="18"/>
                <w:szCs w:val="18"/>
              </w:rPr>
            </w:pPr>
            <w:r>
              <w:rPr>
                <w:rFonts w:ascii="宋体"/>
                <w:sz w:val="18"/>
              </w:rPr>
              <w:t>29</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sz w:val="18"/>
              </w:rPr>
              <w:t>Eightpoint Technologie s Limited</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互联网信息 服务等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sz w:val="18"/>
              </w:rPr>
              <w:t>USD 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542,662,429</w:t>
            </w:r>
          </w:p>
          <w:p>
            <w:pPr>
              <w:pStyle w:val="TableParagraph"/>
              <w:spacing w:line="240" w:lineRule="auto" w:before="76"/>
              <w:ind w:right="20"/>
              <w:jc w:val="right"/>
              <w:rPr>
                <w:rFonts w:ascii="宋体" w:hAnsi="宋体" w:cs="宋体" w:eastAsia="宋体" w:hint="default"/>
                <w:sz w:val="18"/>
                <w:szCs w:val="18"/>
              </w:rPr>
            </w:pPr>
            <w:r>
              <w:rPr>
                <w:rFonts w:ascii="宋体"/>
                <w:sz w:val="18"/>
              </w:rPr>
              <w:t>.01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sz w:val="18"/>
              </w:rPr>
              <w:t>314,588,38</w:t>
            </w:r>
          </w:p>
          <w:p>
            <w:pPr>
              <w:pStyle w:val="TableParagraph"/>
              <w:spacing w:line="240" w:lineRule="auto" w:before="76"/>
              <w:ind w:left="652" w:right="0"/>
              <w:jc w:val="left"/>
              <w:rPr>
                <w:rFonts w:ascii="宋体" w:hAnsi="宋体" w:cs="宋体" w:eastAsia="宋体" w:hint="default"/>
                <w:sz w:val="18"/>
                <w:szCs w:val="18"/>
              </w:rPr>
            </w:pPr>
            <w:r>
              <w:rPr>
                <w:rFonts w:ascii="宋体"/>
                <w:sz w:val="18"/>
              </w:rPr>
              <w:t>1.60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sz w:val="18"/>
              </w:rPr>
              <w:t>392,538,40</w:t>
            </w:r>
          </w:p>
          <w:p>
            <w:pPr>
              <w:pStyle w:val="TableParagraph"/>
              <w:spacing w:line="240" w:lineRule="auto" w:before="76"/>
              <w:ind w:left="651" w:right="0"/>
              <w:jc w:val="left"/>
              <w:rPr>
                <w:rFonts w:ascii="宋体" w:hAnsi="宋体" w:cs="宋体" w:eastAsia="宋体" w:hint="default"/>
                <w:sz w:val="18"/>
                <w:szCs w:val="18"/>
              </w:rPr>
            </w:pPr>
            <w:r>
              <w:rPr>
                <w:rFonts w:ascii="宋体"/>
                <w:sz w:val="18"/>
              </w:rPr>
              <w:t>8.63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sz w:val="18"/>
              </w:rPr>
              <w:t>300,614,48</w:t>
            </w:r>
          </w:p>
          <w:p>
            <w:pPr>
              <w:pStyle w:val="TableParagraph"/>
              <w:spacing w:line="240" w:lineRule="auto" w:before="76"/>
              <w:ind w:left="651" w:right="0"/>
              <w:jc w:val="left"/>
              <w:rPr>
                <w:rFonts w:ascii="宋体" w:hAnsi="宋体" w:cs="宋体" w:eastAsia="宋体" w:hint="default"/>
                <w:sz w:val="18"/>
                <w:szCs w:val="18"/>
              </w:rPr>
            </w:pPr>
            <w:r>
              <w:rPr>
                <w:rFonts w:ascii="宋体"/>
                <w:sz w:val="18"/>
              </w:rPr>
              <w:t>4.89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300,576,286</w:t>
            </w:r>
          </w:p>
          <w:p>
            <w:pPr>
              <w:pStyle w:val="TableParagraph"/>
              <w:spacing w:line="240" w:lineRule="auto" w:before="76"/>
              <w:ind w:right="23"/>
              <w:jc w:val="right"/>
              <w:rPr>
                <w:rFonts w:ascii="宋体" w:hAnsi="宋体" w:cs="宋体" w:eastAsia="宋体" w:hint="default"/>
                <w:sz w:val="18"/>
                <w:szCs w:val="18"/>
              </w:rPr>
            </w:pPr>
            <w:r>
              <w:rPr>
                <w:rFonts w:ascii="宋体"/>
                <w:sz w:val="18"/>
              </w:rPr>
              <w:t>.42</w:t>
            </w:r>
          </w:p>
        </w:tc>
      </w:tr>
    </w:tbl>
    <w:p>
      <w:pPr>
        <w:pStyle w:val="BodyText"/>
        <w:spacing w:line="240" w:lineRule="auto" w:before="51"/>
        <w:ind w:right="0"/>
        <w:jc w:val="left"/>
      </w:pPr>
      <w:r>
        <w:rPr/>
        <w:t>报告期内取得和处置子公司的情况</w:t>
      </w:r>
    </w:p>
    <w:p>
      <w:pPr>
        <w:pStyle w:val="BodyText"/>
        <w:spacing w:line="240" w:lineRule="auto" w:before="117"/>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44"/>
        <w:gridCol w:w="993"/>
        <w:gridCol w:w="5033"/>
      </w:tblGrid>
      <w:tr>
        <w:trPr>
          <w:trHeight w:val="1026"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2" w:right="39"/>
              <w:jc w:val="both"/>
              <w:rPr>
                <w:rFonts w:ascii="宋体" w:hAnsi="宋体" w:cs="宋体" w:eastAsia="宋体" w:hint="default"/>
                <w:sz w:val="18"/>
                <w:szCs w:val="18"/>
              </w:rPr>
            </w:pPr>
            <w:r>
              <w:rPr>
                <w:rFonts w:ascii="宋体" w:hAnsi="宋体" w:cs="宋体" w:eastAsia="宋体" w:hint="default"/>
                <w:sz w:val="18"/>
                <w:szCs w:val="18"/>
              </w:rPr>
              <w:t>报告期内取 得和处置子 公司方式</w:t>
            </w:r>
          </w:p>
        </w:tc>
        <w:tc>
          <w:tcPr>
            <w:tcW w:w="5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41"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西藏智媒网络科技有限公司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5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增强公司在相关领域的产业布局，促进公司的业绩快速增长</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上海宴杰网络科技有限公司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5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增强公司在相关领域的产业布局，促进公司的业绩快速增长</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拉萨经济技术开发区猎鹰网络科技有限公司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5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增强公司在相关领域的产业布局，促进公司的业绩快速增长</w:t>
            </w:r>
          </w:p>
        </w:tc>
      </w:tr>
    </w:tbl>
    <w:p>
      <w:pPr>
        <w:spacing w:after="0" w:line="240" w:lineRule="auto"/>
        <w:jc w:val="left"/>
        <w:rPr>
          <w:rFonts w:ascii="宋体" w:hAnsi="宋体" w:cs="宋体" w:eastAsia="宋体" w:hint="default"/>
          <w:sz w:val="18"/>
          <w:szCs w:val="18"/>
        </w:rPr>
        <w:sectPr>
          <w:type w:val="continuous"/>
          <w:pgSz w:w="11910" w:h="16840"/>
          <w:pgMar w:top="106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544"/>
        <w:gridCol w:w="993"/>
        <w:gridCol w:w="5033"/>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深圳智度信息技术有限公司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5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增强公司在相关领域的产业布局，促进公司的业绩快速增长</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广州市智度互联网小额贷款有限公司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5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增强公司在相关领域的产业布局，促进公司的业绩快速增长</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广州市智度商业保理有限公司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5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增强公司在相关领域的产业布局，促进公司的业绩快速增长</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上海智度网络科技有限公司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5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增强公司在相关领域的产业布局，促进公司的业绩快速增长</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霍尔果斯白猫科技有限公司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5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增强公司在相关领域的产业布局，促进公司的业绩快速增长</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厦门智得天下金融信息服务有限公司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5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增强公司在相关领域的产业布局，促进公司的业绩快速增长</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Better Cloud Solutions Ltd.</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5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增强公司在相关领域的产业布局，促进公司的业绩快速增长</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Polarity Internet Technologies SRL</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5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增强公司在相关领域的产业布局，促进公司的业绩快速增长</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Springtech,Ltd.</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5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增强公司在相关领域的产业布局，促进公司的业绩快速增长</w:t>
            </w:r>
          </w:p>
        </w:tc>
      </w:tr>
    </w:tbl>
    <w:p>
      <w:pPr>
        <w:pStyle w:val="BodyText"/>
        <w:spacing w:line="357" w:lineRule="auto" w:before="51"/>
        <w:ind w:left="514" w:right="7242"/>
        <w:jc w:val="left"/>
      </w:pPr>
      <w:r>
        <w:rPr/>
        <w:t>主要控股参股公司情况说明 </w:t>
      </w:r>
      <w:r>
        <w:rPr>
          <w:rFonts w:ascii="宋体" w:hAnsi="宋体" w:cs="宋体" w:eastAsia="宋体" w:hint="default"/>
        </w:rPr>
        <w:t>1</w:t>
      </w:r>
      <w:r>
        <w:rPr/>
        <w:t>、广州市智度互联网小额贷款有限公司</w:t>
      </w:r>
    </w:p>
    <w:p>
      <w:pPr>
        <w:pStyle w:val="BodyText"/>
        <w:spacing w:line="224" w:lineRule="exact"/>
        <w:ind w:left="514" w:right="0"/>
        <w:jc w:val="left"/>
      </w:pPr>
      <w:r>
        <w:rPr/>
        <w:t>为践行“产业</w:t>
      </w:r>
      <w:r>
        <w:rPr>
          <w:rFonts w:ascii="宋体" w:hAnsi="宋体" w:cs="宋体" w:eastAsia="宋体" w:hint="default"/>
        </w:rPr>
        <w:t>+</w:t>
      </w:r>
      <w:r>
        <w:rPr/>
        <w:t>资本”相融合的理念，助力公司实现战略目标，公司共出资</w:t>
      </w:r>
      <w:r>
        <w:rPr>
          <w:rFonts w:ascii="宋体" w:hAnsi="宋体" w:cs="宋体" w:eastAsia="宋体" w:hint="default"/>
        </w:rPr>
        <w:t>50,000</w:t>
      </w:r>
      <w:r>
        <w:rPr/>
        <w:t>万元人民币设立互联网小额贷款公司。</w:t>
      </w:r>
    </w:p>
    <w:p>
      <w:pPr>
        <w:pStyle w:val="BodyText"/>
        <w:spacing w:line="316" w:lineRule="auto" w:before="76"/>
        <w:ind w:right="1133"/>
        <w:jc w:val="both"/>
      </w:pPr>
      <w:r>
        <w:rPr>
          <w:spacing w:val="-2"/>
        </w:rPr>
        <w:t>投资设立互联网小额贷款公司有助于利用丰富的业务资源，形成产业链竞争优势，推动企业的可持续发展，不断完善公司的</w:t>
      </w:r>
      <w:r>
        <w:rPr>
          <w:spacing w:val="-66"/>
        </w:rPr>
        <w:t> </w:t>
      </w:r>
      <w:r>
        <w:rPr>
          <w:spacing w:val="-66"/>
        </w:rPr>
      </w:r>
      <w:r>
        <w:rPr/>
        <w:t>产业布局，加速推进公司的战略转型，提升公司综合竞争实力，未来将对公司盈利能力的提升有积极促进作用。</w:t>
      </w:r>
    </w:p>
    <w:p>
      <w:pPr>
        <w:pStyle w:val="BodyText"/>
        <w:spacing w:line="316" w:lineRule="auto" w:before="19"/>
        <w:ind w:left="513" w:right="0"/>
        <w:jc w:val="left"/>
      </w:pPr>
      <w:r>
        <w:rPr>
          <w:rFonts w:ascii="宋体" w:hAnsi="宋体" w:cs="宋体" w:eastAsia="宋体" w:hint="default"/>
        </w:rPr>
        <w:t>2</w:t>
      </w:r>
      <w:r>
        <w:rPr/>
        <w:t>、广州市智度商业保理有限公司 </w:t>
      </w:r>
      <w:r>
        <w:rPr>
          <w:spacing w:val="-2"/>
        </w:rPr>
        <w:t>公司与智度集团共同对外投资设立广州市智度商业保理有限公司。保理公司注册资本</w:t>
      </w:r>
      <w:r>
        <w:rPr>
          <w:rFonts w:ascii="宋体" w:hAnsi="宋体" w:cs="宋体" w:eastAsia="宋体" w:hint="default"/>
          <w:spacing w:val="-2"/>
        </w:rPr>
        <w:t>5000</w:t>
      </w:r>
      <w:r>
        <w:rPr>
          <w:spacing w:val="-2"/>
        </w:rPr>
        <w:t>万元人民币，其中，公司使用</w:t>
      </w:r>
    </w:p>
    <w:p>
      <w:pPr>
        <w:pStyle w:val="BodyText"/>
        <w:spacing w:line="319" w:lineRule="auto" w:before="19"/>
        <w:ind w:right="1132"/>
        <w:jc w:val="both"/>
      </w:pPr>
      <w:r>
        <w:rPr>
          <w:spacing w:val="-2"/>
        </w:rPr>
        <w:t>自有资金出资</w:t>
      </w:r>
      <w:r>
        <w:rPr>
          <w:rFonts w:ascii="宋体" w:hAnsi="宋体" w:cs="宋体" w:eastAsia="宋体" w:hint="default"/>
          <w:spacing w:val="-2"/>
        </w:rPr>
        <w:t>3000</w:t>
      </w:r>
      <w:r>
        <w:rPr>
          <w:spacing w:val="-2"/>
        </w:rPr>
        <w:t>万元，持股</w:t>
      </w:r>
      <w:r>
        <w:rPr>
          <w:rFonts w:ascii="宋体" w:hAnsi="宋体" w:cs="宋体" w:eastAsia="宋体" w:hint="default"/>
          <w:spacing w:val="-2"/>
        </w:rPr>
        <w:t>60%</w:t>
      </w:r>
      <w:r>
        <w:rPr>
          <w:spacing w:val="-2"/>
        </w:rPr>
        <w:t>，智度集团出资</w:t>
      </w:r>
      <w:r>
        <w:rPr>
          <w:rFonts w:ascii="宋体" w:hAnsi="宋体" w:cs="宋体" w:eastAsia="宋体" w:hint="default"/>
          <w:spacing w:val="-2"/>
        </w:rPr>
        <w:t>2000</w:t>
      </w:r>
      <w:r>
        <w:rPr>
          <w:spacing w:val="-2"/>
        </w:rPr>
        <w:t>万元，持股</w:t>
      </w:r>
      <w:r>
        <w:rPr>
          <w:rFonts w:ascii="宋体" w:hAnsi="宋体" w:cs="宋体" w:eastAsia="宋体" w:hint="default"/>
          <w:spacing w:val="-2"/>
        </w:rPr>
        <w:t>40%</w:t>
      </w:r>
      <w:r>
        <w:rPr>
          <w:spacing w:val="-2"/>
        </w:rPr>
        <w:t>。公司与智度集团共同投资设立保理公司，旨在利用双</w:t>
      </w:r>
      <w:r>
        <w:rPr>
          <w:spacing w:val="-54"/>
        </w:rPr>
        <w:t> </w:t>
      </w:r>
      <w:r>
        <w:rPr>
          <w:spacing w:val="-54"/>
        </w:rPr>
      </w:r>
      <w:r>
        <w:rPr>
          <w:spacing w:val="-2"/>
        </w:rPr>
        <w:t>方的行业资源促进保理公司发展，并对各自的主营业务产生推动作用，从而为双方股东创造收益。本次对外投资符合公司总</w:t>
      </w:r>
      <w:r>
        <w:rPr>
          <w:spacing w:val="-66"/>
        </w:rPr>
        <w:t> </w:t>
      </w:r>
      <w:r>
        <w:rPr>
          <w:spacing w:val="-66"/>
        </w:rPr>
      </w:r>
      <w:r>
        <w:rPr>
          <w:spacing w:val="-2"/>
        </w:rPr>
        <w:t>体发展战略的要求，一方面，公司主营业务与保理业务具体协同效应，有利于提升公司盈利能力；另一方面，保理业务可以</w:t>
      </w:r>
      <w:r>
        <w:rPr>
          <w:spacing w:val="-66"/>
        </w:rPr>
        <w:t> </w:t>
      </w:r>
      <w:r>
        <w:rPr>
          <w:spacing w:val="-66"/>
        </w:rPr>
      </w:r>
      <w:r>
        <w:rPr/>
        <w:t>支持、推进公司主营业务发展，增强公司在行业内的综合竞争力，符合公司的长远发展目标。</w:t>
      </w:r>
    </w:p>
    <w:p>
      <w:pPr>
        <w:spacing w:line="240" w:lineRule="auto" w:before="8"/>
        <w:rPr>
          <w:rFonts w:ascii="宋体" w:hAnsi="宋体" w:cs="宋体" w:eastAsia="宋体" w:hint="default"/>
          <w:sz w:val="20"/>
          <w:szCs w:val="20"/>
        </w:rPr>
      </w:pPr>
    </w:p>
    <w:p>
      <w:pPr>
        <w:pStyle w:val="Heading2"/>
        <w:spacing w:line="240" w:lineRule="auto"/>
        <w:ind w:right="0"/>
        <w:jc w:val="both"/>
        <w:rPr>
          <w:b w:val="0"/>
          <w:bCs w:val="0"/>
        </w:rPr>
      </w:pPr>
      <w:bookmarkStart w:name="八、公司控制的结构化主体情况" w:id="59"/>
      <w:bookmarkEnd w:id="59"/>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bookmarkStart w:name="九、公司未来发展的展望" w:id="60"/>
      <w:bookmarkEnd w:id="60"/>
      <w:r>
        <w:rPr>
          <w:b w:val="0"/>
          <w:bCs w:val="0"/>
        </w:rPr>
      </w:r>
      <w:r>
        <w:rPr/>
        <w:t>九、公司未来发展的展望</w:t>
      </w:r>
      <w:r>
        <w:rPr>
          <w:b w:val="0"/>
          <w:bCs w:val="0"/>
        </w:rPr>
      </w:r>
    </w:p>
    <w:p>
      <w:pPr>
        <w:spacing w:line="240" w:lineRule="auto" w:before="9"/>
        <w:rPr>
          <w:rFonts w:ascii="宋体" w:hAnsi="宋体" w:cs="宋体" w:eastAsia="宋体" w:hint="default"/>
          <w:b/>
          <w:bCs/>
          <w:sz w:val="26"/>
          <w:szCs w:val="26"/>
        </w:rPr>
      </w:pPr>
    </w:p>
    <w:p>
      <w:pPr>
        <w:pStyle w:val="Heading4"/>
        <w:spacing w:line="240" w:lineRule="auto"/>
        <w:ind w:right="0"/>
        <w:jc w:val="left"/>
        <w:rPr>
          <w:b w:val="0"/>
          <w:bCs w:val="0"/>
        </w:rPr>
      </w:pPr>
      <w:r>
        <w:rPr/>
        <w:t>（一）行业格局和趋势</w:t>
      </w:r>
      <w:r>
        <w:rPr>
          <w:b w:val="0"/>
          <w:bCs w:val="0"/>
        </w:rPr>
      </w:r>
    </w:p>
    <w:p>
      <w:pPr>
        <w:pStyle w:val="BodyText"/>
        <w:spacing w:line="319" w:lineRule="auto" w:before="115"/>
        <w:ind w:left="153" w:right="1130" w:firstLine="360"/>
        <w:jc w:val="both"/>
      </w:pPr>
      <w:r>
        <w:rPr/>
        <w:t>经过</w:t>
      </w:r>
      <w:r>
        <w:rPr>
          <w:spacing w:val="-46"/>
        </w:rPr>
        <w:t> </w:t>
      </w:r>
      <w:r>
        <w:rPr>
          <w:rFonts w:ascii="宋体" w:hAnsi="宋体" w:cs="宋体" w:eastAsia="宋体" w:hint="default"/>
        </w:rPr>
        <w:t>20</w:t>
      </w:r>
      <w:r>
        <w:rPr>
          <w:rFonts w:ascii="宋体" w:hAnsi="宋体" w:cs="宋体" w:eastAsia="宋体" w:hint="default"/>
          <w:spacing w:val="-46"/>
        </w:rPr>
        <w:t> </w:t>
      </w:r>
      <w:r>
        <w:rPr/>
        <w:t>多年的高速发展，中国的互联网行业逐渐走向成熟，国内用户的快速普及，推进了互联网与各个传统行业进行 </w:t>
      </w:r>
      <w:r>
        <w:rPr>
          <w:spacing w:val="-2"/>
        </w:rPr>
        <w:t>深度融合，通过信息化不断提升资讯传播、商品流通及资金融通的效率和速度，互联网服务已经成为中国社会生活重要的组</w:t>
      </w:r>
      <w:r>
        <w:rPr>
          <w:spacing w:val="-66"/>
        </w:rPr>
        <w:t> </w:t>
      </w:r>
      <w:r>
        <w:rPr>
          <w:spacing w:val="-66"/>
        </w:rPr>
      </w:r>
      <w:r>
        <w:rPr/>
        <w:t>成部分。根据中国互联网络信息中心（</w:t>
      </w:r>
      <w:r>
        <w:rPr>
          <w:rFonts w:ascii="宋体" w:hAnsi="宋体" w:cs="宋体" w:eastAsia="宋体" w:hint="default"/>
        </w:rPr>
        <w:t>CNNIC</w:t>
      </w:r>
      <w:r>
        <w:rPr/>
        <w:t>）的数据显示，截至</w:t>
      </w:r>
      <w:r>
        <w:rPr>
          <w:spacing w:val="-51"/>
        </w:rPr>
        <w:t> </w:t>
      </w:r>
      <w:r>
        <w:rPr>
          <w:rFonts w:ascii="宋体" w:hAnsi="宋体" w:cs="宋体" w:eastAsia="宋体" w:hint="default"/>
        </w:rPr>
        <w:t>2017</w:t>
      </w:r>
      <w:r>
        <w:rPr>
          <w:rFonts w:ascii="宋体" w:hAnsi="宋体" w:cs="宋体" w:eastAsia="宋体" w:hint="default"/>
          <w:spacing w:val="-50"/>
        </w:rPr>
        <w:t> </w:t>
      </w:r>
      <w:r>
        <w:rPr/>
        <w:t>年，中国网民规模近</w:t>
      </w:r>
      <w:r>
        <w:rPr>
          <w:spacing w:val="-51"/>
        </w:rPr>
        <w:t> </w:t>
      </w:r>
      <w:r>
        <w:rPr>
          <w:rFonts w:ascii="宋体" w:hAnsi="宋体" w:cs="宋体" w:eastAsia="宋体" w:hint="default"/>
        </w:rPr>
        <w:t>8</w:t>
      </w:r>
      <w:r>
        <w:rPr>
          <w:rFonts w:ascii="宋体" w:hAnsi="宋体" w:cs="宋体" w:eastAsia="宋体" w:hint="default"/>
          <w:spacing w:val="-51"/>
        </w:rPr>
        <w:t> </w:t>
      </w:r>
      <w:r>
        <w:rPr/>
        <w:t>亿，互联网普及率约</w:t>
      </w:r>
      <w:r>
        <w:rPr>
          <w:spacing w:val="-51"/>
        </w:rPr>
        <w:t> </w:t>
      </w:r>
      <w:r>
        <w:rPr>
          <w:rFonts w:ascii="宋体" w:hAnsi="宋体" w:cs="宋体" w:eastAsia="宋体" w:hint="default"/>
          <w:spacing w:val="-3"/>
        </w:rPr>
        <w:t>55%</w:t>
      </w:r>
      <w:r>
        <w:rPr>
          <w:spacing w:val="-3"/>
        </w:rPr>
        <w:t>，人</w:t>
      </w:r>
      <w:r>
        <w:rPr>
          <w:spacing w:val="-6"/>
        </w:rPr>
        <w:t> </w:t>
      </w:r>
      <w:r>
        <w:rPr/>
        <w:t>均周上网时长达</w:t>
      </w:r>
      <w:r>
        <w:rPr>
          <w:spacing w:val="-58"/>
        </w:rPr>
        <w:t> </w:t>
      </w:r>
      <w:r>
        <w:rPr>
          <w:rFonts w:ascii="宋体" w:hAnsi="宋体" w:cs="宋体" w:eastAsia="宋体" w:hint="default"/>
        </w:rPr>
        <w:t>27</w:t>
      </w:r>
      <w:r>
        <w:rPr>
          <w:rFonts w:ascii="宋体" w:hAnsi="宋体" w:cs="宋体" w:eastAsia="宋体" w:hint="default"/>
          <w:spacing w:val="-58"/>
        </w:rPr>
        <w:t> </w:t>
      </w:r>
      <w:r>
        <w:rPr/>
        <w:t>小时。在此背景下，人口红利带来的渗透率增长已不再是行业整体增长和发展的主要驱动力，未来</w:t>
      </w:r>
      <w:r>
        <w:rPr>
          <w:spacing w:val="-57"/>
        </w:rPr>
        <w:t> </w:t>
      </w:r>
      <w:r>
        <w:rPr>
          <w:rFonts w:ascii="宋体" w:hAnsi="宋体" w:cs="宋体" w:eastAsia="宋体" w:hint="default"/>
        </w:rPr>
        <w:t>3</w:t>
      </w:r>
      <w:r>
        <w:rPr/>
        <w:t>～</w:t>
      </w:r>
      <w:r>
        <w:rPr>
          <w:rFonts w:ascii="宋体" w:hAnsi="宋体" w:cs="宋体" w:eastAsia="宋体" w:hint="default"/>
        </w:rPr>
        <w:t>5 </w:t>
      </w:r>
      <w:r>
        <w:rPr>
          <w:spacing w:val="-2"/>
        </w:rPr>
        <w:t>年取而代之的将是技术革新、模式创新、跨领域服务以及服务细分化。未来随着移动端的普及和电信基础设置的完善，移动</w:t>
      </w:r>
      <w:r>
        <w:rPr>
          <w:spacing w:val="-66"/>
        </w:rPr>
        <w:t> </w:t>
      </w:r>
      <w:r>
        <w:rPr>
          <w:spacing w:val="-66"/>
        </w:rPr>
      </w:r>
      <w:r>
        <w:rPr/>
        <w:t>互联网相关行业将继续保持快速增长。</w:t>
      </w:r>
    </w:p>
    <w:p>
      <w:pPr>
        <w:pStyle w:val="BodyText"/>
        <w:spacing w:line="319" w:lineRule="auto" w:before="56"/>
        <w:ind w:left="153" w:right="1130" w:firstLine="360"/>
        <w:jc w:val="both"/>
      </w:pPr>
      <w:r>
        <w:rPr/>
        <w:t>根据</w:t>
      </w:r>
      <w:r>
        <w:rPr>
          <w:spacing w:val="-49"/>
        </w:rPr>
        <w:t> </w:t>
      </w:r>
      <w:r>
        <w:rPr>
          <w:rFonts w:ascii="宋体" w:hAnsi="宋体" w:cs="宋体" w:eastAsia="宋体" w:hint="default"/>
        </w:rPr>
        <w:t>eMarketer</w:t>
      </w:r>
      <w:r>
        <w:rPr>
          <w:rFonts w:ascii="宋体" w:hAnsi="宋体" w:cs="宋体" w:eastAsia="宋体" w:hint="default"/>
          <w:spacing w:val="-49"/>
        </w:rPr>
        <w:t> </w:t>
      </w:r>
      <w:r>
        <w:rPr>
          <w:spacing w:val="-5"/>
        </w:rPr>
        <w:t>预测，谷歌和</w:t>
      </w:r>
      <w:r>
        <w:rPr>
          <w:spacing w:val="-49"/>
        </w:rPr>
        <w:t> </w:t>
      </w:r>
      <w:r>
        <w:rPr>
          <w:rFonts w:ascii="宋体" w:hAnsi="宋体" w:cs="宋体" w:eastAsia="宋体" w:hint="default"/>
        </w:rPr>
        <w:t>Facebook</w:t>
      </w:r>
      <w:r>
        <w:rPr>
          <w:rFonts w:ascii="宋体" w:hAnsi="宋体" w:cs="宋体" w:eastAsia="宋体" w:hint="default"/>
          <w:spacing w:val="-49"/>
        </w:rPr>
        <w:t> </w:t>
      </w:r>
      <w:r>
        <w:rPr/>
        <w:t>将占</w:t>
      </w:r>
      <w:r>
        <w:rPr>
          <w:spacing w:val="-49"/>
        </w:rPr>
        <w:t> </w:t>
      </w:r>
      <w:r>
        <w:rPr>
          <w:rFonts w:ascii="宋体" w:hAnsi="宋体" w:cs="宋体" w:eastAsia="宋体" w:hint="default"/>
        </w:rPr>
        <w:t>2018</w:t>
      </w:r>
      <w:r>
        <w:rPr>
          <w:rFonts w:ascii="宋体" w:hAnsi="宋体" w:cs="宋体" w:eastAsia="宋体" w:hint="default"/>
          <w:spacing w:val="-49"/>
        </w:rPr>
        <w:t> </w:t>
      </w:r>
      <w:r>
        <w:rPr/>
        <w:t>年美国网络广告收入的</w:t>
      </w:r>
      <w:r>
        <w:rPr>
          <w:spacing w:val="-49"/>
        </w:rPr>
        <w:t> </w:t>
      </w:r>
      <w:r>
        <w:rPr>
          <w:rFonts w:ascii="宋体" w:hAnsi="宋体" w:cs="宋体" w:eastAsia="宋体" w:hint="default"/>
          <w:spacing w:val="-3"/>
        </w:rPr>
        <w:t>56.8%</w:t>
      </w:r>
      <w:r>
        <w:rPr>
          <w:spacing w:val="-3"/>
        </w:rPr>
        <w:t>。</w:t>
      </w:r>
      <w:r>
        <w:rPr>
          <w:rFonts w:ascii="宋体" w:hAnsi="宋体" w:cs="宋体" w:eastAsia="宋体" w:hint="default"/>
          <w:spacing w:val="-3"/>
        </w:rPr>
        <w:t>2018</w:t>
      </w:r>
      <w:r>
        <w:rPr>
          <w:rFonts w:ascii="宋体" w:hAnsi="宋体" w:cs="宋体" w:eastAsia="宋体" w:hint="default"/>
          <w:spacing w:val="-49"/>
        </w:rPr>
        <w:t> </w:t>
      </w:r>
      <w:r>
        <w:rPr/>
        <w:t>年，谷歌美国网络广告收入将达 到</w:t>
      </w:r>
      <w:r>
        <w:rPr>
          <w:spacing w:val="-58"/>
        </w:rPr>
        <w:t> </w:t>
      </w:r>
      <w:r>
        <w:rPr>
          <w:rFonts w:ascii="宋体" w:hAnsi="宋体" w:cs="宋体" w:eastAsia="宋体" w:hint="default"/>
        </w:rPr>
        <w:t>399.2</w:t>
      </w:r>
      <w:r>
        <w:rPr>
          <w:rFonts w:ascii="宋体" w:hAnsi="宋体" w:cs="宋体" w:eastAsia="宋体" w:hint="default"/>
          <w:spacing w:val="-58"/>
        </w:rPr>
        <w:t> </w:t>
      </w:r>
      <w:r>
        <w:rPr/>
        <w:t>亿美元，同比增长</w:t>
      </w:r>
      <w:r>
        <w:rPr>
          <w:spacing w:val="-58"/>
        </w:rPr>
        <w:t> </w:t>
      </w:r>
      <w:r>
        <w:rPr>
          <w:rFonts w:ascii="宋体" w:hAnsi="宋体" w:cs="宋体" w:eastAsia="宋体" w:hint="default"/>
        </w:rPr>
        <w:t>14.5%</w:t>
      </w:r>
      <w:r>
        <w:rPr/>
        <w:t>。互联网媒体作为互联网营销的供给方，主要包括综合门户网站、垂直门户网站、搜索引 擎、垂直搜索网站、视频网站等各类网站，在互联网广告传媒业务中起着重要作用。根据艾瑞咨询，国内</w:t>
      </w:r>
      <w:r>
        <w:rPr>
          <w:spacing w:val="-45"/>
        </w:rPr>
        <w:t> </w:t>
      </w:r>
      <w:r>
        <w:rPr>
          <w:rFonts w:ascii="宋体" w:hAnsi="宋体" w:cs="宋体" w:eastAsia="宋体" w:hint="default"/>
        </w:rPr>
        <w:t>PC</w:t>
      </w:r>
      <w:r>
        <w:rPr>
          <w:rFonts w:ascii="宋体" w:hAnsi="宋体" w:cs="宋体" w:eastAsia="宋体" w:hint="default"/>
          <w:spacing w:val="-46"/>
        </w:rPr>
        <w:t> </w:t>
      </w:r>
      <w:r>
        <w:rPr/>
        <w:t>网络媒体中电 商网站广告份额预计达</w:t>
      </w:r>
      <w:r>
        <w:rPr>
          <w:spacing w:val="-42"/>
        </w:rPr>
        <w:t> </w:t>
      </w:r>
      <w:r>
        <w:rPr>
          <w:rFonts w:ascii="宋体" w:hAnsi="宋体" w:cs="宋体" w:eastAsia="宋体" w:hint="default"/>
          <w:spacing w:val="-1"/>
        </w:rPr>
        <w:t>31.7%</w:t>
      </w:r>
      <w:r>
        <w:rPr>
          <w:spacing w:val="-1"/>
        </w:rPr>
        <w:t>。移动媒体中，除电商外、社交类、视频类分别作为用户使用频率最高、用户使用时间最长的</w:t>
      </w:r>
      <w:r>
        <w:rPr/>
        <w:t> 媒体，有较大的业务增长空间。</w:t>
      </w:r>
    </w:p>
    <w:p>
      <w:pPr>
        <w:pStyle w:val="BodyText"/>
        <w:spacing w:line="316" w:lineRule="auto" w:before="55"/>
        <w:ind w:right="1141" w:firstLine="360"/>
        <w:jc w:val="both"/>
      </w:pPr>
      <w:r>
        <w:rPr/>
        <w:t>艾瑞咨询《中国网络广告年度监测报告》相关数据显示，我国数字营销市场保持稳健快速增长趋势。</w:t>
      </w:r>
      <w:r>
        <w:rPr>
          <w:rFonts w:ascii="宋体" w:hAnsi="宋体" w:cs="宋体" w:eastAsia="宋体" w:hint="default"/>
        </w:rPr>
        <w:t>2017</w:t>
      </w:r>
      <w:r>
        <w:rPr>
          <w:rFonts w:ascii="宋体" w:hAnsi="宋体" w:cs="宋体" w:eastAsia="宋体" w:hint="default"/>
          <w:spacing w:val="-46"/>
        </w:rPr>
        <w:t> </w:t>
      </w:r>
      <w:r>
        <w:rPr/>
        <w:t>年中国网络 广告市场规模预计达到</w:t>
      </w:r>
      <w:r>
        <w:rPr>
          <w:spacing w:val="-46"/>
        </w:rPr>
        <w:t> </w:t>
      </w:r>
      <w:r>
        <w:rPr>
          <w:rFonts w:ascii="宋体" w:hAnsi="宋体" w:cs="宋体" w:eastAsia="宋体" w:hint="default"/>
        </w:rPr>
        <w:t>3884</w:t>
      </w:r>
      <w:r>
        <w:rPr>
          <w:rFonts w:ascii="宋体" w:hAnsi="宋体" w:cs="宋体" w:eastAsia="宋体" w:hint="default"/>
          <w:spacing w:val="-45"/>
        </w:rPr>
        <w:t> </w:t>
      </w:r>
      <w:r>
        <w:rPr/>
        <w:t>亿元，同比增长</w:t>
      </w:r>
      <w:r>
        <w:rPr>
          <w:spacing w:val="-46"/>
        </w:rPr>
        <w:t> </w:t>
      </w:r>
      <w:r>
        <w:rPr>
          <w:rFonts w:ascii="宋体" w:hAnsi="宋体" w:cs="宋体" w:eastAsia="宋体" w:hint="default"/>
        </w:rPr>
        <w:t>33.8%</w:t>
      </w:r>
      <w:r>
        <w:rPr/>
        <w:t>，移动广告市场规模预计将达到</w:t>
      </w:r>
      <w:r>
        <w:rPr>
          <w:spacing w:val="-46"/>
        </w:rPr>
        <w:t> </w:t>
      </w:r>
      <w:r>
        <w:rPr>
          <w:rFonts w:ascii="宋体" w:hAnsi="宋体" w:cs="宋体" w:eastAsia="宋体" w:hint="default"/>
        </w:rPr>
        <w:t>2648.8</w:t>
      </w:r>
      <w:r>
        <w:rPr>
          <w:rFonts w:ascii="宋体" w:hAnsi="宋体" w:cs="宋体" w:eastAsia="宋体" w:hint="default"/>
          <w:spacing w:val="-46"/>
        </w:rPr>
        <w:t> </w:t>
      </w:r>
      <w:r>
        <w:rPr/>
        <w:t>亿元，同比增长率高达</w:t>
      </w:r>
      <w:r>
        <w:rPr>
          <w:spacing w:val="-46"/>
        </w:rPr>
        <w:t> </w:t>
      </w:r>
      <w:r>
        <w:rPr>
          <w:rFonts w:ascii="宋体" w:hAnsi="宋体" w:cs="宋体" w:eastAsia="宋体" w:hint="default"/>
        </w:rPr>
        <w:t>51.3%</w:t>
      </w:r>
      <w:r>
        <w:rPr/>
        <w:t>。</w:t>
      </w:r>
    </w:p>
    <w:p>
      <w:pPr>
        <w:spacing w:after="0" w:line="316" w:lineRule="auto"/>
        <w:jc w:val="both"/>
        <w:sectPr>
          <w:pgSz w:w="11910" w:h="16840"/>
          <w:pgMar w:header="877" w:footer="1187" w:top="1100" w:bottom="1380" w:left="980" w:right="0"/>
        </w:sectPr>
      </w:pPr>
    </w:p>
    <w:p>
      <w:pPr>
        <w:spacing w:line="240" w:lineRule="auto" w:before="12"/>
        <w:rPr>
          <w:rFonts w:ascii="宋体" w:hAnsi="宋体" w:cs="宋体" w:eastAsia="宋体" w:hint="default"/>
          <w:sz w:val="21"/>
          <w:szCs w:val="21"/>
        </w:rPr>
      </w:pPr>
    </w:p>
    <w:p>
      <w:pPr>
        <w:pStyle w:val="BodyText"/>
        <w:spacing w:line="319" w:lineRule="auto" w:before="44"/>
        <w:ind w:left="153" w:right="1027"/>
        <w:jc w:val="left"/>
      </w:pPr>
      <w:r>
        <w:rPr>
          <w:rFonts w:ascii="宋体" w:hAnsi="宋体" w:cs="宋体" w:eastAsia="宋体" w:hint="default"/>
        </w:rPr>
        <w:t>2018</w:t>
      </w:r>
      <w:r>
        <w:rPr>
          <w:rFonts w:ascii="宋体" w:hAnsi="宋体" w:cs="宋体" w:eastAsia="宋体" w:hint="default"/>
          <w:spacing w:val="-54"/>
        </w:rPr>
        <w:t> </w:t>
      </w:r>
      <w:r>
        <w:rPr/>
        <w:t>年中国网络市场规模预计将达到</w:t>
      </w:r>
      <w:r>
        <w:rPr>
          <w:spacing w:val="-54"/>
        </w:rPr>
        <w:t> </w:t>
      </w:r>
      <w:r>
        <w:rPr>
          <w:rFonts w:ascii="宋体" w:hAnsi="宋体" w:cs="宋体" w:eastAsia="宋体" w:hint="default"/>
        </w:rPr>
        <w:t>5022</w:t>
      </w:r>
      <w:r>
        <w:rPr>
          <w:rFonts w:ascii="宋体" w:hAnsi="宋体" w:cs="宋体" w:eastAsia="宋体" w:hint="default"/>
          <w:spacing w:val="-53"/>
        </w:rPr>
        <w:t> </w:t>
      </w:r>
      <w:r>
        <w:rPr/>
        <w:t>亿元。互联网的移动化转型基本完成，移动用户使用时长不断增长，移动媒体愈 加多元化，移动广告市场进入了新的发展阶段，预计</w:t>
      </w:r>
      <w:r>
        <w:rPr>
          <w:spacing w:val="-58"/>
        </w:rPr>
        <w:t> </w:t>
      </w:r>
      <w:r>
        <w:rPr>
          <w:rFonts w:ascii="宋体" w:hAnsi="宋体" w:cs="宋体" w:eastAsia="宋体" w:hint="default"/>
        </w:rPr>
        <w:t>2018</w:t>
      </w:r>
      <w:r>
        <w:rPr>
          <w:rFonts w:ascii="宋体" w:hAnsi="宋体" w:cs="宋体" w:eastAsia="宋体" w:hint="default"/>
          <w:spacing w:val="-58"/>
        </w:rPr>
        <w:t> </w:t>
      </w:r>
      <w:r>
        <w:rPr/>
        <w:t>年移动广告市场将占据网络广告市场的</w:t>
      </w:r>
      <w:r>
        <w:rPr>
          <w:spacing w:val="-58"/>
        </w:rPr>
        <w:t> </w:t>
      </w:r>
      <w:r>
        <w:rPr>
          <w:rFonts w:ascii="宋体" w:hAnsi="宋体" w:cs="宋体" w:eastAsia="宋体" w:hint="default"/>
        </w:rPr>
        <w:t>73.6%</w:t>
      </w:r>
      <w:r>
        <w:rPr/>
        <w:t>。基于大数据积累， </w:t>
      </w:r>
      <w:r>
        <w:rPr>
          <w:spacing w:val="-2"/>
        </w:rPr>
        <w:t>结合用户属性、地理位置等指标而升级的精准化投放技术，将进一步提高移动广告的投放效率；同时信息流广告和内容原生</w:t>
      </w:r>
      <w:r>
        <w:rPr>
          <w:spacing w:val="-66"/>
        </w:rPr>
        <w:t> </w:t>
      </w:r>
      <w:r>
        <w:rPr>
          <w:spacing w:val="-66"/>
        </w:rPr>
      </w:r>
      <w:r>
        <w:rPr>
          <w:spacing w:val="-2"/>
        </w:rPr>
        <w:t>广告形式兴起，在降低了广告对于用户体验的影响下，将进一步拓展广告形式和广告位资源，促进移动广告市场规模的持续</w:t>
      </w:r>
      <w:r>
        <w:rPr>
          <w:spacing w:val="-66"/>
        </w:rPr>
        <w:t> </w:t>
      </w:r>
      <w:r>
        <w:rPr>
          <w:spacing w:val="-66"/>
        </w:rPr>
      </w:r>
      <w:r>
        <w:rPr>
          <w:spacing w:val="-2"/>
        </w:rPr>
        <w:t>高速增长。随着移动媒体平台的成熟和广告技术的进一步完善，能够降低移动广告对用户体验影响的形式和内容原生广告快</w:t>
      </w:r>
      <w:r>
        <w:rPr>
          <w:spacing w:val="-64"/>
        </w:rPr>
        <w:t> </w:t>
      </w:r>
      <w:r>
        <w:rPr>
          <w:spacing w:val="-64"/>
        </w:rPr>
      </w:r>
      <w:r>
        <w:rPr/>
        <w:t>速发展，区块链、广告植入、动态预算等广告技术不断优化，为移动广告市场的提升创造更多空间。</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line="7515" w:lineRule="exact"/>
        <w:ind w:left="173" w:right="0" w:firstLine="0"/>
        <w:rPr>
          <w:rFonts w:ascii="宋体" w:hAnsi="宋体" w:cs="宋体" w:eastAsia="宋体" w:hint="default"/>
          <w:sz w:val="20"/>
          <w:szCs w:val="20"/>
        </w:rPr>
      </w:pPr>
      <w:r>
        <w:rPr>
          <w:rFonts w:ascii="宋体" w:hAnsi="宋体" w:cs="宋体" w:eastAsia="宋体" w:hint="default"/>
          <w:position w:val="-149"/>
          <w:sz w:val="20"/>
          <w:szCs w:val="20"/>
        </w:rPr>
        <w:drawing>
          <wp:inline distT="0" distB="0" distL="0" distR="0">
            <wp:extent cx="6095188" cy="477202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3" cstate="print"/>
                    <a:stretch>
                      <a:fillRect/>
                    </a:stretch>
                  </pic:blipFill>
                  <pic:spPr>
                    <a:xfrm>
                      <a:off x="0" y="0"/>
                      <a:ext cx="6095188" cy="4772025"/>
                    </a:xfrm>
                    <a:prstGeom prst="rect">
                      <a:avLst/>
                    </a:prstGeom>
                  </pic:spPr>
                </pic:pic>
              </a:graphicData>
            </a:graphic>
          </wp:inline>
        </w:drawing>
      </w:r>
      <w:r>
        <w:rPr>
          <w:rFonts w:ascii="宋体" w:hAnsi="宋体" w:cs="宋体" w:eastAsia="宋体" w:hint="default"/>
          <w:position w:val="-149"/>
          <w:sz w:val="20"/>
          <w:szCs w:val="20"/>
        </w:rPr>
      </w:r>
    </w:p>
    <w:p>
      <w:pPr>
        <w:spacing w:line="240" w:lineRule="auto" w:before="7"/>
        <w:rPr>
          <w:rFonts w:ascii="宋体" w:hAnsi="宋体" w:cs="宋体" w:eastAsia="宋体" w:hint="default"/>
          <w:sz w:val="11"/>
          <w:szCs w:val="11"/>
        </w:rPr>
      </w:pPr>
    </w:p>
    <w:p>
      <w:pPr>
        <w:spacing w:line="360" w:lineRule="auto" w:before="44"/>
        <w:ind w:left="514" w:right="7962" w:firstLine="1"/>
        <w:jc w:val="left"/>
        <w:rPr>
          <w:rFonts w:ascii="宋体" w:hAnsi="宋体" w:cs="宋体" w:eastAsia="宋体" w:hint="default"/>
          <w:sz w:val="18"/>
          <w:szCs w:val="18"/>
        </w:rPr>
      </w:pPr>
      <w:r>
        <w:rPr>
          <w:rFonts w:ascii="宋体" w:hAnsi="宋体" w:cs="宋体" w:eastAsia="宋体" w:hint="default"/>
          <w:b/>
          <w:bCs/>
          <w:sz w:val="18"/>
          <w:szCs w:val="18"/>
        </w:rPr>
        <w:t>（二）</w:t>
      </w:r>
      <w:r>
        <w:rPr>
          <w:rFonts w:ascii="宋体" w:hAnsi="宋体" w:cs="宋体" w:eastAsia="宋体" w:hint="default"/>
          <w:b/>
          <w:bCs/>
          <w:spacing w:val="-1"/>
          <w:sz w:val="18"/>
          <w:szCs w:val="18"/>
        </w:rPr>
        <w:t> </w:t>
      </w:r>
      <w:r>
        <w:rPr>
          <w:rFonts w:ascii="宋体" w:hAnsi="宋体" w:cs="宋体" w:eastAsia="宋体" w:hint="default"/>
          <w:b/>
          <w:bCs/>
          <w:sz w:val="18"/>
          <w:szCs w:val="18"/>
        </w:rPr>
        <w:t>公司发展战略</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、协同发展两大核心业务板块</w:t>
      </w:r>
    </w:p>
    <w:p>
      <w:pPr>
        <w:pStyle w:val="BodyText"/>
        <w:spacing w:line="319" w:lineRule="auto" w:before="25"/>
        <w:ind w:right="1131" w:firstLine="360"/>
        <w:jc w:val="both"/>
      </w:pPr>
      <w:r>
        <w:rPr>
          <w:spacing w:val="-2"/>
        </w:rPr>
        <w:t>公司以互联网媒体业务和数字营销业务为核心，协同驱动公司整体业务稳健发展。公司将保持现有移动数字营销业务优</w:t>
      </w:r>
      <w:r>
        <w:rPr/>
        <w:t> </w:t>
      </w:r>
      <w:r>
        <w:rPr>
          <w:spacing w:val="-2"/>
        </w:rPr>
        <w:t>势，进一步巩固媒体资源核心地位，加强并拓展媒体业务，特别是海外移动端媒体业务的布局，并利用自身的流量、媒体和</w:t>
      </w:r>
      <w:r>
        <w:rPr>
          <w:spacing w:val="-66"/>
        </w:rPr>
        <w:t> </w:t>
      </w:r>
      <w:r>
        <w:rPr>
          <w:spacing w:val="-66"/>
        </w:rPr>
      </w:r>
      <w:r>
        <w:rPr/>
        <w:t>广告资源逐步稳健发展互联网游戏业务和互联网金融业务。</w:t>
      </w:r>
    </w:p>
    <w:p>
      <w:pPr>
        <w:pStyle w:val="BodyText"/>
        <w:spacing w:line="357" w:lineRule="auto" w:before="58"/>
        <w:ind w:left="513" w:right="1033"/>
        <w:jc w:val="left"/>
      </w:pPr>
      <w:r>
        <w:rPr>
          <w:rFonts w:ascii="宋体" w:hAnsi="宋体" w:cs="宋体" w:eastAsia="宋体" w:hint="default"/>
        </w:rPr>
        <w:t>2</w:t>
      </w:r>
      <w:r>
        <w:rPr/>
        <w:t>、形成技术驱动型的互联网企业 塑造技术核心竞争力，进行相关技术研发和人才的布局和投资。随着人工智能、大数据、区块链等技术的发展和完善，</w:t>
      </w:r>
    </w:p>
    <w:p>
      <w:pPr>
        <w:pStyle w:val="BodyText"/>
        <w:spacing w:line="224" w:lineRule="exact"/>
        <w:ind w:left="153" w:right="0"/>
        <w:jc w:val="left"/>
      </w:pPr>
      <w:r>
        <w:rPr/>
        <w:t>尝试将该等技术与不同场景匹配，并运用到公司业务中，提升服务效率，提高客户满意度，打造差异化竞争优势，建立坚实</w:t>
      </w:r>
    </w:p>
    <w:p>
      <w:pPr>
        <w:pStyle w:val="BodyText"/>
        <w:spacing w:line="240" w:lineRule="auto" w:before="77"/>
        <w:ind w:left="153" w:right="0"/>
        <w:jc w:val="left"/>
      </w:pPr>
      <w:r>
        <w:rPr/>
        <w:t>的技术壁垒。</w:t>
      </w:r>
    </w:p>
    <w:p>
      <w:pPr>
        <w:pStyle w:val="BodyText"/>
        <w:spacing w:line="240" w:lineRule="auto" w:before="116"/>
        <w:ind w:left="513" w:right="0"/>
        <w:jc w:val="left"/>
      </w:pPr>
      <w:r>
        <w:rPr>
          <w:rFonts w:ascii="宋体" w:hAnsi="宋体" w:cs="宋体" w:eastAsia="宋体" w:hint="default"/>
        </w:rPr>
        <w:t>3</w:t>
      </w:r>
      <w:r>
        <w:rPr/>
        <w:t>、坚持全球化的发展战略，促进境内外协同发展</w:t>
      </w:r>
    </w:p>
    <w:p>
      <w:pPr>
        <w:pStyle w:val="BodyText"/>
        <w:spacing w:line="240" w:lineRule="auto" w:before="116"/>
        <w:ind w:left="514" w:right="0"/>
        <w:jc w:val="left"/>
      </w:pPr>
      <w:r>
        <w:rPr/>
        <w:t>以</w:t>
      </w:r>
      <w:r>
        <w:rPr>
          <w:spacing w:val="-46"/>
        </w:rPr>
        <w:t> </w:t>
      </w:r>
      <w:r>
        <w:rPr>
          <w:rFonts w:ascii="宋体" w:hAnsi="宋体" w:cs="宋体" w:eastAsia="宋体" w:hint="default"/>
        </w:rPr>
        <w:t>Spigot</w:t>
      </w:r>
      <w:r>
        <w:rPr>
          <w:rFonts w:ascii="宋体" w:hAnsi="宋体" w:cs="宋体" w:eastAsia="宋体" w:hint="default"/>
          <w:spacing w:val="-46"/>
        </w:rPr>
        <w:t> </w:t>
      </w:r>
      <w:r>
        <w:rPr/>
        <w:t>作为境外业务发展的依托，在积极推进国际化业务、坚持全球化战略的同时，平衡境内外业务共同发展，两</w:t>
      </w:r>
    </w:p>
    <w:p>
      <w:pPr>
        <w:spacing w:after="0" w:line="240" w:lineRule="auto"/>
        <w:jc w:val="left"/>
        <w:sectPr>
          <w:pgSz w:w="11910" w:h="16840"/>
          <w:pgMar w:header="877" w:footer="1187" w:top="1100" w:bottom="1380" w:left="980" w:right="0"/>
        </w:sectPr>
      </w:pPr>
    </w:p>
    <w:p>
      <w:pPr>
        <w:spacing w:line="240" w:lineRule="auto" w:before="13"/>
        <w:rPr>
          <w:rFonts w:ascii="宋体" w:hAnsi="宋体" w:cs="宋体" w:eastAsia="宋体" w:hint="default"/>
          <w:sz w:val="21"/>
          <w:szCs w:val="21"/>
        </w:rPr>
      </w:pPr>
    </w:p>
    <w:p>
      <w:pPr>
        <w:pStyle w:val="BodyText"/>
        <w:spacing w:line="357" w:lineRule="auto" w:before="44"/>
        <w:ind w:left="513" w:right="6973" w:hanging="360"/>
        <w:jc w:val="left"/>
      </w:pPr>
      <w:r>
        <w:rPr/>
        <w:t>块并举地为公司持续稳健发展奠定坚实的基础。 </w:t>
      </w:r>
      <w:r>
        <w:rPr>
          <w:rFonts w:ascii="宋体" w:hAnsi="宋体" w:cs="宋体" w:eastAsia="宋体" w:hint="default"/>
        </w:rPr>
        <w:t>4</w:t>
      </w:r>
      <w:r>
        <w:rPr/>
        <w:t>、继续坚持产融结合的发展战略</w:t>
      </w:r>
    </w:p>
    <w:p>
      <w:pPr>
        <w:pStyle w:val="BodyText"/>
        <w:spacing w:line="319" w:lineRule="auto" w:before="28"/>
        <w:ind w:left="153" w:right="1050" w:firstLine="360"/>
        <w:jc w:val="both"/>
      </w:pPr>
      <w:r>
        <w:rPr>
          <w:spacing w:val="-2"/>
        </w:rPr>
        <w:t>利用上市公司平台，将产业与资本相融合，内生发展与外延扩张同步推进，借助收购兼并等手段，高效率、高质量地置</w:t>
      </w:r>
      <w:r>
        <w:rPr/>
        <w:t> 入市场上的优质资产和先进技术，在做大业务体量的同时不断提升技术能力、数据能力、专业服务能力和可持续发展能力。</w:t>
      </w:r>
    </w:p>
    <w:p>
      <w:pPr>
        <w:pStyle w:val="Heading4"/>
        <w:spacing w:line="240" w:lineRule="auto" w:before="57"/>
        <w:ind w:right="0"/>
        <w:jc w:val="left"/>
        <w:rPr>
          <w:b w:val="0"/>
          <w:bCs w:val="0"/>
        </w:rPr>
      </w:pPr>
      <w:r>
        <w:rPr/>
        <w:t>（三）经营计划</w:t>
      </w:r>
      <w:r>
        <w:rPr>
          <w:b w:val="0"/>
          <w:bCs w:val="0"/>
        </w:rPr>
      </w:r>
    </w:p>
    <w:p>
      <w:pPr>
        <w:pStyle w:val="BodyText"/>
        <w:spacing w:line="357" w:lineRule="auto" w:before="116"/>
        <w:ind w:left="514" w:right="0"/>
        <w:jc w:val="left"/>
      </w:pPr>
      <w:r>
        <w:rPr>
          <w:rFonts w:ascii="宋体" w:hAnsi="宋体" w:cs="宋体" w:eastAsia="宋体" w:hint="default"/>
        </w:rPr>
        <w:t>1 </w:t>
      </w:r>
      <w:r>
        <w:rPr/>
        <w:t>、进一步发展公司主营业务 </w:t>
      </w:r>
      <w:r>
        <w:rPr>
          <w:spacing w:val="-2"/>
        </w:rPr>
        <w:t>公司将继续集中优质资源发展公司主营业务，深入发挥各业务主体之间的协同效应，提升各主体业务和利润表现，最终</w:t>
      </w:r>
    </w:p>
    <w:p>
      <w:pPr>
        <w:pStyle w:val="BodyText"/>
        <w:spacing w:line="225" w:lineRule="exact"/>
        <w:ind w:right="0"/>
        <w:jc w:val="left"/>
      </w:pPr>
      <w:r>
        <w:rPr/>
        <w:t>实现上市公司的内在价值提升。</w:t>
      </w:r>
    </w:p>
    <w:p>
      <w:pPr>
        <w:pStyle w:val="BodyText"/>
        <w:spacing w:line="357" w:lineRule="auto" w:before="116"/>
        <w:ind w:left="513" w:right="0"/>
        <w:jc w:val="left"/>
      </w:pPr>
      <w:r>
        <w:rPr/>
        <w:t>（</w:t>
      </w:r>
      <w:r>
        <w:rPr>
          <w:rFonts w:ascii="宋体" w:hAnsi="宋体" w:cs="宋体" w:eastAsia="宋体" w:hint="default"/>
        </w:rPr>
        <w:t>1</w:t>
      </w:r>
      <w:r>
        <w:rPr/>
        <w:t>）着重发力拓展互联网媒体业务 </w:t>
      </w:r>
      <w:r>
        <w:rPr>
          <w:spacing w:val="-2"/>
        </w:rPr>
        <w:t>公司将进一步巩固媒体资源核心地位，大力拓展互联网媒体业务，充分整合专业细分和多渠道的分散流量资源，并全力</w:t>
      </w:r>
    </w:p>
    <w:p>
      <w:pPr>
        <w:pStyle w:val="BodyText"/>
        <w:spacing w:line="224" w:lineRule="exact"/>
        <w:ind w:left="153" w:right="0"/>
        <w:jc w:val="left"/>
      </w:pPr>
      <w:r>
        <w:rPr/>
        <w:t>加速</w:t>
      </w:r>
      <w:r>
        <w:rPr>
          <w:spacing w:val="-46"/>
        </w:rPr>
        <w:t> </w:t>
      </w:r>
      <w:r>
        <w:rPr>
          <w:rFonts w:ascii="宋体" w:hAnsi="宋体" w:cs="宋体" w:eastAsia="宋体" w:hint="default"/>
        </w:rPr>
        <w:t>Spigot</w:t>
      </w:r>
      <w:r>
        <w:rPr>
          <w:rFonts w:ascii="宋体" w:hAnsi="宋体" w:cs="宋体" w:eastAsia="宋体" w:hint="default"/>
          <w:spacing w:val="-46"/>
        </w:rPr>
        <w:t> </w:t>
      </w:r>
      <w:r>
        <w:rPr/>
        <w:t>在海外移动端的布局。同时，公司还将加强自有媒体平台的技术建设，加大对大数据技术的投入，并根据技术</w:t>
      </w:r>
    </w:p>
    <w:p>
      <w:pPr>
        <w:pStyle w:val="BodyText"/>
        <w:spacing w:line="240" w:lineRule="auto" w:before="77"/>
        <w:ind w:left="153" w:right="0"/>
        <w:jc w:val="left"/>
      </w:pPr>
      <w:r>
        <w:rPr/>
        <w:t>的发展程度和公司的实际经营情况，尝试将人工智能、区块链等技术运用到公司媒体业务中，建立更高的技术壁垒。</w:t>
      </w:r>
    </w:p>
    <w:p>
      <w:pPr>
        <w:pStyle w:val="BodyText"/>
        <w:spacing w:line="357" w:lineRule="auto" w:before="117"/>
        <w:ind w:left="513" w:right="0"/>
        <w:jc w:val="left"/>
      </w:pPr>
      <w:r>
        <w:rPr/>
        <w:t>（</w:t>
      </w:r>
      <w:r>
        <w:rPr>
          <w:rFonts w:ascii="宋体" w:hAnsi="宋体" w:cs="宋体" w:eastAsia="宋体" w:hint="default"/>
        </w:rPr>
        <w:t>2</w:t>
      </w:r>
      <w:r>
        <w:rPr/>
        <w:t>）继续保持数字营销业务优势地位 </w:t>
      </w:r>
      <w:r>
        <w:rPr>
          <w:spacing w:val="-2"/>
        </w:rPr>
        <w:t>公司将保持现有移动数字营销业务优势，进一步加强客户粘性并拓展新客户；将数字营销服务能力进一步提升，优化创</w:t>
      </w:r>
    </w:p>
    <w:p>
      <w:pPr>
        <w:pStyle w:val="BodyText"/>
        <w:spacing w:line="225" w:lineRule="exact"/>
        <w:ind w:left="153" w:right="0"/>
        <w:jc w:val="left"/>
      </w:pPr>
      <w:r>
        <w:rPr/>
        <w:t>意和营销策略；充分整合体系内的营销资源，实现资源的交叉销售和集中采买，提升利润空间。</w:t>
      </w:r>
    </w:p>
    <w:p>
      <w:pPr>
        <w:pStyle w:val="BodyText"/>
        <w:spacing w:line="357" w:lineRule="auto" w:before="116"/>
        <w:ind w:left="514" w:right="0"/>
        <w:jc w:val="left"/>
      </w:pPr>
      <w:r>
        <w:rPr/>
        <w:t>（</w:t>
      </w:r>
      <w:r>
        <w:rPr>
          <w:rFonts w:ascii="宋体" w:hAnsi="宋体" w:cs="宋体" w:eastAsia="宋体" w:hint="default"/>
        </w:rPr>
        <w:t>3</w:t>
      </w:r>
      <w:r>
        <w:rPr/>
        <w:t>）稳步发展互联网游戏和互联网金融业务 </w:t>
      </w:r>
      <w:r>
        <w:rPr>
          <w:spacing w:val="-2"/>
        </w:rPr>
        <w:t>借助流量、媒体和广告资源优势，公司将择机发展互联网游戏业务和互联网金融业务，不断加大对游戏业务的投入，布</w:t>
      </w:r>
    </w:p>
    <w:p>
      <w:pPr>
        <w:pStyle w:val="BodyText"/>
        <w:spacing w:line="224" w:lineRule="exact"/>
        <w:ind w:right="0"/>
        <w:jc w:val="left"/>
      </w:pPr>
      <w:r>
        <w:rPr/>
        <w:t>局发展互联网金融相关的核心场景资源，形成两类业务的正循环，使公司业务收入构成多元化。另一方面，互联网游戏业务</w:t>
      </w:r>
    </w:p>
    <w:p>
      <w:pPr>
        <w:pStyle w:val="BodyText"/>
        <w:spacing w:line="357" w:lineRule="auto" w:before="77"/>
        <w:ind w:left="513" w:right="4813" w:hanging="360"/>
        <w:jc w:val="left"/>
      </w:pPr>
      <w:r>
        <w:rPr/>
        <w:t>和互联网金融业务也能反哺广告平台业务，整体提升公司的业务收入表现。 </w:t>
      </w:r>
      <w:r>
        <w:rPr>
          <w:rFonts w:ascii="宋体" w:hAnsi="宋体" w:cs="宋体" w:eastAsia="宋体" w:hint="default"/>
        </w:rPr>
        <w:t>2</w:t>
      </w:r>
      <w:r>
        <w:rPr/>
        <w:t>、不断提高公司运营效率</w:t>
      </w:r>
    </w:p>
    <w:p>
      <w:pPr>
        <w:pStyle w:val="BodyText"/>
        <w:spacing w:line="319" w:lineRule="auto" w:before="27"/>
        <w:ind w:right="1050" w:firstLine="360"/>
        <w:jc w:val="both"/>
      </w:pPr>
      <w:r>
        <w:rPr/>
        <w:t>公司将不断完善法人治理结构，优化决策机制，进一步提高公司治理水平和运营效率，有效保证公司的健康稳定发展。 公司通过多种技术手段和制度标准的完善，实现无纸化办公和远程协作办公。</w:t>
      </w:r>
    </w:p>
    <w:p>
      <w:pPr>
        <w:pStyle w:val="BodyText"/>
        <w:spacing w:line="357" w:lineRule="auto" w:before="58"/>
        <w:ind w:left="513" w:right="0"/>
        <w:jc w:val="left"/>
      </w:pPr>
      <w:r>
        <w:rPr>
          <w:rFonts w:ascii="宋体" w:hAnsi="宋体" w:cs="宋体" w:eastAsia="宋体" w:hint="default"/>
        </w:rPr>
        <w:t>3</w:t>
      </w:r>
      <w:r>
        <w:rPr/>
        <w:t>、稳健发展人才的培养和激励。 </w:t>
      </w:r>
      <w:r>
        <w:rPr>
          <w:spacing w:val="-2"/>
        </w:rPr>
        <w:t>公司将继续通过内部培养和外部引进的方式，不断扩充和培养优秀的人才队伍。同时，公司将通过持续完善推动企业文</w:t>
      </w:r>
    </w:p>
    <w:p>
      <w:pPr>
        <w:pStyle w:val="BodyText"/>
        <w:spacing w:line="224" w:lineRule="exact"/>
        <w:ind w:left="153" w:right="0"/>
        <w:jc w:val="left"/>
      </w:pPr>
      <w:r>
        <w:rPr>
          <w:spacing w:val="-5"/>
        </w:rPr>
        <w:t>化建设，提升员工薪酬福利，建设长效 </w:t>
      </w:r>
      <w:r>
        <w:rPr>
          <w:rFonts w:ascii="宋体" w:hAnsi="宋体" w:cs="宋体" w:eastAsia="宋体" w:hint="default"/>
        </w:rPr>
        <w:t>KPI</w:t>
      </w:r>
      <w:r>
        <w:rPr>
          <w:rFonts w:ascii="宋体" w:hAnsi="宋体" w:cs="宋体" w:eastAsia="宋体" w:hint="default"/>
          <w:spacing w:val="-67"/>
        </w:rPr>
        <w:t> </w:t>
      </w:r>
      <w:r>
        <w:rPr>
          <w:spacing w:val="-3"/>
        </w:rPr>
        <w:t>绩效机制，择机采取股权激励等方式，增强员工对公司归属感、认同感和使命感，</w:t>
      </w:r>
    </w:p>
    <w:p>
      <w:pPr>
        <w:pStyle w:val="BodyText"/>
        <w:spacing w:line="240" w:lineRule="auto" w:before="77"/>
        <w:ind w:left="153" w:right="0"/>
        <w:jc w:val="left"/>
      </w:pPr>
      <w:r>
        <w:rPr/>
        <w:t>使得核心骨干人员持续有效分享公司发展所带来的成长红利。</w:t>
      </w:r>
    </w:p>
    <w:p>
      <w:pPr>
        <w:spacing w:line="360" w:lineRule="auto" w:before="116"/>
        <w:ind w:left="514" w:right="8042" w:firstLine="1"/>
        <w:jc w:val="left"/>
        <w:rPr>
          <w:rFonts w:ascii="宋体" w:hAnsi="宋体" w:cs="宋体" w:eastAsia="宋体" w:hint="default"/>
          <w:sz w:val="18"/>
          <w:szCs w:val="18"/>
        </w:rPr>
      </w:pPr>
      <w:r>
        <w:rPr>
          <w:rFonts w:ascii="宋体" w:hAnsi="宋体" w:cs="宋体" w:eastAsia="宋体" w:hint="default"/>
          <w:b/>
          <w:bCs/>
          <w:sz w:val="18"/>
          <w:szCs w:val="18"/>
        </w:rPr>
        <w:t>（四）面临的风险和解决措施</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、市场竞争风险</w:t>
      </w:r>
    </w:p>
    <w:p>
      <w:pPr>
        <w:pStyle w:val="BodyText"/>
        <w:spacing w:line="319" w:lineRule="auto" w:before="25"/>
        <w:ind w:right="1133" w:firstLine="360"/>
        <w:jc w:val="both"/>
      </w:pPr>
      <w:r>
        <w:rPr>
          <w:spacing w:val="-2"/>
        </w:rPr>
        <w:t>移动互联网行业日新月异的发展吸引了越来越多的竞争者进入市场，市场竞争的不断加大，人口红利优势逐渐减弱，客</w:t>
      </w:r>
      <w:r>
        <w:rPr/>
        <w:t> </w:t>
      </w:r>
      <w:r>
        <w:rPr>
          <w:spacing w:val="-2"/>
        </w:rPr>
        <w:t>户需求更多元化，要求更高。在此背景下，如果公司不能强化和巩固行业的领先地位，将错失商业机会，公司的经营可能收</w:t>
      </w:r>
      <w:r>
        <w:rPr>
          <w:spacing w:val="-66"/>
        </w:rPr>
        <w:t> </w:t>
      </w:r>
      <w:r>
        <w:rPr>
          <w:spacing w:val="-66"/>
        </w:rPr>
      </w:r>
      <w:r>
        <w:rPr/>
        <w:t>到影响。</w:t>
      </w:r>
    </w:p>
    <w:p>
      <w:pPr>
        <w:pStyle w:val="BodyText"/>
        <w:spacing w:line="319" w:lineRule="auto" w:before="55"/>
        <w:ind w:right="1049" w:firstLine="360"/>
        <w:jc w:val="both"/>
      </w:pPr>
      <w:r>
        <w:rPr/>
        <w:t>公司将不断提高自身的核心竞争力，保持持续创新能力和业务开拓能力，立足于客户需求，在提升品牌知名度的同时， 借助旗下各子公司的协同效应，实现产业链上下游的整体完善。</w:t>
      </w:r>
    </w:p>
    <w:p>
      <w:pPr>
        <w:pStyle w:val="BodyText"/>
        <w:spacing w:line="357" w:lineRule="auto" w:before="58"/>
        <w:ind w:left="514" w:right="0"/>
        <w:jc w:val="left"/>
      </w:pPr>
      <w:r>
        <w:rPr>
          <w:rFonts w:ascii="宋体" w:hAnsi="宋体" w:cs="宋体" w:eastAsia="宋体" w:hint="default"/>
        </w:rPr>
        <w:t>2</w:t>
      </w:r>
      <w:r>
        <w:rPr/>
        <w:t>、人员管理与人才流失的风险 </w:t>
      </w:r>
      <w:r>
        <w:rPr>
          <w:spacing w:val="-2"/>
        </w:rPr>
        <w:t>互联网行业属于人才密集型行业，其更新换代速度远超其他行业，对人才要求高，公司如果不能留住现有的核心顶尖人</w:t>
      </w:r>
    </w:p>
    <w:p>
      <w:pPr>
        <w:pStyle w:val="BodyText"/>
        <w:spacing w:line="357" w:lineRule="auto"/>
        <w:ind w:left="513" w:right="1118" w:hanging="360"/>
        <w:jc w:val="left"/>
      </w:pPr>
      <w:r>
        <w:rPr/>
        <w:t>才以及根据市场的快速发展引进新的人才，公司的技术优势得不到良好的发挥，将面临竞争力降低的风险。 </w:t>
      </w:r>
      <w:r>
        <w:rPr>
          <w:spacing w:val="-2"/>
        </w:rPr>
        <w:t>公司通将不断完善提升员工薪酬福利，建设长效</w:t>
      </w:r>
      <w:r>
        <w:rPr>
          <w:spacing w:val="-37"/>
        </w:rPr>
        <w:t> </w:t>
      </w:r>
      <w:r>
        <w:rPr>
          <w:rFonts w:ascii="宋体" w:hAnsi="宋体" w:cs="宋体" w:eastAsia="宋体" w:hint="default"/>
        </w:rPr>
        <w:t>KPI</w:t>
      </w:r>
      <w:r>
        <w:rPr>
          <w:rFonts w:ascii="宋体" w:hAnsi="宋体" w:cs="宋体" w:eastAsia="宋体" w:hint="default"/>
          <w:spacing w:val="-38"/>
        </w:rPr>
        <w:t> </w:t>
      </w:r>
      <w:r>
        <w:rPr>
          <w:spacing w:val="-2"/>
        </w:rPr>
        <w:t>绩效机制以及实施内外部培训计划，增强员工对公司归属感、认同</w:t>
      </w:r>
    </w:p>
    <w:p>
      <w:pPr>
        <w:pStyle w:val="BodyText"/>
        <w:spacing w:line="224" w:lineRule="exact"/>
        <w:ind w:right="0"/>
        <w:jc w:val="left"/>
      </w:pPr>
      <w:r>
        <w:rPr/>
        <w:t>感和使命感。另外，未来公司将在合适的时间通过股权激励，合作交流等多种方式，稳定公司的核心管理和运营团队、开拓</w:t>
      </w:r>
    </w:p>
    <w:p>
      <w:pPr>
        <w:pStyle w:val="BodyText"/>
        <w:spacing w:line="240" w:lineRule="auto" w:before="77"/>
        <w:ind w:left="153" w:right="0"/>
        <w:jc w:val="left"/>
      </w:pPr>
      <w:r>
        <w:rPr/>
        <w:t>人才引进渠道，促进公司多方面吸纳优秀人才，使得核心骨干人员持续有效分享公司发展所带来的成长红利。</w:t>
      </w:r>
    </w:p>
    <w:p>
      <w:pPr>
        <w:spacing w:after="0" w:line="240" w:lineRule="auto"/>
        <w:jc w:val="left"/>
        <w:sectPr>
          <w:pgSz w:w="11910" w:h="16840"/>
          <w:pgMar w:header="877" w:footer="1187" w:top="1100" w:bottom="1380" w:left="980" w:right="0"/>
        </w:sectPr>
      </w:pPr>
    </w:p>
    <w:p>
      <w:pPr>
        <w:spacing w:line="240" w:lineRule="auto" w:before="8"/>
        <w:rPr>
          <w:rFonts w:ascii="宋体" w:hAnsi="宋体" w:cs="宋体" w:eastAsia="宋体" w:hint="default"/>
          <w:sz w:val="19"/>
          <w:szCs w:val="19"/>
        </w:rPr>
      </w:pPr>
    </w:p>
    <w:p>
      <w:pPr>
        <w:pStyle w:val="Heading2"/>
        <w:spacing w:line="240" w:lineRule="auto" w:before="26"/>
        <w:ind w:left="153" w:right="0"/>
        <w:jc w:val="left"/>
        <w:rPr>
          <w:b w:val="0"/>
          <w:bCs w:val="0"/>
        </w:rPr>
      </w:pPr>
      <w:bookmarkStart w:name="十、接待调研、沟通、采访等活动情况" w:id="61"/>
      <w:bookmarkEnd w:id="61"/>
      <w:r>
        <w:rPr>
          <w:b w:val="0"/>
          <w:bCs w:val="0"/>
        </w:rPr>
      </w:r>
      <w:r>
        <w:rPr/>
        <w:t>十、接待调研、沟通、采访等活动情况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报告期内接待调研、沟通、采访等活动登记表" w:id="62"/>
      <w:bookmarkEnd w:id="62"/>
      <w:r>
        <w:rPr>
          <w:b w:val="0"/>
          <w:bCs w:val="0"/>
        </w:rPr>
      </w:r>
      <w:r>
        <w:rPr>
          <w:rFonts w:ascii="宋体" w:hAnsi="宋体" w:cs="宋体" w:eastAsia="宋体" w:hint="default"/>
        </w:rPr>
        <w:t>1</w:t>
      </w:r>
      <w:r>
        <w:rPr/>
        <w:t>、报告期内接待调研、沟通、采访等活动登记表</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right="6612"/>
        <w:jc w:val="left"/>
      </w:pPr>
      <w:r>
        <w:rPr/>
        <w:t>□ 适用 √ 不适用 公司报告期内未发生接待调研、沟通、采访等活动。</w:t>
      </w:r>
    </w:p>
    <w:p>
      <w:pPr>
        <w:spacing w:after="0" w:line="357" w:lineRule="auto"/>
        <w:jc w:val="left"/>
        <w:sectPr>
          <w:pgSz w:w="11910" w:h="16840"/>
          <w:pgMar w:header="877" w:footer="1187" w:top="110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593"/>
        <w:jc w:val="center"/>
        <w:rPr>
          <w:b w:val="0"/>
          <w:bCs w:val="0"/>
        </w:rPr>
      </w:pPr>
      <w:bookmarkStart w:name="第五节 重要事项" w:id="63"/>
      <w:bookmarkEnd w:id="63"/>
      <w:r>
        <w:rPr>
          <w:b w:val="0"/>
          <w:bCs w:val="0"/>
        </w:rPr>
      </w:r>
      <w:bookmarkStart w:name="_bookmark3" w:id="64"/>
      <w:bookmarkEnd w:id="64"/>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53" w:right="0"/>
        <w:jc w:val="left"/>
        <w:rPr>
          <w:b w:val="0"/>
          <w:bCs w:val="0"/>
        </w:rPr>
      </w:pPr>
      <w:bookmarkStart w:name="一、公司普通股利润分配及资本公积金转增股本情况" w:id="65"/>
      <w:bookmarkEnd w:id="65"/>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0"/>
        <w:jc w:val="left"/>
      </w:pPr>
      <w:r>
        <w:rPr/>
        <w:t>报告期内普通股利润分配政策，特别是现金分红政策的制定、执行或调整情况</w:t>
      </w:r>
    </w:p>
    <w:p>
      <w:pPr>
        <w:pStyle w:val="BodyText"/>
        <w:spacing w:line="240" w:lineRule="auto" w:before="117"/>
        <w:ind w:left="153" w:right="0"/>
        <w:jc w:val="left"/>
      </w:pPr>
      <w:r>
        <w:rPr/>
        <w:t>□ 适用 √ 不适用</w:t>
      </w:r>
    </w:p>
    <w:p>
      <w:pPr>
        <w:pStyle w:val="BodyText"/>
        <w:spacing w:line="357" w:lineRule="auto" w:before="116"/>
        <w:ind w:left="513" w:right="1663"/>
        <w:jc w:val="left"/>
      </w:pPr>
      <w:r>
        <w:rPr/>
        <w:t>公司近</w:t>
      </w:r>
      <w:r>
        <w:rPr>
          <w:spacing w:val="-45"/>
        </w:rPr>
        <w:t> </w:t>
      </w:r>
      <w:r>
        <w:rPr>
          <w:rFonts w:ascii="宋体" w:hAnsi="宋体" w:cs="宋体" w:eastAsia="宋体" w:hint="default"/>
        </w:rPr>
        <w:t>3</w:t>
      </w:r>
      <w:r>
        <w:rPr>
          <w:rFonts w:ascii="宋体" w:hAnsi="宋体" w:cs="宋体" w:eastAsia="宋体" w:hint="default"/>
          <w:spacing w:val="-45"/>
        </w:rPr>
        <w:t> </w:t>
      </w:r>
      <w:r>
        <w:rPr>
          <w:spacing w:val="-3"/>
        </w:rPr>
        <w:t>年（包括本报告期）的普通股股利分配方案（预案）、资本公积金转增股本方案（预案）情况</w:t>
      </w:r>
      <w:r>
        <w:rPr>
          <w:spacing w:val="-60"/>
        </w:rPr>
        <w:t> </w:t>
      </w:r>
      <w:r>
        <w:rPr>
          <w:spacing w:val="-60"/>
        </w:rPr>
      </w:r>
      <w:r>
        <w:rPr>
          <w:rFonts w:ascii="宋体" w:hAnsi="宋体" w:cs="宋体" w:eastAsia="宋体" w:hint="default"/>
        </w:rPr>
        <w:t>1</w:t>
      </w:r>
      <w:r>
        <w:rPr/>
        <w:t>、公司</w:t>
      </w:r>
      <w:r>
        <w:rPr>
          <w:rFonts w:ascii="宋体" w:hAnsi="宋体" w:cs="宋体" w:eastAsia="宋体" w:hint="default"/>
        </w:rPr>
        <w:t>2015</w:t>
      </w:r>
      <w:r>
        <w:rPr/>
        <w:t>年财务报告经中勤万信会计师事务所（特殊普通合伙）审计确认，全年实现可供股东分配的利润为</w:t>
      </w:r>
    </w:p>
    <w:p>
      <w:pPr>
        <w:pStyle w:val="BodyText"/>
        <w:spacing w:line="224" w:lineRule="exact"/>
        <w:ind w:right="0"/>
        <w:jc w:val="left"/>
      </w:pPr>
      <w:r>
        <w:rPr>
          <w:rFonts w:ascii="宋体" w:hAnsi="宋体" w:cs="宋体" w:eastAsia="宋体" w:hint="default"/>
        </w:rPr>
        <w:t>-15,812,741.06</w:t>
      </w:r>
      <w:r>
        <w:rPr/>
        <w:t>元</w:t>
      </w:r>
      <w:r>
        <w:rPr>
          <w:rFonts w:ascii="宋体" w:hAnsi="宋体" w:cs="宋体" w:eastAsia="宋体" w:hint="default"/>
        </w:rPr>
        <w:t>,</w:t>
      </w:r>
      <w:r>
        <w:rPr/>
        <w:t>加上</w:t>
      </w:r>
      <w:r>
        <w:rPr>
          <w:rFonts w:ascii="宋体" w:hAnsi="宋体" w:cs="宋体" w:eastAsia="宋体" w:hint="default"/>
        </w:rPr>
        <w:t>2014</w:t>
      </w:r>
      <w:r>
        <w:rPr/>
        <w:t>年度未分配利润</w:t>
      </w:r>
      <w:r>
        <w:rPr>
          <w:rFonts w:ascii="宋体" w:hAnsi="宋体" w:cs="宋体" w:eastAsia="宋体" w:hint="default"/>
        </w:rPr>
        <w:t>-397,406,833.72</w:t>
      </w:r>
      <w:r>
        <w:rPr/>
        <w:t>元</w:t>
      </w:r>
      <w:r>
        <w:rPr>
          <w:spacing w:val="-82"/>
        </w:rPr>
        <w:t>，</w:t>
      </w:r>
      <w:r>
        <w:rPr/>
        <w:t>公司</w:t>
      </w:r>
      <w:r>
        <w:rPr>
          <w:rFonts w:ascii="宋体" w:hAnsi="宋体" w:cs="宋体" w:eastAsia="宋体" w:hint="default"/>
        </w:rPr>
        <w:t>201</w:t>
      </w:r>
      <w:r>
        <w:rPr>
          <w:rFonts w:ascii="宋体" w:hAnsi="宋体" w:cs="宋体" w:eastAsia="宋体" w:hint="default"/>
          <w:spacing w:val="-1"/>
        </w:rPr>
        <w:t>5</w:t>
      </w:r>
      <w:r>
        <w:rPr/>
        <w:t>年末可供股东分配的利润为</w:t>
      </w:r>
      <w:r>
        <w:rPr>
          <w:rFonts w:ascii="宋体" w:hAnsi="宋体" w:cs="宋体" w:eastAsia="宋体" w:hint="default"/>
        </w:rPr>
        <w:t>-413,219,574.78</w:t>
      </w:r>
      <w:r>
        <w:rPr/>
        <w:t>元，</w:t>
      </w:r>
    </w:p>
    <w:p>
      <w:pPr>
        <w:pStyle w:val="BodyText"/>
        <w:spacing w:line="240" w:lineRule="auto" w:before="76"/>
        <w:ind w:left="153" w:right="0"/>
        <w:jc w:val="left"/>
      </w:pPr>
      <w:r>
        <w:rPr/>
        <w:t>公司董事会决定</w:t>
      </w:r>
      <w:r>
        <w:rPr>
          <w:rFonts w:ascii="宋体" w:hAnsi="宋体" w:cs="宋体" w:eastAsia="宋体" w:hint="default"/>
        </w:rPr>
        <w:t>2015</w:t>
      </w:r>
      <w:r>
        <w:rPr/>
        <w:t>年年度不对公司股东进行利润分配，也不以资本公积金转增股本。</w:t>
      </w:r>
    </w:p>
    <w:p>
      <w:pPr>
        <w:pStyle w:val="BodyText"/>
        <w:spacing w:line="316" w:lineRule="auto" w:before="76"/>
        <w:ind w:left="153" w:right="1123" w:firstLine="360"/>
        <w:jc w:val="left"/>
      </w:pPr>
      <w:r>
        <w:rPr>
          <w:rFonts w:ascii="宋体" w:hAnsi="宋体" w:cs="宋体" w:eastAsia="宋体" w:hint="default"/>
        </w:rPr>
        <w:t>2</w:t>
      </w:r>
      <w:r>
        <w:rPr/>
        <w:t>、本公司</w:t>
      </w:r>
      <w:r>
        <w:rPr>
          <w:rFonts w:ascii="宋体" w:hAnsi="宋体" w:cs="宋体" w:eastAsia="宋体" w:hint="default"/>
        </w:rPr>
        <w:t>2016 </w:t>
      </w:r>
      <w:r>
        <w:rPr/>
        <w:t>年度财务报告经瑞华会计师事务所（特殊普通合伙）审计确认</w:t>
      </w:r>
      <w:r>
        <w:rPr>
          <w:rFonts w:ascii="宋体" w:hAnsi="宋体" w:cs="宋体" w:eastAsia="宋体" w:hint="default"/>
        </w:rPr>
        <w:t>,</w:t>
      </w:r>
      <w:r>
        <w:rPr/>
        <w:t>公司合并报表实现归属于母公司所有者 的净利润为</w:t>
      </w:r>
      <w:r>
        <w:rPr>
          <w:rFonts w:ascii="宋体" w:hAnsi="宋体" w:cs="宋体" w:eastAsia="宋体" w:hint="default"/>
        </w:rPr>
        <w:t>316,113,821.03</w:t>
      </w:r>
      <w:r>
        <w:rPr/>
        <w:t>元，母公司报表实现净利润为</w:t>
      </w:r>
      <w:r>
        <w:rPr>
          <w:rFonts w:ascii="宋体" w:hAnsi="宋体" w:cs="宋体" w:eastAsia="宋体" w:hint="default"/>
        </w:rPr>
        <w:t>200,139,439.15</w:t>
      </w:r>
      <w:r>
        <w:rPr/>
        <w:t>元，母公司</w:t>
      </w:r>
      <w:r>
        <w:rPr>
          <w:rFonts w:ascii="宋体" w:hAnsi="宋体" w:cs="宋体" w:eastAsia="宋体" w:hint="default"/>
        </w:rPr>
        <w:t>2016</w:t>
      </w:r>
      <w:r>
        <w:rPr/>
        <w:t>年度弥补亏损后未分配利润为</w:t>
      </w:r>
    </w:p>
    <w:p>
      <w:pPr>
        <w:pStyle w:val="BodyText"/>
        <w:spacing w:line="316" w:lineRule="auto" w:before="19"/>
        <w:ind w:left="153" w:right="0"/>
        <w:jc w:val="left"/>
      </w:pPr>
      <w:r>
        <w:rPr>
          <w:rFonts w:ascii="宋体" w:hAnsi="宋体" w:cs="宋体" w:eastAsia="宋体" w:hint="default"/>
          <w:spacing w:val="-2"/>
        </w:rPr>
        <w:t>-213,080,135.63</w:t>
      </w:r>
      <w:r>
        <w:rPr>
          <w:spacing w:val="-2"/>
        </w:rPr>
        <w:t>元，截至</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日，公司可分配利润为</w:t>
      </w:r>
      <w:r>
        <w:rPr>
          <w:rFonts w:ascii="宋体" w:hAnsi="宋体" w:cs="宋体" w:eastAsia="宋体" w:hint="default"/>
          <w:spacing w:val="-2"/>
        </w:rPr>
        <w:t>-213,080,135.63</w:t>
      </w:r>
      <w:r>
        <w:rPr>
          <w:spacing w:val="-2"/>
        </w:rPr>
        <w:t>元。公司董事会决定</w:t>
      </w:r>
      <w:r>
        <w:rPr>
          <w:rFonts w:ascii="宋体" w:hAnsi="宋体" w:cs="宋体" w:eastAsia="宋体" w:hint="default"/>
          <w:spacing w:val="-2"/>
        </w:rPr>
        <w:t>2016</w:t>
      </w:r>
      <w:r>
        <w:rPr>
          <w:spacing w:val="-2"/>
        </w:rPr>
        <w:t>年度不对公司股东</w:t>
      </w:r>
      <w:r>
        <w:rPr>
          <w:spacing w:val="-25"/>
        </w:rPr>
        <w:t> </w:t>
      </w:r>
      <w:r>
        <w:rPr/>
        <w:t>进行利润分配，也不以资本公积金转增股本。</w:t>
      </w:r>
    </w:p>
    <w:p>
      <w:pPr>
        <w:pStyle w:val="BodyText"/>
        <w:spacing w:line="316" w:lineRule="auto" w:before="19"/>
        <w:ind w:left="153" w:right="1123" w:firstLine="360"/>
        <w:jc w:val="left"/>
      </w:pPr>
      <w:r>
        <w:rPr>
          <w:rFonts w:ascii="宋体" w:hAnsi="宋体" w:cs="宋体" w:eastAsia="宋体" w:hint="default"/>
        </w:rPr>
        <w:t>3</w:t>
      </w:r>
      <w:r>
        <w:rPr/>
        <w:t>、公司</w:t>
      </w:r>
      <w:r>
        <w:rPr>
          <w:rFonts w:ascii="宋体" w:hAnsi="宋体" w:cs="宋体" w:eastAsia="宋体" w:hint="default"/>
        </w:rPr>
        <w:t>2017</w:t>
      </w:r>
      <w:r>
        <w:rPr/>
        <w:t>年度财务报告经致同会计师事务所（特殊普通合伙）审计确认，公司合并报表实现归属于母公司所有者的 净利润为</w:t>
      </w:r>
      <w:r>
        <w:rPr>
          <w:rFonts w:ascii="宋体" w:hAnsi="宋体" w:cs="宋体" w:eastAsia="宋体" w:hint="default"/>
        </w:rPr>
        <w:t>527,325,402.70</w:t>
      </w:r>
      <w:r>
        <w:rPr/>
        <w:t>元，母公司报表实现净利润为</w:t>
      </w:r>
      <w:r>
        <w:rPr>
          <w:rFonts w:ascii="宋体" w:hAnsi="宋体" w:cs="宋体" w:eastAsia="宋体" w:hint="default"/>
        </w:rPr>
        <w:t>246,475,173.66</w:t>
      </w:r>
      <w:r>
        <w:rPr/>
        <w:t>元，母公司</w:t>
      </w:r>
      <w:r>
        <w:rPr>
          <w:rFonts w:ascii="宋体" w:hAnsi="宋体" w:cs="宋体" w:eastAsia="宋体" w:hint="default"/>
        </w:rPr>
        <w:t>2017</w:t>
      </w:r>
      <w:r>
        <w:rPr/>
        <w:t>年度弥补亏损后未分配利润为 </w:t>
      </w:r>
      <w:r>
        <w:rPr>
          <w:rFonts w:ascii="宋体" w:hAnsi="宋体" w:cs="宋体" w:eastAsia="宋体" w:hint="default"/>
          <w:spacing w:val="-2"/>
        </w:rPr>
        <w:t>30,055,534.23</w:t>
      </w:r>
      <w:r>
        <w:rPr>
          <w:spacing w:val="-2"/>
        </w:rPr>
        <w:t>元，截至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日，公司可分配利润为</w:t>
      </w:r>
      <w:r>
        <w:rPr>
          <w:rFonts w:ascii="宋体" w:hAnsi="宋体" w:cs="宋体" w:eastAsia="宋体" w:hint="default"/>
          <w:spacing w:val="-2"/>
        </w:rPr>
        <w:t>30,055,534.23</w:t>
      </w:r>
      <w:r>
        <w:rPr>
          <w:spacing w:val="-2"/>
        </w:rPr>
        <w:t>元。公司拟定</w:t>
      </w:r>
      <w:r>
        <w:rPr>
          <w:rFonts w:ascii="宋体" w:hAnsi="宋体" w:cs="宋体" w:eastAsia="宋体" w:hint="default"/>
          <w:spacing w:val="-2"/>
        </w:rPr>
        <w:t>2017</w:t>
      </w:r>
      <w:r>
        <w:rPr>
          <w:spacing w:val="-2"/>
        </w:rPr>
        <w:t>年度利润分配预案为：以目前</w:t>
      </w:r>
      <w:r>
        <w:rPr>
          <w:spacing w:val="-29"/>
        </w:rPr>
        <w:t> </w:t>
      </w:r>
      <w:r>
        <w:rPr>
          <w:spacing w:val="-29"/>
        </w:rPr>
      </w:r>
      <w:r>
        <w:rPr/>
        <w:t>公司总股本</w:t>
      </w:r>
      <w:r>
        <w:rPr>
          <w:rFonts w:ascii="宋体" w:hAnsi="宋体" w:cs="宋体" w:eastAsia="宋体" w:hint="default"/>
        </w:rPr>
        <w:t>965,710,782</w:t>
      </w:r>
      <w:r>
        <w:rPr/>
        <w:t>股为基数，向全体股东每</w:t>
      </w:r>
      <w:r>
        <w:rPr>
          <w:rFonts w:ascii="宋体" w:hAnsi="宋体" w:cs="宋体" w:eastAsia="宋体" w:hint="default"/>
        </w:rPr>
        <w:t>10</w:t>
      </w:r>
      <w:r>
        <w:rPr/>
        <w:t>股分配现金</w:t>
      </w:r>
      <w:r>
        <w:rPr>
          <w:rFonts w:ascii="宋体" w:hAnsi="宋体" w:cs="宋体" w:eastAsia="宋体" w:hint="default"/>
        </w:rPr>
        <w:t>0.3</w:t>
      </w:r>
      <w:r>
        <w:rPr/>
        <w:t>元（含税），共计分配现金</w:t>
      </w:r>
      <w:r>
        <w:rPr>
          <w:rFonts w:ascii="宋体" w:hAnsi="宋体" w:cs="宋体" w:eastAsia="宋体" w:hint="default"/>
        </w:rPr>
        <w:t>28,971,323.46</w:t>
      </w:r>
      <w:r>
        <w:rPr/>
        <w:t>元（含税）； </w:t>
      </w:r>
      <w:r>
        <w:rPr>
          <w:rFonts w:ascii="宋体" w:hAnsi="宋体" w:cs="宋体" w:eastAsia="宋体" w:hint="default"/>
        </w:rPr>
        <w:t>2017</w:t>
      </w:r>
      <w:r>
        <w:rPr/>
        <w:t>年度公司不以资本公积金转增股本，不送红股。</w:t>
      </w:r>
    </w:p>
    <w:p>
      <w:pPr>
        <w:pStyle w:val="BodyText"/>
        <w:spacing w:line="240" w:lineRule="auto" w:before="60"/>
        <w:ind w:right="0"/>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318"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1"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28,971,323.46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527,325,402.70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316,113,821.03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r>
      <w:tr>
        <w:trPr>
          <w:trHeight w:val="403"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3,503,549.39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6"/>
        <w:ind w:left="153"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二、本报告期利润分配及资本公积金转增股本预案" w:id="66"/>
      <w:bookmarkEnd w:id="66"/>
      <w:r>
        <w:rPr>
          <w:b w:val="0"/>
          <w:bCs w:val="0"/>
        </w:rPr>
      </w: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84"/>
        <w:gridCol w:w="5784"/>
      </w:tblGrid>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0.30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965710782</w:t>
            </w:r>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784"/>
        <w:gridCol w:w="5784"/>
      </w:tblGrid>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28,971,323.46</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30,055,534.23</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6"/>
                <w:sz w:val="18"/>
                <w:szCs w:val="18"/>
              </w:rPr>
              <w:t> </w:t>
            </w:r>
            <w:r>
              <w:rPr>
                <w:rFonts w:ascii="宋体" w:hAnsi="宋体" w:cs="宋体" w:eastAsia="宋体" w:hint="default"/>
                <w:sz w:val="18"/>
                <w:szCs w:val="18"/>
              </w:rPr>
              <w:t>20</w:t>
            </w: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0"/>
        </w:sectPr>
      </w:pPr>
    </w:p>
    <w:p>
      <w:pPr>
        <w:pStyle w:val="Heading2"/>
        <w:spacing w:line="240" w:lineRule="auto" w:before="30"/>
        <w:ind w:left="140" w:right="0"/>
        <w:jc w:val="left"/>
        <w:rPr>
          <w:b w:val="0"/>
          <w:bCs w:val="0"/>
        </w:rPr>
      </w:pPr>
      <w:r>
        <w:rPr/>
        <w:pict>
          <v:group style="position:absolute;margin-left:70.5pt;margin-top:2.255627pt;width:701pt;height:.1pt;mso-position-horizontal-relative:page;mso-position-vertical-relative:paragraph;z-index:-1182064" coordorigin="1410,45" coordsize="14020,2">
            <v:shape style="position:absolute;left:1410;top:45;width:14020;height:2" coordorigin="1410,45" coordsize="14020,0" path="m1410,45l15430,45e" filled="false" stroked="true" strokeweight=".72pt" strokecolor="#000000">
              <v:path arrowok="t"/>
            </v:shape>
            <w10:wrap type="none"/>
          </v:group>
        </w:pict>
      </w:r>
      <w:r>
        <w:rPr/>
        <w:pict>
          <v:group style="position:absolute;margin-left:589.659973pt;margin-top:277.179993pt;width:54.7pt;height:36.4pt;mso-position-horizontal-relative:page;mso-position-vertical-relative:page;z-index:-1182040" coordorigin="11793,5544" coordsize="1094,728">
            <v:group style="position:absolute;left:11805;top:5556;width:2;height:704" coordorigin="11805,5556" coordsize="2,704">
              <v:shape style="position:absolute;left:11805;top:5556;width:2;height:704" coordorigin="11805,5556" coordsize="0,704" path="m11805,5556l11805,6259e" filled="false" stroked="true" strokeweight="1.2pt" strokecolor="#ffffff">
                <v:path arrowok="t"/>
              </v:shape>
            </v:group>
            <v:group style="position:absolute;left:11817;top:5556;width:1070;height:352" coordorigin="11817,5556" coordsize="1070,352">
              <v:shape style="position:absolute;left:11817;top:5556;width:1070;height:352" coordorigin="11817,5556" coordsize="1070,352" path="m11817,5907l12886,5907,12886,5556,11817,5556,11817,5907xe" filled="true" fillcolor="#ffffff" stroked="false">
                <v:path arrowok="t"/>
                <v:fill type="solid"/>
              </v:shape>
            </v:group>
            <v:group style="position:absolute;left:11817;top:5907;width:1070;height:352" coordorigin="11817,5907" coordsize="1070,352">
              <v:shape style="position:absolute;left:11817;top:5907;width:1070;height:352" coordorigin="11817,5907" coordsize="1070,352" path="m11817,6259l12886,6259,12886,5907,11817,5907,11817,6259xe" filled="true" fillcolor="#ffffff" stroked="false">
                <v:path arrowok="t"/>
                <v:fill type="solid"/>
              </v:shape>
            </v:group>
            <w10:wrap type="none"/>
          </v:group>
        </w:pict>
      </w:r>
      <w:bookmarkStart w:name="三、承诺事项履行情况" w:id="67"/>
      <w:bookmarkEnd w:id="67"/>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40" w:right="0"/>
        <w:jc w:val="left"/>
        <w:rPr>
          <w:b w:val="0"/>
          <w:bCs w:val="0"/>
        </w:rPr>
      </w:pPr>
      <w:bookmarkStart w:name="1、公司实际控制人、股东、关联方、收购人以及公司等承诺相关方在报告期内履行完毕及" w:id="68"/>
      <w:bookmarkEnd w:id="68"/>
      <w:r>
        <w:rPr>
          <w:b w:val="0"/>
          <w:bCs w:val="0"/>
        </w:rPr>
      </w:r>
      <w:r>
        <w:rPr>
          <w:rFonts w:ascii="宋体" w:hAnsi="宋体" w:cs="宋体" w:eastAsia="宋体"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40"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568"/>
        <w:gridCol w:w="993"/>
        <w:gridCol w:w="709"/>
        <w:gridCol w:w="8079"/>
        <w:gridCol w:w="1127"/>
        <w:gridCol w:w="1025"/>
        <w:gridCol w:w="1534"/>
      </w:tblGrid>
      <w:tr>
        <w:trPr>
          <w:trHeight w:val="161" w:hRule="exact"/>
        </w:trPr>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8" w:right="97"/>
              <w:jc w:val="left"/>
              <w:rPr>
                <w:rFonts w:ascii="宋体" w:hAnsi="宋体" w:cs="宋体" w:eastAsia="宋体" w:hint="default"/>
                <w:sz w:val="18"/>
                <w:szCs w:val="18"/>
              </w:rPr>
            </w:pPr>
            <w:r>
              <w:rPr>
                <w:rFonts w:ascii="宋体" w:hAnsi="宋体" w:cs="宋体" w:eastAsia="宋体" w:hint="default"/>
                <w:sz w:val="18"/>
                <w:szCs w:val="18"/>
              </w:rPr>
              <w:t>承诺 事由</w:t>
            </w:r>
          </w:p>
        </w:tc>
        <w:tc>
          <w:tcPr>
            <w:tcW w:w="99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59" w:right="78" w:hanging="180"/>
              <w:jc w:val="left"/>
              <w:rPr>
                <w:rFonts w:ascii="宋体" w:hAnsi="宋体" w:cs="宋体" w:eastAsia="宋体" w:hint="default"/>
                <w:sz w:val="18"/>
                <w:szCs w:val="18"/>
              </w:rPr>
            </w:pPr>
            <w:r>
              <w:rPr>
                <w:rFonts w:ascii="宋体" w:hAnsi="宋体" w:cs="宋体" w:eastAsia="宋体" w:hint="default"/>
                <w:sz w:val="18"/>
                <w:szCs w:val="18"/>
              </w:rPr>
              <w:t>承诺类 型</w:t>
            </w:r>
          </w:p>
        </w:tc>
        <w:tc>
          <w:tcPr>
            <w:tcW w:w="807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568" w:type="dxa"/>
            <w:vMerge/>
            <w:tcBorders>
              <w:left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709" w:type="dxa"/>
            <w:vMerge/>
            <w:tcBorders>
              <w:left w:val="single" w:sz="4" w:space="0" w:color="000000"/>
              <w:right w:val="single" w:sz="4" w:space="0" w:color="000000"/>
            </w:tcBorders>
            <w:shd w:val="clear" w:color="auto" w:fill="D2D2D2"/>
          </w:tcPr>
          <w:p>
            <w:pPr/>
          </w:p>
        </w:tc>
        <w:tc>
          <w:tcPr>
            <w:tcW w:w="80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0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5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1" w:hRule="exact"/>
        </w:trPr>
        <w:tc>
          <w:tcPr>
            <w:tcW w:w="568" w:type="dxa"/>
            <w:vMerge/>
            <w:tcBorders>
              <w:left w:val="single" w:sz="4" w:space="0" w:color="000000"/>
              <w:bottom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80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06" w:hRule="exact"/>
        </w:trPr>
        <w:tc>
          <w:tcPr>
            <w:tcW w:w="568" w:type="dxa"/>
            <w:tcBorders>
              <w:top w:val="single" w:sz="4" w:space="0" w:color="000000"/>
              <w:left w:val="single" w:sz="4" w:space="0" w:color="000000"/>
              <w:bottom w:val="nil" w:sz="6" w:space="0" w:color="auto"/>
              <w:right w:val="single" w:sz="4" w:space="0" w:color="000000"/>
            </w:tcBorders>
            <w:shd w:val="clear" w:color="auto" w:fill="D2D2D2"/>
          </w:tcPr>
          <w:p>
            <w:pPr/>
          </w:p>
        </w:tc>
        <w:tc>
          <w:tcPr>
            <w:tcW w:w="993"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吴红心</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8079" w:type="dxa"/>
            <w:vMerge w:val="restart"/>
            <w:tcBorders>
              <w:top w:val="single" w:sz="4" w:space="0" w:color="000000"/>
              <w:left w:val="single" w:sz="4" w:space="0" w:color="000000"/>
              <w:right w:val="single" w:sz="4" w:space="0" w:color="000000"/>
            </w:tcBorders>
          </w:tcPr>
          <w:p>
            <w:pPr>
              <w:pStyle w:val="TableParagraph"/>
              <w:spacing w:line="319" w:lineRule="auto" w:before="52"/>
              <w:ind w:left="22" w:right="20"/>
              <w:jc w:val="left"/>
              <w:rPr>
                <w:rFonts w:ascii="宋体" w:hAnsi="宋体" w:cs="宋体" w:eastAsia="宋体" w:hint="default"/>
                <w:sz w:val="18"/>
                <w:szCs w:val="18"/>
              </w:rPr>
            </w:pPr>
            <w:r>
              <w:rPr>
                <w:rFonts w:ascii="宋体" w:hAnsi="宋体" w:cs="宋体" w:eastAsia="宋体" w:hint="default"/>
                <w:spacing w:val="-2"/>
                <w:sz w:val="18"/>
                <w:szCs w:val="18"/>
              </w:rPr>
              <w:t>鉴于北京智度德普股权投资中心（有限合伙）拟受让河南正弘置业有限公司持有的河南思达高科技股份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有限公司（以下简称</w:t>
            </w:r>
            <w:r>
              <w:rPr>
                <w:rFonts w:ascii="宋体" w:hAnsi="宋体" w:cs="宋体" w:eastAsia="宋体" w:hint="default"/>
                <w:sz w:val="18"/>
                <w:szCs w:val="18"/>
              </w:rPr>
              <w:t>"</w:t>
            </w:r>
            <w:r>
              <w:rPr>
                <w:rFonts w:ascii="宋体" w:hAnsi="宋体" w:cs="宋体" w:eastAsia="宋体" w:hint="default"/>
                <w:sz w:val="18"/>
                <w:szCs w:val="18"/>
              </w:rPr>
              <w:t>思达高科</w:t>
            </w:r>
            <w:r>
              <w:rPr>
                <w:rFonts w:ascii="宋体" w:hAnsi="宋体" w:cs="宋体" w:eastAsia="宋体" w:hint="default"/>
                <w:sz w:val="18"/>
                <w:szCs w:val="18"/>
              </w:rPr>
              <w:t>"</w:t>
            </w:r>
            <w:r>
              <w:rPr>
                <w:rFonts w:ascii="宋体" w:hAnsi="宋体" w:cs="宋体" w:eastAsia="宋体" w:hint="default"/>
                <w:sz w:val="18"/>
                <w:szCs w:val="18"/>
              </w:rPr>
              <w:t>或</w:t>
            </w:r>
            <w:r>
              <w:rPr>
                <w:rFonts w:ascii="宋体" w:hAnsi="宋体" w:cs="宋体" w:eastAsia="宋体" w:hint="default"/>
                <w:sz w:val="18"/>
                <w:szCs w:val="18"/>
              </w:rPr>
              <w:t>"</w:t>
            </w:r>
            <w:r>
              <w:rPr>
                <w:rFonts w:ascii="宋体" w:hAnsi="宋体" w:cs="宋体" w:eastAsia="宋体" w:hint="default"/>
                <w:sz w:val="18"/>
                <w:szCs w:val="18"/>
              </w:rPr>
              <w:t>上市公司</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20.03%</w:t>
            </w:r>
            <w:r>
              <w:rPr>
                <w:rFonts w:ascii="宋体" w:hAnsi="宋体" w:cs="宋体" w:eastAsia="宋体" w:hint="default"/>
                <w:sz w:val="18"/>
                <w:szCs w:val="18"/>
              </w:rPr>
              <w:t>的股权，持股数量</w:t>
            </w:r>
            <w:r>
              <w:rPr>
                <w:rFonts w:ascii="宋体" w:hAnsi="宋体" w:cs="宋体" w:eastAsia="宋体" w:hint="default"/>
                <w:spacing w:val="-46"/>
                <w:sz w:val="18"/>
                <w:szCs w:val="18"/>
              </w:rPr>
              <w:t> </w:t>
            </w:r>
            <w:r>
              <w:rPr>
                <w:rFonts w:ascii="宋体" w:hAnsi="宋体" w:cs="宋体" w:eastAsia="宋体" w:hint="default"/>
                <w:sz w:val="18"/>
                <w:szCs w:val="18"/>
              </w:rPr>
              <w:t>63,000,000</w:t>
            </w:r>
            <w:r>
              <w:rPr>
                <w:rFonts w:ascii="宋体" w:hAnsi="宋体" w:cs="宋体" w:eastAsia="宋体" w:hint="default"/>
                <w:spacing w:val="-45"/>
                <w:sz w:val="18"/>
                <w:szCs w:val="18"/>
              </w:rPr>
              <w:t> </w:t>
            </w:r>
            <w:r>
              <w:rPr>
                <w:rFonts w:ascii="宋体" w:hAnsi="宋体" w:cs="宋体" w:eastAsia="宋体" w:hint="default"/>
                <w:sz w:val="18"/>
                <w:szCs w:val="18"/>
              </w:rPr>
              <w:t>股。本次交易完 </w:t>
            </w:r>
            <w:r>
              <w:rPr>
                <w:rFonts w:ascii="宋体" w:hAnsi="宋体" w:cs="宋体" w:eastAsia="宋体" w:hint="default"/>
                <w:spacing w:val="-2"/>
                <w:sz w:val="18"/>
                <w:szCs w:val="18"/>
              </w:rPr>
              <w:t>成后，北京智度德普股权投资中心（有限合伙）将成为思达高科的控股股东。实际控制人吴红心承诺本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次股权过户完成之日起三年内不让渡对上市公司的控制权，且控制的股份不低于上市公司总股本的 </w:t>
            </w:r>
            <w:r>
              <w:rPr>
                <w:rFonts w:ascii="宋体" w:hAnsi="宋体" w:cs="宋体" w:eastAsia="宋体" w:hint="default"/>
                <w:sz w:val="18"/>
                <w:szCs w:val="18"/>
              </w:rPr>
              <w:t>20.03%</w:t>
            </w:r>
            <w:r>
              <w:rPr>
                <w:rFonts w:ascii="宋体" w:hAnsi="宋体" w:cs="宋体" w:eastAsia="宋体" w:hint="default"/>
                <w:sz w:val="18"/>
                <w:szCs w:val="18"/>
              </w:rPr>
              <w:t>。</w:t>
            </w:r>
          </w:p>
        </w:tc>
        <w:tc>
          <w:tcPr>
            <w:tcW w:w="11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1444" w:hRule="exact"/>
        </w:trPr>
        <w:tc>
          <w:tcPr>
            <w:tcW w:w="56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73"/>
              <w:jc w:val="both"/>
              <w:rPr>
                <w:rFonts w:ascii="宋体" w:hAnsi="宋体" w:cs="宋体" w:eastAsia="宋体" w:hint="default"/>
                <w:sz w:val="18"/>
                <w:szCs w:val="18"/>
              </w:rPr>
            </w:pPr>
            <w:r>
              <w:rPr>
                <w:rFonts w:ascii="宋体" w:hAnsi="宋体" w:cs="宋体" w:eastAsia="宋体" w:hint="default"/>
                <w:sz w:val="18"/>
                <w:szCs w:val="18"/>
              </w:rPr>
              <w:t>收购 报告 书或 权益 变动 报告 书中 所作 承诺</w:t>
            </w:r>
          </w:p>
        </w:tc>
        <w:tc>
          <w:tcPr>
            <w:tcW w:w="993" w:type="dxa"/>
            <w:vMerge/>
            <w:tcBorders>
              <w:left w:val="single" w:sz="9" w:space="0" w:color="D2D2D2"/>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8079"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c>
          <w:tcPr>
            <w:tcW w:w="1534" w:type="dxa"/>
            <w:vMerge/>
            <w:tcBorders>
              <w:left w:val="single" w:sz="4" w:space="0" w:color="000000"/>
              <w:bottom w:val="single" w:sz="4" w:space="0" w:color="000000"/>
              <w:right w:val="single" w:sz="4" w:space="0" w:color="000000"/>
            </w:tcBorders>
          </w:tcPr>
          <w:p>
            <w:pPr/>
          </w:p>
        </w:tc>
      </w:tr>
      <w:tr>
        <w:trPr>
          <w:trHeight w:val="1445" w:hRule="exact"/>
        </w:trPr>
        <w:tc>
          <w:tcPr>
            <w:tcW w:w="568" w:type="dxa"/>
            <w:vMerge/>
            <w:tcBorders>
              <w:left w:val="single" w:sz="4" w:space="0" w:color="000000"/>
              <w:bottom w:val="nil" w:sz="6" w:space="0" w:color="auto"/>
              <w:right w:val="single" w:sz="4" w:space="0" w:color="000000"/>
            </w:tcBorders>
            <w:shd w:val="clear" w:color="auto" w:fill="D2D2D2"/>
          </w:tcPr>
          <w:p>
            <w:pPr/>
          </w:p>
        </w:tc>
        <w:tc>
          <w:tcPr>
            <w:tcW w:w="993"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6" w:right="58"/>
              <w:jc w:val="left"/>
              <w:rPr>
                <w:rFonts w:ascii="宋体" w:hAnsi="宋体" w:cs="宋体" w:eastAsia="宋体" w:hint="default"/>
                <w:sz w:val="18"/>
                <w:szCs w:val="18"/>
              </w:rPr>
            </w:pPr>
            <w:r>
              <w:rPr>
                <w:rFonts w:ascii="宋体" w:hAnsi="宋体" w:cs="宋体" w:eastAsia="宋体" w:hint="default"/>
                <w:sz w:val="18"/>
                <w:szCs w:val="18"/>
              </w:rPr>
              <w:t>智度集团有 限公司</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8079"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鉴于北京智度德普股权投资中心（有限合伙）拟受让河南正弘置业有限公司持有的河南思达高科技股份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有限公司（以下简称</w:t>
            </w:r>
            <w:r>
              <w:rPr>
                <w:rFonts w:ascii="宋体" w:hAnsi="宋体" w:cs="宋体" w:eastAsia="宋体" w:hint="default"/>
                <w:sz w:val="18"/>
                <w:szCs w:val="18"/>
              </w:rPr>
              <w:t>"</w:t>
            </w:r>
            <w:r>
              <w:rPr>
                <w:rFonts w:ascii="宋体" w:hAnsi="宋体" w:cs="宋体" w:eastAsia="宋体" w:hint="default"/>
                <w:sz w:val="18"/>
                <w:szCs w:val="18"/>
              </w:rPr>
              <w:t>思达高科</w:t>
            </w:r>
            <w:r>
              <w:rPr>
                <w:rFonts w:ascii="宋体" w:hAnsi="宋体" w:cs="宋体" w:eastAsia="宋体" w:hint="default"/>
                <w:sz w:val="18"/>
                <w:szCs w:val="18"/>
              </w:rPr>
              <w:t>"</w:t>
            </w:r>
            <w:r>
              <w:rPr>
                <w:rFonts w:ascii="宋体" w:hAnsi="宋体" w:cs="宋体" w:eastAsia="宋体" w:hint="default"/>
                <w:sz w:val="18"/>
                <w:szCs w:val="18"/>
              </w:rPr>
              <w:t>或</w:t>
            </w:r>
            <w:r>
              <w:rPr>
                <w:rFonts w:ascii="宋体" w:hAnsi="宋体" w:cs="宋体" w:eastAsia="宋体" w:hint="default"/>
                <w:sz w:val="18"/>
                <w:szCs w:val="18"/>
              </w:rPr>
              <w:t>"</w:t>
            </w:r>
            <w:r>
              <w:rPr>
                <w:rFonts w:ascii="宋体" w:hAnsi="宋体" w:cs="宋体" w:eastAsia="宋体" w:hint="default"/>
                <w:sz w:val="18"/>
                <w:szCs w:val="18"/>
              </w:rPr>
              <w:t>上市公司</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20.03%</w:t>
            </w:r>
            <w:r>
              <w:rPr>
                <w:rFonts w:ascii="宋体" w:hAnsi="宋体" w:cs="宋体" w:eastAsia="宋体" w:hint="default"/>
                <w:sz w:val="18"/>
                <w:szCs w:val="18"/>
              </w:rPr>
              <w:t>的股权，持股数量</w:t>
            </w:r>
            <w:r>
              <w:rPr>
                <w:rFonts w:ascii="宋体" w:hAnsi="宋体" w:cs="宋体" w:eastAsia="宋体" w:hint="default"/>
                <w:spacing w:val="-46"/>
                <w:sz w:val="18"/>
                <w:szCs w:val="18"/>
              </w:rPr>
              <w:t> </w:t>
            </w:r>
            <w:r>
              <w:rPr>
                <w:rFonts w:ascii="宋体" w:hAnsi="宋体" w:cs="宋体" w:eastAsia="宋体" w:hint="default"/>
                <w:sz w:val="18"/>
                <w:szCs w:val="18"/>
              </w:rPr>
              <w:t>63,000,000</w:t>
            </w:r>
            <w:r>
              <w:rPr>
                <w:rFonts w:ascii="宋体" w:hAnsi="宋体" w:cs="宋体" w:eastAsia="宋体" w:hint="default"/>
                <w:spacing w:val="-45"/>
                <w:sz w:val="18"/>
                <w:szCs w:val="18"/>
              </w:rPr>
              <w:t> </w:t>
            </w:r>
            <w:r>
              <w:rPr>
                <w:rFonts w:ascii="宋体" w:hAnsi="宋体" w:cs="宋体" w:eastAsia="宋体" w:hint="default"/>
                <w:sz w:val="18"/>
                <w:szCs w:val="18"/>
              </w:rPr>
              <w:t>股。本次交易完 成后，北京智度德普股权投资中心（有限合伙）将成为思达高科的控股股东。智度集团有限公司承诺 </w:t>
            </w:r>
            <w:r>
              <w:rPr>
                <w:rFonts w:ascii="宋体" w:hAnsi="宋体" w:cs="宋体" w:eastAsia="宋体" w:hint="default"/>
                <w:spacing w:val="-2"/>
                <w:sz w:val="18"/>
                <w:szCs w:val="18"/>
              </w:rPr>
              <w:t>本次股权过户完成之日起三年内不让渡对上市公司的控制权，且共同控制的股份不低于上市公司总股本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宋体" w:hAnsi="宋体" w:cs="宋体" w:eastAsia="宋体" w:hint="default"/>
                <w:sz w:val="18"/>
                <w:szCs w:val="18"/>
              </w:rPr>
              <w:t>20.03%</w:t>
            </w:r>
            <w:r>
              <w:rPr>
                <w:rFonts w:ascii="宋体" w:hAnsi="宋体" w:cs="宋体" w:eastAsia="宋体" w:hint="default"/>
                <w:sz w:val="18"/>
                <w:szCs w:val="18"/>
              </w:rPr>
              <w:t>。</w:t>
            </w:r>
          </w:p>
        </w:tc>
        <w:tc>
          <w:tcPr>
            <w:tcW w:w="11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195" w:lineRule="exact"/>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156" w:lineRule="exact"/>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4"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205" w:hRule="exact"/>
        </w:trPr>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3" w:type="dxa"/>
            <w:vMerge/>
            <w:tcBorders>
              <w:left w:val="single" w:sz="9" w:space="0" w:color="D2D2D2"/>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8079"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c>
          <w:tcPr>
            <w:tcW w:w="1534" w:type="dxa"/>
            <w:vMerge/>
            <w:tcBorders>
              <w:left w:val="single" w:sz="4" w:space="0" w:color="000000"/>
              <w:bottom w:val="single" w:sz="4" w:space="0" w:color="000000"/>
              <w:right w:val="single" w:sz="4" w:space="0" w:color="000000"/>
            </w:tcBorders>
          </w:tcPr>
          <w:p>
            <w:pPr/>
          </w:p>
        </w:tc>
      </w:tr>
      <w:tr>
        <w:trPr>
          <w:trHeight w:val="967" w:hRule="exact"/>
        </w:trPr>
        <w:tc>
          <w:tcPr>
            <w:tcW w:w="568" w:type="dxa"/>
            <w:tcBorders>
              <w:top w:val="single" w:sz="4" w:space="0" w:color="000000"/>
              <w:left w:val="single" w:sz="4" w:space="0" w:color="000000"/>
              <w:bottom w:val="nil" w:sz="6" w:space="0" w:color="auto"/>
              <w:right w:val="single" w:sz="4" w:space="0" w:color="000000"/>
            </w:tcBorders>
            <w:shd w:val="clear" w:color="auto" w:fill="D2D2D2"/>
          </w:tcPr>
          <w:p>
            <w:pPr/>
          </w:p>
        </w:tc>
        <w:tc>
          <w:tcPr>
            <w:tcW w:w="993" w:type="dxa"/>
            <w:vMerge w:val="restart"/>
            <w:tcBorders>
              <w:top w:val="single" w:sz="4" w:space="0" w:color="000000"/>
              <w:left w:val="single" w:sz="9" w:space="0" w:color="D2D2D2"/>
              <w:right w:val="single" w:sz="4" w:space="0" w:color="000000"/>
            </w:tcBorders>
          </w:tcPr>
          <w:p>
            <w:pPr>
              <w:pStyle w:val="TableParagraph"/>
              <w:spacing w:line="316" w:lineRule="auto" w:before="52"/>
              <w:ind w:left="16" w:right="58"/>
              <w:jc w:val="both"/>
              <w:rPr>
                <w:rFonts w:ascii="宋体" w:hAnsi="宋体" w:cs="宋体" w:eastAsia="宋体" w:hint="default"/>
                <w:sz w:val="18"/>
                <w:szCs w:val="18"/>
              </w:rPr>
            </w:pPr>
            <w:r>
              <w:rPr>
                <w:rFonts w:ascii="宋体" w:hAnsi="宋体" w:cs="宋体" w:eastAsia="宋体" w:hint="default"/>
                <w:sz w:val="18"/>
                <w:szCs w:val="18"/>
              </w:rPr>
              <w:t>北京智度德 普股权投资 中心（有限 合伙）</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34"/>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80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34"/>
              <w:jc w:val="left"/>
              <w:rPr>
                <w:rFonts w:ascii="宋体" w:hAnsi="宋体" w:cs="宋体" w:eastAsia="宋体" w:hint="default"/>
                <w:sz w:val="18"/>
                <w:szCs w:val="18"/>
              </w:rPr>
            </w:pPr>
            <w:r>
              <w:rPr>
                <w:rFonts w:ascii="宋体" w:hAnsi="宋体" w:cs="宋体" w:eastAsia="宋体" w:hint="default"/>
                <w:spacing w:val="-5"/>
                <w:sz w:val="18"/>
                <w:szCs w:val="18"/>
              </w:rPr>
              <w:t>按照《证券法》、《上市公司收购管理办法》的要求，本企业在本次交易完成后的</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个月内不转让本次 交易前所持有的智度投资股份</w:t>
            </w:r>
          </w:p>
        </w:tc>
        <w:tc>
          <w:tcPr>
            <w:tcW w:w="11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15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71" w:hRule="exact"/>
        </w:trPr>
        <w:tc>
          <w:tcPr>
            <w:tcW w:w="56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73"/>
              <w:jc w:val="both"/>
              <w:rPr>
                <w:rFonts w:ascii="宋体" w:hAnsi="宋体" w:cs="宋体" w:eastAsia="宋体" w:hint="default"/>
                <w:sz w:val="18"/>
                <w:szCs w:val="18"/>
              </w:rPr>
            </w:pPr>
            <w:r>
              <w:rPr>
                <w:rFonts w:ascii="宋体" w:hAnsi="宋体" w:cs="宋体" w:eastAsia="宋体" w:hint="default"/>
                <w:sz w:val="18"/>
                <w:szCs w:val="18"/>
              </w:rPr>
              <w:t>资产 重组 时所 作承 诺</w:t>
            </w:r>
          </w:p>
        </w:tc>
        <w:tc>
          <w:tcPr>
            <w:tcW w:w="993" w:type="dxa"/>
            <w:vMerge/>
            <w:tcBorders>
              <w:left w:val="single" w:sz="9" w:space="0" w:color="D2D2D2"/>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8079"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c>
          <w:tcPr>
            <w:tcW w:w="1534" w:type="dxa"/>
            <w:vMerge/>
            <w:tcBorders>
              <w:left w:val="single" w:sz="4" w:space="0" w:color="000000"/>
              <w:bottom w:val="single" w:sz="4" w:space="0" w:color="000000"/>
              <w:right w:val="single" w:sz="4" w:space="0" w:color="000000"/>
            </w:tcBorders>
          </w:tcPr>
          <w:p>
            <w:pPr/>
          </w:p>
        </w:tc>
      </w:tr>
      <w:tr>
        <w:trPr>
          <w:trHeight w:val="1269" w:hRule="exact"/>
        </w:trPr>
        <w:tc>
          <w:tcPr>
            <w:tcW w:w="568" w:type="dxa"/>
            <w:vMerge/>
            <w:tcBorders>
              <w:left w:val="single" w:sz="4" w:space="0" w:color="000000"/>
              <w:bottom w:val="nil" w:sz="6" w:space="0" w:color="auto"/>
              <w:right w:val="single" w:sz="4" w:space="0" w:color="000000"/>
            </w:tcBorders>
            <w:shd w:val="clear" w:color="auto" w:fill="D2D2D2"/>
          </w:tcPr>
          <w:p>
            <w:pPr/>
          </w:p>
        </w:tc>
        <w:tc>
          <w:tcPr>
            <w:tcW w:w="993" w:type="dxa"/>
            <w:vMerge w:val="restart"/>
            <w:tcBorders>
              <w:top w:val="single" w:sz="4" w:space="0" w:color="000000"/>
              <w:left w:val="single" w:sz="9" w:space="0" w:color="D2D2D2"/>
              <w:right w:val="single" w:sz="4" w:space="0" w:color="000000"/>
            </w:tcBorders>
          </w:tcPr>
          <w:p>
            <w:pPr>
              <w:pStyle w:val="TableParagraph"/>
              <w:spacing w:line="316" w:lineRule="auto" w:before="53"/>
              <w:ind w:left="16" w:right="58"/>
              <w:jc w:val="left"/>
              <w:rPr>
                <w:rFonts w:ascii="宋体" w:hAnsi="宋体" w:cs="宋体" w:eastAsia="宋体" w:hint="default"/>
                <w:sz w:val="18"/>
                <w:szCs w:val="18"/>
              </w:rPr>
            </w:pPr>
            <w:r>
              <w:rPr>
                <w:rFonts w:ascii="宋体" w:hAnsi="宋体" w:cs="宋体" w:eastAsia="宋体" w:hint="default"/>
                <w:sz w:val="18"/>
                <w:szCs w:val="18"/>
              </w:rPr>
              <w:t>上海今耀投 资控股有限 公司</w:t>
            </w:r>
            <w:r>
              <w:rPr>
                <w:rFonts w:ascii="宋体" w:hAnsi="宋体" w:cs="宋体" w:eastAsia="宋体" w:hint="default"/>
                <w:sz w:val="18"/>
                <w:szCs w:val="18"/>
              </w:rPr>
              <w:t>;</w:t>
            </w:r>
            <w:r>
              <w:rPr>
                <w:rFonts w:ascii="宋体" w:hAnsi="宋体" w:cs="宋体" w:eastAsia="宋体" w:hint="default"/>
                <w:sz w:val="18"/>
                <w:szCs w:val="18"/>
              </w:rPr>
              <w:t>上海 易晋网络科 技有限公 司</w:t>
            </w:r>
            <w:r>
              <w:rPr>
                <w:rFonts w:ascii="宋体" w:hAnsi="宋体" w:cs="宋体" w:eastAsia="宋体" w:hint="default"/>
                <w:sz w:val="18"/>
                <w:szCs w:val="18"/>
              </w:rPr>
              <w:t>;</w:t>
            </w:r>
            <w:r>
              <w:rPr>
                <w:rFonts w:ascii="宋体" w:hAnsi="宋体" w:cs="宋体" w:eastAsia="宋体" w:hint="default"/>
                <w:sz w:val="18"/>
                <w:szCs w:val="18"/>
              </w:rPr>
              <w:t>深圳市 隽川科技有</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8079" w:type="dxa"/>
            <w:vMerge w:val="restart"/>
            <w:tcBorders>
              <w:top w:val="single" w:sz="4" w:space="0" w:color="000000"/>
              <w:left w:val="single" w:sz="4" w:space="0" w:color="000000"/>
              <w:right w:val="single" w:sz="4" w:space="0" w:color="000000"/>
            </w:tcBorders>
          </w:tcPr>
          <w:p>
            <w:pPr>
              <w:pStyle w:val="TableParagraph"/>
              <w:spacing w:line="316" w:lineRule="auto" w:before="53"/>
              <w:ind w:left="22" w:right="20"/>
              <w:jc w:val="both"/>
              <w:rPr>
                <w:rFonts w:ascii="宋体" w:hAnsi="宋体" w:cs="宋体" w:eastAsia="宋体" w:hint="default"/>
                <w:sz w:val="18"/>
                <w:szCs w:val="18"/>
              </w:rPr>
            </w:pPr>
            <w:r>
              <w:rPr>
                <w:rFonts w:ascii="宋体" w:hAnsi="宋体" w:cs="宋体" w:eastAsia="宋体" w:hint="default"/>
                <w:spacing w:val="-2"/>
                <w:sz w:val="18"/>
                <w:szCs w:val="18"/>
              </w:rPr>
              <w:t>猎鹰网络各交易对方通过本次交易取得的智度投资新增股份，自新增股份上市之日起三十六个月内不得</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以任何形式转让；并承诺在上述法定限售期满后履行以下分期解锁义务：</w:t>
            </w:r>
            <w:r>
              <w:rPr>
                <w:rFonts w:ascii="宋体" w:hAnsi="宋体" w:cs="宋体" w:eastAsia="宋体" w:hint="default"/>
                <w:spacing w:val="-2"/>
                <w:sz w:val="18"/>
                <w:szCs w:val="18"/>
              </w:rPr>
              <w:t>I.</w:t>
            </w:r>
            <w:r>
              <w:rPr>
                <w:rFonts w:ascii="宋体" w:hAnsi="宋体" w:cs="宋体" w:eastAsia="宋体" w:hint="default"/>
                <w:spacing w:val="-2"/>
                <w:sz w:val="18"/>
                <w:szCs w:val="18"/>
              </w:rPr>
              <w:t>自新增股份上市之日起三十</w:t>
            </w:r>
            <w:r>
              <w:rPr>
                <w:rFonts w:ascii="宋体" w:hAnsi="宋体" w:cs="宋体" w:eastAsia="宋体" w:hint="default"/>
                <w:spacing w:val="-76"/>
                <w:sz w:val="18"/>
                <w:szCs w:val="18"/>
              </w:rPr>
              <w:t> </w:t>
            </w:r>
            <w:r>
              <w:rPr>
                <w:rFonts w:ascii="宋体" w:hAnsi="宋体" w:cs="宋体" w:eastAsia="宋体" w:hint="default"/>
                <w:sz w:val="18"/>
                <w:szCs w:val="18"/>
              </w:rPr>
              <w:t>六个月届满后且标的公司完成本公司相应</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年度至</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年度的业绩承诺，在注册会计师出具</w:t>
            </w:r>
            <w:r>
              <w:rPr>
                <w:rFonts w:ascii="宋体" w:hAnsi="宋体" w:cs="宋体" w:eastAsia="宋体" w:hint="default"/>
                <w:spacing w:val="-46"/>
                <w:sz w:val="18"/>
                <w:szCs w:val="18"/>
              </w:rPr>
              <w:t> </w:t>
            </w:r>
            <w:r>
              <w:rPr>
                <w:rFonts w:ascii="宋体" w:hAnsi="宋体" w:cs="宋体" w:eastAsia="宋体" w:hint="default"/>
                <w:sz w:val="18"/>
                <w:szCs w:val="18"/>
              </w:rPr>
              <w:t>2018</w:t>
            </w:r>
          </w:p>
          <w:p>
            <w:pPr>
              <w:pStyle w:val="TableParagraph"/>
              <w:spacing w:line="316" w:lineRule="auto" w:before="19"/>
              <w:ind w:left="22" w:right="21"/>
              <w:jc w:val="both"/>
              <w:rPr>
                <w:rFonts w:ascii="宋体" w:hAnsi="宋体" w:cs="宋体" w:eastAsia="宋体" w:hint="default"/>
                <w:sz w:val="18"/>
                <w:szCs w:val="18"/>
              </w:rPr>
            </w:pPr>
            <w:r>
              <w:rPr>
                <w:rFonts w:ascii="宋体" w:hAnsi="宋体" w:cs="宋体" w:eastAsia="宋体" w:hint="default"/>
                <w:sz w:val="18"/>
                <w:szCs w:val="18"/>
              </w:rPr>
              <w:t>年度标的资产盈利预测实现情况专项审核报告、减值测试专项审核报告后</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个工作日起，本公司可解 锁持有的全部股份</w:t>
            </w:r>
            <w:r>
              <w:rPr>
                <w:rFonts w:ascii="宋体" w:hAnsi="宋体" w:cs="宋体" w:eastAsia="宋体" w:hint="default"/>
                <w:sz w:val="18"/>
                <w:szCs w:val="18"/>
              </w:rPr>
              <w:t>(</w:t>
            </w:r>
            <w:r>
              <w:rPr>
                <w:rFonts w:ascii="宋体" w:hAnsi="宋体" w:cs="宋体" w:eastAsia="宋体" w:hint="default"/>
                <w:sz w:val="18"/>
                <w:szCs w:val="18"/>
              </w:rPr>
              <w:t>需减去已用于业绩补偿、标的资产减值补偿的股份数</w:t>
            </w:r>
            <w:r>
              <w:rPr>
                <w:rFonts w:ascii="宋体" w:hAnsi="宋体" w:cs="宋体" w:eastAsia="宋体" w:hint="default"/>
                <w:sz w:val="18"/>
                <w:szCs w:val="18"/>
              </w:rPr>
              <w:t>)</w:t>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z w:val="18"/>
                <w:szCs w:val="18"/>
              </w:rPr>
              <w:t>；前述关于</w:t>
            </w:r>
            <w:r>
              <w:rPr>
                <w:rFonts w:ascii="宋体" w:hAnsi="宋体" w:cs="宋体" w:eastAsia="宋体" w:hint="default"/>
                <w:sz w:val="18"/>
                <w:szCs w:val="18"/>
              </w:rPr>
              <w:t>"</w:t>
            </w:r>
            <w:r>
              <w:rPr>
                <w:rFonts w:ascii="宋体" w:hAnsi="宋体" w:cs="宋体" w:eastAsia="宋体" w:hint="default"/>
                <w:sz w:val="18"/>
                <w:szCs w:val="18"/>
              </w:rPr>
              <w:t>标的公司 完成其相应</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年度至</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年度的业绩承诺</w:t>
            </w:r>
            <w:r>
              <w:rPr>
                <w:rFonts w:ascii="宋体" w:hAnsi="宋体" w:cs="宋体" w:eastAsia="宋体" w:hint="default"/>
                <w:sz w:val="18"/>
                <w:szCs w:val="18"/>
              </w:rPr>
              <w:t>"</w:t>
            </w:r>
            <w:r>
              <w:rPr>
                <w:rFonts w:ascii="宋体" w:hAnsi="宋体" w:cs="宋体" w:eastAsia="宋体" w:hint="default"/>
                <w:sz w:val="18"/>
                <w:szCs w:val="18"/>
              </w:rPr>
              <w:t>包括了其实现了承诺的业绩以及未实现承诺业绩但补偿 </w:t>
            </w:r>
            <w:r>
              <w:rPr>
                <w:rFonts w:ascii="宋体" w:hAnsi="宋体" w:cs="宋体" w:eastAsia="宋体" w:hint="default"/>
                <w:spacing w:val="-2"/>
                <w:sz w:val="18"/>
                <w:szCs w:val="18"/>
              </w:rPr>
              <w:t>义务人承担了补偿责任的两种情形，并在第二种情形下，可解锁的股份为股份补偿后业绩承诺人所持智</w:t>
            </w:r>
          </w:p>
        </w:tc>
        <w:tc>
          <w:tcPr>
            <w:tcW w:w="11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五年</w:t>
            </w:r>
          </w:p>
        </w:tc>
        <w:tc>
          <w:tcPr>
            <w:tcW w:w="15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966" w:hRule="exact"/>
        </w:trPr>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3" w:type="dxa"/>
            <w:vMerge/>
            <w:tcBorders>
              <w:left w:val="single" w:sz="9" w:space="0" w:color="D2D2D2"/>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8079"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c>
          <w:tcPr>
            <w:tcW w:w="1534" w:type="dxa"/>
            <w:vMerge/>
            <w:tcBorders>
              <w:left w:val="single" w:sz="4" w:space="0" w:color="000000"/>
              <w:bottom w:val="single" w:sz="4" w:space="0" w:color="000000"/>
              <w:right w:val="single" w:sz="4" w:space="0" w:color="000000"/>
            </w:tcBorders>
          </w:tcPr>
          <w:p>
            <w:pPr/>
          </w:p>
        </w:tc>
      </w:tr>
    </w:tbl>
    <w:p>
      <w:pPr>
        <w:spacing w:after="0"/>
        <w:sectPr>
          <w:headerReference w:type="default" r:id="rId24"/>
          <w:footerReference w:type="default" r:id="rId25"/>
          <w:pgSz w:w="16840" w:h="11910" w:orient="landscape"/>
          <w:pgMar w:header="867" w:footer="1187" w:top="1060" w:bottom="1380" w:left="1300" w:right="0"/>
          <w:pgNumType w:start="42"/>
        </w:sectPr>
      </w:pPr>
    </w:p>
    <w:p>
      <w:pPr>
        <w:spacing w:line="240" w:lineRule="auto" w:before="0"/>
        <w:rPr>
          <w:rFonts w:ascii="宋体" w:hAnsi="宋体" w:cs="宋体" w:eastAsia="宋体" w:hint="default"/>
          <w:sz w:val="20"/>
          <w:szCs w:val="20"/>
        </w:rPr>
      </w:pPr>
      <w:r>
        <w:rPr/>
        <w:pict>
          <v:shape style="position:absolute;margin-left:71.760002pt;margin-top:55.260006pt;width:702.45pt;height:463.95pt;mso-position-horizontal-relative:page;mso-position-vertical-relative:page;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7"/>
                    <w:gridCol w:w="993"/>
                    <w:gridCol w:w="709"/>
                    <w:gridCol w:w="8079"/>
                    <w:gridCol w:w="1127"/>
                    <w:gridCol w:w="1025"/>
                    <w:gridCol w:w="1534"/>
                  </w:tblGrid>
                  <w:tr>
                    <w:trPr>
                      <w:trHeight w:val="1001" w:hRule="exact"/>
                    </w:trPr>
                    <w:tc>
                      <w:tcPr>
                        <w:tcW w:w="567" w:type="dxa"/>
                        <w:vMerge w:val="restart"/>
                        <w:tcBorders>
                          <w:top w:val="single" w:sz="15" w:space="0" w:color="000000"/>
                          <w:left w:val="single" w:sz="4" w:space="0" w:color="000000"/>
                          <w:right w:val="single" w:sz="4" w:space="0" w:color="000000"/>
                        </w:tcBorders>
                        <w:shd w:val="clear" w:color="auto" w:fill="D2D2D2"/>
                      </w:tcPr>
                      <w:p>
                        <w:pPr/>
                      </w:p>
                    </w:tc>
                    <w:tc>
                      <w:tcPr>
                        <w:tcW w:w="99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09" w:type="dxa"/>
                        <w:tcBorders>
                          <w:top w:val="single" w:sz="15" w:space="0" w:color="000000"/>
                          <w:left w:val="single" w:sz="4" w:space="0" w:color="000000"/>
                          <w:bottom w:val="single" w:sz="4" w:space="0" w:color="000000"/>
                          <w:right w:val="single" w:sz="4" w:space="0" w:color="000000"/>
                        </w:tcBorders>
                      </w:tcPr>
                      <w:p>
                        <w:pPr/>
                      </w:p>
                    </w:tc>
                    <w:tc>
                      <w:tcPr>
                        <w:tcW w:w="8079"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20"/>
                          <w:jc w:val="both"/>
                          <w:rPr>
                            <w:rFonts w:ascii="宋体" w:hAnsi="宋体" w:cs="宋体" w:eastAsia="宋体" w:hint="default"/>
                            <w:sz w:val="18"/>
                            <w:szCs w:val="18"/>
                          </w:rPr>
                        </w:pPr>
                        <w:r>
                          <w:rPr>
                            <w:rFonts w:ascii="宋体" w:hAnsi="宋体" w:cs="宋体" w:eastAsia="宋体" w:hint="default"/>
                            <w:sz w:val="18"/>
                            <w:szCs w:val="18"/>
                          </w:rPr>
                          <w:t>度投资股份总数</w:t>
                        </w:r>
                        <w:r>
                          <w:rPr>
                            <w:rFonts w:ascii="宋体" w:hAnsi="宋体" w:cs="宋体" w:eastAsia="宋体" w:hint="default"/>
                            <w:sz w:val="18"/>
                            <w:szCs w:val="18"/>
                          </w:rPr>
                          <w:t>(</w:t>
                        </w:r>
                        <w:r>
                          <w:rPr>
                            <w:rFonts w:ascii="宋体" w:hAnsi="宋体" w:cs="宋体" w:eastAsia="宋体" w:hint="default"/>
                            <w:sz w:val="18"/>
                            <w:szCs w:val="18"/>
                          </w:rPr>
                          <w:t>需减去已用于业绩补偿的股份数</w:t>
                        </w:r>
                        <w:r>
                          <w:rPr>
                            <w:rFonts w:ascii="宋体" w:hAnsi="宋体" w:cs="宋体" w:eastAsia="宋体" w:hint="default"/>
                            <w:sz w:val="18"/>
                            <w:szCs w:val="18"/>
                          </w:rPr>
                          <w:t>)</w:t>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z w:val="18"/>
                            <w:szCs w:val="18"/>
                          </w:rPr>
                          <w:t>，以下类同；</w:t>
                        </w:r>
                        <w:r>
                          <w:rPr>
                            <w:rFonts w:ascii="宋体" w:hAnsi="宋体" w:cs="宋体" w:eastAsia="宋体" w:hint="default"/>
                            <w:sz w:val="18"/>
                            <w:szCs w:val="18"/>
                          </w:rPr>
                          <w:t>II.</w:t>
                        </w:r>
                        <w:r>
                          <w:rPr>
                            <w:rFonts w:ascii="宋体" w:hAnsi="宋体" w:cs="宋体" w:eastAsia="宋体" w:hint="default"/>
                            <w:sz w:val="18"/>
                            <w:szCs w:val="18"/>
                          </w:rPr>
                          <w:t>自新增股份上市之日起四十 八个月届满后，本公司可解锁其持有的全部</w:t>
                        </w:r>
                        <w:r>
                          <w:rPr>
                            <w:rFonts w:ascii="宋体" w:hAnsi="宋体" w:cs="宋体" w:eastAsia="宋体" w:hint="default"/>
                            <w:sz w:val="18"/>
                            <w:szCs w:val="18"/>
                          </w:rPr>
                          <w:t>(</w:t>
                        </w:r>
                        <w:r>
                          <w:rPr>
                            <w:rFonts w:ascii="宋体" w:hAnsi="宋体" w:cs="宋体" w:eastAsia="宋体" w:hint="default"/>
                            <w:sz w:val="18"/>
                            <w:szCs w:val="18"/>
                          </w:rPr>
                          <w:t>需减去已用于业绩补偿的股份数</w:t>
                        </w:r>
                        <w:r>
                          <w:rPr>
                            <w:rFonts w:ascii="宋体" w:hAnsi="宋体" w:cs="宋体" w:eastAsia="宋体" w:hint="default"/>
                            <w:sz w:val="18"/>
                            <w:szCs w:val="18"/>
                          </w:rPr>
                          <w:t>)</w:t>
                        </w:r>
                        <w:r>
                          <w:rPr>
                            <w:rFonts w:ascii="宋体" w:hAnsi="宋体" w:cs="宋体" w:eastAsia="宋体" w:hint="default"/>
                            <w:sz w:val="18"/>
                            <w:szCs w:val="18"/>
                          </w:rPr>
                          <w:t>的</w:t>
                        </w:r>
                        <w:r>
                          <w:rPr>
                            <w:rFonts w:ascii="宋体" w:hAnsi="宋体" w:cs="宋体" w:eastAsia="宋体" w:hint="default"/>
                            <w:spacing w:val="-70"/>
                            <w:sz w:val="18"/>
                            <w:szCs w:val="18"/>
                          </w:rPr>
                          <w:t> </w:t>
                        </w:r>
                        <w:r>
                          <w:rPr>
                            <w:rFonts w:ascii="宋体" w:hAnsi="宋体" w:cs="宋体" w:eastAsia="宋体" w:hint="default"/>
                            <w:sz w:val="18"/>
                            <w:szCs w:val="18"/>
                          </w:rPr>
                          <w:t>50%</w:t>
                        </w:r>
                        <w:r>
                          <w:rPr>
                            <w:rFonts w:ascii="宋体" w:hAnsi="宋体" w:cs="宋体" w:eastAsia="宋体" w:hint="default"/>
                            <w:sz w:val="18"/>
                            <w:szCs w:val="18"/>
                          </w:rPr>
                          <w:t>；</w:t>
                        </w:r>
                        <w:r>
                          <w:rPr>
                            <w:rFonts w:ascii="宋体" w:hAnsi="宋体" w:cs="宋体" w:eastAsia="宋体" w:hint="default"/>
                            <w:sz w:val="18"/>
                            <w:szCs w:val="18"/>
                          </w:rPr>
                          <w:t>III.</w:t>
                        </w:r>
                        <w:r>
                          <w:rPr>
                            <w:rFonts w:ascii="宋体" w:hAnsi="宋体" w:cs="宋体" w:eastAsia="宋体" w:hint="default"/>
                            <w:sz w:val="18"/>
                            <w:szCs w:val="18"/>
                          </w:rPr>
                          <w:t>自新增股份 上市之日起六十个月届满后，本公司可解锁其他全部未解锁部分股份。</w:t>
                        </w:r>
                      </w:p>
                    </w:tc>
                    <w:tc>
                      <w:tcPr>
                        <w:tcW w:w="1127" w:type="dxa"/>
                        <w:tcBorders>
                          <w:top w:val="single" w:sz="15" w:space="0" w:color="000000"/>
                          <w:left w:val="single" w:sz="4" w:space="0" w:color="000000"/>
                          <w:bottom w:val="single" w:sz="4" w:space="0" w:color="000000"/>
                          <w:right w:val="single" w:sz="4" w:space="0" w:color="000000"/>
                        </w:tcBorders>
                      </w:tcPr>
                      <w:p>
                        <w:pPr/>
                      </w:p>
                    </w:tc>
                    <w:tc>
                      <w:tcPr>
                        <w:tcW w:w="1025" w:type="dxa"/>
                        <w:tcBorders>
                          <w:top w:val="single" w:sz="15" w:space="0" w:color="000000"/>
                          <w:left w:val="single" w:sz="4" w:space="0" w:color="000000"/>
                          <w:bottom w:val="single" w:sz="4" w:space="0" w:color="000000"/>
                          <w:right w:val="single" w:sz="4" w:space="0" w:color="000000"/>
                        </w:tcBorders>
                      </w:tcPr>
                      <w:p>
                        <w:pPr/>
                      </w:p>
                    </w:tc>
                    <w:tc>
                      <w:tcPr>
                        <w:tcW w:w="1534" w:type="dxa"/>
                        <w:tcBorders>
                          <w:top w:val="single" w:sz="15" w:space="0" w:color="000000"/>
                          <w:left w:val="single" w:sz="4" w:space="0" w:color="000000"/>
                          <w:bottom w:val="single" w:sz="4" w:space="0" w:color="000000"/>
                          <w:right w:val="single" w:sz="4" w:space="0" w:color="000000"/>
                        </w:tcBorders>
                      </w:tcPr>
                      <w:p>
                        <w:pPr/>
                      </w:p>
                    </w:tc>
                  </w:tr>
                  <w:tr>
                    <w:trPr>
                      <w:trHeight w:val="7267" w:hRule="exact"/>
                    </w:trPr>
                    <w:tc>
                      <w:tcPr>
                        <w:tcW w:w="567" w:type="dxa"/>
                        <w:vMerge/>
                        <w:tcBorders>
                          <w:left w:val="single" w:sz="4" w:space="0" w:color="000000"/>
                          <w:right w:val="single" w:sz="4" w:space="0" w:color="000000"/>
                        </w:tcBorders>
                        <w:shd w:val="clear" w:color="auto" w:fill="D2D2D2"/>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拉萨经济技 术开发区智 恒咨询有限 公司</w:t>
                        </w:r>
                        <w:r>
                          <w:rPr>
                            <w:rFonts w:ascii="宋体" w:hAnsi="宋体" w:cs="宋体" w:eastAsia="宋体" w:hint="default"/>
                            <w:sz w:val="18"/>
                            <w:szCs w:val="18"/>
                          </w:rPr>
                          <w:t>;</w:t>
                        </w:r>
                        <w:r>
                          <w:rPr>
                            <w:rFonts w:ascii="宋体" w:hAnsi="宋体" w:cs="宋体" w:eastAsia="宋体" w:hint="default"/>
                            <w:sz w:val="18"/>
                            <w:szCs w:val="18"/>
                          </w:rPr>
                          <w:t>刘伟</w:t>
                        </w:r>
                        <w:r>
                          <w:rPr>
                            <w:rFonts w:ascii="宋体" w:hAnsi="宋体" w:cs="宋体" w:eastAsia="宋体" w:hint="default"/>
                            <w:sz w:val="18"/>
                            <w:szCs w:val="18"/>
                          </w:rPr>
                          <w:t>; </w:t>
                        </w:r>
                        <w:r>
                          <w:rPr>
                            <w:rFonts w:ascii="宋体" w:hAnsi="宋体" w:cs="宋体" w:eastAsia="宋体" w:hint="default"/>
                            <w:sz w:val="18"/>
                            <w:szCs w:val="18"/>
                          </w:rPr>
                          <w:t>潘耀坚</w:t>
                        </w:r>
                        <w:r>
                          <w:rPr>
                            <w:rFonts w:ascii="宋体" w:hAnsi="宋体" w:cs="宋体" w:eastAsia="宋体" w:hint="default"/>
                            <w:sz w:val="18"/>
                            <w:szCs w:val="18"/>
                          </w:rPr>
                          <w:t>;</w:t>
                        </w:r>
                        <w:r>
                          <w:rPr>
                            <w:rFonts w:ascii="宋体" w:hAnsi="宋体" w:cs="宋体" w:eastAsia="宋体" w:hint="default"/>
                            <w:sz w:val="18"/>
                            <w:szCs w:val="18"/>
                          </w:rPr>
                          <w:t>上 海翌卓投资 管理有限公 司</w:t>
                        </w:r>
                        <w:r>
                          <w:rPr>
                            <w:rFonts w:ascii="宋体" w:hAnsi="宋体" w:cs="宋体" w:eastAsia="宋体" w:hint="default"/>
                            <w:sz w:val="18"/>
                            <w:szCs w:val="18"/>
                          </w:rPr>
                          <w:t>;</w:t>
                        </w:r>
                        <w:r>
                          <w:rPr>
                            <w:rFonts w:ascii="宋体" w:hAnsi="宋体" w:cs="宋体" w:eastAsia="宋体" w:hint="default"/>
                            <w:sz w:val="18"/>
                            <w:szCs w:val="18"/>
                          </w:rPr>
                          <w:t>深圳市 前海信中鼎 股权投资合 伙企业（有 限合伙）</w:t>
                        </w:r>
                        <w:r>
                          <w:rPr>
                            <w:rFonts w:ascii="宋体" w:hAnsi="宋体" w:cs="宋体" w:eastAsia="宋体" w:hint="default"/>
                            <w:sz w:val="18"/>
                            <w:szCs w:val="18"/>
                          </w:rPr>
                          <w:t>; </w:t>
                        </w:r>
                        <w:r>
                          <w:rPr>
                            <w:rFonts w:ascii="宋体" w:hAnsi="宋体" w:cs="宋体" w:eastAsia="宋体" w:hint="default"/>
                            <w:sz w:val="18"/>
                            <w:szCs w:val="18"/>
                          </w:rPr>
                          <w:t>昱烽晟泰投 资管理有限 公司</w:t>
                        </w:r>
                        <w:r>
                          <w:rPr>
                            <w:rFonts w:ascii="宋体" w:hAnsi="宋体" w:cs="宋体" w:eastAsia="宋体" w:hint="default"/>
                            <w:sz w:val="18"/>
                            <w:szCs w:val="18"/>
                          </w:rPr>
                          <w:t>;</w:t>
                        </w:r>
                        <w:r>
                          <w:rPr>
                            <w:rFonts w:ascii="宋体" w:hAnsi="宋体" w:cs="宋体" w:eastAsia="宋体" w:hint="default"/>
                            <w:sz w:val="18"/>
                            <w:szCs w:val="18"/>
                          </w:rPr>
                          <w:t>张丽 芬</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80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、本公司</w:t>
                        </w:r>
                        <w:r>
                          <w:rPr>
                            <w:rFonts w:ascii="宋体" w:hAnsi="宋体" w:cs="宋体" w:eastAsia="宋体" w:hint="default"/>
                            <w:spacing w:val="-2"/>
                            <w:sz w:val="18"/>
                            <w:szCs w:val="18"/>
                          </w:rPr>
                          <w:t>/</w:t>
                        </w:r>
                        <w:r>
                          <w:rPr>
                            <w:rFonts w:ascii="宋体" w:hAnsi="宋体" w:cs="宋体" w:eastAsia="宋体" w:hint="default"/>
                            <w:spacing w:val="-2"/>
                            <w:sz w:val="18"/>
                            <w:szCs w:val="18"/>
                          </w:rPr>
                          <w:t>本人通过本次交易取得的智度投资新增股份，自新增股份上市之日起三十六个月内不得以任</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何形式转让；并承诺在上述法定限售期满后履行以下分期解锁义务：</w:t>
                        </w:r>
                        <w:r>
                          <w:rPr>
                            <w:rFonts w:ascii="宋体" w:hAnsi="宋体" w:cs="宋体" w:eastAsia="宋体" w:hint="default"/>
                            <w:spacing w:val="-2"/>
                            <w:sz w:val="18"/>
                            <w:szCs w:val="18"/>
                          </w:rPr>
                          <w:t>I.</w:t>
                        </w:r>
                        <w:r>
                          <w:rPr>
                            <w:rFonts w:ascii="宋体" w:hAnsi="宋体" w:cs="宋体" w:eastAsia="宋体" w:hint="default"/>
                            <w:spacing w:val="-2"/>
                            <w:sz w:val="18"/>
                            <w:szCs w:val="18"/>
                          </w:rPr>
                          <w:t>自新增股份上市之日起三十六个</w:t>
                        </w:r>
                        <w:r>
                          <w:rPr>
                            <w:rFonts w:ascii="宋体" w:hAnsi="宋体" w:cs="宋体" w:eastAsia="宋体" w:hint="default"/>
                            <w:spacing w:val="-76"/>
                            <w:sz w:val="18"/>
                            <w:szCs w:val="18"/>
                          </w:rPr>
                          <w:t> </w:t>
                        </w:r>
                        <w:r>
                          <w:rPr>
                            <w:rFonts w:ascii="宋体" w:hAnsi="宋体" w:cs="宋体" w:eastAsia="宋体" w:hint="default"/>
                            <w:sz w:val="18"/>
                            <w:szCs w:val="18"/>
                          </w:rPr>
                          <w:t>月届满后且标的公司完成本公司相应</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年度至</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年度的业绩承诺，在注册会计师出具</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年度</w:t>
                        </w:r>
                      </w:p>
                      <w:p>
                        <w:pPr>
                          <w:pStyle w:val="TableParagraph"/>
                          <w:spacing w:line="316" w:lineRule="auto" w:before="19"/>
                          <w:ind w:left="22" w:right="20"/>
                          <w:jc w:val="both"/>
                          <w:rPr>
                            <w:rFonts w:ascii="宋体" w:hAnsi="宋体" w:cs="宋体" w:eastAsia="宋体" w:hint="default"/>
                            <w:sz w:val="18"/>
                            <w:szCs w:val="18"/>
                          </w:rPr>
                        </w:pPr>
                        <w:r>
                          <w:rPr>
                            <w:rFonts w:ascii="宋体" w:hAnsi="宋体" w:cs="宋体" w:eastAsia="宋体" w:hint="default"/>
                            <w:sz w:val="18"/>
                            <w:szCs w:val="18"/>
                          </w:rPr>
                          <w:t>标的资产盈利预测实现情况专项审核报告、减值测试专项审核报告后</w:t>
                        </w:r>
                        <w:r>
                          <w:rPr>
                            <w:rFonts w:ascii="宋体" w:hAnsi="宋体" w:cs="宋体" w:eastAsia="宋体" w:hint="default"/>
                            <w:spacing w:val="-62"/>
                            <w:sz w:val="18"/>
                            <w:szCs w:val="18"/>
                          </w:rPr>
                          <w:t> </w:t>
                        </w:r>
                        <w:r>
                          <w:rPr>
                            <w:rFonts w:ascii="宋体" w:hAnsi="宋体" w:cs="宋体" w:eastAsia="宋体" w:hint="default"/>
                            <w:sz w:val="18"/>
                            <w:szCs w:val="18"/>
                          </w:rPr>
                          <w:t>30</w:t>
                        </w:r>
                        <w:r>
                          <w:rPr>
                            <w:rFonts w:ascii="宋体" w:hAnsi="宋体" w:cs="宋体" w:eastAsia="宋体" w:hint="default"/>
                            <w:spacing w:val="-61"/>
                            <w:sz w:val="18"/>
                            <w:szCs w:val="18"/>
                          </w:rPr>
                          <w:t> </w:t>
                        </w:r>
                        <w:r>
                          <w:rPr>
                            <w:rFonts w:ascii="宋体" w:hAnsi="宋体" w:cs="宋体" w:eastAsia="宋体" w:hint="default"/>
                            <w:spacing w:val="-3"/>
                            <w:sz w:val="18"/>
                            <w:szCs w:val="18"/>
                          </w:rPr>
                          <w:t>个工作日起，本公司</w:t>
                        </w:r>
                        <w:r>
                          <w:rPr>
                            <w:rFonts w:ascii="宋体" w:hAnsi="宋体" w:cs="宋体" w:eastAsia="宋体" w:hint="default"/>
                            <w:spacing w:val="-3"/>
                            <w:sz w:val="18"/>
                            <w:szCs w:val="18"/>
                          </w:rPr>
                          <w:t>/</w:t>
                        </w:r>
                        <w:r>
                          <w:rPr>
                            <w:rFonts w:ascii="宋体" w:hAnsi="宋体" w:cs="宋体" w:eastAsia="宋体" w:hint="default"/>
                            <w:spacing w:val="-3"/>
                            <w:sz w:val="18"/>
                            <w:szCs w:val="18"/>
                          </w:rPr>
                          <w:t>本人可解</w:t>
                        </w:r>
                        <w:r>
                          <w:rPr>
                            <w:rFonts w:ascii="宋体" w:hAnsi="宋体" w:cs="宋体" w:eastAsia="宋体" w:hint="default"/>
                            <w:sz w:val="18"/>
                            <w:szCs w:val="18"/>
                          </w:rPr>
                          <w:t> 锁持有的全部股份</w:t>
                        </w:r>
                        <w:r>
                          <w:rPr>
                            <w:rFonts w:ascii="宋体" w:hAnsi="宋体" w:cs="宋体" w:eastAsia="宋体" w:hint="default"/>
                            <w:sz w:val="18"/>
                            <w:szCs w:val="18"/>
                          </w:rPr>
                          <w:t>(</w:t>
                        </w:r>
                        <w:r>
                          <w:rPr>
                            <w:rFonts w:ascii="宋体" w:hAnsi="宋体" w:cs="宋体" w:eastAsia="宋体" w:hint="default"/>
                            <w:sz w:val="18"/>
                            <w:szCs w:val="18"/>
                          </w:rPr>
                          <w:t>需减去已用于业绩补偿、标的资产减值补偿的股份数</w:t>
                        </w:r>
                        <w:r>
                          <w:rPr>
                            <w:rFonts w:ascii="宋体" w:hAnsi="宋体" w:cs="宋体" w:eastAsia="宋体" w:hint="default"/>
                            <w:sz w:val="18"/>
                            <w:szCs w:val="18"/>
                          </w:rPr>
                          <w:t>)</w:t>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z w:val="18"/>
                            <w:szCs w:val="18"/>
                          </w:rPr>
                          <w:t>；前述关于</w:t>
                        </w:r>
                        <w:r>
                          <w:rPr>
                            <w:rFonts w:ascii="宋体" w:hAnsi="宋体" w:cs="宋体" w:eastAsia="宋体" w:hint="default"/>
                            <w:sz w:val="18"/>
                            <w:szCs w:val="18"/>
                          </w:rPr>
                          <w:t>"</w:t>
                        </w:r>
                        <w:r>
                          <w:rPr>
                            <w:rFonts w:ascii="宋体" w:hAnsi="宋体" w:cs="宋体" w:eastAsia="宋体" w:hint="default"/>
                            <w:sz w:val="18"/>
                            <w:szCs w:val="18"/>
                          </w:rPr>
                          <w:t>标的公司 完成其相应</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年度至</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年度的业绩承诺</w:t>
                        </w:r>
                        <w:r>
                          <w:rPr>
                            <w:rFonts w:ascii="宋体" w:hAnsi="宋体" w:cs="宋体" w:eastAsia="宋体" w:hint="default"/>
                            <w:sz w:val="18"/>
                            <w:szCs w:val="18"/>
                          </w:rPr>
                          <w:t>"</w:t>
                        </w:r>
                        <w:r>
                          <w:rPr>
                            <w:rFonts w:ascii="宋体" w:hAnsi="宋体" w:cs="宋体" w:eastAsia="宋体" w:hint="default"/>
                            <w:sz w:val="18"/>
                            <w:szCs w:val="18"/>
                          </w:rPr>
                          <w:t>包括了其实现了承诺的业绩以及未实现承诺业绩但补偿 </w:t>
                        </w:r>
                        <w:r>
                          <w:rPr>
                            <w:rFonts w:ascii="宋体" w:hAnsi="宋体" w:cs="宋体" w:eastAsia="宋体" w:hint="default"/>
                            <w:spacing w:val="-2"/>
                            <w:sz w:val="18"/>
                            <w:szCs w:val="18"/>
                          </w:rPr>
                          <w:t>义务人承担了补偿责任的两种情形，并在第二种情形下，可解锁的股份为股份补偿后业绩承诺人所持智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度投资股份总数</w:t>
                        </w:r>
                        <w:r>
                          <w:rPr>
                            <w:rFonts w:ascii="宋体" w:hAnsi="宋体" w:cs="宋体" w:eastAsia="宋体" w:hint="default"/>
                            <w:sz w:val="18"/>
                            <w:szCs w:val="18"/>
                          </w:rPr>
                          <w:t>(</w:t>
                        </w:r>
                        <w:r>
                          <w:rPr>
                            <w:rFonts w:ascii="宋体" w:hAnsi="宋体" w:cs="宋体" w:eastAsia="宋体" w:hint="default"/>
                            <w:sz w:val="18"/>
                            <w:szCs w:val="18"/>
                          </w:rPr>
                          <w:t>需减去已用于业绩补偿的股份数</w:t>
                        </w:r>
                        <w:r>
                          <w:rPr>
                            <w:rFonts w:ascii="宋体" w:hAnsi="宋体" w:cs="宋体" w:eastAsia="宋体" w:hint="default"/>
                            <w:sz w:val="18"/>
                            <w:szCs w:val="18"/>
                          </w:rPr>
                          <w:t>)</w:t>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z w:val="18"/>
                            <w:szCs w:val="18"/>
                          </w:rPr>
                          <w:t>，以下类同；</w:t>
                        </w:r>
                        <w:r>
                          <w:rPr>
                            <w:rFonts w:ascii="宋体" w:hAnsi="宋体" w:cs="宋体" w:eastAsia="宋体" w:hint="default"/>
                            <w:sz w:val="18"/>
                            <w:szCs w:val="18"/>
                          </w:rPr>
                          <w:t>II.</w:t>
                        </w:r>
                        <w:r>
                          <w:rPr>
                            <w:rFonts w:ascii="宋体" w:hAnsi="宋体" w:cs="宋体" w:eastAsia="宋体" w:hint="default"/>
                            <w:sz w:val="18"/>
                            <w:szCs w:val="18"/>
                          </w:rPr>
                          <w:t>自新增股份上市之日起四十 八个月届满后，本公司</w:t>
                        </w:r>
                        <w:r>
                          <w:rPr>
                            <w:rFonts w:ascii="宋体" w:hAnsi="宋体" w:cs="宋体" w:eastAsia="宋体" w:hint="default"/>
                            <w:sz w:val="18"/>
                            <w:szCs w:val="18"/>
                          </w:rPr>
                          <w:t>/</w:t>
                        </w:r>
                        <w:r>
                          <w:rPr>
                            <w:rFonts w:ascii="宋体" w:hAnsi="宋体" w:cs="宋体" w:eastAsia="宋体" w:hint="default"/>
                            <w:sz w:val="18"/>
                            <w:szCs w:val="18"/>
                          </w:rPr>
                          <w:t>本人可解锁其持有的全部股份</w:t>
                        </w:r>
                        <w:r>
                          <w:rPr>
                            <w:rFonts w:ascii="宋体" w:hAnsi="宋体" w:cs="宋体" w:eastAsia="宋体" w:hint="default"/>
                            <w:sz w:val="18"/>
                            <w:szCs w:val="18"/>
                          </w:rPr>
                          <w:t>(</w:t>
                        </w:r>
                        <w:r>
                          <w:rPr>
                            <w:rFonts w:ascii="宋体" w:hAnsi="宋体" w:cs="宋体" w:eastAsia="宋体" w:hint="default"/>
                            <w:sz w:val="18"/>
                            <w:szCs w:val="18"/>
                          </w:rPr>
                          <w:t>需减去已用于业绩补偿的股份数</w:t>
                        </w:r>
                        <w:r>
                          <w:rPr>
                            <w:rFonts w:ascii="宋体" w:hAnsi="宋体" w:cs="宋体" w:eastAsia="宋体" w:hint="default"/>
                            <w:sz w:val="18"/>
                            <w:szCs w:val="18"/>
                          </w:rPr>
                          <w:t>)</w:t>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z w:val="18"/>
                            <w:szCs w:val="18"/>
                          </w:rPr>
                          <w:t>；</w:t>
                        </w:r>
                        <w:r>
                          <w:rPr>
                            <w:rFonts w:ascii="宋体" w:hAnsi="宋体" w:cs="宋体" w:eastAsia="宋体" w:hint="default"/>
                            <w:sz w:val="18"/>
                            <w:szCs w:val="18"/>
                          </w:rPr>
                          <w:t>III. </w:t>
                        </w:r>
                        <w:r>
                          <w:rPr>
                            <w:rFonts w:ascii="宋体" w:hAnsi="宋体" w:cs="宋体" w:eastAsia="宋体" w:hint="default"/>
                            <w:spacing w:val="-2"/>
                            <w:sz w:val="18"/>
                            <w:szCs w:val="18"/>
                          </w:rPr>
                          <w:t>自新增股份上市之日起六十个月届满后，本公司</w:t>
                        </w:r>
                        <w:r>
                          <w:rPr>
                            <w:rFonts w:ascii="宋体" w:hAnsi="宋体" w:cs="宋体" w:eastAsia="宋体" w:hint="default"/>
                            <w:spacing w:val="-2"/>
                            <w:sz w:val="18"/>
                            <w:szCs w:val="18"/>
                          </w:rPr>
                          <w:t>/</w:t>
                        </w:r>
                        <w:r>
                          <w:rPr>
                            <w:rFonts w:ascii="宋体" w:hAnsi="宋体" w:cs="宋体" w:eastAsia="宋体" w:hint="default"/>
                            <w:spacing w:val="-2"/>
                            <w:sz w:val="18"/>
                            <w:szCs w:val="18"/>
                          </w:rPr>
                          <w:t>本人可解锁其他全部未解锁部分股份；</w:t>
                        </w:r>
                        <w:r>
                          <w:rPr>
                            <w:rFonts w:ascii="宋体" w:hAnsi="宋体" w:cs="宋体" w:eastAsia="宋体" w:hint="default"/>
                            <w:spacing w:val="-2"/>
                            <w:sz w:val="18"/>
                            <w:szCs w:val="18"/>
                          </w:rPr>
                          <w:t>2</w:t>
                        </w:r>
                        <w:r>
                          <w:rPr>
                            <w:rFonts w:ascii="宋体" w:hAnsi="宋体" w:cs="宋体" w:eastAsia="宋体" w:hint="default"/>
                            <w:spacing w:val="-2"/>
                            <w:sz w:val="18"/>
                            <w:szCs w:val="18"/>
                          </w:rPr>
                          <w:t>、如截至本公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司</w:t>
                        </w:r>
                        <w:r>
                          <w:rPr>
                            <w:rFonts w:ascii="宋体" w:hAnsi="宋体" w:cs="宋体" w:eastAsia="宋体" w:hint="default"/>
                            <w:spacing w:val="-2"/>
                            <w:sz w:val="18"/>
                            <w:szCs w:val="18"/>
                          </w:rPr>
                          <w:t>/</w:t>
                        </w:r>
                        <w:r>
                          <w:rPr>
                            <w:rFonts w:ascii="宋体" w:hAnsi="宋体" w:cs="宋体" w:eastAsia="宋体" w:hint="default"/>
                            <w:spacing w:val="-2"/>
                            <w:sz w:val="18"/>
                            <w:szCs w:val="18"/>
                          </w:rPr>
                          <w:t>本人取得本次发行的股份时，本公司</w:t>
                        </w:r>
                        <w:r>
                          <w:rPr>
                            <w:rFonts w:ascii="宋体" w:hAnsi="宋体" w:cs="宋体" w:eastAsia="宋体" w:hint="default"/>
                            <w:spacing w:val="-2"/>
                            <w:sz w:val="18"/>
                            <w:szCs w:val="18"/>
                          </w:rPr>
                          <w:t>/</w:t>
                        </w:r>
                        <w:r>
                          <w:rPr>
                            <w:rFonts w:ascii="宋体" w:hAnsi="宋体" w:cs="宋体" w:eastAsia="宋体" w:hint="default"/>
                            <w:spacing w:val="-2"/>
                            <w:sz w:val="18"/>
                            <w:szCs w:val="18"/>
                          </w:rPr>
                          <w:t>本人用于认购股份的猎鹰网络资产持续拥有权益的时间已超过</w:t>
                        </w:r>
                        <w:r>
                          <w:rPr>
                            <w:rFonts w:ascii="宋体" w:hAnsi="宋体" w:cs="宋体" w:eastAsia="宋体" w:hint="default"/>
                            <w:spacing w:val="-75"/>
                            <w:sz w:val="18"/>
                            <w:szCs w:val="18"/>
                          </w:rPr>
                          <w:t> </w:t>
                        </w:r>
                        <w:r>
                          <w:rPr>
                            <w:rFonts w:ascii="宋体" w:hAnsi="宋体" w:cs="宋体" w:eastAsia="宋体" w:hint="default"/>
                            <w:sz w:val="18"/>
                            <w:szCs w:val="18"/>
                          </w:rPr>
                          <w:t>十二个月，则本公司</w:t>
                        </w:r>
                        <w:r>
                          <w:rPr>
                            <w:rFonts w:ascii="宋体" w:hAnsi="宋体" w:cs="宋体" w:eastAsia="宋体" w:hint="default"/>
                            <w:sz w:val="18"/>
                            <w:szCs w:val="18"/>
                          </w:rPr>
                          <w:t>/</w:t>
                        </w:r>
                        <w:r>
                          <w:rPr>
                            <w:rFonts w:ascii="宋体" w:hAnsi="宋体" w:cs="宋体" w:eastAsia="宋体" w:hint="default"/>
                            <w:sz w:val="18"/>
                            <w:szCs w:val="18"/>
                          </w:rPr>
                          <w:t>本人相应取得的股份，调整为自新增股份上市之日起十二个月内不得以任何形式 转让。相应在法定限售期满后履行以下分期解锁义务： </w:t>
                        </w:r>
                        <w:r>
                          <w:rPr>
                            <w:rFonts w:ascii="宋体" w:hAnsi="宋体" w:cs="宋体" w:eastAsia="宋体" w:hint="default"/>
                            <w:sz w:val="18"/>
                            <w:szCs w:val="18"/>
                          </w:rPr>
                          <w:t>I.</w:t>
                        </w:r>
                        <w:r>
                          <w:rPr>
                            <w:rFonts w:ascii="宋体" w:hAnsi="宋体" w:cs="宋体" w:eastAsia="宋体" w:hint="default"/>
                            <w:sz w:val="18"/>
                            <w:szCs w:val="18"/>
                          </w:rPr>
                          <w:t>自新增股份上市之日起十二个月届满后且标 的公司完成其相应</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年度的业绩承诺，在注册会计师出具</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年度标的资产盈利预测</w:t>
                        </w:r>
                      </w:p>
                      <w:p>
                        <w:pPr>
                          <w:pStyle w:val="TableParagraph"/>
                          <w:spacing w:line="316" w:lineRule="auto" w:before="19"/>
                          <w:ind w:left="22" w:right="20"/>
                          <w:jc w:val="both"/>
                          <w:rPr>
                            <w:rFonts w:ascii="宋体" w:hAnsi="宋体" w:cs="宋体" w:eastAsia="宋体" w:hint="default"/>
                            <w:sz w:val="18"/>
                            <w:szCs w:val="18"/>
                          </w:rPr>
                        </w:pPr>
                        <w:r>
                          <w:rPr>
                            <w:rFonts w:ascii="宋体" w:hAnsi="宋体" w:cs="宋体" w:eastAsia="宋体" w:hint="default"/>
                            <w:sz w:val="18"/>
                            <w:szCs w:val="18"/>
                          </w:rPr>
                          <w:t>实现情况专项审核报告后</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个工作日起，本公司</w:t>
                        </w:r>
                        <w:r>
                          <w:rPr>
                            <w:rFonts w:ascii="宋体" w:hAnsi="宋体" w:cs="宋体" w:eastAsia="宋体" w:hint="default"/>
                            <w:sz w:val="18"/>
                            <w:szCs w:val="18"/>
                          </w:rPr>
                          <w:t>/</w:t>
                        </w:r>
                        <w:r>
                          <w:rPr>
                            <w:rFonts w:ascii="宋体" w:hAnsi="宋体" w:cs="宋体" w:eastAsia="宋体" w:hint="default"/>
                            <w:sz w:val="18"/>
                            <w:szCs w:val="18"/>
                          </w:rPr>
                          <w:t>本人可解锁其持有的全部股份</w:t>
                        </w:r>
                        <w:r>
                          <w:rPr>
                            <w:rFonts w:ascii="宋体" w:hAnsi="宋体" w:cs="宋体" w:eastAsia="宋体" w:hint="default"/>
                            <w:sz w:val="18"/>
                            <w:szCs w:val="18"/>
                          </w:rPr>
                          <w:t>(</w:t>
                        </w:r>
                        <w:r>
                          <w:rPr>
                            <w:rFonts w:ascii="宋体" w:hAnsi="宋体" w:cs="宋体" w:eastAsia="宋体" w:hint="default"/>
                            <w:sz w:val="18"/>
                            <w:szCs w:val="18"/>
                          </w:rPr>
                          <w:t>需减去已用于业绩补 偿的股份数</w:t>
                        </w:r>
                        <w:r>
                          <w:rPr>
                            <w:rFonts w:ascii="宋体" w:hAnsi="宋体" w:cs="宋体" w:eastAsia="宋体" w:hint="default"/>
                            <w:sz w:val="18"/>
                            <w:szCs w:val="18"/>
                          </w:rPr>
                          <w:t>)</w:t>
                        </w:r>
                        <w:r>
                          <w:rPr>
                            <w:rFonts w:ascii="宋体" w:hAnsi="宋体" w:cs="宋体" w:eastAsia="宋体" w:hint="default"/>
                            <w:sz w:val="18"/>
                            <w:szCs w:val="18"/>
                          </w:rPr>
                          <w:t>的</w:t>
                        </w:r>
                        <w:r>
                          <w:rPr>
                            <w:rFonts w:ascii="宋体" w:hAnsi="宋体" w:cs="宋体" w:eastAsia="宋体" w:hint="default"/>
                            <w:spacing w:val="-56"/>
                            <w:sz w:val="18"/>
                            <w:szCs w:val="18"/>
                          </w:rPr>
                          <w:t> </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II.</w:t>
                        </w:r>
                        <w:r>
                          <w:rPr>
                            <w:rFonts w:ascii="宋体" w:hAnsi="宋体" w:cs="宋体" w:eastAsia="宋体" w:hint="default"/>
                            <w:sz w:val="18"/>
                            <w:szCs w:val="18"/>
                          </w:rPr>
                          <w:t>自新增股份上市之日起二十四个月届满后且标的公司完成其相应</w:t>
                        </w:r>
                        <w:r>
                          <w:rPr>
                            <w:rFonts w:ascii="宋体" w:hAnsi="宋体" w:cs="宋体" w:eastAsia="宋体" w:hint="default"/>
                            <w:spacing w:val="-56"/>
                            <w:sz w:val="18"/>
                            <w:szCs w:val="18"/>
                          </w:rPr>
                          <w:t> </w:t>
                        </w: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年度的业 </w:t>
                        </w:r>
                        <w:r>
                          <w:rPr>
                            <w:rFonts w:ascii="宋体" w:hAnsi="宋体" w:cs="宋体" w:eastAsia="宋体" w:hint="default"/>
                            <w:spacing w:val="-4"/>
                            <w:sz w:val="18"/>
                            <w:szCs w:val="18"/>
                          </w:rPr>
                          <w:t>绩承诺，在注册会计师出具</w:t>
                        </w:r>
                        <w:r>
                          <w:rPr>
                            <w:rFonts w:ascii="宋体" w:hAnsi="宋体" w:cs="宋体" w:eastAsia="宋体" w:hint="default"/>
                            <w:spacing w:val="-44"/>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年度标的资产盈利预测实现情况专项审核报告后</w:t>
                        </w:r>
                        <w:r>
                          <w:rPr>
                            <w:rFonts w:ascii="宋体" w:hAnsi="宋体" w:cs="宋体" w:eastAsia="宋体" w:hint="default"/>
                            <w:spacing w:val="-44"/>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pacing w:val="-5"/>
                            <w:sz w:val="18"/>
                            <w:szCs w:val="18"/>
                          </w:rPr>
                          <w:t>个工作日起，本公</w:t>
                        </w:r>
                        <w:r>
                          <w:rPr>
                            <w:rFonts w:ascii="宋体" w:hAnsi="宋体" w:cs="宋体" w:eastAsia="宋体" w:hint="default"/>
                            <w:sz w:val="18"/>
                            <w:szCs w:val="18"/>
                          </w:rPr>
                          <w:t> 司</w:t>
                        </w:r>
                        <w:r>
                          <w:rPr>
                            <w:rFonts w:ascii="宋体" w:hAnsi="宋体" w:cs="宋体" w:eastAsia="宋体" w:hint="default"/>
                            <w:sz w:val="18"/>
                            <w:szCs w:val="18"/>
                          </w:rPr>
                          <w:t>/</w:t>
                        </w:r>
                        <w:r>
                          <w:rPr>
                            <w:rFonts w:ascii="宋体" w:hAnsi="宋体" w:cs="宋体" w:eastAsia="宋体" w:hint="default"/>
                            <w:sz w:val="18"/>
                            <w:szCs w:val="18"/>
                          </w:rPr>
                          <w:t>本人可解锁其持有的全部股份</w:t>
                        </w:r>
                        <w:r>
                          <w:rPr>
                            <w:rFonts w:ascii="宋体" w:hAnsi="宋体" w:cs="宋体" w:eastAsia="宋体" w:hint="default"/>
                            <w:sz w:val="18"/>
                            <w:szCs w:val="18"/>
                          </w:rPr>
                          <w:t>(</w:t>
                        </w:r>
                        <w:r>
                          <w:rPr>
                            <w:rFonts w:ascii="宋体" w:hAnsi="宋体" w:cs="宋体" w:eastAsia="宋体" w:hint="default"/>
                            <w:sz w:val="18"/>
                            <w:szCs w:val="18"/>
                          </w:rPr>
                          <w:t>需减去已用于业绩补偿的股份数</w:t>
                        </w:r>
                        <w:r>
                          <w:rPr>
                            <w:rFonts w:ascii="宋体" w:hAnsi="宋体" w:cs="宋体" w:eastAsia="宋体" w:hint="default"/>
                            <w:sz w:val="18"/>
                            <w:szCs w:val="18"/>
                          </w:rPr>
                          <w:t>)</w:t>
                        </w:r>
                        <w:r>
                          <w:rPr>
                            <w:rFonts w:ascii="宋体" w:hAnsi="宋体" w:cs="宋体" w:eastAsia="宋体" w:hint="default"/>
                            <w:sz w:val="18"/>
                            <w:szCs w:val="18"/>
                          </w:rPr>
                          <w:t>的</w:t>
                        </w:r>
                        <w:r>
                          <w:rPr>
                            <w:rFonts w:ascii="宋体" w:hAnsi="宋体" w:cs="宋体" w:eastAsia="宋体" w:hint="default"/>
                            <w:spacing w:val="-71"/>
                            <w:sz w:val="18"/>
                            <w:szCs w:val="18"/>
                          </w:rPr>
                          <w:t> </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III.</w:t>
                        </w:r>
                        <w:r>
                          <w:rPr>
                            <w:rFonts w:ascii="宋体" w:hAnsi="宋体" w:cs="宋体" w:eastAsia="宋体" w:hint="default"/>
                            <w:sz w:val="18"/>
                            <w:szCs w:val="18"/>
                          </w:rPr>
                          <w:t>自新增股份上市之日起 三十六个月届满后且标的公司完成其</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pacing w:val="-5"/>
                            <w:sz w:val="18"/>
                            <w:szCs w:val="18"/>
                          </w:rPr>
                          <w:t>年度的业绩承诺，在注册会计师出具</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年度标的资产盈利</w:t>
                        </w:r>
                      </w:p>
                      <w:p>
                        <w:pPr>
                          <w:pStyle w:val="TableParagraph"/>
                          <w:spacing w:line="319" w:lineRule="auto" w:before="19"/>
                          <w:ind w:left="22" w:right="20"/>
                          <w:jc w:val="both"/>
                          <w:rPr>
                            <w:rFonts w:ascii="宋体" w:hAnsi="宋体" w:cs="宋体" w:eastAsia="宋体" w:hint="default"/>
                            <w:sz w:val="18"/>
                            <w:szCs w:val="18"/>
                          </w:rPr>
                        </w:pPr>
                        <w:r>
                          <w:rPr>
                            <w:rFonts w:ascii="宋体" w:hAnsi="宋体" w:cs="宋体" w:eastAsia="宋体" w:hint="default"/>
                            <w:spacing w:val="-2"/>
                            <w:sz w:val="18"/>
                            <w:szCs w:val="18"/>
                          </w:rPr>
                          <w:t>预测实现情况专项审核报告、减值测试专项审核报告后</w:t>
                        </w:r>
                        <w:r>
                          <w:rPr>
                            <w:rFonts w:ascii="宋体" w:hAnsi="宋体" w:cs="宋体" w:eastAsia="宋体" w:hint="default"/>
                            <w:spacing w:val="-42"/>
                            <w:sz w:val="18"/>
                            <w:szCs w:val="18"/>
                          </w:rPr>
                          <w:t> </w:t>
                        </w:r>
                        <w:r>
                          <w:rPr>
                            <w:rFonts w:ascii="宋体" w:hAnsi="宋体" w:cs="宋体" w:eastAsia="宋体" w:hint="default"/>
                            <w:sz w:val="18"/>
                            <w:szCs w:val="18"/>
                          </w:rPr>
                          <w:t>30</w:t>
                        </w:r>
                        <w:r>
                          <w:rPr>
                            <w:rFonts w:ascii="宋体" w:hAnsi="宋体" w:cs="宋体" w:eastAsia="宋体" w:hint="default"/>
                            <w:spacing w:val="-41"/>
                            <w:sz w:val="18"/>
                            <w:szCs w:val="18"/>
                          </w:rPr>
                          <w:t> </w:t>
                        </w:r>
                        <w:r>
                          <w:rPr>
                            <w:rFonts w:ascii="宋体" w:hAnsi="宋体" w:cs="宋体" w:eastAsia="宋体" w:hint="default"/>
                            <w:spacing w:val="-2"/>
                            <w:sz w:val="18"/>
                            <w:szCs w:val="18"/>
                          </w:rPr>
                          <w:t>个工作日起，本公司</w:t>
                        </w:r>
                        <w:r>
                          <w:rPr>
                            <w:rFonts w:ascii="宋体" w:hAnsi="宋体" w:cs="宋体" w:eastAsia="宋体" w:hint="default"/>
                            <w:spacing w:val="-2"/>
                            <w:sz w:val="18"/>
                            <w:szCs w:val="18"/>
                          </w:rPr>
                          <w:t>/</w:t>
                        </w:r>
                        <w:r>
                          <w:rPr>
                            <w:rFonts w:ascii="宋体" w:hAnsi="宋体" w:cs="宋体" w:eastAsia="宋体" w:hint="default"/>
                            <w:spacing w:val="-2"/>
                            <w:sz w:val="18"/>
                            <w:szCs w:val="18"/>
                          </w:rPr>
                          <w:t>本人可解锁其持有的全</w:t>
                        </w:r>
                        <w:r>
                          <w:rPr>
                            <w:rFonts w:ascii="宋体" w:hAnsi="宋体" w:cs="宋体" w:eastAsia="宋体" w:hint="default"/>
                            <w:sz w:val="18"/>
                            <w:szCs w:val="18"/>
                          </w:rPr>
                          <w:t> 部股份</w:t>
                        </w:r>
                        <w:r>
                          <w:rPr>
                            <w:rFonts w:ascii="宋体" w:hAnsi="宋体" w:cs="宋体" w:eastAsia="宋体" w:hint="default"/>
                            <w:sz w:val="18"/>
                            <w:szCs w:val="18"/>
                          </w:rPr>
                          <w:t>(</w:t>
                        </w:r>
                        <w:r>
                          <w:rPr>
                            <w:rFonts w:ascii="宋体" w:hAnsi="宋体" w:cs="宋体" w:eastAsia="宋体" w:hint="default"/>
                            <w:sz w:val="18"/>
                            <w:szCs w:val="18"/>
                          </w:rPr>
                          <w:t>需减去已用于业绩补偿、标的资产减值补偿的股份数</w:t>
                        </w:r>
                        <w:r>
                          <w:rPr>
                            <w:rFonts w:ascii="宋体" w:hAnsi="宋体" w:cs="宋体" w:eastAsia="宋体" w:hint="default"/>
                            <w:sz w:val="18"/>
                            <w:szCs w:val="18"/>
                          </w:rPr>
                          <w:t>)</w:t>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z w:val="18"/>
                            <w:szCs w:val="18"/>
                          </w:rPr>
                          <w:t>；</w:t>
                        </w:r>
                        <w:r>
                          <w:rPr>
                            <w:rFonts w:ascii="宋体" w:hAnsi="宋体" w:cs="宋体" w:eastAsia="宋体" w:hint="default"/>
                            <w:sz w:val="18"/>
                            <w:szCs w:val="18"/>
                          </w:rPr>
                          <w:t>IV.</w:t>
                        </w:r>
                        <w:r>
                          <w:rPr>
                            <w:rFonts w:ascii="宋体" w:hAnsi="宋体" w:cs="宋体" w:eastAsia="宋体" w:hint="default"/>
                            <w:sz w:val="18"/>
                            <w:szCs w:val="18"/>
                          </w:rPr>
                          <w:t>自新增股份上市之日起四十 八个月届满后，本公司</w:t>
                        </w:r>
                        <w:r>
                          <w:rPr>
                            <w:rFonts w:ascii="宋体" w:hAnsi="宋体" w:cs="宋体" w:eastAsia="宋体" w:hint="default"/>
                            <w:sz w:val="18"/>
                            <w:szCs w:val="18"/>
                          </w:rPr>
                          <w:t>/</w:t>
                        </w:r>
                        <w:r>
                          <w:rPr>
                            <w:rFonts w:ascii="宋体" w:hAnsi="宋体" w:cs="宋体" w:eastAsia="宋体" w:hint="default"/>
                            <w:sz w:val="18"/>
                            <w:szCs w:val="18"/>
                          </w:rPr>
                          <w:t>本人可解锁其持有的全部股份</w:t>
                        </w:r>
                        <w:r>
                          <w:rPr>
                            <w:rFonts w:ascii="宋体" w:hAnsi="宋体" w:cs="宋体" w:eastAsia="宋体" w:hint="default"/>
                            <w:sz w:val="18"/>
                            <w:szCs w:val="18"/>
                          </w:rPr>
                          <w:t>(</w:t>
                        </w:r>
                        <w:r>
                          <w:rPr>
                            <w:rFonts w:ascii="宋体" w:hAnsi="宋体" w:cs="宋体" w:eastAsia="宋体" w:hint="default"/>
                            <w:sz w:val="18"/>
                            <w:szCs w:val="18"/>
                          </w:rPr>
                          <w:t>需减去已用于业绩补偿的股份数</w:t>
                        </w:r>
                        <w:r>
                          <w:rPr>
                            <w:rFonts w:ascii="宋体" w:hAnsi="宋体" w:cs="宋体" w:eastAsia="宋体" w:hint="default"/>
                            <w:sz w:val="18"/>
                            <w:szCs w:val="18"/>
                          </w:rPr>
                          <w:t>)</w:t>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z w:val="18"/>
                            <w:szCs w:val="18"/>
                          </w:rPr>
                          <w:t>；</w:t>
                        </w:r>
                        <w:r>
                          <w:rPr>
                            <w:rFonts w:ascii="宋体" w:hAnsi="宋体" w:cs="宋体" w:eastAsia="宋体" w:hint="default"/>
                            <w:sz w:val="18"/>
                            <w:szCs w:val="18"/>
                          </w:rPr>
                          <w:t>V.</w:t>
                        </w:r>
                        <w:r>
                          <w:rPr>
                            <w:rFonts w:ascii="宋体" w:hAnsi="宋体" w:cs="宋体" w:eastAsia="宋体" w:hint="default"/>
                            <w:sz w:val="18"/>
                            <w:szCs w:val="18"/>
                          </w:rPr>
                          <w:t>自 新增股份上市之日起六十个月届满后，本公司</w:t>
                        </w:r>
                        <w:r>
                          <w:rPr>
                            <w:rFonts w:ascii="宋体" w:hAnsi="宋体" w:cs="宋体" w:eastAsia="宋体" w:hint="default"/>
                            <w:sz w:val="18"/>
                            <w:szCs w:val="18"/>
                          </w:rPr>
                          <w:t>/</w:t>
                        </w:r>
                        <w:r>
                          <w:rPr>
                            <w:rFonts w:ascii="宋体" w:hAnsi="宋体" w:cs="宋体" w:eastAsia="宋体" w:hint="default"/>
                            <w:sz w:val="18"/>
                            <w:szCs w:val="18"/>
                          </w:rPr>
                          <w:t>本人可解锁其他全部未解锁部分股份。</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五年</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20"/>
                          <w:jc w:val="both"/>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pacing w:val="-8"/>
                            <w:sz w:val="18"/>
                            <w:szCs w:val="18"/>
                          </w:rPr>
                          <w:t>年度、</w:t>
                        </w:r>
                        <w:r>
                          <w:rPr>
                            <w:rFonts w:ascii="宋体" w:hAnsi="宋体" w:cs="宋体" w:eastAsia="宋体" w:hint="default"/>
                            <w:spacing w:val="-8"/>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 度、</w:t>
                        </w:r>
                        <w:r>
                          <w:rPr>
                            <w:rFonts w:ascii="宋体" w:hAnsi="宋体" w:cs="宋体" w:eastAsia="宋体" w:hint="default"/>
                            <w:sz w:val="18"/>
                            <w:szCs w:val="18"/>
                          </w:rPr>
                          <w:t>2017</w:t>
                        </w:r>
                        <w:r>
                          <w:rPr>
                            <w:rFonts w:ascii="宋体" w:hAnsi="宋体" w:cs="宋体" w:eastAsia="宋体" w:hint="default"/>
                            <w:spacing w:val="-51"/>
                            <w:sz w:val="18"/>
                            <w:szCs w:val="18"/>
                          </w:rPr>
                          <w:t> </w:t>
                        </w:r>
                        <w:r>
                          <w:rPr>
                            <w:rFonts w:ascii="宋体" w:hAnsi="宋体" w:cs="宋体" w:eastAsia="宋体" w:hint="default"/>
                            <w:sz w:val="18"/>
                            <w:szCs w:val="18"/>
                          </w:rPr>
                          <w:t>年度猎鹰 网络完成其业绩承 诺，实现净利润分 别为人民币</w:t>
                        </w:r>
                      </w:p>
                      <w:p>
                        <w:pPr>
                          <w:pStyle w:val="TableParagraph"/>
                          <w:spacing w:line="319" w:lineRule="auto" w:before="19"/>
                          <w:ind w:left="22" w:right="14"/>
                          <w:jc w:val="left"/>
                          <w:rPr>
                            <w:rFonts w:ascii="宋体" w:hAnsi="宋体" w:cs="宋体" w:eastAsia="宋体" w:hint="default"/>
                            <w:sz w:val="18"/>
                            <w:szCs w:val="18"/>
                          </w:rPr>
                        </w:pPr>
                        <w:r>
                          <w:rPr>
                            <w:rFonts w:ascii="宋体" w:hAnsi="宋体" w:cs="宋体" w:eastAsia="宋体" w:hint="default"/>
                            <w:sz w:val="18"/>
                            <w:szCs w:val="18"/>
                          </w:rPr>
                          <w:t>9435.61</w:t>
                        </w:r>
                        <w:r>
                          <w:rPr>
                            <w:rFonts w:ascii="宋体" w:hAnsi="宋体" w:cs="宋体" w:eastAsia="宋体" w:hint="default"/>
                            <w:spacing w:val="-46"/>
                            <w:sz w:val="18"/>
                            <w:szCs w:val="18"/>
                          </w:rPr>
                          <w:t> </w:t>
                        </w:r>
                        <w:r>
                          <w:rPr>
                            <w:rFonts w:ascii="宋体" w:hAnsi="宋体" w:cs="宋体" w:eastAsia="宋体" w:hint="default"/>
                            <w:sz w:val="18"/>
                            <w:szCs w:val="18"/>
                          </w:rPr>
                          <w:t>万元、 </w:t>
                        </w:r>
                        <w:r>
                          <w:rPr>
                            <w:rFonts w:ascii="宋体" w:hAnsi="宋体" w:cs="宋体" w:eastAsia="宋体" w:hint="default"/>
                            <w:sz w:val="18"/>
                            <w:szCs w:val="18"/>
                          </w:rPr>
                          <w:t>12,107.50</w:t>
                        </w:r>
                        <w:r>
                          <w:rPr>
                            <w:rFonts w:ascii="宋体" w:hAnsi="宋体" w:cs="宋体" w:eastAsia="宋体" w:hint="default"/>
                            <w:spacing w:val="-46"/>
                            <w:sz w:val="18"/>
                            <w:szCs w:val="18"/>
                          </w:rPr>
                          <w:t> </w:t>
                        </w:r>
                        <w:r>
                          <w:rPr>
                            <w:rFonts w:ascii="宋体" w:hAnsi="宋体" w:cs="宋体" w:eastAsia="宋体" w:hint="default"/>
                            <w:sz w:val="18"/>
                            <w:szCs w:val="18"/>
                          </w:rPr>
                          <w:t>万元和 </w:t>
                        </w:r>
                        <w:r>
                          <w:rPr>
                            <w:rFonts w:ascii="宋体" w:hAnsi="宋体" w:cs="宋体" w:eastAsia="宋体" w:hint="default"/>
                            <w:sz w:val="18"/>
                            <w:szCs w:val="18"/>
                          </w:rPr>
                          <w:t>15,983.75</w:t>
                        </w:r>
                        <w:r>
                          <w:rPr>
                            <w:rFonts w:ascii="宋体" w:hAnsi="宋体" w:cs="宋体" w:eastAsia="宋体" w:hint="default"/>
                            <w:spacing w:val="-46"/>
                            <w:sz w:val="18"/>
                            <w:szCs w:val="18"/>
                          </w:rPr>
                          <w:t> </w:t>
                        </w:r>
                        <w:r>
                          <w:rPr>
                            <w:rFonts w:ascii="宋体" w:hAnsi="宋体" w:cs="宋体" w:eastAsia="宋体" w:hint="default"/>
                            <w:sz w:val="18"/>
                            <w:szCs w:val="18"/>
                          </w:rPr>
                          <w:t>万元。 根据承诺，截止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 新增股份上市满</w:t>
                        </w:r>
                        <w:r>
                          <w:rPr>
                            <w:rFonts w:ascii="宋体" w:hAnsi="宋体" w:cs="宋体" w:eastAsia="宋体" w:hint="default"/>
                            <w:spacing w:val="-52"/>
                            <w:sz w:val="18"/>
                            <w:szCs w:val="18"/>
                          </w:rPr>
                          <w:t> </w:t>
                        </w:r>
                        <w:r>
                          <w:rPr>
                            <w:rFonts w:ascii="宋体" w:hAnsi="宋体" w:cs="宋体" w:eastAsia="宋体" w:hint="default"/>
                            <w:sz w:val="18"/>
                            <w:szCs w:val="18"/>
                          </w:rPr>
                          <w:t>12 </w:t>
                        </w:r>
                        <w:r>
                          <w:rPr>
                            <w:rFonts w:ascii="宋体" w:hAnsi="宋体" w:cs="宋体" w:eastAsia="宋体" w:hint="default"/>
                            <w:sz w:val="18"/>
                            <w:szCs w:val="18"/>
                          </w:rPr>
                          <w:t>个月，张丽芬解锁 其持有</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的股份； 此外，其他承诺仍 在履行中。</w:t>
                        </w:r>
                      </w:p>
                    </w:tc>
                  </w:tr>
                  <w:tr>
                    <w:trPr>
                      <w:trHeight w:val="986" w:hRule="exact"/>
                    </w:trPr>
                    <w:tc>
                      <w:tcPr>
                        <w:tcW w:w="567" w:type="dxa"/>
                        <w:vMerge/>
                        <w:tcBorders>
                          <w:left w:val="single" w:sz="4" w:space="0" w:color="000000"/>
                          <w:bottom w:val="single" w:sz="4" w:space="0" w:color="000000"/>
                          <w:right w:val="single" w:sz="4" w:space="0" w:color="000000"/>
                        </w:tcBorders>
                        <w:shd w:val="clear" w:color="auto" w:fill="D2D2D2"/>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8"/>
                          <w:jc w:val="both"/>
                          <w:rPr>
                            <w:rFonts w:ascii="宋体" w:hAnsi="宋体" w:cs="宋体" w:eastAsia="宋体" w:hint="default"/>
                            <w:sz w:val="18"/>
                            <w:szCs w:val="18"/>
                          </w:rPr>
                        </w:pPr>
                        <w:r>
                          <w:rPr>
                            <w:rFonts w:ascii="宋体" w:hAnsi="宋体" w:cs="宋体" w:eastAsia="宋体" w:hint="default"/>
                            <w:sz w:val="18"/>
                            <w:szCs w:val="18"/>
                          </w:rPr>
                          <w:t>深圳市锋行 天下科技有 限公司</w:t>
                        </w:r>
                        <w:r>
                          <w:rPr>
                            <w:rFonts w:ascii="宋体" w:hAnsi="宋体" w:cs="宋体" w:eastAsia="宋体" w:hint="default"/>
                            <w:sz w:val="18"/>
                            <w:szCs w:val="18"/>
                          </w:rPr>
                          <w:t>;</w:t>
                        </w:r>
                        <w:r>
                          <w:rPr>
                            <w:rFonts w:ascii="宋体" w:hAnsi="宋体" w:cs="宋体" w:eastAsia="宋体" w:hint="default"/>
                            <w:sz w:val="18"/>
                            <w:szCs w:val="18"/>
                          </w:rPr>
                          <w:t>深</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22" w:right="134"/>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80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、本公司通过本次交易取得的智度投资新增股份，自新增股份上市之日起三十六个月内不得以任何形 </w:t>
                        </w:r>
                        <w:r>
                          <w:rPr>
                            <w:rFonts w:ascii="宋体" w:hAnsi="宋体" w:cs="宋体" w:eastAsia="宋体" w:hint="default"/>
                            <w:spacing w:val="-2"/>
                            <w:sz w:val="18"/>
                            <w:szCs w:val="18"/>
                          </w:rPr>
                          <w:t>式转让；如截至本公司取得本次发行的股份时，本公司用于认购股份的猎鹰网络资产持续拥有权益的时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间已超过十二个月，则本公司相应取得的股份，调整为自新增股份上市之日起十二个月内不得以任何形</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0" w:right="1301"/>
        <w:jc w:val="right"/>
      </w:pPr>
      <w:r>
        <w:rPr/>
        <w:t>，</w:t>
      </w:r>
    </w:p>
    <w:p>
      <w:pPr>
        <w:spacing w:after="0" w:line="240" w:lineRule="auto"/>
        <w:jc w:val="right"/>
        <w:sectPr>
          <w:pgSz w:w="16840" w:h="11910" w:orient="landscape"/>
          <w:pgMar w:header="867" w:footer="1187" w:top="1060" w:bottom="1380" w:left="1320" w:right="0"/>
        </w:sectPr>
      </w:pPr>
    </w:p>
    <w:p>
      <w:pPr>
        <w:spacing w:line="240" w:lineRule="auto" w:before="4"/>
        <w:rPr>
          <w:rFonts w:ascii="Times New Roman" w:hAnsi="Times New Roman" w:cs="Times New Roman" w:eastAsia="Times New Roman" w:hint="default"/>
          <w:sz w:val="3"/>
          <w:szCs w:val="3"/>
        </w:rPr>
      </w:pPr>
      <w:r>
        <w:rPr/>
        <w:pict>
          <v:group style="position:absolute;margin-left:589.659973pt;margin-top:57.180008pt;width:55.8pt;height:220.5pt;mso-position-horizontal-relative:page;mso-position-vertical-relative:page;z-index:-1181992" coordorigin="11793,1144" coordsize="1116,4410">
            <v:shape style="position:absolute;left:11793;top:1144;width:1116;height:4410" coordorigin="11793,1144" coordsize="1116,4410" path="m11793,5553l12909,5553,12909,1144,11793,1144,11793,5553xe" filled="true" fillcolor="#ffffff" stroked="false">
              <v:path arrowok="t"/>
              <v:fill type="solid"/>
            </v:shape>
            <w10:wrap type="none"/>
          </v:group>
        </w:pict>
      </w:r>
      <w:r>
        <w:rPr/>
        <w:pict>
          <v:group style="position:absolute;margin-left:589.659973pt;margin-top:414.779999pt;width:55.8pt;height:101.4pt;mso-position-horizontal-relative:page;mso-position-vertical-relative:page;z-index:-1181968" coordorigin="11793,8296" coordsize="1116,2028">
            <v:shape style="position:absolute;left:11793;top:8296;width:1116;height:2028" coordorigin="11793,8296" coordsize="1116,2028" path="m11793,10324l12909,10324,12909,8296,11793,8296,11793,10324xe" filled="true" fillcolor="#ffffff" stroked="false">
              <v:path arrowok="t"/>
              <v:fill type="solid"/>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567"/>
        <w:gridCol w:w="993"/>
        <w:gridCol w:w="709"/>
        <w:gridCol w:w="8079"/>
        <w:gridCol w:w="1127"/>
        <w:gridCol w:w="1025"/>
        <w:gridCol w:w="1534"/>
      </w:tblGrid>
      <w:tr>
        <w:trPr>
          <w:trHeight w:val="4434" w:hRule="exact"/>
        </w:trPr>
        <w:tc>
          <w:tcPr>
            <w:tcW w:w="567" w:type="dxa"/>
            <w:vMerge w:val="restart"/>
            <w:tcBorders>
              <w:top w:val="single" w:sz="15" w:space="0" w:color="000000"/>
              <w:left w:val="single" w:sz="4" w:space="0" w:color="000000"/>
              <w:right w:val="single" w:sz="4" w:space="0" w:color="000000"/>
            </w:tcBorders>
            <w:shd w:val="clear" w:color="auto" w:fill="D2D2D2"/>
          </w:tcPr>
          <w:p>
            <w:pPr/>
          </w:p>
        </w:tc>
        <w:tc>
          <w:tcPr>
            <w:tcW w:w="993"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3" w:right="58"/>
              <w:jc w:val="left"/>
              <w:rPr>
                <w:rFonts w:ascii="宋体" w:hAnsi="宋体" w:cs="宋体" w:eastAsia="宋体" w:hint="default"/>
                <w:sz w:val="18"/>
                <w:szCs w:val="18"/>
              </w:rPr>
            </w:pPr>
            <w:r>
              <w:rPr>
                <w:rFonts w:ascii="宋体" w:hAnsi="宋体" w:cs="宋体" w:eastAsia="宋体" w:hint="default"/>
                <w:sz w:val="18"/>
                <w:szCs w:val="18"/>
              </w:rPr>
              <w:t>圳市红煌科 技有限公 司</w:t>
            </w:r>
            <w:r>
              <w:rPr>
                <w:rFonts w:ascii="宋体" w:hAnsi="宋体" w:cs="宋体" w:eastAsia="宋体" w:hint="default"/>
                <w:sz w:val="18"/>
                <w:szCs w:val="18"/>
              </w:rPr>
              <w:t>;</w:t>
            </w:r>
            <w:r>
              <w:rPr>
                <w:rFonts w:ascii="宋体" w:hAnsi="宋体" w:cs="宋体" w:eastAsia="宋体" w:hint="default"/>
                <w:sz w:val="18"/>
                <w:szCs w:val="18"/>
              </w:rPr>
              <w:t>深圳市 来玩科技有 限公司</w:t>
            </w:r>
            <w:r>
              <w:rPr>
                <w:rFonts w:ascii="宋体" w:hAnsi="宋体" w:cs="宋体" w:eastAsia="宋体" w:hint="default"/>
                <w:sz w:val="18"/>
                <w:szCs w:val="18"/>
              </w:rPr>
              <w:t>;</w:t>
            </w:r>
            <w:r>
              <w:rPr>
                <w:rFonts w:ascii="宋体" w:hAnsi="宋体" w:cs="宋体" w:eastAsia="宋体" w:hint="default"/>
                <w:sz w:val="18"/>
                <w:szCs w:val="18"/>
              </w:rPr>
              <w:t>深 圳市零零伍 科技有限公 司</w:t>
            </w:r>
            <w:r>
              <w:rPr>
                <w:rFonts w:ascii="宋体" w:hAnsi="宋体" w:cs="宋体" w:eastAsia="宋体" w:hint="default"/>
                <w:sz w:val="18"/>
                <w:szCs w:val="18"/>
              </w:rPr>
              <w:t>;</w:t>
            </w:r>
            <w:r>
              <w:rPr>
                <w:rFonts w:ascii="宋体" w:hAnsi="宋体" w:cs="宋体" w:eastAsia="宋体" w:hint="default"/>
                <w:sz w:val="18"/>
                <w:szCs w:val="18"/>
              </w:rPr>
              <w:t>深圳市 前海新合力 投资管理有 限公司</w:t>
            </w:r>
            <w:r>
              <w:rPr>
                <w:rFonts w:ascii="宋体" w:hAnsi="宋体" w:cs="宋体" w:eastAsia="宋体" w:hint="default"/>
                <w:sz w:val="18"/>
                <w:szCs w:val="18"/>
              </w:rPr>
              <w:t>;</w:t>
            </w:r>
            <w:r>
              <w:rPr>
                <w:rFonts w:ascii="宋体" w:hAnsi="宋体" w:cs="宋体" w:eastAsia="宋体" w:hint="default"/>
                <w:sz w:val="18"/>
                <w:szCs w:val="18"/>
              </w:rPr>
              <w:t>深 圳市永兴正 科技有限公 司</w:t>
            </w:r>
          </w:p>
        </w:tc>
        <w:tc>
          <w:tcPr>
            <w:tcW w:w="709" w:type="dxa"/>
            <w:tcBorders>
              <w:top w:val="single" w:sz="15" w:space="0" w:color="000000"/>
              <w:left w:val="single" w:sz="4" w:space="0" w:color="000000"/>
              <w:bottom w:val="single" w:sz="4" w:space="0" w:color="000000"/>
              <w:right w:val="single" w:sz="4" w:space="0" w:color="000000"/>
            </w:tcBorders>
          </w:tcPr>
          <w:p>
            <w:pPr/>
          </w:p>
        </w:tc>
        <w:tc>
          <w:tcPr>
            <w:tcW w:w="8079"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式转让。</w:t>
            </w:r>
            <w:r>
              <w:rPr>
                <w:rFonts w:ascii="宋体" w:hAnsi="宋体" w:cs="宋体" w:eastAsia="宋体" w:hint="default"/>
                <w:sz w:val="18"/>
                <w:szCs w:val="18"/>
              </w:rPr>
              <w:t>2</w:t>
            </w:r>
            <w:r>
              <w:rPr>
                <w:rFonts w:ascii="宋体" w:hAnsi="宋体" w:cs="宋体" w:eastAsia="宋体" w:hint="default"/>
                <w:sz w:val="18"/>
                <w:szCs w:val="18"/>
              </w:rPr>
              <w:t>、本公司本应承担的分期锁定义务由上海易晋网络科技有限公司、上海今耀投资控股有限公 司、深圳市隽川科技有限公司共同承担。如上海易晋网络科技有限公司、上海今耀投资控股有限公司 </w:t>
            </w:r>
            <w:r>
              <w:rPr>
                <w:rFonts w:ascii="宋体" w:hAnsi="宋体" w:cs="宋体" w:eastAsia="宋体" w:hint="default"/>
                <w:spacing w:val="-2"/>
                <w:sz w:val="18"/>
                <w:szCs w:val="18"/>
              </w:rPr>
              <w:t>深圳市隽川科技有限公司所持全部可解锁股份足以全额承担本公司上述分期锁定义务的前提下，本公司</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的锁定期为自新增股份上市之日起三十六个月。如上海易晋网络科技有限公司、上海今耀投资控股有限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公司、深圳市隽川科技有限公司承担补偿义务后所持有的全部股份不足以全额承担本公司的分期锁定义</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务，对于差额部分，由本公司按照其在标的资产中的相对持股比例自行承担相应的分期锁定义务。</w:t>
            </w:r>
          </w:p>
        </w:tc>
        <w:tc>
          <w:tcPr>
            <w:tcW w:w="112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1025" w:type="dxa"/>
            <w:tcBorders>
              <w:top w:val="single" w:sz="15" w:space="0" w:color="000000"/>
              <w:left w:val="single" w:sz="4" w:space="0" w:color="000000"/>
              <w:bottom w:val="single" w:sz="4" w:space="0" w:color="000000"/>
              <w:right w:val="single" w:sz="4" w:space="0" w:color="000000"/>
            </w:tcBorders>
          </w:tcPr>
          <w:p>
            <w:pPr/>
          </w:p>
        </w:tc>
        <w:tc>
          <w:tcPr>
            <w:tcW w:w="1534" w:type="dxa"/>
            <w:tcBorders>
              <w:top w:val="single" w:sz="15" w:space="0" w:color="000000"/>
              <w:left w:val="single" w:sz="4" w:space="0" w:color="000000"/>
              <w:bottom w:val="single" w:sz="4" w:space="0" w:color="000000"/>
              <w:right w:val="single" w:sz="4" w:space="0" w:color="000000"/>
            </w:tcBorders>
          </w:tcPr>
          <w:p>
            <w:pPr/>
          </w:p>
        </w:tc>
      </w:tr>
      <w:tr>
        <w:trPr>
          <w:trHeight w:val="4770" w:hRule="exact"/>
        </w:trPr>
        <w:tc>
          <w:tcPr>
            <w:tcW w:w="567" w:type="dxa"/>
            <w:vMerge/>
            <w:tcBorders>
              <w:left w:val="single" w:sz="4" w:space="0" w:color="000000"/>
              <w:bottom w:val="single" w:sz="4" w:space="0" w:color="000000"/>
              <w:right w:val="single" w:sz="4" w:space="0" w:color="000000"/>
            </w:tcBorders>
            <w:shd w:val="clear" w:color="auto" w:fill="D2D2D2"/>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9" w:lineRule="auto"/>
              <w:ind w:left="22" w:right="134"/>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80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
              <w:jc w:val="both"/>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、本人通过本次交易取得的智度投资新增股份，自新增股份上市之日起十二个月内不转让。</w:t>
            </w:r>
            <w:r>
              <w:rPr>
                <w:rFonts w:ascii="宋体" w:hAnsi="宋体" w:cs="宋体" w:eastAsia="宋体" w:hint="default"/>
                <w:spacing w:val="-2"/>
                <w:sz w:val="18"/>
                <w:szCs w:val="18"/>
              </w:rPr>
              <w:t>2</w:t>
            </w:r>
            <w:r>
              <w:rPr>
                <w:rFonts w:ascii="宋体" w:hAnsi="宋体" w:cs="宋体" w:eastAsia="宋体" w:hint="default"/>
                <w:spacing w:val="-2"/>
                <w:sz w:val="18"/>
                <w:szCs w:val="18"/>
              </w:rPr>
              <w:t>、在上述</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2"/>
                <w:sz w:val="18"/>
                <w:szCs w:val="18"/>
              </w:rPr>
              <w:t>锁定期的基础上，为保证本次交易标的资产交易盈利预测补偿承诺的实现，本人同意自法定限售期届满</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4"/>
                <w:sz w:val="18"/>
                <w:szCs w:val="18"/>
              </w:rPr>
              <w:t>后按照如下方式分期解锁转让本次交易取得的智度投资股份：（</w:t>
            </w:r>
            <w:r>
              <w:rPr>
                <w:rFonts w:ascii="宋体" w:hAnsi="宋体" w:cs="宋体" w:eastAsia="宋体" w:hint="default"/>
                <w:spacing w:val="-4"/>
                <w:sz w:val="18"/>
                <w:szCs w:val="18"/>
              </w:rPr>
              <w:t>1</w:t>
            </w:r>
            <w:r>
              <w:rPr>
                <w:rFonts w:ascii="宋体" w:hAnsi="宋体" w:cs="宋体" w:eastAsia="宋体" w:hint="default"/>
                <w:spacing w:val="-4"/>
                <w:sz w:val="18"/>
                <w:szCs w:val="18"/>
              </w:rPr>
              <w:t>）自新增股份上市之日起十二个月届满</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且标的公司完成其相应</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pacing w:val="-8"/>
                <w:sz w:val="18"/>
                <w:szCs w:val="18"/>
              </w:rPr>
              <w:t>年度、</w:t>
            </w:r>
            <w:r>
              <w:rPr>
                <w:rFonts w:ascii="宋体" w:hAnsi="宋体" w:cs="宋体" w:eastAsia="宋体" w:hint="default"/>
                <w:spacing w:val="-8"/>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年度业绩承诺</w:t>
            </w:r>
            <w:r>
              <w:rPr>
                <w:rFonts w:ascii="宋体" w:hAnsi="宋体" w:cs="宋体" w:eastAsia="宋体" w:hint="default"/>
                <w:sz w:val="18"/>
                <w:szCs w:val="18"/>
              </w:rPr>
              <w:t>,</w:t>
            </w:r>
            <w:r>
              <w:rPr>
                <w:rFonts w:ascii="宋体" w:hAnsi="宋体" w:cs="宋体" w:eastAsia="宋体" w:hint="default"/>
                <w:sz w:val="18"/>
                <w:szCs w:val="18"/>
              </w:rPr>
              <w:t>在注册会计师出具</w:t>
            </w:r>
            <w:r>
              <w:rPr>
                <w:rFonts w:ascii="宋体" w:hAnsi="宋体" w:cs="宋体" w:eastAsia="宋体" w:hint="default"/>
                <w:spacing w:val="2"/>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年度标的资产盈利预测</w:t>
            </w:r>
          </w:p>
          <w:p>
            <w:pPr>
              <w:pStyle w:val="TableParagraph"/>
              <w:spacing w:line="319" w:lineRule="auto" w:before="19"/>
              <w:ind w:left="22" w:right="-4"/>
              <w:jc w:val="left"/>
              <w:rPr>
                <w:rFonts w:ascii="宋体" w:hAnsi="宋体" w:cs="宋体" w:eastAsia="宋体" w:hint="default"/>
                <w:sz w:val="18"/>
                <w:szCs w:val="18"/>
              </w:rPr>
            </w:pPr>
            <w:r>
              <w:rPr>
                <w:rFonts w:ascii="宋体" w:hAnsi="宋体" w:cs="宋体" w:eastAsia="宋体" w:hint="default"/>
                <w:sz w:val="18"/>
                <w:szCs w:val="18"/>
              </w:rPr>
              <w:t>实现情况专项审核报告后 </w:t>
            </w:r>
            <w:r>
              <w:rPr>
                <w:rFonts w:ascii="宋体" w:hAnsi="宋体" w:cs="宋体" w:eastAsia="宋体" w:hint="default"/>
                <w:sz w:val="18"/>
                <w:szCs w:val="18"/>
              </w:rPr>
              <w:t>30 </w:t>
            </w:r>
            <w:r>
              <w:rPr>
                <w:rFonts w:ascii="宋体" w:hAnsi="宋体" w:cs="宋体" w:eastAsia="宋体" w:hint="default"/>
                <w:sz w:val="18"/>
                <w:szCs w:val="18"/>
              </w:rPr>
              <w:t>个工作日起可转让或交易不超过其持有的全部股份</w:t>
            </w:r>
            <w:r>
              <w:rPr>
                <w:rFonts w:ascii="宋体" w:hAnsi="宋体" w:cs="宋体" w:eastAsia="宋体" w:hint="default"/>
                <w:sz w:val="18"/>
                <w:szCs w:val="18"/>
              </w:rPr>
              <w:t>(</w:t>
            </w:r>
            <w:r>
              <w:rPr>
                <w:rFonts w:ascii="宋体" w:hAnsi="宋体" w:cs="宋体" w:eastAsia="宋体" w:hint="default"/>
                <w:sz w:val="18"/>
                <w:szCs w:val="18"/>
              </w:rPr>
              <w:t>需减去已用于业绩补 偿的股份数</w:t>
            </w:r>
            <w:r>
              <w:rPr>
                <w:rFonts w:ascii="宋体" w:hAnsi="宋体" w:cs="宋体" w:eastAsia="宋体" w:hint="default"/>
                <w:sz w:val="18"/>
                <w:szCs w:val="18"/>
              </w:rPr>
              <w:t>)</w:t>
            </w:r>
            <w:r>
              <w:rPr>
                <w:rFonts w:ascii="宋体" w:hAnsi="宋体" w:cs="宋体" w:eastAsia="宋体" w:hint="default"/>
                <w:sz w:val="18"/>
                <w:szCs w:val="18"/>
              </w:rPr>
              <w:t>的 </w:t>
            </w:r>
            <w:r>
              <w:rPr>
                <w:rFonts w:ascii="宋体" w:hAnsi="宋体" w:cs="宋体" w:eastAsia="宋体" w:hint="default"/>
                <w:spacing w:val="-5"/>
                <w:sz w:val="18"/>
                <w:szCs w:val="18"/>
              </w:rPr>
              <w:t>5%</w:t>
            </w:r>
            <w:r>
              <w:rPr>
                <w:rFonts w:ascii="宋体" w:hAnsi="宋体" w:cs="宋体" w:eastAsia="宋体" w:hint="default"/>
                <w:spacing w:val="-5"/>
                <w:sz w:val="18"/>
                <w:szCs w:val="18"/>
              </w:rPr>
              <w:t>。（</w:t>
            </w:r>
            <w:r>
              <w:rPr>
                <w:rFonts w:ascii="宋体" w:hAnsi="宋体" w:cs="宋体" w:eastAsia="宋体" w:hint="default"/>
                <w:spacing w:val="-5"/>
                <w:sz w:val="18"/>
                <w:szCs w:val="18"/>
              </w:rPr>
              <w:t>2</w:t>
            </w:r>
            <w:r>
              <w:rPr>
                <w:rFonts w:ascii="宋体" w:hAnsi="宋体" w:cs="宋体" w:eastAsia="宋体" w:hint="default"/>
                <w:spacing w:val="-5"/>
                <w:sz w:val="18"/>
                <w:szCs w:val="18"/>
              </w:rPr>
              <w:t>）自新增股份上市之日起二十四个月届满且标的公司履行了其至</w:t>
            </w:r>
            <w:r>
              <w:rPr>
                <w:rFonts w:ascii="宋体" w:hAnsi="宋体" w:cs="宋体" w:eastAsia="宋体" w:hint="default"/>
                <w:sz w:val="18"/>
                <w:szCs w:val="18"/>
              </w:rPr>
              <w:t> </w:t>
            </w:r>
            <w:r>
              <w:rPr>
                <w:rFonts w:ascii="宋体" w:hAnsi="宋体" w:cs="宋体" w:eastAsia="宋体" w:hint="default"/>
                <w:sz w:val="18"/>
                <w:szCs w:val="18"/>
              </w:rPr>
              <w:t>2017</w:t>
            </w:r>
            <w:r>
              <w:rPr>
                <w:rFonts w:ascii="宋体" w:hAnsi="宋体" w:cs="宋体" w:eastAsia="宋体" w:hint="default"/>
                <w:spacing w:val="21"/>
                <w:sz w:val="18"/>
                <w:szCs w:val="18"/>
              </w:rPr>
              <w:t> </w:t>
            </w:r>
            <w:r>
              <w:rPr>
                <w:rFonts w:ascii="宋体" w:hAnsi="宋体" w:cs="宋体" w:eastAsia="宋体" w:hint="default"/>
                <w:sz w:val="18"/>
                <w:szCs w:val="18"/>
              </w:rPr>
              <w:t>年度的业 绩承诺</w:t>
            </w:r>
            <w:r>
              <w:rPr>
                <w:rFonts w:ascii="宋体" w:hAnsi="宋体" w:cs="宋体" w:eastAsia="宋体" w:hint="default"/>
                <w:sz w:val="18"/>
                <w:szCs w:val="18"/>
              </w:rPr>
              <w:t>,</w:t>
            </w:r>
            <w:r>
              <w:rPr>
                <w:rFonts w:ascii="宋体" w:hAnsi="宋体" w:cs="宋体" w:eastAsia="宋体" w:hint="default"/>
                <w:sz w:val="18"/>
                <w:szCs w:val="18"/>
              </w:rPr>
              <w:t>在注册会计师出具 </w:t>
            </w:r>
            <w:r>
              <w:rPr>
                <w:rFonts w:ascii="宋体" w:hAnsi="宋体" w:cs="宋体" w:eastAsia="宋体" w:hint="default"/>
                <w:sz w:val="18"/>
                <w:szCs w:val="18"/>
              </w:rPr>
              <w:t>2017 </w:t>
            </w:r>
            <w:r>
              <w:rPr>
                <w:rFonts w:ascii="宋体" w:hAnsi="宋体" w:cs="宋体" w:eastAsia="宋体" w:hint="default"/>
                <w:sz w:val="18"/>
                <w:szCs w:val="18"/>
              </w:rPr>
              <w:t>年度标的资产盈利预测实现情况专项审核报告后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个工作日起可转 让或交易不超过其持有的全部股份</w:t>
            </w:r>
            <w:r>
              <w:rPr>
                <w:rFonts w:ascii="宋体" w:hAnsi="宋体" w:cs="宋体" w:eastAsia="宋体" w:hint="default"/>
                <w:sz w:val="18"/>
                <w:szCs w:val="18"/>
              </w:rPr>
              <w:t>(</w:t>
            </w:r>
            <w:r>
              <w:rPr>
                <w:rFonts w:ascii="宋体" w:hAnsi="宋体" w:cs="宋体" w:eastAsia="宋体" w:hint="default"/>
                <w:sz w:val="18"/>
                <w:szCs w:val="18"/>
              </w:rPr>
              <w:t>需减去已用于业绩补偿的股份数</w:t>
            </w:r>
            <w:r>
              <w:rPr>
                <w:rFonts w:ascii="宋体" w:hAnsi="宋体" w:cs="宋体" w:eastAsia="宋体" w:hint="default"/>
                <w:sz w:val="18"/>
                <w:szCs w:val="18"/>
              </w:rPr>
              <w:t>)</w:t>
            </w:r>
            <w:r>
              <w:rPr>
                <w:rFonts w:ascii="宋体" w:hAnsi="宋体" w:cs="宋体" w:eastAsia="宋体" w:hint="default"/>
                <w:sz w:val="18"/>
                <w:szCs w:val="18"/>
              </w:rPr>
              <w:t>的 </w:t>
            </w:r>
            <w:r>
              <w:rPr>
                <w:rFonts w:ascii="宋体" w:hAnsi="宋体" w:cs="宋体" w:eastAsia="宋体" w:hint="default"/>
                <w:spacing w:val="-6"/>
                <w:sz w:val="18"/>
                <w:szCs w:val="18"/>
              </w:rPr>
              <w:t>5%</w:t>
            </w:r>
            <w:r>
              <w:rPr>
                <w:rFonts w:ascii="宋体" w:hAnsi="宋体" w:cs="宋体" w:eastAsia="宋体" w:hint="default"/>
                <w:spacing w:val="-6"/>
                <w:sz w:val="18"/>
                <w:szCs w:val="18"/>
              </w:rPr>
              <w:t>。（</w:t>
            </w:r>
            <w:r>
              <w:rPr>
                <w:rFonts w:ascii="宋体" w:hAnsi="宋体" w:cs="宋体" w:eastAsia="宋体" w:hint="default"/>
                <w:spacing w:val="-6"/>
                <w:sz w:val="18"/>
                <w:szCs w:val="18"/>
              </w:rPr>
              <w:t>3</w:t>
            </w:r>
            <w:r>
              <w:rPr>
                <w:rFonts w:ascii="宋体" w:hAnsi="宋体" w:cs="宋体" w:eastAsia="宋体" w:hint="default"/>
                <w:spacing w:val="-6"/>
                <w:sz w:val="18"/>
                <w:szCs w:val="18"/>
              </w:rPr>
              <w:t>）自新增股份上市之日</w:t>
            </w:r>
            <w:r>
              <w:rPr>
                <w:rFonts w:ascii="宋体" w:hAnsi="宋体" w:cs="宋体" w:eastAsia="宋体" w:hint="default"/>
                <w:sz w:val="18"/>
                <w:szCs w:val="18"/>
              </w:rPr>
              <w:t> 起三十六个月届满且标的公司履行了其至 </w:t>
            </w:r>
            <w:r>
              <w:rPr>
                <w:rFonts w:ascii="宋体" w:hAnsi="宋体" w:cs="宋体" w:eastAsia="宋体" w:hint="default"/>
                <w:sz w:val="18"/>
                <w:szCs w:val="18"/>
              </w:rPr>
              <w:t>2018 </w:t>
            </w:r>
            <w:r>
              <w:rPr>
                <w:rFonts w:ascii="宋体" w:hAnsi="宋体" w:cs="宋体" w:eastAsia="宋体" w:hint="default"/>
                <w:sz w:val="18"/>
                <w:szCs w:val="18"/>
              </w:rPr>
              <w:t>年度的业绩承诺</w:t>
            </w:r>
            <w:r>
              <w:rPr>
                <w:rFonts w:ascii="宋体" w:hAnsi="宋体" w:cs="宋体" w:eastAsia="宋体" w:hint="default"/>
                <w:sz w:val="18"/>
                <w:szCs w:val="18"/>
              </w:rPr>
              <w:t>,</w:t>
            </w:r>
            <w:r>
              <w:rPr>
                <w:rFonts w:ascii="宋体" w:hAnsi="宋体" w:cs="宋体" w:eastAsia="宋体" w:hint="default"/>
                <w:sz w:val="18"/>
                <w:szCs w:val="18"/>
              </w:rPr>
              <w:t>在注册会计师出具 </w:t>
            </w:r>
            <w:r>
              <w:rPr>
                <w:rFonts w:ascii="宋体" w:hAnsi="宋体" w:cs="宋体" w:eastAsia="宋体" w:hint="default"/>
                <w:sz w:val="18"/>
                <w:szCs w:val="18"/>
              </w:rPr>
              <w:t>2018 </w:t>
            </w:r>
            <w:r>
              <w:rPr>
                <w:rFonts w:ascii="宋体" w:hAnsi="宋体" w:cs="宋体" w:eastAsia="宋体" w:hint="default"/>
                <w:sz w:val="18"/>
                <w:szCs w:val="18"/>
              </w:rPr>
              <w:t>年度标的资</w:t>
            </w:r>
          </w:p>
          <w:p>
            <w:pPr>
              <w:pStyle w:val="TableParagraph"/>
              <w:spacing w:line="319" w:lineRule="auto" w:before="17"/>
              <w:ind w:left="22" w:right="-4"/>
              <w:jc w:val="left"/>
              <w:rPr>
                <w:rFonts w:ascii="宋体" w:hAnsi="宋体" w:cs="宋体" w:eastAsia="宋体" w:hint="default"/>
                <w:sz w:val="18"/>
                <w:szCs w:val="18"/>
              </w:rPr>
            </w:pPr>
            <w:r>
              <w:rPr>
                <w:rFonts w:ascii="宋体" w:hAnsi="宋体" w:cs="宋体" w:eastAsia="宋体" w:hint="default"/>
                <w:sz w:val="18"/>
                <w:szCs w:val="18"/>
              </w:rPr>
              <w:t>产盈利预测实现情况专项审核报告、减值测试专项审核报告后 </w:t>
            </w:r>
            <w:r>
              <w:rPr>
                <w:rFonts w:ascii="宋体" w:hAnsi="宋体" w:cs="宋体" w:eastAsia="宋体" w:hint="default"/>
                <w:sz w:val="18"/>
                <w:szCs w:val="18"/>
              </w:rPr>
              <w:t>30</w:t>
            </w:r>
            <w:r>
              <w:rPr>
                <w:rFonts w:ascii="宋体" w:hAnsi="宋体" w:cs="宋体" w:eastAsia="宋体" w:hint="default"/>
                <w:spacing w:val="-48"/>
                <w:sz w:val="18"/>
                <w:szCs w:val="18"/>
              </w:rPr>
              <w:t> </w:t>
            </w:r>
            <w:r>
              <w:rPr>
                <w:rFonts w:ascii="宋体" w:hAnsi="宋体" w:cs="宋体" w:eastAsia="宋体" w:hint="default"/>
                <w:sz w:val="18"/>
                <w:szCs w:val="18"/>
              </w:rPr>
              <w:t>个工作日起可转让或交易不超过其持 有的全部股份</w:t>
            </w:r>
            <w:r>
              <w:rPr>
                <w:rFonts w:ascii="宋体" w:hAnsi="宋体" w:cs="宋体" w:eastAsia="宋体" w:hint="default"/>
                <w:sz w:val="18"/>
                <w:szCs w:val="18"/>
              </w:rPr>
              <w:t>(</w:t>
            </w:r>
            <w:r>
              <w:rPr>
                <w:rFonts w:ascii="宋体" w:hAnsi="宋体" w:cs="宋体" w:eastAsia="宋体" w:hint="default"/>
                <w:sz w:val="18"/>
                <w:szCs w:val="18"/>
              </w:rPr>
              <w:t>需减去已用于业绩补偿的股份数</w:t>
            </w:r>
            <w:r>
              <w:rPr>
                <w:rFonts w:ascii="宋体" w:hAnsi="宋体" w:cs="宋体" w:eastAsia="宋体" w:hint="default"/>
                <w:sz w:val="18"/>
                <w:szCs w:val="18"/>
              </w:rPr>
              <w:t>)</w:t>
            </w:r>
            <w:r>
              <w:rPr>
                <w:rFonts w:ascii="宋体" w:hAnsi="宋体" w:cs="宋体" w:eastAsia="宋体" w:hint="default"/>
                <w:sz w:val="18"/>
                <w:szCs w:val="18"/>
              </w:rPr>
              <w:t>的 </w:t>
            </w:r>
            <w:r>
              <w:rPr>
                <w:rFonts w:ascii="宋体" w:hAnsi="宋体" w:cs="宋体" w:eastAsia="宋体" w:hint="default"/>
                <w:spacing w:val="-4"/>
                <w:sz w:val="18"/>
                <w:szCs w:val="18"/>
              </w:rPr>
              <w:t>20%</w:t>
            </w:r>
            <w:r>
              <w:rPr>
                <w:rFonts w:ascii="宋体" w:hAnsi="宋体" w:cs="宋体" w:eastAsia="宋体" w:hint="default"/>
                <w:spacing w:val="-4"/>
                <w:sz w:val="18"/>
                <w:szCs w:val="18"/>
              </w:rPr>
              <w:t>。（</w:t>
            </w:r>
            <w:r>
              <w:rPr>
                <w:rFonts w:ascii="宋体" w:hAnsi="宋体" w:cs="宋体" w:eastAsia="宋体" w:hint="default"/>
                <w:spacing w:val="-4"/>
                <w:sz w:val="18"/>
                <w:szCs w:val="18"/>
              </w:rPr>
              <w:t>4</w:t>
            </w:r>
            <w:r>
              <w:rPr>
                <w:rFonts w:ascii="宋体" w:hAnsi="宋体" w:cs="宋体" w:eastAsia="宋体" w:hint="default"/>
                <w:spacing w:val="-4"/>
                <w:sz w:val="18"/>
                <w:szCs w:val="18"/>
              </w:rPr>
              <w:t>）自新增股份上市之日起四十八个月届满</w:t>
            </w:r>
            <w:r>
              <w:rPr>
                <w:rFonts w:ascii="宋体" w:hAnsi="宋体" w:cs="宋体" w:eastAsia="宋体" w:hint="default"/>
                <w:spacing w:val="-84"/>
                <w:sz w:val="18"/>
                <w:szCs w:val="18"/>
              </w:rPr>
              <w:t> </w:t>
            </w:r>
            <w:r>
              <w:rPr>
                <w:rFonts w:ascii="宋体" w:hAnsi="宋体" w:cs="宋体" w:eastAsia="宋体" w:hint="default"/>
                <w:sz w:val="18"/>
                <w:szCs w:val="18"/>
              </w:rPr>
              <w:t>可转让或交易不超过其持有的全部股份</w:t>
            </w:r>
            <w:r>
              <w:rPr>
                <w:rFonts w:ascii="宋体" w:hAnsi="宋体" w:cs="宋体" w:eastAsia="宋体" w:hint="default"/>
                <w:sz w:val="18"/>
                <w:szCs w:val="18"/>
              </w:rPr>
              <w:t>(</w:t>
            </w:r>
            <w:r>
              <w:rPr>
                <w:rFonts w:ascii="宋体" w:hAnsi="宋体" w:cs="宋体" w:eastAsia="宋体" w:hint="default"/>
                <w:sz w:val="18"/>
                <w:szCs w:val="18"/>
              </w:rPr>
              <w:t>需减去已用于业绩补偿的股份数</w:t>
            </w:r>
            <w:r>
              <w:rPr>
                <w:rFonts w:ascii="宋体" w:hAnsi="宋体" w:cs="宋体" w:eastAsia="宋体" w:hint="default"/>
                <w:sz w:val="18"/>
                <w:szCs w:val="18"/>
              </w:rPr>
              <w:t>)</w:t>
            </w:r>
            <w:r>
              <w:rPr>
                <w:rFonts w:ascii="宋体" w:hAnsi="宋体" w:cs="宋体" w:eastAsia="宋体" w:hint="default"/>
                <w:sz w:val="18"/>
                <w:szCs w:val="18"/>
              </w:rPr>
              <w:t>的</w:t>
            </w:r>
            <w:r>
              <w:rPr>
                <w:rFonts w:ascii="宋体" w:hAnsi="宋体" w:cs="宋体" w:eastAsia="宋体" w:hint="default"/>
                <w:spacing w:val="10"/>
                <w:sz w:val="18"/>
                <w:szCs w:val="18"/>
              </w:rPr>
              <w:t> </w:t>
            </w:r>
            <w:r>
              <w:rPr>
                <w:rFonts w:ascii="宋体" w:hAnsi="宋体" w:cs="宋体" w:eastAsia="宋体" w:hint="default"/>
                <w:spacing w:val="-11"/>
                <w:sz w:val="18"/>
                <w:szCs w:val="18"/>
              </w:rPr>
              <w:t>50%</w:t>
            </w:r>
            <w:r>
              <w:rPr>
                <w:rFonts w:ascii="宋体" w:hAnsi="宋体" w:cs="宋体" w:eastAsia="宋体" w:hint="default"/>
                <w:spacing w:val="-11"/>
                <w:sz w:val="18"/>
                <w:szCs w:val="18"/>
              </w:rPr>
              <w:t>。（</w:t>
            </w:r>
            <w:r>
              <w:rPr>
                <w:rFonts w:ascii="宋体" w:hAnsi="宋体" w:cs="宋体" w:eastAsia="宋体" w:hint="default"/>
                <w:spacing w:val="-11"/>
                <w:sz w:val="18"/>
                <w:szCs w:val="18"/>
              </w:rPr>
              <w:t>5</w:t>
            </w:r>
            <w:r>
              <w:rPr>
                <w:rFonts w:ascii="宋体" w:hAnsi="宋体" w:cs="宋体" w:eastAsia="宋体" w:hint="default"/>
                <w:spacing w:val="-11"/>
                <w:sz w:val="18"/>
                <w:szCs w:val="18"/>
              </w:rPr>
              <w:t>）自新增股份上市</w:t>
            </w:r>
            <w:r>
              <w:rPr>
                <w:rFonts w:ascii="宋体" w:hAnsi="宋体" w:cs="宋体" w:eastAsia="宋体" w:hint="default"/>
                <w:sz w:val="18"/>
                <w:szCs w:val="18"/>
              </w:rPr>
              <w:t> 之日起六十个月届满，可转让或交易其他全部未解锁部分股份。</w:t>
            </w:r>
            <w:r>
              <w:rPr>
                <w:rFonts w:ascii="宋体" w:hAnsi="宋体" w:cs="宋体" w:eastAsia="宋体" w:hint="default"/>
                <w:sz w:val="18"/>
                <w:szCs w:val="18"/>
              </w:rPr>
              <w:t>3</w:t>
            </w:r>
            <w:r>
              <w:rPr>
                <w:rFonts w:ascii="宋体" w:hAnsi="宋体" w:cs="宋体" w:eastAsia="宋体" w:hint="default"/>
                <w:sz w:val="18"/>
                <w:szCs w:val="18"/>
              </w:rPr>
              <w:t>、本人在转让本次交易中取得的智度 </w:t>
            </w:r>
            <w:r>
              <w:rPr>
                <w:rFonts w:ascii="宋体" w:hAnsi="宋体" w:cs="宋体" w:eastAsia="宋体" w:hint="default"/>
                <w:spacing w:val="-2"/>
                <w:sz w:val="18"/>
                <w:szCs w:val="18"/>
              </w:rPr>
              <w:t>投资股份时，如担任智度投资的董事、监事、高管职务，其减持股份数量还应遵守《公司法》等法律法</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规的限制性规定。</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102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pacing w:val="-8"/>
                <w:sz w:val="18"/>
                <w:szCs w:val="18"/>
              </w:rPr>
              <w:t>年度，</w:t>
            </w:r>
            <w:r>
              <w:rPr>
                <w:rFonts w:ascii="宋体" w:hAnsi="宋体" w:cs="宋体" w:eastAsia="宋体" w:hint="default"/>
                <w:spacing w:val="-8"/>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 度、</w:t>
            </w:r>
            <w:r>
              <w:rPr>
                <w:rFonts w:ascii="宋体" w:hAnsi="宋体" w:cs="宋体" w:eastAsia="宋体" w:hint="default"/>
                <w:sz w:val="18"/>
                <w:szCs w:val="18"/>
              </w:rPr>
              <w:t>2017</w:t>
            </w:r>
            <w:r>
              <w:rPr>
                <w:rFonts w:ascii="宋体" w:hAnsi="宋体" w:cs="宋体" w:eastAsia="宋体" w:hint="default"/>
                <w:spacing w:val="-51"/>
                <w:sz w:val="18"/>
                <w:szCs w:val="18"/>
              </w:rPr>
              <w:t> </w:t>
            </w:r>
            <w:r>
              <w:rPr>
                <w:rFonts w:ascii="宋体" w:hAnsi="宋体" w:cs="宋体" w:eastAsia="宋体" w:hint="default"/>
                <w:sz w:val="18"/>
                <w:szCs w:val="18"/>
              </w:rPr>
              <w:t>年度智度 亦复完成其业绩承 诺，实现净利润分 别为人民币</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3537.92</w:t>
            </w:r>
            <w:r>
              <w:rPr>
                <w:rFonts w:ascii="宋体" w:hAnsi="宋体" w:cs="宋体" w:eastAsia="宋体" w:hint="default"/>
                <w:spacing w:val="-46"/>
                <w:sz w:val="18"/>
                <w:szCs w:val="18"/>
              </w:rPr>
              <w:t> </w:t>
            </w:r>
            <w:r>
              <w:rPr>
                <w:rFonts w:ascii="宋体" w:hAnsi="宋体" w:cs="宋体" w:eastAsia="宋体" w:hint="default"/>
                <w:sz w:val="18"/>
                <w:szCs w:val="18"/>
              </w:rPr>
              <w:t>万元、</w:t>
            </w:r>
          </w:p>
          <w:p>
            <w:pPr>
              <w:pStyle w:val="TableParagraph"/>
              <w:spacing w:line="319" w:lineRule="auto" w:before="76"/>
              <w:ind w:left="22" w:right="20"/>
              <w:jc w:val="left"/>
              <w:rPr>
                <w:rFonts w:ascii="宋体" w:hAnsi="宋体" w:cs="宋体" w:eastAsia="宋体" w:hint="default"/>
                <w:sz w:val="18"/>
                <w:szCs w:val="18"/>
              </w:rPr>
            </w:pPr>
            <w:r>
              <w:rPr>
                <w:rFonts w:ascii="宋体" w:hAnsi="宋体" w:cs="宋体" w:eastAsia="宋体" w:hint="default"/>
                <w:sz w:val="18"/>
                <w:szCs w:val="18"/>
              </w:rPr>
              <w:t>4654.06</w:t>
            </w:r>
            <w:r>
              <w:rPr>
                <w:rFonts w:ascii="宋体" w:hAnsi="宋体" w:cs="宋体" w:eastAsia="宋体" w:hint="default"/>
                <w:spacing w:val="-46"/>
                <w:sz w:val="18"/>
                <w:szCs w:val="18"/>
              </w:rPr>
              <w:t> </w:t>
            </w:r>
            <w:r>
              <w:rPr>
                <w:rFonts w:ascii="宋体" w:hAnsi="宋体" w:cs="宋体" w:eastAsia="宋体" w:hint="default"/>
                <w:sz w:val="18"/>
                <w:szCs w:val="18"/>
              </w:rPr>
              <w:t>万元和 </w:t>
            </w:r>
            <w:r>
              <w:rPr>
                <w:rFonts w:ascii="宋体" w:hAnsi="宋体" w:cs="宋体" w:eastAsia="宋体" w:hint="default"/>
                <w:sz w:val="18"/>
                <w:szCs w:val="18"/>
              </w:rPr>
              <w:t>6,324.03</w:t>
            </w:r>
            <w:r>
              <w:rPr>
                <w:rFonts w:ascii="宋体" w:hAnsi="宋体" w:cs="宋体" w:eastAsia="宋体" w:hint="default"/>
                <w:spacing w:val="-52"/>
                <w:sz w:val="18"/>
                <w:szCs w:val="18"/>
              </w:rPr>
              <w:t> </w:t>
            </w:r>
            <w:r>
              <w:rPr>
                <w:rFonts w:ascii="宋体" w:hAnsi="宋体" w:cs="宋体" w:eastAsia="宋体" w:hint="default"/>
                <w:sz w:val="18"/>
                <w:szCs w:val="18"/>
              </w:rPr>
              <w:t>万元。根 据计宏铭所做承 诺，截止</w:t>
            </w:r>
            <w:r>
              <w:rPr>
                <w:rFonts w:ascii="宋体" w:hAnsi="宋体" w:cs="宋体" w:eastAsia="宋体" w:hint="default"/>
                <w:spacing w:val="-49"/>
                <w:sz w:val="18"/>
                <w:szCs w:val="18"/>
              </w:rPr>
              <w:t> </w:t>
            </w: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pacing w:val="-9"/>
                <w:sz w:val="18"/>
                <w:szCs w:val="18"/>
              </w:rPr>
              <w:t>日，新增股份</w:t>
            </w:r>
            <w:r>
              <w:rPr>
                <w:rFonts w:ascii="宋体" w:hAnsi="宋体" w:cs="宋体" w:eastAsia="宋体" w:hint="default"/>
                <w:sz w:val="18"/>
                <w:szCs w:val="18"/>
              </w:rPr>
              <w:t> 满</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pacing w:val="-9"/>
                <w:sz w:val="18"/>
                <w:szCs w:val="18"/>
              </w:rPr>
              <w:t>个月，计宏铭</w:t>
            </w:r>
            <w:r>
              <w:rPr>
                <w:rFonts w:ascii="宋体" w:hAnsi="宋体" w:cs="宋体" w:eastAsia="宋体" w:hint="default"/>
                <w:sz w:val="18"/>
                <w:szCs w:val="18"/>
              </w:rPr>
              <w:t> 解锁其持有的</w:t>
            </w:r>
            <w:r>
              <w:rPr>
                <w:rFonts w:ascii="宋体" w:hAnsi="宋体" w:cs="宋体" w:eastAsia="宋体" w:hint="default"/>
                <w:spacing w:val="-52"/>
                <w:sz w:val="18"/>
                <w:szCs w:val="18"/>
              </w:rPr>
              <w:t> </w:t>
            </w:r>
            <w:r>
              <w:rPr>
                <w:rFonts w:ascii="宋体" w:hAnsi="宋体" w:cs="宋体" w:eastAsia="宋体" w:hint="default"/>
                <w:sz w:val="18"/>
                <w:szCs w:val="18"/>
              </w:rPr>
              <w:t>5%</w:t>
            </w:r>
            <w:r>
              <w:rPr>
                <w:rFonts w:ascii="宋体" w:hAnsi="宋体" w:cs="宋体" w:eastAsia="宋体" w:hint="default"/>
                <w:sz w:val="18"/>
                <w:szCs w:val="18"/>
              </w:rPr>
              <w:t>的 股份；此外，其他 承诺仍在履行中。</w:t>
            </w:r>
          </w:p>
        </w:tc>
      </w:tr>
    </w:tbl>
    <w:p>
      <w:pPr>
        <w:spacing w:after="0" w:line="319" w:lineRule="auto"/>
        <w:jc w:val="left"/>
        <w:rPr>
          <w:rFonts w:ascii="宋体" w:hAnsi="宋体" w:cs="宋体" w:eastAsia="宋体" w:hint="default"/>
          <w:sz w:val="18"/>
          <w:szCs w:val="18"/>
        </w:rPr>
        <w:sectPr>
          <w:pgSz w:w="16840" w:h="11910" w:orient="landscape"/>
          <w:pgMar w:header="867" w:footer="1187" w:top="1060" w:bottom="1380" w:left="1320" w:right="0"/>
        </w:sectPr>
      </w:pPr>
    </w:p>
    <w:p>
      <w:pPr>
        <w:spacing w:line="240" w:lineRule="auto" w:before="7"/>
        <w:rPr>
          <w:rFonts w:ascii="Times New Roman" w:hAnsi="Times New Roman" w:cs="Times New Roman" w:eastAsia="Times New Roman" w:hint="default"/>
          <w:sz w:val="6"/>
          <w:szCs w:val="6"/>
        </w:rPr>
      </w:pPr>
      <w:r>
        <w:rPr/>
        <w:pict>
          <v:shape style="position:absolute;margin-left:457.536987pt;margin-top:57.180008pt;width:187.95pt;height:148.25pt;mso-position-horizontal-relative:page;mso-position-vertical-relative:page;z-index:-118189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pStyle w:val="BodyText"/>
                    <w:spacing w:line="240" w:lineRule="auto"/>
                    <w:ind w:left="0" w:right="0"/>
                    <w:jc w:val="left"/>
                  </w:pPr>
                  <w:r>
                    <w:rPr/>
                    <w:t>至本企业取得本次发行的股份时，</w:t>
                  </w:r>
                </w:p>
              </w:txbxContent>
            </v:textbox>
            <w10:wrap type="none"/>
          </v:shape>
        </w:pict>
      </w:r>
      <w:r>
        <w:rPr/>
        <w:pict>
          <v:shape style="position:absolute;margin-left:71.760002pt;margin-top:55.260006pt;width:702.45pt;height:461.4pt;mso-position-horizontal-relative:page;mso-position-vertical-relative:page;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7"/>
                    <w:gridCol w:w="993"/>
                    <w:gridCol w:w="709"/>
                    <w:gridCol w:w="8079"/>
                    <w:gridCol w:w="1127"/>
                    <w:gridCol w:w="1025"/>
                    <w:gridCol w:w="1534"/>
                  </w:tblGrid>
                  <w:tr>
                    <w:trPr>
                      <w:trHeight w:val="6657" w:hRule="exact"/>
                    </w:trPr>
                    <w:tc>
                      <w:tcPr>
                        <w:tcW w:w="567" w:type="dxa"/>
                        <w:vMerge w:val="restart"/>
                        <w:tcBorders>
                          <w:top w:val="single" w:sz="15" w:space="0" w:color="000000"/>
                          <w:left w:val="single" w:sz="4" w:space="0" w:color="000000"/>
                          <w:right w:val="single" w:sz="4" w:space="0" w:color="000000"/>
                        </w:tcBorders>
                        <w:shd w:val="clear" w:color="auto" w:fill="D2D2D2"/>
                      </w:tcPr>
                      <w:p>
                        <w:pPr/>
                      </w:p>
                    </w:tc>
                    <w:tc>
                      <w:tcPr>
                        <w:tcW w:w="99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23" w:right="21"/>
                          <w:jc w:val="both"/>
                          <w:rPr>
                            <w:rFonts w:ascii="宋体" w:hAnsi="宋体" w:cs="宋体" w:eastAsia="宋体" w:hint="default"/>
                            <w:sz w:val="18"/>
                            <w:szCs w:val="18"/>
                          </w:rPr>
                        </w:pPr>
                        <w:r>
                          <w:rPr>
                            <w:rFonts w:ascii="宋体" w:hAnsi="宋体" w:cs="宋体" w:eastAsia="宋体" w:hint="default"/>
                            <w:sz w:val="18"/>
                            <w:szCs w:val="18"/>
                          </w:rPr>
                          <w:t>北京智度德 普股权投资 中心（有限 </w:t>
                        </w:r>
                        <w:r>
                          <w:rPr>
                            <w:rFonts w:ascii="宋体" w:hAnsi="宋体" w:cs="宋体" w:eastAsia="宋体" w:hint="default"/>
                            <w:spacing w:val="-9"/>
                            <w:sz w:val="18"/>
                            <w:szCs w:val="18"/>
                          </w:rPr>
                          <w:t>合伙）</w:t>
                        </w:r>
                        <w:r>
                          <w:rPr>
                            <w:rFonts w:ascii="宋体" w:hAnsi="宋体" w:cs="宋体" w:eastAsia="宋体" w:hint="default"/>
                            <w:spacing w:val="-9"/>
                            <w:sz w:val="18"/>
                            <w:szCs w:val="18"/>
                          </w:rPr>
                          <w:t>;</w:t>
                        </w:r>
                        <w:r>
                          <w:rPr>
                            <w:rFonts w:ascii="宋体" w:hAnsi="宋体" w:cs="宋体" w:eastAsia="宋体" w:hint="default"/>
                            <w:spacing w:val="-9"/>
                            <w:sz w:val="18"/>
                            <w:szCs w:val="18"/>
                          </w:rPr>
                          <w:t>上海</w:t>
                        </w:r>
                        <w:r>
                          <w:rPr>
                            <w:rFonts w:ascii="宋体" w:hAnsi="宋体" w:cs="宋体" w:eastAsia="宋体" w:hint="default"/>
                            <w:sz w:val="18"/>
                            <w:szCs w:val="18"/>
                          </w:rPr>
                          <w:t> 亦复壹投资 管理合伙企 业（有限合 伙）</w:t>
                        </w:r>
                      </w:p>
                    </w:tc>
                    <w:tc>
                      <w:tcPr>
                        <w:tcW w:w="70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22" w:right="134"/>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8079"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51"/>
                          <w:ind w:left="22" w:right="20"/>
                          <w:jc w:val="both"/>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、本企业通过本次交易取得的智度投资新增股份，自新增股份上市之日起三十六个月内不转让。</w:t>
                        </w:r>
                        <w:r>
                          <w:rPr>
                            <w:rFonts w:ascii="宋体" w:hAnsi="宋体" w:cs="宋体" w:eastAsia="宋体" w:hint="default"/>
                            <w:spacing w:val="-3"/>
                            <w:sz w:val="18"/>
                            <w:szCs w:val="18"/>
                          </w:rPr>
                          <w:t>2</w:t>
                        </w:r>
                        <w:r>
                          <w:rPr>
                            <w:rFonts w:ascii="宋体" w:hAnsi="宋体" w:cs="宋体" w:eastAsia="宋体" w:hint="default"/>
                            <w:spacing w:val="-3"/>
                            <w:sz w:val="18"/>
                            <w:szCs w:val="18"/>
                          </w:rPr>
                          <w:t>、在</w:t>
                        </w:r>
                        <w:r>
                          <w:rPr>
                            <w:rFonts w:ascii="宋体" w:hAnsi="宋体" w:cs="宋体" w:eastAsia="宋体" w:hint="default"/>
                            <w:spacing w:val="-51"/>
                            <w:sz w:val="18"/>
                            <w:szCs w:val="18"/>
                          </w:rPr>
                          <w:t> </w:t>
                        </w:r>
                        <w:r>
                          <w:rPr>
                            <w:rFonts w:ascii="宋体" w:hAnsi="宋体" w:cs="宋体" w:eastAsia="宋体" w:hint="default"/>
                            <w:spacing w:val="-2"/>
                            <w:sz w:val="18"/>
                            <w:szCs w:val="18"/>
                          </w:rPr>
                          <w:t>上述锁定期的基础上，为保证本次交易标的资产交易盈利预测补偿承诺的实现，本企业同意自法定限售</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期届满后按照如下方式分期解锁本次交易取得的智度投资股份：（</w:t>
                        </w:r>
                        <w:r>
                          <w:rPr>
                            <w:rFonts w:ascii="宋体" w:hAnsi="宋体" w:cs="宋体" w:eastAsia="宋体" w:hint="default"/>
                            <w:spacing w:val="-4"/>
                            <w:sz w:val="18"/>
                            <w:szCs w:val="18"/>
                          </w:rPr>
                          <w:t>1</w:t>
                        </w:r>
                        <w:r>
                          <w:rPr>
                            <w:rFonts w:ascii="宋体" w:hAnsi="宋体" w:cs="宋体" w:eastAsia="宋体" w:hint="default"/>
                            <w:spacing w:val="-4"/>
                            <w:sz w:val="18"/>
                            <w:szCs w:val="18"/>
                          </w:rPr>
                          <w:t>）自新增股份上市之日起三十六个月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届满且标的公司完成其相应</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年度至</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年度的业绩承诺，在注册会计师出具</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年度标的资产</w:t>
                        </w:r>
                      </w:p>
                      <w:p>
                        <w:pPr>
                          <w:pStyle w:val="TableParagraph"/>
                          <w:spacing w:line="316" w:lineRule="auto" w:before="17"/>
                          <w:ind w:left="22" w:right="19"/>
                          <w:jc w:val="left"/>
                          <w:rPr>
                            <w:rFonts w:ascii="宋体" w:hAnsi="宋体" w:cs="宋体" w:eastAsia="宋体" w:hint="default"/>
                            <w:sz w:val="18"/>
                            <w:szCs w:val="18"/>
                          </w:rPr>
                        </w:pPr>
                        <w:r>
                          <w:rPr>
                            <w:rFonts w:ascii="宋体" w:hAnsi="宋体" w:cs="宋体" w:eastAsia="宋体" w:hint="default"/>
                            <w:sz w:val="18"/>
                            <w:szCs w:val="18"/>
                          </w:rPr>
                          <w:t>盈利预测实现情况专项审核报告、减值测试专项审核报告后</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个工作日起可转让或交易不超过其持有 的全部股份</w:t>
                        </w:r>
                        <w:r>
                          <w:rPr>
                            <w:rFonts w:ascii="宋体" w:hAnsi="宋体" w:cs="宋体" w:eastAsia="宋体" w:hint="default"/>
                            <w:sz w:val="18"/>
                            <w:szCs w:val="18"/>
                          </w:rPr>
                          <w:t>(</w:t>
                        </w:r>
                        <w:r>
                          <w:rPr>
                            <w:rFonts w:ascii="宋体" w:hAnsi="宋体" w:cs="宋体" w:eastAsia="宋体" w:hint="default"/>
                            <w:sz w:val="18"/>
                            <w:szCs w:val="18"/>
                          </w:rPr>
                          <w:t>需减去已用于业绩补偿的股份数</w:t>
                        </w:r>
                        <w:r>
                          <w:rPr>
                            <w:rFonts w:ascii="宋体" w:hAnsi="宋体" w:cs="宋体" w:eastAsia="宋体" w:hint="default"/>
                            <w:sz w:val="18"/>
                            <w:szCs w:val="18"/>
                          </w:rPr>
                          <w:t>)</w:t>
                        </w:r>
                        <w:r>
                          <w:rPr>
                            <w:rFonts w:ascii="宋体" w:hAnsi="宋体" w:cs="宋体" w:eastAsia="宋体" w:hint="default"/>
                            <w:sz w:val="18"/>
                            <w:szCs w:val="18"/>
                          </w:rPr>
                          <w:t>的</w:t>
                        </w:r>
                        <w:r>
                          <w:rPr>
                            <w:rFonts w:ascii="宋体" w:hAnsi="宋体" w:cs="宋体" w:eastAsia="宋体" w:hint="default"/>
                            <w:spacing w:val="-41"/>
                            <w:sz w:val="18"/>
                            <w:szCs w:val="18"/>
                          </w:rPr>
                          <w:t> </w:t>
                        </w:r>
                        <w:r>
                          <w:rPr>
                            <w:rFonts w:ascii="宋体" w:hAnsi="宋体" w:cs="宋体" w:eastAsia="宋体" w:hint="default"/>
                            <w:spacing w:val="-5"/>
                            <w:sz w:val="18"/>
                            <w:szCs w:val="18"/>
                          </w:rPr>
                          <w:t>30%</w:t>
                        </w:r>
                        <w:r>
                          <w:rPr>
                            <w:rFonts w:ascii="宋体" w:hAnsi="宋体" w:cs="宋体" w:eastAsia="宋体" w:hint="default"/>
                            <w:spacing w:val="-5"/>
                            <w:sz w:val="18"/>
                            <w:szCs w:val="18"/>
                          </w:rPr>
                          <w:t>。（</w:t>
                        </w:r>
                        <w:r>
                          <w:rPr>
                            <w:rFonts w:ascii="宋体" w:hAnsi="宋体" w:cs="宋体" w:eastAsia="宋体" w:hint="default"/>
                            <w:spacing w:val="-5"/>
                            <w:sz w:val="18"/>
                            <w:szCs w:val="18"/>
                          </w:rPr>
                          <w:t>2</w:t>
                        </w:r>
                        <w:r>
                          <w:rPr>
                            <w:rFonts w:ascii="宋体" w:hAnsi="宋体" w:cs="宋体" w:eastAsia="宋体" w:hint="default"/>
                            <w:spacing w:val="-5"/>
                            <w:sz w:val="18"/>
                            <w:szCs w:val="18"/>
                          </w:rPr>
                          <w:t>）自新增股份上市之日起四十八个月届满，可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转让或交易不超过其持有的全部股份</w:t>
                        </w:r>
                        <w:r>
                          <w:rPr>
                            <w:rFonts w:ascii="宋体" w:hAnsi="宋体" w:cs="宋体" w:eastAsia="宋体" w:hint="default"/>
                            <w:sz w:val="18"/>
                            <w:szCs w:val="18"/>
                          </w:rPr>
                          <w:t>(</w:t>
                        </w:r>
                        <w:r>
                          <w:rPr>
                            <w:rFonts w:ascii="宋体" w:hAnsi="宋体" w:cs="宋体" w:eastAsia="宋体" w:hint="default"/>
                            <w:sz w:val="18"/>
                            <w:szCs w:val="18"/>
                          </w:rPr>
                          <w:t>需减去已用于业绩补偿的股份数</w:t>
                        </w:r>
                        <w:r>
                          <w:rPr>
                            <w:rFonts w:ascii="宋体" w:hAnsi="宋体" w:cs="宋体" w:eastAsia="宋体" w:hint="default"/>
                            <w:sz w:val="18"/>
                            <w:szCs w:val="18"/>
                          </w:rPr>
                          <w:t>)</w:t>
                        </w:r>
                        <w:r>
                          <w:rPr>
                            <w:rFonts w:ascii="宋体" w:hAnsi="宋体" w:cs="宋体" w:eastAsia="宋体" w:hint="default"/>
                            <w:sz w:val="18"/>
                            <w:szCs w:val="18"/>
                          </w:rPr>
                          <w:t>的</w:t>
                        </w:r>
                        <w:r>
                          <w:rPr>
                            <w:rFonts w:ascii="宋体" w:hAnsi="宋体" w:cs="宋体" w:eastAsia="宋体" w:hint="default"/>
                            <w:spacing w:val="-37"/>
                            <w:sz w:val="18"/>
                            <w:szCs w:val="18"/>
                          </w:rPr>
                          <w:t> </w:t>
                        </w:r>
                        <w:r>
                          <w:rPr>
                            <w:rFonts w:ascii="宋体" w:hAnsi="宋体" w:cs="宋体" w:eastAsia="宋体" w:hint="default"/>
                            <w:spacing w:val="-9"/>
                            <w:sz w:val="18"/>
                            <w:szCs w:val="18"/>
                          </w:rPr>
                          <w:t>50%</w:t>
                        </w:r>
                        <w:r>
                          <w:rPr>
                            <w:rFonts w:ascii="宋体" w:hAnsi="宋体" w:cs="宋体" w:eastAsia="宋体" w:hint="default"/>
                            <w:spacing w:val="-9"/>
                            <w:sz w:val="18"/>
                            <w:szCs w:val="18"/>
                          </w:rPr>
                          <w:t>。（</w:t>
                        </w:r>
                        <w:r>
                          <w:rPr>
                            <w:rFonts w:ascii="宋体" w:hAnsi="宋体" w:cs="宋体" w:eastAsia="宋体" w:hint="default"/>
                            <w:spacing w:val="-9"/>
                            <w:sz w:val="18"/>
                            <w:szCs w:val="18"/>
                          </w:rPr>
                          <w:t>3</w:t>
                        </w:r>
                        <w:r>
                          <w:rPr>
                            <w:rFonts w:ascii="宋体" w:hAnsi="宋体" w:cs="宋体" w:eastAsia="宋体" w:hint="default"/>
                            <w:spacing w:val="-9"/>
                            <w:sz w:val="18"/>
                            <w:szCs w:val="18"/>
                          </w:rPr>
                          <w:t>）自新增股份上市之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日起六十个月届满，可转让或交易其他全部未解锁部分股份。</w:t>
                        </w:r>
                        <w:r>
                          <w:rPr>
                            <w:rFonts w:ascii="宋体" w:hAnsi="宋体" w:cs="宋体" w:eastAsia="宋体" w:hint="default"/>
                            <w:spacing w:val="-3"/>
                            <w:sz w:val="18"/>
                            <w:szCs w:val="18"/>
                          </w:rPr>
                          <w:t>3</w:t>
                        </w:r>
                        <w:r>
                          <w:rPr>
                            <w:rFonts w:ascii="宋体" w:hAnsi="宋体" w:cs="宋体" w:eastAsia="宋体" w:hint="default"/>
                            <w:spacing w:val="-3"/>
                            <w:sz w:val="18"/>
                            <w:szCs w:val="18"/>
                          </w:rPr>
                          <w:t>、如截</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本企业用于认购股份的猎鹰网络资产持续拥有权益的时间已超过十二个月，则本企业相应取得的股份 </w:t>
                        </w:r>
                        <w:r>
                          <w:rPr>
                            <w:rFonts w:ascii="宋体" w:hAnsi="宋体" w:cs="宋体" w:eastAsia="宋体" w:hint="default"/>
                            <w:spacing w:val="-2"/>
                            <w:sz w:val="18"/>
                            <w:szCs w:val="18"/>
                          </w:rPr>
                          <w:t>调整为自新增股份上市之日起十二个月内不得以任何形式转让。在法定限售期届满后，将按照以下分期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解锁方式履行：（</w:t>
                        </w:r>
                        <w:r>
                          <w:rPr>
                            <w:rFonts w:ascii="宋体" w:hAnsi="宋体" w:cs="宋体" w:eastAsia="宋体" w:hint="default"/>
                            <w:spacing w:val="-4"/>
                            <w:sz w:val="18"/>
                            <w:szCs w:val="18"/>
                          </w:rPr>
                          <w:t>1</w:t>
                        </w:r>
                        <w:r>
                          <w:rPr>
                            <w:rFonts w:ascii="宋体" w:hAnsi="宋体" w:cs="宋体" w:eastAsia="宋体" w:hint="default"/>
                            <w:spacing w:val="-4"/>
                            <w:sz w:val="18"/>
                            <w:szCs w:val="18"/>
                          </w:rPr>
                          <w:t>）自新增股份上市之日起十二个月届满且标的公司完成其相应</w:t>
                        </w:r>
                        <w:r>
                          <w:rPr>
                            <w:rFonts w:ascii="宋体" w:hAnsi="宋体" w:cs="宋体" w:eastAsia="宋体" w:hint="default"/>
                            <w:spacing w:val="-36"/>
                            <w:sz w:val="18"/>
                            <w:szCs w:val="18"/>
                          </w:rPr>
                          <w:t> </w:t>
                        </w:r>
                        <w:r>
                          <w:rPr>
                            <w:rFonts w:ascii="宋体" w:hAnsi="宋体" w:cs="宋体" w:eastAsia="宋体" w:hint="default"/>
                            <w:sz w:val="18"/>
                            <w:szCs w:val="18"/>
                          </w:rPr>
                          <w:t>2015</w:t>
                        </w:r>
                        <w:r>
                          <w:rPr>
                            <w:rFonts w:ascii="宋体" w:hAnsi="宋体" w:cs="宋体" w:eastAsia="宋体" w:hint="default"/>
                            <w:spacing w:val="-35"/>
                            <w:sz w:val="18"/>
                            <w:szCs w:val="18"/>
                          </w:rPr>
                          <w:t> </w:t>
                        </w:r>
                        <w:r>
                          <w:rPr>
                            <w:rFonts w:ascii="宋体" w:hAnsi="宋体" w:cs="宋体" w:eastAsia="宋体" w:hint="default"/>
                            <w:spacing w:val="-2"/>
                            <w:sz w:val="18"/>
                            <w:szCs w:val="18"/>
                          </w:rPr>
                          <w:t>年度、</w:t>
                        </w:r>
                        <w:r>
                          <w:rPr>
                            <w:rFonts w:ascii="宋体" w:hAnsi="宋体" w:cs="宋体" w:eastAsia="宋体" w:hint="default"/>
                            <w:spacing w:val="-2"/>
                            <w:sz w:val="18"/>
                            <w:szCs w:val="18"/>
                          </w:rPr>
                          <w:t>2016</w:t>
                        </w:r>
                        <w:r>
                          <w:rPr>
                            <w:rFonts w:ascii="宋体" w:hAnsi="宋体" w:cs="宋体" w:eastAsia="宋体" w:hint="default"/>
                            <w:spacing w:val="-36"/>
                            <w:sz w:val="18"/>
                            <w:szCs w:val="18"/>
                          </w:rPr>
                          <w:t> </w:t>
                        </w:r>
                        <w:r>
                          <w:rPr>
                            <w:rFonts w:ascii="宋体" w:hAnsi="宋体" w:cs="宋体" w:eastAsia="宋体" w:hint="default"/>
                            <w:spacing w:val="1"/>
                            <w:sz w:val="18"/>
                            <w:szCs w:val="18"/>
                          </w:rPr>
                          <w:t>年度</w:t>
                        </w:r>
                        <w:r>
                          <w:rPr>
                            <w:rFonts w:ascii="宋体" w:hAnsi="宋体" w:cs="宋体" w:eastAsia="宋体" w:hint="default"/>
                            <w:spacing w:val="-87"/>
                            <w:sz w:val="18"/>
                            <w:szCs w:val="18"/>
                          </w:rPr>
                          <w:t> </w:t>
                        </w:r>
                        <w:r>
                          <w:rPr>
                            <w:rFonts w:ascii="宋体" w:hAnsi="宋体" w:cs="宋体" w:eastAsia="宋体" w:hint="default"/>
                            <w:spacing w:val="-6"/>
                            <w:sz w:val="18"/>
                            <w:szCs w:val="18"/>
                          </w:rPr>
                          <w:t>业绩承诺，在注册会计师出具</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年度标的资产盈利预测实现情况专项审核报告后</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个工作日起可转 让或交易不超过其持有的全部股份</w:t>
                        </w:r>
                        <w:r>
                          <w:rPr>
                            <w:rFonts w:ascii="宋体" w:hAnsi="宋体" w:cs="宋体" w:eastAsia="宋体" w:hint="default"/>
                            <w:sz w:val="18"/>
                            <w:szCs w:val="18"/>
                          </w:rPr>
                          <w:t>(</w:t>
                        </w:r>
                        <w:r>
                          <w:rPr>
                            <w:rFonts w:ascii="宋体" w:hAnsi="宋体" w:cs="宋体" w:eastAsia="宋体" w:hint="default"/>
                            <w:sz w:val="18"/>
                            <w:szCs w:val="18"/>
                          </w:rPr>
                          <w:t>需减去已用于业绩补偿的股份数</w:t>
                        </w:r>
                        <w:r>
                          <w:rPr>
                            <w:rFonts w:ascii="宋体" w:hAnsi="宋体" w:cs="宋体" w:eastAsia="宋体" w:hint="default"/>
                            <w:sz w:val="18"/>
                            <w:szCs w:val="18"/>
                          </w:rPr>
                          <w:t>)</w:t>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宋体" w:hAnsi="宋体" w:cs="宋体" w:eastAsia="宋体" w:hint="default"/>
                            <w:spacing w:val="-6"/>
                            <w:sz w:val="18"/>
                            <w:szCs w:val="18"/>
                          </w:rPr>
                          <w:t>5%</w:t>
                        </w:r>
                        <w:r>
                          <w:rPr>
                            <w:rFonts w:ascii="宋体" w:hAnsi="宋体" w:cs="宋体" w:eastAsia="宋体" w:hint="default"/>
                            <w:spacing w:val="-6"/>
                            <w:sz w:val="18"/>
                            <w:szCs w:val="18"/>
                          </w:rPr>
                          <w:t>；（</w:t>
                        </w:r>
                        <w:r>
                          <w:rPr>
                            <w:rFonts w:ascii="宋体" w:hAnsi="宋体" w:cs="宋体" w:eastAsia="宋体" w:hint="default"/>
                            <w:spacing w:val="-6"/>
                            <w:sz w:val="18"/>
                            <w:szCs w:val="18"/>
                          </w:rPr>
                          <w:t>2</w:t>
                        </w:r>
                        <w:r>
                          <w:rPr>
                            <w:rFonts w:ascii="宋体" w:hAnsi="宋体" w:cs="宋体" w:eastAsia="宋体" w:hint="default"/>
                            <w:spacing w:val="-6"/>
                            <w:sz w:val="18"/>
                            <w:szCs w:val="18"/>
                          </w:rPr>
                          <w:t>）自新增股份上市之日</w:t>
                        </w:r>
                        <w:r>
                          <w:rPr>
                            <w:rFonts w:ascii="宋体" w:hAnsi="宋体" w:cs="宋体" w:eastAsia="宋体" w:hint="default"/>
                            <w:sz w:val="18"/>
                            <w:szCs w:val="18"/>
                          </w:rPr>
                          <w:t> 起二十四个月届满且标的公司履行了其至 </w:t>
                        </w:r>
                        <w:r>
                          <w:rPr>
                            <w:rFonts w:ascii="宋体" w:hAnsi="宋体" w:cs="宋体" w:eastAsia="宋体" w:hint="default"/>
                            <w:sz w:val="18"/>
                            <w:szCs w:val="18"/>
                          </w:rPr>
                          <w:t>2017 </w:t>
                        </w:r>
                        <w:r>
                          <w:rPr>
                            <w:rFonts w:ascii="宋体" w:hAnsi="宋体" w:cs="宋体" w:eastAsia="宋体" w:hint="default"/>
                            <w:sz w:val="18"/>
                            <w:szCs w:val="18"/>
                          </w:rPr>
                          <w:t>年度的业绩承诺</w:t>
                        </w:r>
                        <w:r>
                          <w:rPr>
                            <w:rFonts w:ascii="宋体" w:hAnsi="宋体" w:cs="宋体" w:eastAsia="宋体" w:hint="default"/>
                            <w:sz w:val="18"/>
                            <w:szCs w:val="18"/>
                          </w:rPr>
                          <w:t>,</w:t>
                        </w:r>
                        <w:r>
                          <w:rPr>
                            <w:rFonts w:ascii="宋体" w:hAnsi="宋体" w:cs="宋体" w:eastAsia="宋体" w:hint="default"/>
                            <w:sz w:val="18"/>
                            <w:szCs w:val="18"/>
                          </w:rPr>
                          <w:t>在注册会计师出具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年度标的资</w:t>
                        </w:r>
                      </w:p>
                      <w:p>
                        <w:pPr>
                          <w:pStyle w:val="TableParagraph"/>
                          <w:spacing w:line="316"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产盈利预测实现情况专项审核报告后 </w:t>
                        </w:r>
                        <w:r>
                          <w:rPr>
                            <w:rFonts w:ascii="宋体" w:hAnsi="宋体" w:cs="宋体" w:eastAsia="宋体" w:hint="default"/>
                            <w:sz w:val="18"/>
                            <w:szCs w:val="18"/>
                          </w:rPr>
                          <w:t>30 </w:t>
                        </w:r>
                        <w:r>
                          <w:rPr>
                            <w:rFonts w:ascii="宋体" w:hAnsi="宋体" w:cs="宋体" w:eastAsia="宋体" w:hint="default"/>
                            <w:sz w:val="18"/>
                            <w:szCs w:val="18"/>
                          </w:rPr>
                          <w:t>个工作日起可转让或交易不超过其持有的全部股份</w:t>
                        </w:r>
                        <w:r>
                          <w:rPr>
                            <w:rFonts w:ascii="宋体" w:hAnsi="宋体" w:cs="宋体" w:eastAsia="宋体" w:hint="default"/>
                            <w:sz w:val="18"/>
                            <w:szCs w:val="18"/>
                          </w:rPr>
                          <w:t>(</w:t>
                        </w:r>
                        <w:r>
                          <w:rPr>
                            <w:rFonts w:ascii="宋体" w:hAnsi="宋体" w:cs="宋体" w:eastAsia="宋体" w:hint="default"/>
                            <w:sz w:val="18"/>
                            <w:szCs w:val="18"/>
                          </w:rPr>
                          <w:t>需减去已 用于业绩补偿的股份数</w:t>
                        </w:r>
                        <w:r>
                          <w:rPr>
                            <w:rFonts w:ascii="宋体" w:hAnsi="宋体" w:cs="宋体" w:eastAsia="宋体" w:hint="default"/>
                            <w:sz w:val="18"/>
                            <w:szCs w:val="18"/>
                          </w:rPr>
                          <w:t>)</w:t>
                        </w:r>
                        <w:r>
                          <w:rPr>
                            <w:rFonts w:ascii="宋体" w:hAnsi="宋体" w:cs="宋体" w:eastAsia="宋体" w:hint="default"/>
                            <w:sz w:val="18"/>
                            <w:szCs w:val="18"/>
                          </w:rPr>
                          <w:t>的 </w:t>
                        </w:r>
                        <w:r>
                          <w:rPr>
                            <w:rFonts w:ascii="宋体" w:hAnsi="宋体" w:cs="宋体" w:eastAsia="宋体" w:hint="default"/>
                            <w:sz w:val="18"/>
                            <w:szCs w:val="18"/>
                          </w:rPr>
                          <w:t>5%</w:t>
                        </w:r>
                        <w:r>
                          <w:rPr>
                            <w:rFonts w:ascii="宋体" w:hAnsi="宋体" w:cs="宋体" w:eastAsia="宋体" w:hint="default"/>
                            <w:sz w:val="18"/>
                            <w:szCs w:val="18"/>
                          </w:rPr>
                          <w:t>。 （</w:t>
                        </w:r>
                        <w:r>
                          <w:rPr>
                            <w:rFonts w:ascii="宋体" w:hAnsi="宋体" w:cs="宋体" w:eastAsia="宋体" w:hint="default"/>
                            <w:sz w:val="18"/>
                            <w:szCs w:val="18"/>
                          </w:rPr>
                          <w:t>3</w:t>
                        </w:r>
                        <w:r>
                          <w:rPr>
                            <w:rFonts w:ascii="宋体" w:hAnsi="宋体" w:cs="宋体" w:eastAsia="宋体" w:hint="default"/>
                            <w:sz w:val="18"/>
                            <w:szCs w:val="18"/>
                          </w:rPr>
                          <w:t>）自新增股份上市之日起三十六个月届满且标的公司履行了其至 </w:t>
                        </w:r>
                        <w:r>
                          <w:rPr>
                            <w:rFonts w:ascii="宋体" w:hAnsi="宋体" w:cs="宋体" w:eastAsia="宋体" w:hint="default"/>
                            <w:sz w:val="18"/>
                            <w:szCs w:val="18"/>
                          </w:rPr>
                          <w:t>2018 </w:t>
                        </w:r>
                        <w:r>
                          <w:rPr>
                            <w:rFonts w:ascii="宋体" w:hAnsi="宋体" w:cs="宋体" w:eastAsia="宋体" w:hint="default"/>
                            <w:sz w:val="18"/>
                            <w:szCs w:val="18"/>
                          </w:rPr>
                          <w:t>年度的业绩承诺</w:t>
                        </w:r>
                        <w:r>
                          <w:rPr>
                            <w:rFonts w:ascii="宋体" w:hAnsi="宋体" w:cs="宋体" w:eastAsia="宋体" w:hint="default"/>
                            <w:sz w:val="18"/>
                            <w:szCs w:val="18"/>
                          </w:rPr>
                          <w:t>,</w:t>
                        </w:r>
                        <w:r>
                          <w:rPr>
                            <w:rFonts w:ascii="宋体" w:hAnsi="宋体" w:cs="宋体" w:eastAsia="宋体" w:hint="default"/>
                            <w:sz w:val="18"/>
                            <w:szCs w:val="18"/>
                          </w:rPr>
                          <w:t>在注册会计师出具 </w:t>
                        </w:r>
                        <w:r>
                          <w:rPr>
                            <w:rFonts w:ascii="宋体" w:hAnsi="宋体" w:cs="宋体" w:eastAsia="宋体" w:hint="default"/>
                            <w:sz w:val="18"/>
                            <w:szCs w:val="18"/>
                          </w:rPr>
                          <w:t>2018</w:t>
                        </w:r>
                        <w:r>
                          <w:rPr>
                            <w:rFonts w:ascii="宋体" w:hAnsi="宋体" w:cs="宋体" w:eastAsia="宋体" w:hint="default"/>
                            <w:spacing w:val="19"/>
                            <w:sz w:val="18"/>
                            <w:szCs w:val="18"/>
                          </w:rPr>
                          <w:t> </w:t>
                        </w:r>
                        <w:r>
                          <w:rPr>
                            <w:rFonts w:ascii="宋体" w:hAnsi="宋体" w:cs="宋体" w:eastAsia="宋体" w:hint="default"/>
                            <w:spacing w:val="-4"/>
                            <w:sz w:val="18"/>
                            <w:szCs w:val="18"/>
                          </w:rPr>
                          <w:t>年度标的资产盈利预测实现情况专项审核报告、减值测</w:t>
                        </w:r>
                      </w:p>
                      <w:p>
                        <w:pPr>
                          <w:pStyle w:val="TableParagraph"/>
                          <w:spacing w:line="319" w:lineRule="auto" w:before="19"/>
                          <w:ind w:left="22" w:right="20"/>
                          <w:jc w:val="both"/>
                          <w:rPr>
                            <w:rFonts w:ascii="宋体" w:hAnsi="宋体" w:cs="宋体" w:eastAsia="宋体" w:hint="default"/>
                            <w:sz w:val="18"/>
                            <w:szCs w:val="18"/>
                          </w:rPr>
                        </w:pPr>
                        <w:r>
                          <w:rPr>
                            <w:rFonts w:ascii="宋体" w:hAnsi="宋体" w:cs="宋体" w:eastAsia="宋体" w:hint="default"/>
                            <w:sz w:val="18"/>
                            <w:szCs w:val="18"/>
                          </w:rPr>
                          <w:t>试专项审核报告后 </w:t>
                        </w:r>
                        <w:r>
                          <w:rPr>
                            <w:rFonts w:ascii="宋体" w:hAnsi="宋体" w:cs="宋体" w:eastAsia="宋体" w:hint="default"/>
                            <w:sz w:val="18"/>
                            <w:szCs w:val="18"/>
                          </w:rPr>
                          <w:t>30 </w:t>
                        </w:r>
                        <w:r>
                          <w:rPr>
                            <w:rFonts w:ascii="宋体" w:hAnsi="宋体" w:cs="宋体" w:eastAsia="宋体" w:hint="default"/>
                            <w:sz w:val="18"/>
                            <w:szCs w:val="18"/>
                          </w:rPr>
                          <w:t>个工作日起可转让或交易不超过其持有的全部股份</w:t>
                        </w:r>
                        <w:r>
                          <w:rPr>
                            <w:rFonts w:ascii="宋体" w:hAnsi="宋体" w:cs="宋体" w:eastAsia="宋体" w:hint="default"/>
                            <w:sz w:val="18"/>
                            <w:szCs w:val="18"/>
                          </w:rPr>
                          <w:t>(</w:t>
                        </w:r>
                        <w:r>
                          <w:rPr>
                            <w:rFonts w:ascii="宋体" w:hAnsi="宋体" w:cs="宋体" w:eastAsia="宋体" w:hint="default"/>
                            <w:sz w:val="18"/>
                            <w:szCs w:val="18"/>
                          </w:rPr>
                          <w:t>需减去已用于业绩补偿的股 份数</w:t>
                        </w:r>
                        <w:r>
                          <w:rPr>
                            <w:rFonts w:ascii="宋体" w:hAnsi="宋体" w:cs="宋体" w:eastAsia="宋体" w:hint="default"/>
                            <w:sz w:val="18"/>
                            <w:szCs w:val="18"/>
                          </w:rPr>
                          <w:t>)</w:t>
                        </w:r>
                        <w:r>
                          <w:rPr>
                            <w:rFonts w:ascii="宋体" w:hAnsi="宋体" w:cs="宋体" w:eastAsia="宋体" w:hint="default"/>
                            <w:sz w:val="18"/>
                            <w:szCs w:val="18"/>
                          </w:rPr>
                          <w:t>的</w:t>
                        </w:r>
                        <w:r>
                          <w:rPr>
                            <w:rFonts w:ascii="宋体" w:hAnsi="宋体" w:cs="宋体" w:eastAsia="宋体" w:hint="default"/>
                            <w:spacing w:val="5"/>
                            <w:sz w:val="18"/>
                            <w:szCs w:val="18"/>
                          </w:rPr>
                          <w:t> </w:t>
                        </w:r>
                        <w:r>
                          <w:rPr>
                            <w:rFonts w:ascii="宋体" w:hAnsi="宋体" w:cs="宋体" w:eastAsia="宋体" w:hint="default"/>
                            <w:spacing w:val="-4"/>
                            <w:sz w:val="18"/>
                            <w:szCs w:val="18"/>
                          </w:rPr>
                          <w:t>20%</w:t>
                        </w:r>
                        <w:r>
                          <w:rPr>
                            <w:rFonts w:ascii="宋体" w:hAnsi="宋体" w:cs="宋体" w:eastAsia="宋体" w:hint="default"/>
                            <w:spacing w:val="-4"/>
                            <w:sz w:val="18"/>
                            <w:szCs w:val="18"/>
                          </w:rPr>
                          <w:t>。（</w:t>
                        </w:r>
                        <w:r>
                          <w:rPr>
                            <w:rFonts w:ascii="宋体" w:hAnsi="宋体" w:cs="宋体" w:eastAsia="宋体" w:hint="default"/>
                            <w:spacing w:val="-4"/>
                            <w:sz w:val="18"/>
                            <w:szCs w:val="18"/>
                          </w:rPr>
                          <w:t>4</w:t>
                        </w:r>
                        <w:r>
                          <w:rPr>
                            <w:rFonts w:ascii="宋体" w:hAnsi="宋体" w:cs="宋体" w:eastAsia="宋体" w:hint="default"/>
                            <w:spacing w:val="-4"/>
                            <w:sz w:val="18"/>
                            <w:szCs w:val="18"/>
                          </w:rPr>
                          <w:t>）自新增股份上市之日起四十八个月届满，可转让或交易不超过其持有的全部股份</w:t>
                        </w:r>
                        <w:r>
                          <w:rPr>
                            <w:rFonts w:ascii="宋体" w:hAnsi="宋体" w:cs="宋体" w:eastAsia="宋体" w:hint="default"/>
                            <w:spacing w:val="-4"/>
                            <w:sz w:val="18"/>
                            <w:szCs w:val="18"/>
                          </w:rPr>
                          <w:t>(</w:t>
                        </w:r>
                        <w:r>
                          <w:rPr>
                            <w:rFonts w:ascii="宋体" w:hAnsi="宋体" w:cs="宋体" w:eastAsia="宋体" w:hint="default"/>
                            <w:spacing w:val="-4"/>
                            <w:sz w:val="18"/>
                            <w:szCs w:val="18"/>
                          </w:rPr>
                          <w:t>需</w:t>
                        </w:r>
                        <w:r>
                          <w:rPr>
                            <w:rFonts w:ascii="宋体" w:hAnsi="宋体" w:cs="宋体" w:eastAsia="宋体" w:hint="default"/>
                            <w:sz w:val="18"/>
                            <w:szCs w:val="18"/>
                          </w:rPr>
                          <w:t> 减去已用于业绩补偿的股份数</w:t>
                        </w:r>
                        <w:r>
                          <w:rPr>
                            <w:rFonts w:ascii="宋体" w:hAnsi="宋体" w:cs="宋体" w:eastAsia="宋体" w:hint="default"/>
                            <w:sz w:val="18"/>
                            <w:szCs w:val="18"/>
                          </w:rPr>
                          <w:t>)</w:t>
                        </w:r>
                        <w:r>
                          <w:rPr>
                            <w:rFonts w:ascii="宋体" w:hAnsi="宋体" w:cs="宋体" w:eastAsia="宋体" w:hint="default"/>
                            <w:sz w:val="18"/>
                            <w:szCs w:val="18"/>
                          </w:rPr>
                          <w:t>的 </w:t>
                        </w:r>
                        <w:r>
                          <w:rPr>
                            <w:rFonts w:ascii="宋体" w:hAnsi="宋体" w:cs="宋体" w:eastAsia="宋体" w:hint="default"/>
                            <w:sz w:val="18"/>
                            <w:szCs w:val="18"/>
                          </w:rPr>
                          <w:t>50%</w:t>
                        </w:r>
                        <w:r>
                          <w:rPr>
                            <w:rFonts w:ascii="宋体" w:hAnsi="宋体" w:cs="宋体" w:eastAsia="宋体" w:hint="default"/>
                            <w:sz w:val="18"/>
                            <w:szCs w:val="18"/>
                          </w:rPr>
                          <w:t>。 （</w:t>
                        </w:r>
                        <w:r>
                          <w:rPr>
                            <w:rFonts w:ascii="宋体" w:hAnsi="宋体" w:cs="宋体" w:eastAsia="宋体" w:hint="default"/>
                            <w:sz w:val="18"/>
                            <w:szCs w:val="18"/>
                          </w:rPr>
                          <w:t>5</w:t>
                        </w:r>
                        <w:r>
                          <w:rPr>
                            <w:rFonts w:ascii="宋体" w:hAnsi="宋体" w:cs="宋体" w:eastAsia="宋体" w:hint="default"/>
                            <w:sz w:val="18"/>
                            <w:szCs w:val="18"/>
                          </w:rPr>
                          <w:t>）自新增股份上市之日起六十个月届满，可转让或交易其 他全部未解锁部分股份。</w:t>
                        </w:r>
                      </w:p>
                    </w:tc>
                    <w:tc>
                      <w:tcPr>
                        <w:tcW w:w="112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tc>
                    <w:tc>
                      <w:tcPr>
                        <w:tcW w:w="1025" w:type="dxa"/>
                        <w:tcBorders>
                          <w:top w:val="single" w:sz="15" w:space="0" w:color="000000"/>
                          <w:left w:val="single" w:sz="4" w:space="0" w:color="000000"/>
                          <w:bottom w:val="single" w:sz="4" w:space="0" w:color="000000"/>
                          <w:right w:val="single" w:sz="4" w:space="0" w:color="000000"/>
                        </w:tcBorders>
                      </w:tcPr>
                      <w:p>
                        <w:pPr/>
                      </w:p>
                    </w:tc>
                    <w:tc>
                      <w:tcPr>
                        <w:tcW w:w="153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20"/>
                          <w:jc w:val="both"/>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pacing w:val="-8"/>
                            <w:sz w:val="18"/>
                            <w:szCs w:val="18"/>
                          </w:rPr>
                          <w:t>年度，</w:t>
                        </w:r>
                        <w:r>
                          <w:rPr>
                            <w:rFonts w:ascii="宋体" w:hAnsi="宋体" w:cs="宋体" w:eastAsia="宋体" w:hint="default"/>
                            <w:spacing w:val="-8"/>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 度、</w:t>
                        </w:r>
                        <w:r>
                          <w:rPr>
                            <w:rFonts w:ascii="宋体" w:hAnsi="宋体" w:cs="宋体" w:eastAsia="宋体" w:hint="default"/>
                            <w:sz w:val="18"/>
                            <w:szCs w:val="18"/>
                          </w:rPr>
                          <w:t>2017</w:t>
                        </w:r>
                        <w:r>
                          <w:rPr>
                            <w:rFonts w:ascii="宋体" w:hAnsi="宋体" w:cs="宋体" w:eastAsia="宋体" w:hint="default"/>
                            <w:spacing w:val="-51"/>
                            <w:sz w:val="18"/>
                            <w:szCs w:val="18"/>
                          </w:rPr>
                          <w:t> </w:t>
                        </w:r>
                        <w:r>
                          <w:rPr>
                            <w:rFonts w:ascii="宋体" w:hAnsi="宋体" w:cs="宋体" w:eastAsia="宋体" w:hint="default"/>
                            <w:sz w:val="18"/>
                            <w:szCs w:val="18"/>
                          </w:rPr>
                          <w:t>年度智度 亦复完成其业绩承 诺，实现净利润分 别为人民币</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3537.92</w:t>
                        </w:r>
                        <w:r>
                          <w:rPr>
                            <w:rFonts w:ascii="宋体" w:hAnsi="宋体" w:cs="宋体" w:eastAsia="宋体" w:hint="default"/>
                            <w:spacing w:val="-46"/>
                            <w:sz w:val="18"/>
                            <w:szCs w:val="18"/>
                          </w:rPr>
                          <w:t> </w:t>
                        </w:r>
                        <w:r>
                          <w:rPr>
                            <w:rFonts w:ascii="宋体" w:hAnsi="宋体" w:cs="宋体" w:eastAsia="宋体" w:hint="default"/>
                            <w:sz w:val="18"/>
                            <w:szCs w:val="18"/>
                          </w:rPr>
                          <w:t>万元、</w:t>
                        </w:r>
                      </w:p>
                      <w:p>
                        <w:pPr>
                          <w:pStyle w:val="TableParagraph"/>
                          <w:spacing w:line="319" w:lineRule="auto" w:before="76"/>
                          <w:ind w:left="22" w:right="20"/>
                          <w:jc w:val="left"/>
                          <w:rPr>
                            <w:rFonts w:ascii="宋体" w:hAnsi="宋体" w:cs="宋体" w:eastAsia="宋体" w:hint="default"/>
                            <w:sz w:val="18"/>
                            <w:szCs w:val="18"/>
                          </w:rPr>
                        </w:pPr>
                        <w:r>
                          <w:rPr>
                            <w:rFonts w:ascii="宋体" w:hAnsi="宋体" w:cs="宋体" w:eastAsia="宋体" w:hint="default"/>
                            <w:sz w:val="18"/>
                            <w:szCs w:val="18"/>
                          </w:rPr>
                          <w:t>4654.06</w:t>
                        </w:r>
                        <w:r>
                          <w:rPr>
                            <w:rFonts w:ascii="宋体" w:hAnsi="宋体" w:cs="宋体" w:eastAsia="宋体" w:hint="default"/>
                            <w:spacing w:val="-46"/>
                            <w:sz w:val="18"/>
                            <w:szCs w:val="18"/>
                          </w:rPr>
                          <w:t> </w:t>
                        </w:r>
                        <w:r>
                          <w:rPr>
                            <w:rFonts w:ascii="宋体" w:hAnsi="宋体" w:cs="宋体" w:eastAsia="宋体" w:hint="default"/>
                            <w:sz w:val="18"/>
                            <w:szCs w:val="18"/>
                          </w:rPr>
                          <w:t>万元和 </w:t>
                        </w:r>
                        <w:r>
                          <w:rPr>
                            <w:rFonts w:ascii="宋体" w:hAnsi="宋体" w:cs="宋体" w:eastAsia="宋体" w:hint="default"/>
                            <w:sz w:val="18"/>
                            <w:szCs w:val="18"/>
                          </w:rPr>
                          <w:t>6,324.03</w:t>
                        </w:r>
                        <w:r>
                          <w:rPr>
                            <w:rFonts w:ascii="宋体" w:hAnsi="宋体" w:cs="宋体" w:eastAsia="宋体" w:hint="default"/>
                            <w:spacing w:val="-52"/>
                            <w:sz w:val="18"/>
                            <w:szCs w:val="18"/>
                          </w:rPr>
                          <w:t> </w:t>
                        </w:r>
                        <w:r>
                          <w:rPr>
                            <w:rFonts w:ascii="宋体" w:hAnsi="宋体" w:cs="宋体" w:eastAsia="宋体" w:hint="default"/>
                            <w:sz w:val="18"/>
                            <w:szCs w:val="18"/>
                          </w:rPr>
                          <w:t>万元。根 据亦复壹所做承 诺，截止</w:t>
                        </w:r>
                        <w:r>
                          <w:rPr>
                            <w:rFonts w:ascii="宋体" w:hAnsi="宋体" w:cs="宋体" w:eastAsia="宋体" w:hint="default"/>
                            <w:spacing w:val="-49"/>
                            <w:sz w:val="18"/>
                            <w:szCs w:val="18"/>
                          </w:rPr>
                          <w:t> </w:t>
                        </w: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pacing w:val="-9"/>
                            <w:sz w:val="18"/>
                            <w:szCs w:val="18"/>
                          </w:rPr>
                          <w:t>日，新增股份</w:t>
                        </w:r>
                        <w:r>
                          <w:rPr>
                            <w:rFonts w:ascii="宋体" w:hAnsi="宋体" w:cs="宋体" w:eastAsia="宋体" w:hint="default"/>
                            <w:sz w:val="18"/>
                            <w:szCs w:val="18"/>
                          </w:rPr>
                          <w:t> 满</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pacing w:val="-9"/>
                            <w:sz w:val="18"/>
                            <w:szCs w:val="18"/>
                          </w:rPr>
                          <w:t>个月，亦复壹</w:t>
                        </w:r>
                        <w:r>
                          <w:rPr>
                            <w:rFonts w:ascii="宋体" w:hAnsi="宋体" w:cs="宋体" w:eastAsia="宋体" w:hint="default"/>
                            <w:sz w:val="18"/>
                            <w:szCs w:val="18"/>
                          </w:rPr>
                          <w:t> 解锁其持有的</w:t>
                        </w:r>
                        <w:r>
                          <w:rPr>
                            <w:rFonts w:ascii="宋体" w:hAnsi="宋体" w:cs="宋体" w:eastAsia="宋体" w:hint="default"/>
                            <w:spacing w:val="-52"/>
                            <w:sz w:val="18"/>
                            <w:szCs w:val="18"/>
                          </w:rPr>
                          <w:t> </w:t>
                        </w:r>
                        <w:r>
                          <w:rPr>
                            <w:rFonts w:ascii="宋体" w:hAnsi="宋体" w:cs="宋体" w:eastAsia="宋体" w:hint="default"/>
                            <w:sz w:val="18"/>
                            <w:szCs w:val="18"/>
                          </w:rPr>
                          <w:t>5%</w:t>
                        </w:r>
                        <w:r>
                          <w:rPr>
                            <w:rFonts w:ascii="宋体" w:hAnsi="宋体" w:cs="宋体" w:eastAsia="宋体" w:hint="default"/>
                            <w:sz w:val="18"/>
                            <w:szCs w:val="18"/>
                          </w:rPr>
                          <w:t>的 股份；此外，其他 承诺仍在履行中。</w:t>
                        </w:r>
                      </w:p>
                    </w:tc>
                  </w:tr>
                  <w:tr>
                    <w:trPr>
                      <w:trHeight w:val="2547" w:hRule="exact"/>
                    </w:trPr>
                    <w:tc>
                      <w:tcPr>
                        <w:tcW w:w="567" w:type="dxa"/>
                        <w:vMerge/>
                        <w:tcBorders>
                          <w:left w:val="single" w:sz="4" w:space="0" w:color="000000"/>
                          <w:bottom w:val="single" w:sz="4" w:space="0" w:color="000000"/>
                          <w:right w:val="single" w:sz="4" w:space="0" w:color="000000"/>
                        </w:tcBorders>
                        <w:shd w:val="clear" w:color="auto" w:fill="D2D2D2"/>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6" w:lineRule="auto"/>
                          <w:ind w:left="23" w:right="58"/>
                          <w:jc w:val="left"/>
                          <w:rPr>
                            <w:rFonts w:ascii="宋体" w:hAnsi="宋体" w:cs="宋体" w:eastAsia="宋体" w:hint="default"/>
                            <w:sz w:val="18"/>
                            <w:szCs w:val="18"/>
                          </w:rPr>
                        </w:pPr>
                        <w:r>
                          <w:rPr>
                            <w:rFonts w:ascii="宋体" w:hAnsi="宋体" w:cs="宋体" w:eastAsia="宋体" w:hint="default"/>
                            <w:sz w:val="18"/>
                            <w:szCs w:val="18"/>
                          </w:rPr>
                          <w:t>罗川</w:t>
                        </w:r>
                        <w:r>
                          <w:rPr>
                            <w:rFonts w:ascii="宋体" w:hAnsi="宋体" w:cs="宋体" w:eastAsia="宋体" w:hint="default"/>
                            <w:sz w:val="18"/>
                            <w:szCs w:val="18"/>
                          </w:rPr>
                          <w:t>;</w:t>
                        </w:r>
                        <w:r>
                          <w:rPr>
                            <w:rFonts w:ascii="宋体" w:hAnsi="宋体" w:cs="宋体" w:eastAsia="宋体" w:hint="default"/>
                            <w:sz w:val="18"/>
                            <w:szCs w:val="18"/>
                          </w:rPr>
                          <w:t>缪志 坚</w:t>
                        </w:r>
                        <w:r>
                          <w:rPr>
                            <w:rFonts w:ascii="宋体" w:hAnsi="宋体" w:cs="宋体" w:eastAsia="宋体" w:hint="default"/>
                            <w:sz w:val="18"/>
                            <w:szCs w:val="18"/>
                          </w:rPr>
                          <w:t>;</w:t>
                        </w:r>
                        <w:r>
                          <w:rPr>
                            <w:rFonts w:ascii="宋体" w:hAnsi="宋体" w:cs="宋体" w:eastAsia="宋体" w:hint="default"/>
                            <w:sz w:val="18"/>
                            <w:szCs w:val="18"/>
                          </w:rPr>
                          <w:t>徐锋</w:t>
                        </w:r>
                        <w:r>
                          <w:rPr>
                            <w:rFonts w:ascii="宋体" w:hAnsi="宋体" w:cs="宋体" w:eastAsia="宋体" w:hint="default"/>
                            <w:sz w:val="18"/>
                            <w:szCs w:val="18"/>
                          </w:rPr>
                          <w:t>;</w:t>
                        </w:r>
                        <w:r>
                          <w:rPr>
                            <w:rFonts w:ascii="宋体" w:hAnsi="宋体" w:cs="宋体" w:eastAsia="宋体" w:hint="default"/>
                            <w:sz w:val="18"/>
                            <w:szCs w:val="18"/>
                          </w:rPr>
                          <w:t>袁 聪</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80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一、如截至本人取得智度投资本次发行的股份时，本人用于认购股份的资产持续拥有权益的时间不足十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二个月，则本人相应取得的股份，自新增股份上市之日起三十六个月内不得以任何形式转让；如截至本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人取得智度投资本次发行的股份时，本人用于认购股份的资产持续拥有权益的时间已超过十二个月，则</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本人相应取得的股份，自新增股份上市之日起十二个月内不得以任何形式转让。二、在上述锁定期的基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础上，为保证本次交易标的资产交易盈利预测补偿承诺的实现，本人同意自法定限售期届满后按照如下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方式分期解锁本次交易取得的智度投资股份：</w:t>
                        </w:r>
                        <w:r>
                          <w:rPr>
                            <w:rFonts w:ascii="宋体" w:hAnsi="宋体" w:cs="宋体" w:eastAsia="宋体" w:hint="default"/>
                            <w:sz w:val="18"/>
                            <w:szCs w:val="18"/>
                          </w:rPr>
                          <w:t>1</w:t>
                        </w:r>
                        <w:r>
                          <w:rPr>
                            <w:rFonts w:ascii="宋体" w:hAnsi="宋体" w:cs="宋体" w:eastAsia="宋体" w:hint="default"/>
                            <w:sz w:val="18"/>
                            <w:szCs w:val="18"/>
                          </w:rPr>
                          <w:t>、法定锁定期为十二个月的部分，自法定限售期届满后 </w:t>
                        </w:r>
                        <w:r>
                          <w:rPr>
                            <w:rFonts w:ascii="宋体" w:hAnsi="宋体" w:cs="宋体" w:eastAsia="宋体" w:hint="default"/>
                            <w:spacing w:val="-3"/>
                            <w:sz w:val="18"/>
                            <w:szCs w:val="18"/>
                          </w:rPr>
                          <w:t>按照以下方式解锁：（</w:t>
                        </w:r>
                        <w:r>
                          <w:rPr>
                            <w:rFonts w:ascii="宋体" w:hAnsi="宋体" w:cs="宋体" w:eastAsia="宋体" w:hint="default"/>
                            <w:spacing w:val="-3"/>
                            <w:sz w:val="18"/>
                            <w:szCs w:val="18"/>
                          </w:rPr>
                          <w:t>1</w:t>
                        </w:r>
                        <w:r>
                          <w:rPr>
                            <w:rFonts w:ascii="宋体" w:hAnsi="宋体" w:cs="宋体" w:eastAsia="宋体" w:hint="default"/>
                            <w:spacing w:val="-3"/>
                            <w:sz w:val="18"/>
                            <w:szCs w:val="18"/>
                          </w:rPr>
                          <w:t>）自新增股份上市之日起十二个月届满，解锁法定锁定期限届满部分的</w:t>
                        </w:r>
                        <w:r>
                          <w:rPr>
                            <w:rFonts w:ascii="宋体" w:hAnsi="宋体" w:cs="宋体" w:eastAsia="宋体" w:hint="default"/>
                            <w:spacing w:val="-42"/>
                            <w:sz w:val="18"/>
                            <w:szCs w:val="18"/>
                          </w:rPr>
                          <w:t> </w:t>
                        </w:r>
                        <w:r>
                          <w:rPr>
                            <w:rFonts w:ascii="宋体" w:hAnsi="宋体" w:cs="宋体" w:eastAsia="宋体" w:hint="default"/>
                            <w:spacing w:val="-20"/>
                            <w:sz w:val="18"/>
                            <w:szCs w:val="18"/>
                          </w:rPr>
                          <w:t>5%</w:t>
                        </w:r>
                        <w:r>
                          <w:rPr>
                            <w:rFonts w:ascii="宋体" w:hAnsi="宋体" w:cs="宋体" w:eastAsia="宋体" w:hint="default"/>
                            <w:spacing w:val="-20"/>
                            <w:sz w:val="18"/>
                            <w:szCs w:val="18"/>
                          </w:rPr>
                          <w:t>；（</w:t>
                        </w:r>
                        <w:r>
                          <w:rPr>
                            <w:rFonts w:ascii="宋体" w:hAnsi="宋体" w:cs="宋体" w:eastAsia="宋体" w:hint="default"/>
                            <w:spacing w:val="-20"/>
                            <w:sz w:val="18"/>
                            <w:szCs w:val="18"/>
                          </w:rPr>
                          <w:t>2</w:t>
                        </w:r>
                        <w:r>
                          <w:rPr>
                            <w:rFonts w:ascii="宋体" w:hAnsi="宋体" w:cs="宋体" w:eastAsia="宋体" w:hint="default"/>
                            <w:spacing w:val="-83"/>
                            <w:sz w:val="18"/>
                            <w:szCs w:val="18"/>
                          </w:rPr>
                          <w:t> </w:t>
                        </w:r>
                        <w:r>
                          <w:rPr>
                            <w:rFonts w:ascii="宋体" w:hAnsi="宋体" w:cs="宋体" w:eastAsia="宋体" w:hint="default"/>
                            <w:sz w:val="18"/>
                            <w:szCs w:val="18"/>
                          </w:rPr>
                          <w:t>自新增股份上市之日起二十四个月届满，解锁法定锁定期限届满部分的</w:t>
                        </w:r>
                        <w:r>
                          <w:rPr>
                            <w:rFonts w:ascii="宋体" w:hAnsi="宋体" w:cs="宋体" w:eastAsia="宋体" w:hint="default"/>
                            <w:spacing w:val="-46"/>
                            <w:sz w:val="18"/>
                            <w:szCs w:val="18"/>
                          </w:rPr>
                          <w:t> </w:t>
                        </w:r>
                        <w:r>
                          <w:rPr>
                            <w:rFonts w:ascii="宋体" w:hAnsi="宋体" w:cs="宋体" w:eastAsia="宋体" w:hint="default"/>
                            <w:spacing w:val="-6"/>
                            <w:sz w:val="18"/>
                            <w:szCs w:val="18"/>
                          </w:rPr>
                          <w:t>5%</w:t>
                        </w:r>
                        <w:r>
                          <w:rPr>
                            <w:rFonts w:ascii="宋体" w:hAnsi="宋体" w:cs="宋体" w:eastAsia="宋体" w:hint="default"/>
                            <w:spacing w:val="-6"/>
                            <w:sz w:val="18"/>
                            <w:szCs w:val="18"/>
                          </w:rPr>
                          <w:t>；（</w:t>
                        </w:r>
                        <w:r>
                          <w:rPr>
                            <w:rFonts w:ascii="宋体" w:hAnsi="宋体" w:cs="宋体" w:eastAsia="宋体" w:hint="default"/>
                            <w:spacing w:val="-6"/>
                            <w:sz w:val="18"/>
                            <w:szCs w:val="18"/>
                          </w:rPr>
                          <w:t>3</w:t>
                        </w:r>
                        <w:r>
                          <w:rPr>
                            <w:rFonts w:ascii="宋体" w:hAnsi="宋体" w:cs="宋体" w:eastAsia="宋体" w:hint="default"/>
                            <w:spacing w:val="-6"/>
                            <w:sz w:val="18"/>
                            <w:szCs w:val="18"/>
                          </w:rPr>
                          <w:t>）自新增股份上市之日</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tc>
                    <w:tc>
                      <w:tcPr>
                        <w:tcW w:w="102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根据承诺，截止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319" w:lineRule="auto" w:before="19"/>
                          <w:ind w:left="22" w:right="20"/>
                          <w:jc w:val="left"/>
                          <w:rPr>
                            <w:rFonts w:ascii="宋体" w:hAnsi="宋体" w:cs="宋体" w:eastAsia="宋体" w:hint="default"/>
                            <w:sz w:val="18"/>
                            <w:szCs w:val="18"/>
                          </w:rPr>
                        </w:pPr>
                        <w:r>
                          <w:rPr>
                            <w:rFonts w:ascii="宋体" w:hAnsi="宋体" w:cs="宋体" w:eastAsia="宋体" w:hint="default"/>
                            <w:sz w:val="18"/>
                            <w:szCs w:val="18"/>
                          </w:rPr>
                          <w:t>新增股份上市满</w:t>
                        </w:r>
                        <w:r>
                          <w:rPr>
                            <w:rFonts w:ascii="宋体" w:hAnsi="宋体" w:cs="宋体" w:eastAsia="宋体" w:hint="default"/>
                            <w:spacing w:val="-52"/>
                            <w:sz w:val="18"/>
                            <w:szCs w:val="18"/>
                          </w:rPr>
                          <w:t> </w:t>
                        </w:r>
                        <w:r>
                          <w:rPr>
                            <w:rFonts w:ascii="宋体" w:hAnsi="宋体" w:cs="宋体" w:eastAsia="宋体" w:hint="default"/>
                            <w:sz w:val="18"/>
                            <w:szCs w:val="18"/>
                          </w:rPr>
                          <w:t>12 </w:t>
                        </w:r>
                        <w:r>
                          <w:rPr>
                            <w:rFonts w:ascii="宋体" w:hAnsi="宋体" w:cs="宋体" w:eastAsia="宋体" w:hint="default"/>
                            <w:sz w:val="18"/>
                            <w:szCs w:val="18"/>
                          </w:rPr>
                          <w:t>个月可解锁袁聪</w:t>
                        </w:r>
                        <w:r>
                          <w:rPr>
                            <w:rFonts w:ascii="宋体" w:hAnsi="宋体" w:cs="宋体" w:eastAsia="宋体" w:hint="default"/>
                            <w:sz w:val="18"/>
                            <w:szCs w:val="18"/>
                          </w:rPr>
                          <w:t>/ </w:t>
                        </w:r>
                        <w:r>
                          <w:rPr>
                            <w:rFonts w:ascii="宋体" w:hAnsi="宋体" w:cs="宋体" w:eastAsia="宋体" w:hint="default"/>
                            <w:sz w:val="18"/>
                            <w:szCs w:val="18"/>
                          </w:rPr>
                          <w:t>罗川所持有的</w:t>
                        </w:r>
                        <w:r>
                          <w:rPr>
                            <w:rFonts w:ascii="宋体" w:hAnsi="宋体" w:cs="宋体" w:eastAsia="宋体" w:hint="default"/>
                            <w:spacing w:val="-52"/>
                            <w:sz w:val="18"/>
                            <w:szCs w:val="18"/>
                          </w:rPr>
                          <w:t> </w:t>
                        </w:r>
                        <w:r>
                          <w:rPr>
                            <w:rFonts w:ascii="宋体" w:hAnsi="宋体" w:cs="宋体" w:eastAsia="宋体" w:hint="default"/>
                            <w:sz w:val="18"/>
                            <w:szCs w:val="18"/>
                          </w:rPr>
                          <w:t>5%</w:t>
                        </w:r>
                        <w:r>
                          <w:rPr>
                            <w:rFonts w:ascii="宋体" w:hAnsi="宋体" w:cs="宋体" w:eastAsia="宋体" w:hint="default"/>
                            <w:sz w:val="18"/>
                            <w:szCs w:val="18"/>
                          </w:rPr>
                          <w:t>的 股份；此外，其他 承诺仍在履行中。</w:t>
                        </w:r>
                      </w:p>
                    </w:tc>
                  </w:tr>
                </w:tbl>
                <w:p>
                  <w:pPr/>
                </w:p>
              </w:txbxContent>
            </v:textbox>
            <w10:wrap type="none"/>
          </v:shape>
        </w:pict>
      </w:r>
    </w:p>
    <w:p>
      <w:pPr>
        <w:spacing w:line="2964" w:lineRule="exact"/>
        <w:ind w:left="1047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8"/>
          <w:sz w:val="20"/>
          <w:szCs w:val="20"/>
        </w:rPr>
        <w:pict>
          <v:group style="width:55.8pt;height:148.25pt;mso-position-horizontal-relative:char;mso-position-vertical-relative:line" coordorigin="0,0" coordsize="1116,2965">
            <v:group style="position:absolute;left:0;top:0;width:1116;height:2965" coordorigin="0,0" coordsize="1116,2965">
              <v:shape style="position:absolute;left:0;top:0;width:1116;height:2965" coordorigin="0,0" coordsize="1116,2965" path="m0,2964l1116,2964,1116,0,0,0,0,2964xe" filled="true" fillcolor="#ffffff" stroked="false">
                <v:path arrowok="t"/>
                <v:fill type="solid"/>
              </v:shape>
            </v:group>
          </v:group>
        </w:pict>
      </w:r>
      <w:r>
        <w:rPr>
          <w:rFonts w:ascii="Times New Roman" w:hAnsi="Times New Roman" w:cs="Times New Roman" w:eastAsia="Times New Roman" w:hint="default"/>
          <w:position w:val="-5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9"/>
          <w:szCs w:val="19"/>
        </w:rPr>
      </w:pPr>
    </w:p>
    <w:p>
      <w:pPr>
        <w:pStyle w:val="BodyText"/>
        <w:spacing w:line="240" w:lineRule="auto" w:before="44"/>
        <w:ind w:left="0" w:right="1301"/>
        <w:jc w:val="right"/>
      </w:pPr>
      <w:r>
        <w:rPr/>
        <w:pict>
          <v:shape style="position:absolute;margin-left:583.479980pt;margin-top:58.251724pt;width:62pt;height:45.85pt;mso-position-horizontal-relative:page;mso-position-vertical-relative:paragraph;z-index:-1181872" type="#_x0000_t202" filled="false" stroked="false">
            <v:textbox inset="0,0,0,0">
              <w:txbxContent>
                <w:p>
                  <w:pPr>
                    <w:spacing w:line="240" w:lineRule="auto" w:before="2"/>
                    <w:rPr>
                      <w:rFonts w:ascii="宋体" w:hAnsi="宋体" w:cs="宋体" w:eastAsia="宋体" w:hint="default"/>
                      <w:sz w:val="23"/>
                      <w:szCs w:val="23"/>
                    </w:rPr>
                  </w:pPr>
                </w:p>
                <w:p>
                  <w:pPr>
                    <w:pStyle w:val="BodyText"/>
                    <w:spacing w:line="240" w:lineRule="auto"/>
                    <w:ind w:left="0" w:right="0"/>
                    <w:jc w:val="left"/>
                  </w:pPr>
                  <w:r>
                    <w:rPr/>
                    <w:t>）</w:t>
                  </w: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spacing w:line="916" w:lineRule="exact"/>
        <w:ind w:left="10473" w:right="0" w:firstLine="0"/>
        <w:rPr>
          <w:rFonts w:ascii="宋体" w:hAnsi="宋体" w:cs="宋体" w:eastAsia="宋体" w:hint="default"/>
          <w:sz w:val="20"/>
          <w:szCs w:val="20"/>
        </w:rPr>
      </w:pPr>
      <w:r>
        <w:rPr>
          <w:rFonts w:ascii="宋体" w:hAnsi="宋体" w:cs="宋体" w:eastAsia="宋体" w:hint="default"/>
          <w:position w:val="-17"/>
          <w:sz w:val="20"/>
          <w:szCs w:val="20"/>
        </w:rPr>
        <w:pict>
          <v:group style="width:55.8pt;height:45.85pt;mso-position-horizontal-relative:char;mso-position-vertical-relative:line" coordorigin="0,0" coordsize="1116,917">
            <v:group style="position:absolute;left:0;top:0;width:1116;height:917" coordorigin="0,0" coordsize="1116,917">
              <v:shape style="position:absolute;left:0;top:0;width:1116;height:917" coordorigin="0,0" coordsize="1116,917" path="m0,917l1116,917,1116,0,0,0,0,917xe" filled="true" fillcolor="#ffffff" stroked="false">
                <v:path arrowok="t"/>
                <v:fill type="solid"/>
              </v:shape>
            </v:group>
          </v:group>
        </w:pict>
      </w:r>
      <w:r>
        <w:rPr>
          <w:rFonts w:ascii="宋体" w:hAnsi="宋体" w:cs="宋体" w:eastAsia="宋体" w:hint="default"/>
          <w:position w:val="-17"/>
          <w:sz w:val="20"/>
          <w:szCs w:val="20"/>
        </w:rPr>
      </w:r>
    </w:p>
    <w:p>
      <w:pPr>
        <w:spacing w:after="0" w:line="916" w:lineRule="exact"/>
        <w:rPr>
          <w:rFonts w:ascii="宋体" w:hAnsi="宋体" w:cs="宋体" w:eastAsia="宋体" w:hint="default"/>
          <w:sz w:val="20"/>
          <w:szCs w:val="20"/>
        </w:rPr>
        <w:sectPr>
          <w:pgSz w:w="16840" w:h="11910" w:orient="landscape"/>
          <w:pgMar w:header="867" w:footer="1187" w:top="1060" w:bottom="1380" w:left="1320" w:right="0"/>
        </w:sectPr>
      </w:pPr>
    </w:p>
    <w:p>
      <w:pPr>
        <w:spacing w:line="240" w:lineRule="auto" w:before="4"/>
        <w:rPr>
          <w:rFonts w:ascii="Times New Roman" w:hAnsi="Times New Roman" w:cs="Times New Roman" w:eastAsia="Times New Roman" w:hint="default"/>
          <w:sz w:val="3"/>
          <w:szCs w:val="3"/>
        </w:rPr>
      </w:pPr>
      <w:r>
        <w:rPr/>
        <w:pict>
          <v:group style="position:absolute;margin-left:589.659973pt;margin-top:57.180008pt;width:55.8pt;height:261.95pt;mso-position-horizontal-relative:page;mso-position-vertical-relative:page;z-index:-1181800" coordorigin="11793,1144" coordsize="1116,5239">
            <v:group style="position:absolute;left:11793;top:1144;width:1116;height:2850" coordorigin="11793,1144" coordsize="1116,2850">
              <v:shape style="position:absolute;left:11793;top:1144;width:1116;height:2850" coordorigin="11793,1144" coordsize="1116,2850" path="m11793,3993l12909,3993,12909,1144,11793,1144,11793,3993xe" filled="true" fillcolor="#ffffff" stroked="false">
                <v:path arrowok="t"/>
                <v:fill type="solid"/>
              </v:shape>
            </v:group>
            <v:group style="position:absolute;left:11793;top:4002;width:1116;height:2029" coordorigin="11793,4002" coordsize="1116,2029">
              <v:shape style="position:absolute;left:11793;top:4002;width:1116;height:2029" coordorigin="11793,4002" coordsize="1116,2029" path="m11793,6031l12909,6031,12909,4002,11793,4002,11793,6031xe" filled="true" fillcolor="#ffffff" stroked="false">
                <v:path arrowok="t"/>
                <v:fill type="solid"/>
              </v:shape>
            </v:group>
            <v:group style="position:absolute;left:11817;top:6031;width:1070;height:352" coordorigin="11817,6031" coordsize="1070,352">
              <v:shape style="position:absolute;left:11817;top:6031;width:1070;height:352" coordorigin="11817,6031" coordsize="1070,352" path="m11817,6382l12886,6382,12886,6031,11817,6031,11817,6382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567"/>
        <w:gridCol w:w="993"/>
        <w:gridCol w:w="709"/>
        <w:gridCol w:w="8079"/>
        <w:gridCol w:w="1127"/>
        <w:gridCol w:w="1025"/>
        <w:gridCol w:w="1534"/>
      </w:tblGrid>
      <w:tr>
        <w:trPr>
          <w:trHeight w:val="2873" w:hRule="exact"/>
        </w:trPr>
        <w:tc>
          <w:tcPr>
            <w:tcW w:w="567" w:type="dxa"/>
            <w:vMerge w:val="restart"/>
            <w:tcBorders>
              <w:top w:val="single" w:sz="15" w:space="0" w:color="000000"/>
              <w:left w:val="single" w:sz="4" w:space="0" w:color="000000"/>
              <w:right w:val="single" w:sz="4" w:space="0" w:color="000000"/>
            </w:tcBorders>
            <w:shd w:val="clear" w:color="auto" w:fill="D2D2D2"/>
          </w:tcPr>
          <w:p>
            <w:pPr/>
          </w:p>
        </w:tc>
        <w:tc>
          <w:tcPr>
            <w:tcW w:w="993"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8079"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9"/>
              <w:jc w:val="left"/>
              <w:rPr>
                <w:rFonts w:ascii="宋体" w:hAnsi="宋体" w:cs="宋体" w:eastAsia="宋体" w:hint="default"/>
                <w:sz w:val="18"/>
                <w:szCs w:val="18"/>
              </w:rPr>
            </w:pPr>
            <w:r>
              <w:rPr>
                <w:rFonts w:ascii="宋体" w:hAnsi="宋体" w:cs="宋体" w:eastAsia="宋体" w:hint="default"/>
                <w:sz w:val="18"/>
                <w:szCs w:val="18"/>
              </w:rPr>
              <w:t>起三十六个月届满，解锁法定锁定期限届满部分的</w:t>
            </w:r>
            <w:r>
              <w:rPr>
                <w:rFonts w:ascii="宋体" w:hAnsi="宋体" w:cs="宋体" w:eastAsia="宋体" w:hint="default"/>
                <w:spacing w:val="-39"/>
                <w:sz w:val="18"/>
                <w:szCs w:val="18"/>
              </w:rPr>
              <w:t> </w:t>
            </w:r>
            <w:r>
              <w:rPr>
                <w:rFonts w:ascii="宋体" w:hAnsi="宋体" w:cs="宋体" w:eastAsia="宋体" w:hint="default"/>
                <w:spacing w:val="-4"/>
                <w:sz w:val="18"/>
                <w:szCs w:val="18"/>
              </w:rPr>
              <w:t>20%</w:t>
            </w:r>
            <w:r>
              <w:rPr>
                <w:rFonts w:ascii="宋体" w:hAnsi="宋体" w:cs="宋体" w:eastAsia="宋体" w:hint="default"/>
                <w:spacing w:val="-4"/>
                <w:sz w:val="18"/>
                <w:szCs w:val="18"/>
              </w:rPr>
              <w:t>；（</w:t>
            </w:r>
            <w:r>
              <w:rPr>
                <w:rFonts w:ascii="宋体" w:hAnsi="宋体" w:cs="宋体" w:eastAsia="宋体" w:hint="default"/>
                <w:spacing w:val="-4"/>
                <w:sz w:val="18"/>
                <w:szCs w:val="18"/>
              </w:rPr>
              <w:t>4</w:t>
            </w:r>
            <w:r>
              <w:rPr>
                <w:rFonts w:ascii="宋体" w:hAnsi="宋体" w:cs="宋体" w:eastAsia="宋体" w:hint="default"/>
                <w:spacing w:val="-4"/>
                <w:sz w:val="18"/>
                <w:szCs w:val="18"/>
              </w:rPr>
              <w:t>）自新增股份上市之日起四十八个月届满，</w:t>
            </w:r>
            <w:r>
              <w:rPr>
                <w:rFonts w:ascii="宋体" w:hAnsi="宋体" w:cs="宋体" w:eastAsia="宋体" w:hint="default"/>
                <w:spacing w:val="-88"/>
                <w:sz w:val="18"/>
                <w:szCs w:val="18"/>
              </w:rPr>
              <w:t> </w:t>
            </w:r>
            <w:r>
              <w:rPr>
                <w:rFonts w:ascii="宋体" w:hAnsi="宋体" w:cs="宋体" w:eastAsia="宋体" w:hint="default"/>
                <w:sz w:val="18"/>
                <w:szCs w:val="18"/>
              </w:rPr>
              <w:t>解锁法定锁定期限届满部分的</w:t>
            </w:r>
            <w:r>
              <w:rPr>
                <w:rFonts w:ascii="宋体" w:hAnsi="宋体" w:cs="宋体" w:eastAsia="宋体" w:hint="default"/>
                <w:spacing w:val="-39"/>
                <w:sz w:val="18"/>
                <w:szCs w:val="18"/>
              </w:rPr>
              <w:t> </w:t>
            </w:r>
            <w:r>
              <w:rPr>
                <w:rFonts w:ascii="宋体" w:hAnsi="宋体" w:cs="宋体" w:eastAsia="宋体" w:hint="default"/>
                <w:spacing w:val="-4"/>
                <w:sz w:val="18"/>
                <w:szCs w:val="18"/>
              </w:rPr>
              <w:t>50%</w:t>
            </w:r>
            <w:r>
              <w:rPr>
                <w:rFonts w:ascii="宋体" w:hAnsi="宋体" w:cs="宋体" w:eastAsia="宋体" w:hint="default"/>
                <w:spacing w:val="-4"/>
                <w:sz w:val="18"/>
                <w:szCs w:val="18"/>
              </w:rPr>
              <w:t>；（</w:t>
            </w:r>
            <w:r>
              <w:rPr>
                <w:rFonts w:ascii="宋体" w:hAnsi="宋体" w:cs="宋体" w:eastAsia="宋体" w:hint="default"/>
                <w:spacing w:val="-4"/>
                <w:sz w:val="18"/>
                <w:szCs w:val="18"/>
              </w:rPr>
              <w:t>5</w:t>
            </w:r>
            <w:r>
              <w:rPr>
                <w:rFonts w:ascii="宋体" w:hAnsi="宋体" w:cs="宋体" w:eastAsia="宋体" w:hint="default"/>
                <w:spacing w:val="-4"/>
                <w:sz w:val="18"/>
                <w:szCs w:val="18"/>
              </w:rPr>
              <w:t>）自新增股份上市之日起六十个月届满，解锁法定锁定期限届满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部分的未解锁部分。</w:t>
            </w:r>
            <w:r>
              <w:rPr>
                <w:rFonts w:ascii="宋体" w:hAnsi="宋体" w:cs="宋体" w:eastAsia="宋体" w:hint="default"/>
                <w:spacing w:val="-2"/>
                <w:sz w:val="18"/>
                <w:szCs w:val="18"/>
              </w:rPr>
              <w:t>2</w:t>
            </w:r>
            <w:r>
              <w:rPr>
                <w:rFonts w:ascii="宋体" w:hAnsi="宋体" w:cs="宋体" w:eastAsia="宋体" w:hint="default"/>
                <w:spacing w:val="-2"/>
                <w:sz w:val="18"/>
                <w:szCs w:val="18"/>
              </w:rPr>
              <w:t>、锁定期为三十六个月的部分，自法定限售期届满后按照以下方式解锁：（</w:t>
            </w:r>
            <w:r>
              <w:rPr>
                <w:rFonts w:ascii="宋体" w:hAnsi="宋体" w:cs="宋体" w:eastAsia="宋体" w:hint="default"/>
                <w:spacing w:val="-2"/>
                <w:sz w:val="18"/>
                <w:szCs w:val="18"/>
              </w:rPr>
              <w:t>1</w:t>
            </w:r>
            <w:r>
              <w:rPr>
                <w:rFonts w:ascii="宋体" w:hAnsi="宋体" w:cs="宋体" w:eastAsia="宋体" w:hint="default"/>
                <w:spacing w:val="-2"/>
                <w:sz w:val="18"/>
                <w:szCs w:val="18"/>
              </w:rPr>
              <w:t>）自</w:t>
            </w:r>
            <w:r>
              <w:rPr>
                <w:rFonts w:ascii="宋体" w:hAnsi="宋体" w:cs="宋体" w:eastAsia="宋体" w:hint="default"/>
                <w:spacing w:val="-88"/>
                <w:sz w:val="18"/>
                <w:szCs w:val="18"/>
              </w:rPr>
              <w:t> </w:t>
            </w:r>
            <w:r>
              <w:rPr>
                <w:rFonts w:ascii="宋体" w:hAnsi="宋体" w:cs="宋体" w:eastAsia="宋体" w:hint="default"/>
                <w:spacing w:val="-1"/>
                <w:sz w:val="18"/>
                <w:szCs w:val="18"/>
              </w:rPr>
              <w:t>新增股份上市之日起三十六个月届满，解锁法定锁定期限届满部分的</w:t>
            </w:r>
            <w:r>
              <w:rPr>
                <w:rFonts w:ascii="宋体" w:hAnsi="宋体" w:cs="宋体" w:eastAsia="宋体" w:hint="default"/>
                <w:spacing w:val="-34"/>
                <w:sz w:val="18"/>
                <w:szCs w:val="18"/>
              </w:rPr>
              <w:t> </w:t>
            </w:r>
            <w:r>
              <w:rPr>
                <w:rFonts w:ascii="宋体" w:hAnsi="宋体" w:cs="宋体" w:eastAsia="宋体" w:hint="default"/>
                <w:spacing w:val="-7"/>
                <w:sz w:val="18"/>
                <w:szCs w:val="18"/>
              </w:rPr>
              <w:t>30%</w:t>
            </w:r>
            <w:r>
              <w:rPr>
                <w:rFonts w:ascii="宋体" w:hAnsi="宋体" w:cs="宋体" w:eastAsia="宋体" w:hint="default"/>
                <w:spacing w:val="-7"/>
                <w:sz w:val="18"/>
                <w:szCs w:val="18"/>
              </w:rPr>
              <w:t>；（</w:t>
            </w:r>
            <w:r>
              <w:rPr>
                <w:rFonts w:ascii="宋体" w:hAnsi="宋体" w:cs="宋体" w:eastAsia="宋体" w:hint="default"/>
                <w:spacing w:val="-7"/>
                <w:sz w:val="18"/>
                <w:szCs w:val="18"/>
              </w:rPr>
              <w:t>2</w:t>
            </w:r>
            <w:r>
              <w:rPr>
                <w:rFonts w:ascii="宋体" w:hAnsi="宋体" w:cs="宋体" w:eastAsia="宋体" w:hint="default"/>
                <w:spacing w:val="-7"/>
                <w:sz w:val="18"/>
                <w:szCs w:val="18"/>
              </w:rPr>
              <w:t>）自新增股份上市之日起</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
                <w:sz w:val="18"/>
                <w:szCs w:val="18"/>
              </w:rPr>
              <w:t>四十八个月届满，解锁法定锁定期限届满部分的</w:t>
            </w:r>
            <w:r>
              <w:rPr>
                <w:rFonts w:ascii="宋体" w:hAnsi="宋体" w:cs="宋体" w:eastAsia="宋体" w:hint="default"/>
                <w:spacing w:val="-34"/>
                <w:sz w:val="18"/>
                <w:szCs w:val="18"/>
              </w:rPr>
              <w:t> </w:t>
            </w:r>
            <w:r>
              <w:rPr>
                <w:rFonts w:ascii="宋体" w:hAnsi="宋体" w:cs="宋体" w:eastAsia="宋体" w:hint="default"/>
                <w:spacing w:val="-5"/>
                <w:sz w:val="18"/>
                <w:szCs w:val="18"/>
              </w:rPr>
              <w:t>50%</w:t>
            </w:r>
            <w:r>
              <w:rPr>
                <w:rFonts w:ascii="宋体" w:hAnsi="宋体" w:cs="宋体" w:eastAsia="宋体" w:hint="default"/>
                <w:spacing w:val="-5"/>
                <w:sz w:val="18"/>
                <w:szCs w:val="18"/>
              </w:rPr>
              <w:t>；（</w:t>
            </w:r>
            <w:r>
              <w:rPr>
                <w:rFonts w:ascii="宋体" w:hAnsi="宋体" w:cs="宋体" w:eastAsia="宋体" w:hint="default"/>
                <w:spacing w:val="-5"/>
                <w:sz w:val="18"/>
                <w:szCs w:val="18"/>
              </w:rPr>
              <w:t>3</w:t>
            </w:r>
            <w:r>
              <w:rPr>
                <w:rFonts w:ascii="宋体" w:hAnsi="宋体" w:cs="宋体" w:eastAsia="宋体" w:hint="default"/>
                <w:spacing w:val="-5"/>
                <w:sz w:val="18"/>
                <w:szCs w:val="18"/>
              </w:rPr>
              <w:t>）自新增股份上市之日起六十个月届满，解锁</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法定锁定期限届满部分的未解锁部分。三、如本人取得本次发行的股份时，用于认购股份的资产持续拥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有权益的时间已满</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个月，则可参照限售期为</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个月的安排相应调整法定限售期和分期解锁期。四 </w:t>
            </w:r>
            <w:r>
              <w:rPr>
                <w:rFonts w:ascii="宋体" w:hAnsi="宋体" w:cs="宋体" w:eastAsia="宋体" w:hint="default"/>
                <w:spacing w:val="-2"/>
                <w:sz w:val="18"/>
                <w:szCs w:val="18"/>
              </w:rPr>
              <w:t>本人在转让本次交易中取得的智度投资股份时，如担任智度投资的董事、监事、高管职务，其减持股份</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数量还应遵守《公司法》等法律法规的限制性规定。</w:t>
            </w:r>
          </w:p>
        </w:tc>
        <w:tc>
          <w:tcPr>
            <w:tcW w:w="112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1025" w:type="dxa"/>
            <w:tcBorders>
              <w:top w:val="single" w:sz="15" w:space="0" w:color="000000"/>
              <w:left w:val="single" w:sz="4" w:space="0" w:color="000000"/>
              <w:bottom w:val="single" w:sz="4" w:space="0" w:color="000000"/>
              <w:right w:val="single" w:sz="4" w:space="0" w:color="000000"/>
            </w:tcBorders>
          </w:tcPr>
          <w:p>
            <w:pPr/>
          </w:p>
        </w:tc>
        <w:tc>
          <w:tcPr>
            <w:tcW w:w="1534" w:type="dxa"/>
            <w:tcBorders>
              <w:top w:val="single" w:sz="15" w:space="0" w:color="000000"/>
              <w:left w:val="single" w:sz="4" w:space="0" w:color="000000"/>
              <w:bottom w:val="single" w:sz="4" w:space="0" w:color="000000"/>
              <w:right w:val="single" w:sz="4" w:space="0" w:color="000000"/>
            </w:tcBorders>
          </w:tcPr>
          <w:p>
            <w:pPr/>
          </w:p>
        </w:tc>
      </w:tr>
      <w:tr>
        <w:trPr>
          <w:trHeight w:val="4771" w:hRule="exact"/>
        </w:trPr>
        <w:tc>
          <w:tcPr>
            <w:tcW w:w="567" w:type="dxa"/>
            <w:vMerge/>
            <w:tcBorders>
              <w:left w:val="single" w:sz="4" w:space="0" w:color="000000"/>
              <w:right w:val="single" w:sz="4" w:space="0" w:color="000000"/>
            </w:tcBorders>
            <w:shd w:val="clear" w:color="auto" w:fill="D2D2D2"/>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3" w:right="58"/>
              <w:jc w:val="both"/>
              <w:rPr>
                <w:rFonts w:ascii="宋体" w:hAnsi="宋体" w:cs="宋体" w:eastAsia="宋体" w:hint="default"/>
                <w:sz w:val="18"/>
                <w:szCs w:val="18"/>
              </w:rPr>
            </w:pPr>
            <w:r>
              <w:rPr>
                <w:rFonts w:ascii="宋体" w:hAnsi="宋体" w:cs="宋体" w:eastAsia="宋体" w:hint="default"/>
                <w:sz w:val="18"/>
                <w:szCs w:val="18"/>
              </w:rPr>
              <w:t>北京盈聚思 成投资管理 中心（有限 合伙）</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8079"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51"/>
              <w:ind w:left="22" w:right="-16"/>
              <w:jc w:val="left"/>
              <w:rPr>
                <w:rFonts w:ascii="宋体" w:hAnsi="宋体" w:cs="宋体" w:eastAsia="宋体" w:hint="default"/>
                <w:sz w:val="18"/>
                <w:szCs w:val="18"/>
              </w:rPr>
            </w:pPr>
            <w:r>
              <w:rPr>
                <w:rFonts w:ascii="宋体" w:hAnsi="宋体" w:cs="宋体" w:eastAsia="宋体" w:hint="default"/>
                <w:spacing w:val="-2"/>
                <w:sz w:val="18"/>
                <w:szCs w:val="18"/>
              </w:rPr>
              <w:t>一、如截至本企业取得智度投资本次发行的股份时，本企业用于认购股份的资产持续拥有权益的时间不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足十二个月，则本企业相应取得的股份，自新增股份上市之日起三十六个月内不得以任何形式转让；如</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截至本企业取得智度投资本次发行的股份时，本企业用于认购股份的资产持续拥有权益的时间已超过十</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二个月，则本企业相应取得的股份，自新增股份上市之日起十二个月内不得以任何形式转让。二、在上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述锁定期的基础上，为保证本次交易标的资产交易盈利预测补偿承诺的实现，本企业同意自法定限售期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届满后按照如下方式分期解锁本次交易取得</w:t>
            </w:r>
            <w:r>
              <w:rPr>
                <w:rFonts w:ascii="宋体" w:hAnsi="宋体" w:cs="宋体" w:eastAsia="宋体" w:hint="default"/>
                <w:spacing w:val="-61"/>
                <w:sz w:val="18"/>
                <w:szCs w:val="18"/>
              </w:rPr>
              <w:t> </w:t>
            </w:r>
            <w:r>
              <w:rPr>
                <w:rFonts w:ascii="宋体" w:hAnsi="宋体" w:cs="宋体" w:eastAsia="宋体" w:hint="default"/>
                <w:sz w:val="18"/>
                <w:szCs w:val="18"/>
              </w:rPr>
              <w:t>1</w:t>
            </w:r>
            <w:r>
              <w:rPr>
                <w:rFonts w:ascii="宋体" w:hAnsi="宋体" w:cs="宋体" w:eastAsia="宋体" w:hint="default"/>
                <w:sz w:val="18"/>
                <w:szCs w:val="18"/>
              </w:rPr>
              <w:t>、法定锁定期为十二个月的部分，自法定限售期届满后按 </w:t>
            </w:r>
            <w:r>
              <w:rPr>
                <w:rFonts w:ascii="宋体" w:hAnsi="宋体" w:cs="宋体" w:eastAsia="宋体" w:hint="default"/>
                <w:spacing w:val="-3"/>
                <w:sz w:val="18"/>
                <w:szCs w:val="18"/>
              </w:rPr>
              <w:t>照以下方式解锁（</w:t>
            </w:r>
            <w:r>
              <w:rPr>
                <w:rFonts w:ascii="宋体" w:hAnsi="宋体" w:cs="宋体" w:eastAsia="宋体" w:hint="default"/>
                <w:spacing w:val="-3"/>
                <w:sz w:val="18"/>
                <w:szCs w:val="18"/>
              </w:rPr>
              <w:t>1</w:t>
            </w:r>
            <w:r>
              <w:rPr>
                <w:rFonts w:ascii="宋体" w:hAnsi="宋体" w:cs="宋体" w:eastAsia="宋体" w:hint="default"/>
                <w:spacing w:val="-3"/>
                <w:sz w:val="18"/>
                <w:szCs w:val="18"/>
              </w:rPr>
              <w:t>）自新增股份上市之日起十二个月届满，分别解锁法定锁定期限届满部分的</w:t>
            </w:r>
            <w:r>
              <w:rPr>
                <w:rFonts w:ascii="宋体" w:hAnsi="宋体" w:cs="宋体" w:eastAsia="宋体" w:hint="default"/>
                <w:spacing w:val="-39"/>
                <w:sz w:val="18"/>
                <w:szCs w:val="18"/>
              </w:rPr>
              <w:t> </w:t>
            </w:r>
            <w:r>
              <w:rPr>
                <w:rFonts w:ascii="宋体" w:hAnsi="宋体" w:cs="宋体" w:eastAsia="宋体" w:hint="default"/>
                <w:spacing w:val="-24"/>
                <w:sz w:val="18"/>
                <w:szCs w:val="18"/>
              </w:rPr>
              <w:t>5%</w:t>
            </w:r>
            <w:r>
              <w:rPr>
                <w:rFonts w:ascii="宋体" w:hAnsi="宋体" w:cs="宋体" w:eastAsia="宋体" w:hint="default"/>
                <w:spacing w:val="-24"/>
                <w:sz w:val="18"/>
                <w:szCs w:val="18"/>
              </w:rPr>
              <w:t>；（</w:t>
            </w:r>
            <w:r>
              <w:rPr>
                <w:rFonts w:ascii="宋体" w:hAnsi="宋体" w:cs="宋体" w:eastAsia="宋体" w:hint="default"/>
                <w:spacing w:val="-24"/>
                <w:sz w:val="18"/>
                <w:szCs w:val="18"/>
              </w:rPr>
              <w:t>2</w:t>
            </w:r>
            <w:r>
              <w:rPr>
                <w:rFonts w:ascii="宋体" w:hAnsi="宋体" w:cs="宋体" w:eastAsia="宋体" w:hint="default"/>
                <w:spacing w:val="-67"/>
                <w:sz w:val="18"/>
                <w:szCs w:val="18"/>
              </w:rPr>
              <w:t> </w:t>
            </w:r>
            <w:r>
              <w:rPr>
                <w:rFonts w:ascii="宋体" w:hAnsi="宋体" w:cs="宋体" w:eastAsia="宋体" w:hint="default"/>
                <w:sz w:val="18"/>
                <w:szCs w:val="18"/>
              </w:rPr>
              <w:t>自新增股份上市之日起二十四个月届满，解锁法定锁定期限届满部分的</w:t>
            </w:r>
            <w:r>
              <w:rPr>
                <w:rFonts w:ascii="宋体" w:hAnsi="宋体" w:cs="宋体" w:eastAsia="宋体" w:hint="default"/>
                <w:spacing w:val="-46"/>
                <w:sz w:val="18"/>
                <w:szCs w:val="18"/>
              </w:rPr>
              <w:t> </w:t>
            </w:r>
            <w:r>
              <w:rPr>
                <w:rFonts w:ascii="宋体" w:hAnsi="宋体" w:cs="宋体" w:eastAsia="宋体" w:hint="default"/>
                <w:spacing w:val="-6"/>
                <w:sz w:val="18"/>
                <w:szCs w:val="18"/>
              </w:rPr>
              <w:t>5%</w:t>
            </w:r>
            <w:r>
              <w:rPr>
                <w:rFonts w:ascii="宋体" w:hAnsi="宋体" w:cs="宋体" w:eastAsia="宋体" w:hint="default"/>
                <w:spacing w:val="-6"/>
                <w:sz w:val="18"/>
                <w:szCs w:val="18"/>
              </w:rPr>
              <w:t>；（</w:t>
            </w:r>
            <w:r>
              <w:rPr>
                <w:rFonts w:ascii="宋体" w:hAnsi="宋体" w:cs="宋体" w:eastAsia="宋体" w:hint="default"/>
                <w:spacing w:val="-6"/>
                <w:sz w:val="18"/>
                <w:szCs w:val="18"/>
              </w:rPr>
              <w:t>3</w:t>
            </w:r>
            <w:r>
              <w:rPr>
                <w:rFonts w:ascii="宋体" w:hAnsi="宋体" w:cs="宋体" w:eastAsia="宋体" w:hint="default"/>
                <w:spacing w:val="-6"/>
                <w:sz w:val="18"/>
                <w:szCs w:val="18"/>
              </w:rPr>
              <w:t>）自新增股份上市之日</w:t>
            </w:r>
            <w:r>
              <w:rPr>
                <w:rFonts w:ascii="宋体" w:hAnsi="宋体" w:cs="宋体" w:eastAsia="宋体" w:hint="default"/>
                <w:sz w:val="18"/>
                <w:szCs w:val="18"/>
              </w:rPr>
              <w:t> 起三十六个月届满，解锁法定锁定期限届满部分的</w:t>
            </w:r>
            <w:r>
              <w:rPr>
                <w:rFonts w:ascii="宋体" w:hAnsi="宋体" w:cs="宋体" w:eastAsia="宋体" w:hint="default"/>
                <w:spacing w:val="-39"/>
                <w:sz w:val="18"/>
                <w:szCs w:val="18"/>
              </w:rPr>
              <w:t> </w:t>
            </w:r>
            <w:r>
              <w:rPr>
                <w:rFonts w:ascii="宋体" w:hAnsi="宋体" w:cs="宋体" w:eastAsia="宋体" w:hint="default"/>
                <w:spacing w:val="-4"/>
                <w:sz w:val="18"/>
                <w:szCs w:val="18"/>
              </w:rPr>
              <w:t>20%</w:t>
            </w:r>
            <w:r>
              <w:rPr>
                <w:rFonts w:ascii="宋体" w:hAnsi="宋体" w:cs="宋体" w:eastAsia="宋体" w:hint="default"/>
                <w:spacing w:val="-4"/>
                <w:sz w:val="18"/>
                <w:szCs w:val="18"/>
              </w:rPr>
              <w:t>；（</w:t>
            </w:r>
            <w:r>
              <w:rPr>
                <w:rFonts w:ascii="宋体" w:hAnsi="宋体" w:cs="宋体" w:eastAsia="宋体" w:hint="default"/>
                <w:spacing w:val="-4"/>
                <w:sz w:val="18"/>
                <w:szCs w:val="18"/>
              </w:rPr>
              <w:t>4</w:t>
            </w:r>
            <w:r>
              <w:rPr>
                <w:rFonts w:ascii="宋体" w:hAnsi="宋体" w:cs="宋体" w:eastAsia="宋体" w:hint="default"/>
                <w:spacing w:val="-4"/>
                <w:sz w:val="18"/>
                <w:szCs w:val="18"/>
              </w:rPr>
              <w:t>）自新增股份上市之日起四十八个月届满，</w:t>
            </w:r>
            <w:r>
              <w:rPr>
                <w:rFonts w:ascii="宋体" w:hAnsi="宋体" w:cs="宋体" w:eastAsia="宋体" w:hint="default"/>
                <w:spacing w:val="-87"/>
                <w:sz w:val="18"/>
                <w:szCs w:val="18"/>
              </w:rPr>
              <w:t> </w:t>
            </w:r>
            <w:r>
              <w:rPr>
                <w:rFonts w:ascii="宋体" w:hAnsi="宋体" w:cs="宋体" w:eastAsia="宋体" w:hint="default"/>
                <w:sz w:val="18"/>
                <w:szCs w:val="18"/>
              </w:rPr>
              <w:t>解锁法定锁定期限届满部分的</w:t>
            </w:r>
            <w:r>
              <w:rPr>
                <w:rFonts w:ascii="宋体" w:hAnsi="宋体" w:cs="宋体" w:eastAsia="宋体" w:hint="default"/>
                <w:spacing w:val="-40"/>
                <w:sz w:val="18"/>
                <w:szCs w:val="18"/>
              </w:rPr>
              <w:t> </w:t>
            </w:r>
            <w:r>
              <w:rPr>
                <w:rFonts w:ascii="宋体" w:hAnsi="宋体" w:cs="宋体" w:eastAsia="宋体" w:hint="default"/>
                <w:spacing w:val="-4"/>
                <w:sz w:val="18"/>
                <w:szCs w:val="18"/>
              </w:rPr>
              <w:t>50%</w:t>
            </w:r>
            <w:r>
              <w:rPr>
                <w:rFonts w:ascii="宋体" w:hAnsi="宋体" w:cs="宋体" w:eastAsia="宋体" w:hint="default"/>
                <w:spacing w:val="-4"/>
                <w:sz w:val="18"/>
                <w:szCs w:val="18"/>
              </w:rPr>
              <w:t>；（</w:t>
            </w:r>
            <w:r>
              <w:rPr>
                <w:rFonts w:ascii="宋体" w:hAnsi="宋体" w:cs="宋体" w:eastAsia="宋体" w:hint="default"/>
                <w:spacing w:val="-4"/>
                <w:sz w:val="18"/>
                <w:szCs w:val="18"/>
              </w:rPr>
              <w:t>5</w:t>
            </w:r>
            <w:r>
              <w:rPr>
                <w:rFonts w:ascii="宋体" w:hAnsi="宋体" w:cs="宋体" w:eastAsia="宋体" w:hint="default"/>
                <w:spacing w:val="-4"/>
                <w:sz w:val="18"/>
                <w:szCs w:val="18"/>
              </w:rPr>
              <w:t>）自新增股份上市之日起六十个月届满，解锁法定锁定期限届满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部分的未解锁部分。</w:t>
            </w:r>
            <w:r>
              <w:rPr>
                <w:rFonts w:ascii="宋体" w:hAnsi="宋体" w:cs="宋体" w:eastAsia="宋体" w:hint="default"/>
                <w:spacing w:val="-2"/>
                <w:sz w:val="18"/>
                <w:szCs w:val="18"/>
              </w:rPr>
              <w:t>2</w:t>
            </w:r>
            <w:r>
              <w:rPr>
                <w:rFonts w:ascii="宋体" w:hAnsi="宋体" w:cs="宋体" w:eastAsia="宋体" w:hint="default"/>
                <w:spacing w:val="-2"/>
                <w:sz w:val="18"/>
                <w:szCs w:val="18"/>
              </w:rPr>
              <w:t>、锁定期为三十六个月的部分，自法定限售期届满后按照以下方式解锁：（</w:t>
            </w:r>
            <w:r>
              <w:rPr>
                <w:rFonts w:ascii="宋体" w:hAnsi="宋体" w:cs="宋体" w:eastAsia="宋体" w:hint="default"/>
                <w:spacing w:val="-2"/>
                <w:sz w:val="18"/>
                <w:szCs w:val="18"/>
              </w:rPr>
              <w:t>1</w:t>
            </w:r>
            <w:r>
              <w:rPr>
                <w:rFonts w:ascii="宋体" w:hAnsi="宋体" w:cs="宋体" w:eastAsia="宋体" w:hint="default"/>
                <w:spacing w:val="-2"/>
                <w:sz w:val="18"/>
                <w:szCs w:val="18"/>
              </w:rPr>
              <w:t>）自</w:t>
            </w:r>
            <w:r>
              <w:rPr>
                <w:rFonts w:ascii="宋体" w:hAnsi="宋体" w:cs="宋体" w:eastAsia="宋体" w:hint="default"/>
                <w:spacing w:val="-88"/>
                <w:sz w:val="18"/>
                <w:szCs w:val="18"/>
              </w:rPr>
              <w:t> </w:t>
            </w:r>
            <w:r>
              <w:rPr>
                <w:rFonts w:ascii="宋体" w:hAnsi="宋体" w:cs="宋体" w:eastAsia="宋体" w:hint="default"/>
                <w:spacing w:val="-1"/>
                <w:sz w:val="18"/>
                <w:szCs w:val="18"/>
              </w:rPr>
              <w:t>新增股份上市之日起三十六个月届满，解锁法定锁定期限届满部分的</w:t>
            </w:r>
            <w:r>
              <w:rPr>
                <w:rFonts w:ascii="宋体" w:hAnsi="宋体" w:cs="宋体" w:eastAsia="宋体" w:hint="default"/>
                <w:spacing w:val="-35"/>
                <w:sz w:val="18"/>
                <w:szCs w:val="18"/>
              </w:rPr>
              <w:t> </w:t>
            </w:r>
            <w:r>
              <w:rPr>
                <w:rFonts w:ascii="宋体" w:hAnsi="宋体" w:cs="宋体" w:eastAsia="宋体" w:hint="default"/>
                <w:spacing w:val="-7"/>
                <w:sz w:val="18"/>
                <w:szCs w:val="18"/>
              </w:rPr>
              <w:t>30%</w:t>
            </w:r>
            <w:r>
              <w:rPr>
                <w:rFonts w:ascii="宋体" w:hAnsi="宋体" w:cs="宋体" w:eastAsia="宋体" w:hint="default"/>
                <w:spacing w:val="-7"/>
                <w:sz w:val="18"/>
                <w:szCs w:val="18"/>
              </w:rPr>
              <w:t>；（</w:t>
            </w:r>
            <w:r>
              <w:rPr>
                <w:rFonts w:ascii="宋体" w:hAnsi="宋体" w:cs="宋体" w:eastAsia="宋体" w:hint="default"/>
                <w:spacing w:val="-7"/>
                <w:sz w:val="18"/>
                <w:szCs w:val="18"/>
              </w:rPr>
              <w:t>2</w:t>
            </w:r>
            <w:r>
              <w:rPr>
                <w:rFonts w:ascii="宋体" w:hAnsi="宋体" w:cs="宋体" w:eastAsia="宋体" w:hint="default"/>
                <w:spacing w:val="-7"/>
                <w:sz w:val="18"/>
                <w:szCs w:val="18"/>
              </w:rPr>
              <w:t>）自新增股份上市之日起</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
                <w:sz w:val="18"/>
                <w:szCs w:val="18"/>
              </w:rPr>
              <w:t>四十八个月届满，解锁法定锁定期限届满部分的</w:t>
            </w:r>
            <w:r>
              <w:rPr>
                <w:rFonts w:ascii="宋体" w:hAnsi="宋体" w:cs="宋体" w:eastAsia="宋体" w:hint="default"/>
                <w:spacing w:val="-35"/>
                <w:sz w:val="18"/>
                <w:szCs w:val="18"/>
              </w:rPr>
              <w:t> </w:t>
            </w:r>
            <w:r>
              <w:rPr>
                <w:rFonts w:ascii="宋体" w:hAnsi="宋体" w:cs="宋体" w:eastAsia="宋体" w:hint="default"/>
                <w:spacing w:val="-5"/>
                <w:sz w:val="18"/>
                <w:szCs w:val="18"/>
              </w:rPr>
              <w:t>50%</w:t>
            </w:r>
            <w:r>
              <w:rPr>
                <w:rFonts w:ascii="宋体" w:hAnsi="宋体" w:cs="宋体" w:eastAsia="宋体" w:hint="default"/>
                <w:spacing w:val="-5"/>
                <w:sz w:val="18"/>
                <w:szCs w:val="18"/>
              </w:rPr>
              <w:t>；（</w:t>
            </w:r>
            <w:r>
              <w:rPr>
                <w:rFonts w:ascii="宋体" w:hAnsi="宋体" w:cs="宋体" w:eastAsia="宋体" w:hint="default"/>
                <w:spacing w:val="-5"/>
                <w:sz w:val="18"/>
                <w:szCs w:val="18"/>
              </w:rPr>
              <w:t>3</w:t>
            </w:r>
            <w:r>
              <w:rPr>
                <w:rFonts w:ascii="宋体" w:hAnsi="宋体" w:cs="宋体" w:eastAsia="宋体" w:hint="default"/>
                <w:spacing w:val="-5"/>
                <w:sz w:val="18"/>
                <w:szCs w:val="18"/>
              </w:rPr>
              <w:t>）自新增股份上市之日起六十个月届满，解锁</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法定锁定期限届满部三、如其取得本次发行的股份时，用于认购股份的资产持续拥有权益的时间已满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个月，则可参照限售期为</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个月的安排相应调整法定限售期及分期解锁期。</w:t>
            </w:r>
          </w:p>
        </w:tc>
        <w:tc>
          <w:tcPr>
            <w:tcW w:w="1127"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196"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16"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2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1610" w:hRule="exact"/>
        </w:trPr>
        <w:tc>
          <w:tcPr>
            <w:tcW w:w="567" w:type="dxa"/>
            <w:vMerge/>
            <w:tcBorders>
              <w:left w:val="single" w:sz="4" w:space="0" w:color="000000"/>
              <w:bottom w:val="single" w:sz="4" w:space="0" w:color="000000"/>
              <w:right w:val="single" w:sz="4" w:space="0" w:color="000000"/>
            </w:tcBorders>
            <w:shd w:val="clear" w:color="auto" w:fill="D2D2D2"/>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北京智度德 普股权投资 中心（有限 </w:t>
            </w:r>
            <w:r>
              <w:rPr>
                <w:rFonts w:ascii="宋体" w:hAnsi="宋体" w:cs="宋体" w:eastAsia="宋体" w:hint="default"/>
                <w:spacing w:val="-9"/>
                <w:sz w:val="18"/>
                <w:szCs w:val="18"/>
              </w:rPr>
              <w:t>合伙）</w:t>
            </w:r>
            <w:r>
              <w:rPr>
                <w:rFonts w:ascii="宋体" w:hAnsi="宋体" w:cs="宋体" w:eastAsia="宋体" w:hint="default"/>
                <w:spacing w:val="-9"/>
                <w:sz w:val="18"/>
                <w:szCs w:val="18"/>
              </w:rPr>
              <w:t>;</w:t>
            </w:r>
            <w:r>
              <w:rPr>
                <w:rFonts w:ascii="宋体" w:hAnsi="宋体" w:cs="宋体" w:eastAsia="宋体" w:hint="default"/>
                <w:spacing w:val="-9"/>
                <w:sz w:val="18"/>
                <w:szCs w:val="18"/>
              </w:rPr>
              <w:t>智度</w:t>
            </w:r>
            <w:r>
              <w:rPr>
                <w:rFonts w:ascii="宋体" w:hAnsi="宋体" w:cs="宋体" w:eastAsia="宋体" w:hint="default"/>
                <w:sz w:val="18"/>
                <w:szCs w:val="18"/>
              </w:rPr>
              <w:t> 集团有限公</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34"/>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8079"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pacing w:val="-2"/>
                <w:sz w:val="18"/>
                <w:szCs w:val="18"/>
              </w:rPr>
              <w:t>本次认购的智度投资非公开发行之股份自本次发行结束之日起，三十六个月内不进行转让；本次认购的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智度投资新股自限售期届满后按照以下方式解锁：（</w:t>
            </w:r>
            <w:r>
              <w:rPr>
                <w:rFonts w:ascii="宋体" w:hAnsi="宋体" w:cs="宋体" w:eastAsia="宋体" w:hint="default"/>
                <w:spacing w:val="-4"/>
                <w:sz w:val="18"/>
                <w:szCs w:val="18"/>
              </w:rPr>
              <w:t>1</w:t>
            </w:r>
            <w:r>
              <w:rPr>
                <w:rFonts w:ascii="宋体" w:hAnsi="宋体" w:cs="宋体" w:eastAsia="宋体" w:hint="default"/>
                <w:spacing w:val="-4"/>
                <w:sz w:val="18"/>
                <w:szCs w:val="18"/>
              </w:rPr>
              <w:t>）自本次股份发行结束之日起三十六个月届满，解</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锁限售期届满部分的</w:t>
            </w:r>
            <w:r>
              <w:rPr>
                <w:rFonts w:ascii="宋体" w:hAnsi="宋体" w:cs="宋体" w:eastAsia="宋体" w:hint="default"/>
                <w:spacing w:val="-39"/>
                <w:sz w:val="18"/>
                <w:szCs w:val="18"/>
              </w:rPr>
              <w:t> </w:t>
            </w:r>
            <w:r>
              <w:rPr>
                <w:rFonts w:ascii="宋体" w:hAnsi="宋体" w:cs="宋体" w:eastAsia="宋体" w:hint="default"/>
                <w:spacing w:val="-5"/>
                <w:sz w:val="18"/>
                <w:szCs w:val="18"/>
              </w:rPr>
              <w:t>30%</w:t>
            </w:r>
            <w:r>
              <w:rPr>
                <w:rFonts w:ascii="宋体" w:hAnsi="宋体" w:cs="宋体" w:eastAsia="宋体" w:hint="default"/>
                <w:spacing w:val="-5"/>
                <w:sz w:val="18"/>
                <w:szCs w:val="18"/>
              </w:rPr>
              <w:t>；（</w:t>
            </w:r>
            <w:r>
              <w:rPr>
                <w:rFonts w:ascii="宋体" w:hAnsi="宋体" w:cs="宋体" w:eastAsia="宋体" w:hint="default"/>
                <w:spacing w:val="-5"/>
                <w:sz w:val="18"/>
                <w:szCs w:val="18"/>
              </w:rPr>
              <w:t>2</w:t>
            </w:r>
            <w:r>
              <w:rPr>
                <w:rFonts w:ascii="宋体" w:hAnsi="宋体" w:cs="宋体" w:eastAsia="宋体" w:hint="default"/>
                <w:spacing w:val="-5"/>
                <w:sz w:val="18"/>
                <w:szCs w:val="18"/>
              </w:rPr>
              <w:t>）自股份发行结束之日起四十八个月届满，解锁限售期限届满部分的</w:t>
            </w:r>
            <w:r>
              <w:rPr>
                <w:rFonts w:ascii="宋体" w:hAnsi="宋体" w:cs="宋体" w:eastAsia="宋体" w:hint="default"/>
                <w:spacing w:val="-39"/>
                <w:sz w:val="18"/>
                <w:szCs w:val="18"/>
              </w:rPr>
              <w:t> </w:t>
            </w:r>
            <w:r>
              <w:rPr>
                <w:rFonts w:ascii="宋体" w:hAnsi="宋体" w:cs="宋体" w:eastAsia="宋体" w:hint="default"/>
                <w:spacing w:val="-9"/>
                <w:sz w:val="18"/>
                <w:szCs w:val="18"/>
              </w:rPr>
              <w:t>50%</w:t>
            </w:r>
            <w:r>
              <w:rPr>
                <w:rFonts w:ascii="宋体" w:hAnsi="宋体" w:cs="宋体" w:eastAsia="宋体" w:hint="default"/>
                <w:spacing w:val="-9"/>
                <w:sz w:val="18"/>
                <w:szCs w:val="18"/>
              </w:rPr>
              <w:t>；</w:t>
            </w:r>
            <w:r>
              <w:rPr>
                <w:rFonts w:ascii="宋体" w:hAnsi="宋体" w:cs="宋体" w:eastAsia="宋体" w:hint="default"/>
                <w:sz w:val="18"/>
                <w:szCs w:val="18"/>
              </w:rPr>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）自股份发行结束之日起六十个月届满，解锁限售期限届满部分的未解锁部分。</w:t>
            </w:r>
          </w:p>
        </w:tc>
        <w:tc>
          <w:tcPr>
            <w:tcW w:w="112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351" w:lineRule="exact"/>
              <w:ind w:left="12"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53.5pt;height:17.6pt;mso-position-horizontal-relative:char;mso-position-vertical-relative:line" coordorigin="0,0" coordsize="1070,352">
                  <v:group style="position:absolute;left:0;top:0;width:1070;height:352" coordorigin="0,0" coordsize="1070,352">
                    <v:shape style="position:absolute;left:0;top:0;width:1070;height:352" coordorigin="0,0" coordsize="1070,352" path="m0,352l1069,352,1069,0,0,0,0,352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9"/>
                <w:szCs w:val="19"/>
              </w:rPr>
            </w:pPr>
          </w:p>
        </w:tc>
        <w:tc>
          <w:tcPr>
            <w:tcW w:w="102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6840" w:h="11910" w:orient="landscape"/>
          <w:pgMar w:header="867" w:footer="1187" w:top="1060" w:bottom="1380" w:left="1320" w:right="0"/>
        </w:sectPr>
      </w:pPr>
    </w:p>
    <w:p>
      <w:pPr>
        <w:spacing w:line="240" w:lineRule="auto" w:before="4"/>
        <w:rPr>
          <w:rFonts w:ascii="Times New Roman" w:hAnsi="Times New Roman" w:cs="Times New Roman" w:eastAsia="Times New Roman" w:hint="default"/>
          <w:sz w:val="3"/>
          <w:szCs w:val="3"/>
        </w:rPr>
      </w:pPr>
      <w:r>
        <w:rPr/>
        <w:pict>
          <v:shape style="position:absolute;margin-left:466.480011pt;margin-top:111.020004pt;width:179pt;height:124.8pt;mso-position-horizontal-relative:page;mso-position-vertical-relative:page;z-index:-11817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5"/>
                    <w:ind w:left="0" w:right="0"/>
                    <w:jc w:val="left"/>
                  </w:pPr>
                  <w:r>
                    <w:rPr/>
                    <w:t>业务与智度股份构成同业竞争，</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567"/>
        <w:gridCol w:w="993"/>
        <w:gridCol w:w="721"/>
        <w:gridCol w:w="8067"/>
        <w:gridCol w:w="1127"/>
        <w:gridCol w:w="1025"/>
        <w:gridCol w:w="1534"/>
      </w:tblGrid>
      <w:tr>
        <w:trPr>
          <w:trHeight w:val="377" w:hRule="exact"/>
        </w:trPr>
        <w:tc>
          <w:tcPr>
            <w:tcW w:w="567"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99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21" w:type="dxa"/>
            <w:tcBorders>
              <w:top w:val="single" w:sz="15" w:space="0" w:color="000000"/>
              <w:left w:val="single" w:sz="4" w:space="0" w:color="000000"/>
              <w:bottom w:val="single" w:sz="4" w:space="0" w:color="000000"/>
              <w:right w:val="single" w:sz="4" w:space="0" w:color="000000"/>
            </w:tcBorders>
          </w:tcPr>
          <w:p>
            <w:pPr/>
          </w:p>
        </w:tc>
        <w:tc>
          <w:tcPr>
            <w:tcW w:w="8067" w:type="dxa"/>
            <w:tcBorders>
              <w:top w:val="single" w:sz="15" w:space="0" w:color="000000"/>
              <w:left w:val="single" w:sz="4" w:space="0" w:color="000000"/>
              <w:bottom w:val="single" w:sz="4" w:space="0" w:color="000000"/>
              <w:right w:val="single" w:sz="4" w:space="0" w:color="000000"/>
            </w:tcBorders>
          </w:tcPr>
          <w:p>
            <w:pPr/>
          </w:p>
        </w:tc>
        <w:tc>
          <w:tcPr>
            <w:tcW w:w="1127" w:type="dxa"/>
            <w:tcBorders>
              <w:top w:val="single" w:sz="15" w:space="0" w:color="000000"/>
              <w:left w:val="single" w:sz="4" w:space="0" w:color="000000"/>
              <w:bottom w:val="single" w:sz="4" w:space="0" w:color="000000"/>
              <w:right w:val="single" w:sz="4" w:space="0" w:color="000000"/>
            </w:tcBorders>
          </w:tcPr>
          <w:p>
            <w:pPr/>
          </w:p>
        </w:tc>
        <w:tc>
          <w:tcPr>
            <w:tcW w:w="1025" w:type="dxa"/>
            <w:tcBorders>
              <w:top w:val="single" w:sz="15" w:space="0" w:color="000000"/>
              <w:left w:val="single" w:sz="4" w:space="0" w:color="000000"/>
              <w:bottom w:val="single" w:sz="4" w:space="0" w:color="000000"/>
              <w:right w:val="single" w:sz="4" w:space="0" w:color="000000"/>
            </w:tcBorders>
          </w:tcPr>
          <w:p>
            <w:pPr/>
          </w:p>
        </w:tc>
        <w:tc>
          <w:tcPr>
            <w:tcW w:w="1534" w:type="dxa"/>
            <w:tcBorders>
              <w:top w:val="single" w:sz="15" w:space="0" w:color="000000"/>
              <w:left w:val="single" w:sz="4" w:space="0" w:color="000000"/>
              <w:bottom w:val="single" w:sz="4" w:space="0" w:color="000000"/>
              <w:right w:val="single" w:sz="4" w:space="0" w:color="000000"/>
            </w:tcBorders>
          </w:tcPr>
          <w:p>
            <w:pPr/>
          </w:p>
        </w:tc>
      </w:tr>
      <w:tr>
        <w:trPr>
          <w:trHeight w:val="714" w:hRule="exact"/>
        </w:trPr>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72"/>
              <w:jc w:val="both"/>
              <w:rPr>
                <w:rFonts w:ascii="宋体" w:hAnsi="宋体" w:cs="宋体" w:eastAsia="宋体" w:hint="default"/>
                <w:sz w:val="18"/>
                <w:szCs w:val="18"/>
              </w:rPr>
            </w:pPr>
            <w:r>
              <w:rPr>
                <w:rFonts w:ascii="宋体" w:hAnsi="宋体" w:cs="宋体" w:eastAsia="宋体" w:hint="default"/>
                <w:sz w:val="18"/>
                <w:szCs w:val="18"/>
              </w:rPr>
              <w:t>其他 对公 司中 小股 东所 作承 诺</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智度科技股 份有限公司</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80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1" w:right="21"/>
              <w:jc w:val="left"/>
              <w:rPr>
                <w:rFonts w:ascii="宋体" w:hAnsi="宋体" w:cs="宋体" w:eastAsia="宋体" w:hint="default"/>
                <w:sz w:val="18"/>
                <w:szCs w:val="18"/>
              </w:rPr>
            </w:pPr>
            <w:r>
              <w:rPr>
                <w:rFonts w:ascii="宋体" w:hAnsi="宋体" w:cs="宋体" w:eastAsia="宋体" w:hint="default"/>
                <w:spacing w:val="-2"/>
                <w:sz w:val="18"/>
                <w:szCs w:val="18"/>
              </w:rPr>
              <w:t>公司承诺，使用闲置募集资金用于暂时补充流动资金期间公司不进行证券投资等高风险投资；使用闲置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募集资金用于暂时补充流动资金期间公司不为他人提供财务资助。</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5706" w:hRule="exact"/>
        </w:trPr>
        <w:tc>
          <w:tcPr>
            <w:tcW w:w="567" w:type="dxa"/>
            <w:vMerge/>
            <w:tcBorders>
              <w:left w:val="single" w:sz="4" w:space="0" w:color="000000"/>
              <w:bottom w:val="single" w:sz="4" w:space="0" w:color="000000"/>
              <w:right w:val="single" w:sz="4" w:space="0" w:color="000000"/>
            </w:tcBorders>
            <w:shd w:val="clear" w:color="auto" w:fill="D2D2D2"/>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3" w:right="58"/>
              <w:jc w:val="left"/>
              <w:rPr>
                <w:rFonts w:ascii="宋体" w:hAnsi="宋体" w:cs="宋体" w:eastAsia="宋体" w:hint="default"/>
                <w:sz w:val="18"/>
                <w:szCs w:val="18"/>
              </w:rPr>
            </w:pPr>
            <w:r>
              <w:rPr>
                <w:rFonts w:ascii="宋体" w:hAnsi="宋体" w:cs="宋体" w:eastAsia="宋体" w:hint="default"/>
                <w:sz w:val="18"/>
                <w:szCs w:val="18"/>
              </w:rPr>
              <w:t>智度集团有 限公司</w:t>
            </w:r>
          </w:p>
        </w:tc>
        <w:tc>
          <w:tcPr>
            <w:tcW w:w="721"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39"/>
              <w:jc w:val="left"/>
              <w:rPr>
                <w:rFonts w:ascii="宋体" w:hAnsi="宋体" w:cs="宋体" w:eastAsia="宋体" w:hint="default"/>
                <w:sz w:val="18"/>
                <w:szCs w:val="18"/>
              </w:rPr>
            </w:pPr>
            <w:r>
              <w:rPr>
                <w:rFonts w:ascii="宋体" w:hAnsi="宋体" w:cs="宋体" w:eastAsia="宋体" w:hint="default"/>
                <w:sz w:val="18"/>
                <w:szCs w:val="18"/>
              </w:rPr>
              <w:t>关于同 业竞争、 关联交 </w:t>
            </w:r>
            <w:r>
              <w:rPr>
                <w:rFonts w:ascii="宋体" w:hAnsi="宋体" w:cs="宋体" w:eastAsia="宋体" w:hint="default"/>
                <w:spacing w:val="-17"/>
                <w:sz w:val="18"/>
                <w:szCs w:val="18"/>
              </w:rPr>
              <w:t>易、资金</w:t>
            </w:r>
            <w:r>
              <w:rPr>
                <w:rFonts w:ascii="宋体" w:hAnsi="宋体" w:cs="宋体" w:eastAsia="宋体" w:hint="default"/>
                <w:sz w:val="18"/>
                <w:szCs w:val="18"/>
              </w:rPr>
              <w:t> 占用方 面的承</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8067" w:type="dxa"/>
            <w:tcBorders>
              <w:top w:val="single" w:sz="4" w:space="0" w:color="000000"/>
              <w:left w:val="single" w:sz="9" w:space="0" w:color="FFFFFF"/>
              <w:bottom w:val="single" w:sz="4" w:space="0" w:color="000000"/>
              <w:right w:val="single" w:sz="4" w:space="0" w:color="000000"/>
            </w:tcBorders>
          </w:tcPr>
          <w:p>
            <w:pPr>
              <w:pStyle w:val="TableParagraph"/>
              <w:spacing w:line="316" w:lineRule="auto" w:before="51"/>
              <w:ind w:left="4" w:right="19"/>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、截止本公告披露日，本企业及本企业控制的福建智度科技有限公司现时与智度股份不存在同业竞争 </w:t>
            </w:r>
            <w:r>
              <w:rPr>
                <w:rFonts w:ascii="宋体" w:hAnsi="宋体" w:cs="宋体" w:eastAsia="宋体" w:hint="default"/>
                <w:spacing w:val="-3"/>
                <w:sz w:val="18"/>
                <w:szCs w:val="18"/>
              </w:rPr>
              <w:t>的情况。</w:t>
            </w:r>
            <w:r>
              <w:rPr>
                <w:rFonts w:ascii="宋体" w:hAnsi="宋体" w:cs="宋体" w:eastAsia="宋体" w:hint="default"/>
                <w:spacing w:val="-3"/>
                <w:sz w:val="18"/>
                <w:szCs w:val="18"/>
              </w:rPr>
              <w:t>2</w:t>
            </w:r>
            <w:r>
              <w:rPr>
                <w:rFonts w:ascii="宋体" w:hAnsi="宋体" w:cs="宋体" w:eastAsia="宋体" w:hint="default"/>
                <w:spacing w:val="-3"/>
                <w:sz w:val="18"/>
                <w:szCs w:val="18"/>
              </w:rPr>
              <w:t>、如果未来本企业控制的福建智度科技有限公司拥有的</w:t>
            </w:r>
            <w:r>
              <w:rPr>
                <w:rFonts w:ascii="宋体" w:hAnsi="宋体" w:cs="宋体" w:eastAsia="宋体" w:hint="default"/>
                <w:spacing w:val="-46"/>
                <w:sz w:val="18"/>
                <w:szCs w:val="18"/>
              </w:rPr>
              <w:t> </w:t>
            </w:r>
            <w:r>
              <w:rPr>
                <w:rFonts w:ascii="宋体" w:hAnsi="宋体" w:cs="宋体" w:eastAsia="宋体" w:hint="default"/>
                <w:sz w:val="18"/>
                <w:szCs w:val="18"/>
              </w:rPr>
              <w:t>91iOS</w:t>
            </w:r>
            <w:r>
              <w:rPr>
                <w:rFonts w:ascii="宋体" w:hAnsi="宋体" w:cs="宋体" w:eastAsia="宋体" w:hint="default"/>
                <w:spacing w:val="-82"/>
                <w:sz w:val="18"/>
                <w:szCs w:val="18"/>
              </w:rPr>
              <w:t> </w:t>
            </w:r>
            <w:r>
              <w:rPr>
                <w:rFonts w:ascii="宋体" w:hAnsi="宋体" w:cs="宋体" w:eastAsia="宋体" w:hint="default"/>
                <w:spacing w:val="-4"/>
                <w:sz w:val="18"/>
                <w:szCs w:val="18"/>
              </w:rPr>
              <w:t>智度股份可根据公司自身的业务需求，对该业务享有优先购买权。具体安排如下：（</w:t>
            </w:r>
            <w:r>
              <w:rPr>
                <w:rFonts w:ascii="宋体" w:hAnsi="宋体" w:cs="宋体" w:eastAsia="宋体" w:hint="default"/>
                <w:spacing w:val="-4"/>
                <w:sz w:val="18"/>
                <w:szCs w:val="18"/>
              </w:rPr>
              <w:t>1</w:t>
            </w:r>
            <w:r>
              <w:rPr>
                <w:rFonts w:ascii="宋体" w:hAnsi="宋体" w:cs="宋体" w:eastAsia="宋体" w:hint="default"/>
                <w:spacing w:val="-4"/>
                <w:sz w:val="18"/>
                <w:szCs w:val="18"/>
              </w:rPr>
              <w:t>）智度股份拥有收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购福建智度及其附属公司拥有的</w:t>
            </w:r>
            <w:r>
              <w:rPr>
                <w:rFonts w:ascii="宋体" w:hAnsi="宋体" w:cs="宋体" w:eastAsia="宋体" w:hint="default"/>
                <w:spacing w:val="-44"/>
                <w:sz w:val="18"/>
                <w:szCs w:val="18"/>
              </w:rPr>
              <w:t> </w:t>
            </w:r>
            <w:r>
              <w:rPr>
                <w:rFonts w:ascii="宋体" w:hAnsi="宋体" w:cs="宋体" w:eastAsia="宋体" w:hint="default"/>
                <w:sz w:val="18"/>
                <w:szCs w:val="18"/>
              </w:rPr>
              <w:t>91iOS</w:t>
            </w:r>
            <w:r>
              <w:rPr>
                <w:rFonts w:ascii="宋体" w:hAnsi="宋体" w:cs="宋体" w:eastAsia="宋体" w:hint="default"/>
                <w:spacing w:val="-44"/>
                <w:sz w:val="18"/>
                <w:szCs w:val="18"/>
              </w:rPr>
              <w:t> </w:t>
            </w:r>
            <w:r>
              <w:rPr>
                <w:rFonts w:ascii="宋体" w:hAnsi="宋体" w:cs="宋体" w:eastAsia="宋体" w:hint="default"/>
                <w:spacing w:val="-3"/>
                <w:sz w:val="18"/>
                <w:szCs w:val="18"/>
              </w:rPr>
              <w:t>业务的权利。鉴于竞业禁止的要求，为保护上市公司中小投资者</w:t>
            </w:r>
            <w:r>
              <w:rPr>
                <w:rFonts w:ascii="宋体" w:hAnsi="宋体" w:cs="宋体" w:eastAsia="宋体" w:hint="default"/>
                <w:sz w:val="18"/>
                <w:szCs w:val="18"/>
              </w:rPr>
              <w:t> 的合法权益，智度股份有权要求收购福建智度及其附属公司拥有的</w:t>
            </w:r>
            <w:r>
              <w:rPr>
                <w:rFonts w:ascii="宋体" w:hAnsi="宋体" w:cs="宋体" w:eastAsia="宋体" w:hint="default"/>
                <w:spacing w:val="-62"/>
                <w:sz w:val="18"/>
                <w:szCs w:val="18"/>
              </w:rPr>
              <w:t> </w:t>
            </w:r>
            <w:r>
              <w:rPr>
                <w:rFonts w:ascii="宋体" w:hAnsi="宋体" w:cs="宋体" w:eastAsia="宋体" w:hint="default"/>
                <w:sz w:val="18"/>
                <w:szCs w:val="18"/>
              </w:rPr>
              <w:t>91iOS</w:t>
            </w:r>
            <w:r>
              <w:rPr>
                <w:rFonts w:ascii="宋体" w:hAnsi="宋体" w:cs="宋体" w:eastAsia="宋体" w:hint="default"/>
                <w:spacing w:val="-62"/>
                <w:sz w:val="18"/>
                <w:szCs w:val="18"/>
              </w:rPr>
              <w:t> </w:t>
            </w:r>
            <w:r>
              <w:rPr>
                <w:rFonts w:ascii="宋体" w:hAnsi="宋体" w:cs="宋体" w:eastAsia="宋体" w:hint="default"/>
                <w:spacing w:val="-3"/>
                <w:sz w:val="18"/>
                <w:szCs w:val="18"/>
              </w:rPr>
              <w:t>业务，智度集团将同意或促使</w:t>
            </w:r>
            <w:r>
              <w:rPr>
                <w:rFonts w:ascii="宋体" w:hAnsi="宋体" w:cs="宋体" w:eastAsia="宋体" w:hint="default"/>
                <w:sz w:val="18"/>
                <w:szCs w:val="18"/>
              </w:rPr>
              <w:t> </w:t>
            </w:r>
            <w:r>
              <w:rPr>
                <w:rFonts w:ascii="宋体" w:hAnsi="宋体" w:cs="宋体" w:eastAsia="宋体" w:hint="default"/>
                <w:spacing w:val="-2"/>
                <w:sz w:val="18"/>
                <w:szCs w:val="18"/>
              </w:rPr>
              <w:t>智度股份的该等收购。届时，智度股份根据自身业务需求，若不实施收购，自放弃收购之日起，智度集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团同意在</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个月以内将实际拥有的（含直接或间接）福建智度及其附属公司拥有的</w:t>
            </w:r>
            <w:r>
              <w:rPr>
                <w:rFonts w:ascii="宋体" w:hAnsi="宋体" w:cs="宋体" w:eastAsia="宋体" w:hint="default"/>
                <w:spacing w:val="-46"/>
                <w:sz w:val="18"/>
                <w:szCs w:val="18"/>
              </w:rPr>
              <w:t> </w:t>
            </w:r>
            <w:r>
              <w:rPr>
                <w:rFonts w:ascii="宋体" w:hAnsi="宋体" w:cs="宋体" w:eastAsia="宋体" w:hint="default"/>
                <w:sz w:val="18"/>
                <w:szCs w:val="18"/>
              </w:rPr>
              <w:t>91iOS</w:t>
            </w:r>
            <w:r>
              <w:rPr>
                <w:rFonts w:ascii="宋体" w:hAnsi="宋体" w:cs="宋体" w:eastAsia="宋体" w:hint="default"/>
                <w:spacing w:val="-46"/>
                <w:sz w:val="18"/>
                <w:szCs w:val="18"/>
              </w:rPr>
              <w:t> </w:t>
            </w:r>
            <w:r>
              <w:rPr>
                <w:rFonts w:ascii="宋体" w:hAnsi="宋体" w:cs="宋体" w:eastAsia="宋体" w:hint="default"/>
                <w:sz w:val="18"/>
                <w:szCs w:val="18"/>
              </w:rPr>
              <w:t>业务予以出 </w:t>
            </w:r>
            <w:r>
              <w:rPr>
                <w:rFonts w:ascii="宋体" w:hAnsi="宋体" w:cs="宋体" w:eastAsia="宋体" w:hint="default"/>
                <w:spacing w:val="-5"/>
                <w:sz w:val="18"/>
                <w:szCs w:val="18"/>
              </w:rPr>
              <w:t>让或以其他方式进行处置。（</w:t>
            </w:r>
            <w:r>
              <w:rPr>
                <w:rFonts w:ascii="宋体" w:hAnsi="宋体" w:cs="宋体" w:eastAsia="宋体" w:hint="default"/>
                <w:spacing w:val="-5"/>
                <w:sz w:val="18"/>
                <w:szCs w:val="18"/>
              </w:rPr>
              <w:t>2</w:t>
            </w:r>
            <w:r>
              <w:rPr>
                <w:rFonts w:ascii="宋体" w:hAnsi="宋体" w:cs="宋体" w:eastAsia="宋体" w:hint="default"/>
                <w:spacing w:val="-5"/>
                <w:sz w:val="18"/>
                <w:szCs w:val="18"/>
              </w:rPr>
              <w:t>）智度股份收购福建智度及其附属公司拥有的</w:t>
            </w:r>
            <w:r>
              <w:rPr>
                <w:rFonts w:ascii="宋体" w:hAnsi="宋体" w:cs="宋体" w:eastAsia="宋体" w:hint="default"/>
                <w:spacing w:val="-35"/>
                <w:sz w:val="18"/>
                <w:szCs w:val="18"/>
              </w:rPr>
              <w:t> </w:t>
            </w:r>
            <w:r>
              <w:rPr>
                <w:rFonts w:ascii="宋体" w:hAnsi="宋体" w:cs="宋体" w:eastAsia="宋体" w:hint="default"/>
                <w:sz w:val="18"/>
                <w:szCs w:val="18"/>
              </w:rPr>
              <w:t>91iOS</w:t>
            </w:r>
            <w:r>
              <w:rPr>
                <w:rFonts w:ascii="宋体" w:hAnsi="宋体" w:cs="宋体" w:eastAsia="宋体" w:hint="default"/>
                <w:spacing w:val="-35"/>
                <w:sz w:val="18"/>
                <w:szCs w:val="18"/>
              </w:rPr>
              <w:t> </w:t>
            </w:r>
            <w:r>
              <w:rPr>
                <w:rFonts w:ascii="宋体" w:hAnsi="宋体" w:cs="宋体" w:eastAsia="宋体" w:hint="default"/>
                <w:spacing w:val="-3"/>
                <w:sz w:val="18"/>
                <w:szCs w:val="18"/>
              </w:rPr>
              <w:t>业务的条件。智度集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团同意，在以下条件全部满足后</w:t>
            </w:r>
            <w:r>
              <w:rPr>
                <w:rFonts w:ascii="宋体" w:hAnsi="宋体" w:cs="宋体" w:eastAsia="宋体" w:hint="default"/>
                <w:spacing w:val="-38"/>
                <w:sz w:val="18"/>
                <w:szCs w:val="18"/>
              </w:rPr>
              <w:t> </w:t>
            </w:r>
            <w:r>
              <w:rPr>
                <w:rFonts w:ascii="宋体" w:hAnsi="宋体" w:cs="宋体" w:eastAsia="宋体" w:hint="default"/>
                <w:sz w:val="18"/>
                <w:szCs w:val="18"/>
              </w:rPr>
              <w:t>18</w:t>
            </w:r>
            <w:r>
              <w:rPr>
                <w:rFonts w:ascii="宋体" w:hAnsi="宋体" w:cs="宋体" w:eastAsia="宋体" w:hint="default"/>
                <w:spacing w:val="-38"/>
                <w:sz w:val="18"/>
                <w:szCs w:val="18"/>
              </w:rPr>
              <w:t> </w:t>
            </w:r>
            <w:r>
              <w:rPr>
                <w:rFonts w:ascii="宋体" w:hAnsi="宋体" w:cs="宋体" w:eastAsia="宋体" w:hint="default"/>
                <w:spacing w:val="-3"/>
                <w:sz w:val="18"/>
                <w:szCs w:val="18"/>
              </w:rPr>
              <w:t>个月内，智度股份有权启动收购福建智度及其附属公司拥有的</w:t>
            </w:r>
            <w:r>
              <w:rPr>
                <w:rFonts w:ascii="宋体" w:hAnsi="宋体" w:cs="宋体" w:eastAsia="宋体" w:hint="default"/>
                <w:spacing w:val="-38"/>
                <w:sz w:val="18"/>
                <w:szCs w:val="18"/>
              </w:rPr>
              <w:t> </w:t>
            </w:r>
            <w:r>
              <w:rPr>
                <w:rFonts w:ascii="宋体" w:hAnsi="宋体" w:cs="宋体" w:eastAsia="宋体" w:hint="default"/>
                <w:sz w:val="18"/>
                <w:szCs w:val="18"/>
              </w:rPr>
              <w:t>91iOS</w:t>
            </w:r>
            <w:r>
              <w:rPr>
                <w:rFonts w:ascii="宋体" w:hAnsi="宋体" w:cs="宋体" w:eastAsia="宋体" w:hint="default"/>
                <w:spacing w:val="-86"/>
                <w:sz w:val="18"/>
                <w:szCs w:val="18"/>
              </w:rPr>
              <w:t> </w:t>
            </w:r>
            <w:r>
              <w:rPr>
                <w:rFonts w:ascii="宋体" w:hAnsi="宋体" w:cs="宋体" w:eastAsia="宋体" w:hint="default"/>
                <w:spacing w:val="-3"/>
                <w:sz w:val="18"/>
                <w:szCs w:val="18"/>
              </w:rPr>
              <w:t>业务的相关程序：①福建智度收购</w:t>
            </w:r>
            <w:r>
              <w:rPr>
                <w:rFonts w:ascii="宋体" w:hAnsi="宋体" w:cs="宋体" w:eastAsia="宋体" w:hint="default"/>
                <w:spacing w:val="-53"/>
                <w:sz w:val="18"/>
                <w:szCs w:val="18"/>
              </w:rPr>
              <w:t> </w:t>
            </w:r>
            <w:r>
              <w:rPr>
                <w:rFonts w:ascii="宋体" w:hAnsi="宋体" w:cs="宋体" w:eastAsia="宋体" w:hint="default"/>
                <w:sz w:val="18"/>
                <w:szCs w:val="18"/>
              </w:rPr>
              <w:t>91iOS</w:t>
            </w:r>
            <w:r>
              <w:rPr>
                <w:rFonts w:ascii="宋体" w:hAnsi="宋体" w:cs="宋体" w:eastAsia="宋体" w:hint="default"/>
                <w:spacing w:val="-53"/>
                <w:sz w:val="18"/>
                <w:szCs w:val="18"/>
              </w:rPr>
              <w:t> </w:t>
            </w:r>
            <w:r>
              <w:rPr>
                <w:rFonts w:ascii="宋体" w:hAnsi="宋体" w:cs="宋体" w:eastAsia="宋体" w:hint="default"/>
                <w:sz w:val="18"/>
                <w:szCs w:val="18"/>
              </w:rPr>
              <w:t>业务的所有交割手续完成；②福建智度收购</w:t>
            </w:r>
            <w:r>
              <w:rPr>
                <w:rFonts w:ascii="宋体" w:hAnsi="宋体" w:cs="宋体" w:eastAsia="宋体" w:hint="default"/>
                <w:spacing w:val="-53"/>
                <w:sz w:val="18"/>
                <w:szCs w:val="18"/>
              </w:rPr>
              <w:t> </w:t>
            </w:r>
            <w:r>
              <w:rPr>
                <w:rFonts w:ascii="宋体" w:hAnsi="宋体" w:cs="宋体" w:eastAsia="宋体" w:hint="default"/>
                <w:sz w:val="18"/>
                <w:szCs w:val="18"/>
              </w:rPr>
              <w:t>91iOS</w:t>
            </w:r>
            <w:r>
              <w:rPr>
                <w:rFonts w:ascii="宋体" w:hAnsi="宋体" w:cs="宋体" w:eastAsia="宋体" w:hint="default"/>
                <w:spacing w:val="-53"/>
                <w:sz w:val="18"/>
                <w:szCs w:val="18"/>
              </w:rPr>
              <w:t> </w:t>
            </w:r>
            <w:r>
              <w:rPr>
                <w:rFonts w:ascii="宋体" w:hAnsi="宋体" w:cs="宋体" w:eastAsia="宋体" w:hint="default"/>
                <w:sz w:val="18"/>
                <w:szCs w:val="18"/>
              </w:rPr>
              <w:t>业务后的运 </w:t>
            </w:r>
            <w:r>
              <w:rPr>
                <w:rFonts w:ascii="宋体" w:hAnsi="宋体" w:cs="宋体" w:eastAsia="宋体" w:hint="default"/>
                <w:spacing w:val="-3"/>
                <w:sz w:val="18"/>
                <w:szCs w:val="18"/>
              </w:rPr>
              <w:t>营状况得到显著改善并实现盈利；③福建智度及其附属公司拥有的</w:t>
            </w:r>
            <w:r>
              <w:rPr>
                <w:rFonts w:ascii="宋体" w:hAnsi="宋体" w:cs="宋体" w:eastAsia="宋体" w:hint="default"/>
                <w:spacing w:val="-43"/>
                <w:sz w:val="18"/>
                <w:szCs w:val="18"/>
              </w:rPr>
              <w:t> </w:t>
            </w:r>
            <w:r>
              <w:rPr>
                <w:rFonts w:ascii="宋体" w:hAnsi="宋体" w:cs="宋体" w:eastAsia="宋体" w:hint="default"/>
                <w:sz w:val="18"/>
                <w:szCs w:val="18"/>
              </w:rPr>
              <w:t>91iOS</w:t>
            </w:r>
            <w:r>
              <w:rPr>
                <w:rFonts w:ascii="宋体" w:hAnsi="宋体" w:cs="宋体" w:eastAsia="宋体" w:hint="default"/>
                <w:spacing w:val="-43"/>
                <w:sz w:val="18"/>
                <w:szCs w:val="18"/>
              </w:rPr>
              <w:t> </w:t>
            </w:r>
            <w:r>
              <w:rPr>
                <w:rFonts w:ascii="宋体" w:hAnsi="宋体" w:cs="宋体" w:eastAsia="宋体" w:hint="default"/>
                <w:sz w:val="18"/>
                <w:szCs w:val="18"/>
              </w:rPr>
              <w:t>业务不存在不符合中国证监会</w:t>
            </w:r>
            <w:r>
              <w:rPr>
                <w:rFonts w:ascii="宋体" w:hAnsi="宋体" w:cs="宋体" w:eastAsia="宋体" w:hint="default"/>
                <w:spacing w:val="-88"/>
                <w:sz w:val="18"/>
                <w:szCs w:val="18"/>
              </w:rPr>
              <w:t> </w:t>
            </w:r>
            <w:r>
              <w:rPr>
                <w:rFonts w:ascii="宋体" w:hAnsi="宋体" w:cs="宋体" w:eastAsia="宋体" w:hint="default"/>
                <w:spacing w:val="-3"/>
                <w:sz w:val="18"/>
                <w:szCs w:val="18"/>
              </w:rPr>
              <w:t>及交易所规定的重大不合规情形，收购福建智度及其附属公司拥有的</w:t>
            </w:r>
            <w:r>
              <w:rPr>
                <w:rFonts w:ascii="宋体" w:hAnsi="宋体" w:cs="宋体" w:eastAsia="宋体" w:hint="default"/>
                <w:spacing w:val="-41"/>
                <w:sz w:val="18"/>
                <w:szCs w:val="18"/>
              </w:rPr>
              <w:t> </w:t>
            </w:r>
            <w:r>
              <w:rPr>
                <w:rFonts w:ascii="宋体" w:hAnsi="宋体" w:cs="宋体" w:eastAsia="宋体" w:hint="default"/>
                <w:sz w:val="18"/>
                <w:szCs w:val="18"/>
              </w:rPr>
              <w:t>91iOS</w:t>
            </w:r>
            <w:r>
              <w:rPr>
                <w:rFonts w:ascii="宋体" w:hAnsi="宋体" w:cs="宋体" w:eastAsia="宋体" w:hint="default"/>
                <w:spacing w:val="-41"/>
                <w:sz w:val="18"/>
                <w:szCs w:val="18"/>
              </w:rPr>
              <w:t> </w:t>
            </w:r>
            <w:r>
              <w:rPr>
                <w:rFonts w:ascii="宋体" w:hAnsi="宋体" w:cs="宋体" w:eastAsia="宋体" w:hint="default"/>
                <w:sz w:val="18"/>
                <w:szCs w:val="18"/>
              </w:rPr>
              <w:t>业务也不违反中国证券监督</w:t>
            </w:r>
            <w:r>
              <w:rPr>
                <w:rFonts w:ascii="宋体" w:hAnsi="宋体" w:cs="宋体" w:eastAsia="宋体" w:hint="default"/>
                <w:spacing w:val="-88"/>
                <w:sz w:val="18"/>
                <w:szCs w:val="18"/>
              </w:rPr>
              <w:t> </w:t>
            </w:r>
            <w:r>
              <w:rPr>
                <w:rFonts w:ascii="宋体" w:hAnsi="宋体" w:cs="宋体" w:eastAsia="宋体" w:hint="default"/>
                <w:spacing w:val="-5"/>
                <w:sz w:val="18"/>
                <w:szCs w:val="18"/>
              </w:rPr>
              <w:t>管理委员会及深圳证券交易所的相关规定。（</w:t>
            </w:r>
            <w:r>
              <w:rPr>
                <w:rFonts w:ascii="宋体" w:hAnsi="宋体" w:cs="宋体" w:eastAsia="宋体" w:hint="default"/>
                <w:spacing w:val="-5"/>
                <w:sz w:val="18"/>
                <w:szCs w:val="18"/>
              </w:rPr>
              <w:t>3</w:t>
            </w:r>
            <w:r>
              <w:rPr>
                <w:rFonts w:ascii="宋体" w:hAnsi="宋体" w:cs="宋体" w:eastAsia="宋体" w:hint="default"/>
                <w:spacing w:val="-5"/>
                <w:sz w:val="18"/>
                <w:szCs w:val="18"/>
              </w:rPr>
              <w:t>）智度股份收购福建智度及其附属公司拥有的</w:t>
            </w:r>
            <w:r>
              <w:rPr>
                <w:rFonts w:ascii="宋体" w:hAnsi="宋体" w:cs="宋体" w:eastAsia="宋体" w:hint="default"/>
                <w:spacing w:val="-32"/>
                <w:sz w:val="18"/>
                <w:szCs w:val="18"/>
              </w:rPr>
              <w:t> </w:t>
            </w:r>
            <w:r>
              <w:rPr>
                <w:rFonts w:ascii="宋体" w:hAnsi="宋体" w:cs="宋体" w:eastAsia="宋体" w:hint="default"/>
                <w:sz w:val="18"/>
                <w:szCs w:val="18"/>
              </w:rPr>
              <w:t>91iOS</w:t>
            </w:r>
            <w:r>
              <w:rPr>
                <w:rFonts w:ascii="宋体" w:hAnsi="宋体" w:cs="宋体" w:eastAsia="宋体" w:hint="default"/>
                <w:spacing w:val="-31"/>
                <w:sz w:val="18"/>
                <w:szCs w:val="18"/>
              </w:rPr>
              <w:t> </w:t>
            </w:r>
            <w:r>
              <w:rPr>
                <w:rFonts w:ascii="宋体" w:hAnsi="宋体" w:cs="宋体" w:eastAsia="宋体" w:hint="default"/>
                <w:sz w:val="18"/>
                <w:szCs w:val="18"/>
              </w:rPr>
              <w:t>业务</w:t>
            </w:r>
            <w:r>
              <w:rPr>
                <w:rFonts w:ascii="宋体" w:hAnsi="宋体" w:cs="宋体" w:eastAsia="宋体" w:hint="default"/>
                <w:spacing w:val="-83"/>
                <w:sz w:val="18"/>
                <w:szCs w:val="18"/>
              </w:rPr>
              <w:t> </w:t>
            </w:r>
            <w:r>
              <w:rPr>
                <w:rFonts w:ascii="宋体" w:hAnsi="宋体" w:cs="宋体" w:eastAsia="宋体" w:hint="default"/>
                <w:spacing w:val="-2"/>
                <w:sz w:val="18"/>
                <w:szCs w:val="18"/>
              </w:rPr>
              <w:t>的方式。双方协商，在作价合理的基础之上，智度集团将全力配合智度股份以现金购买或发行股份购买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资产等中国证券监督管理委员会、深圳证券交易所认可且批准的收购方式进行上述业务的收购。（</w:t>
            </w:r>
            <w:r>
              <w:rPr>
                <w:rFonts w:ascii="宋体" w:hAnsi="宋体" w:cs="宋体" w:eastAsia="宋体" w:hint="default"/>
                <w:spacing w:val="-5"/>
                <w:sz w:val="18"/>
                <w:szCs w:val="18"/>
              </w:rPr>
              <w:t>4</w:t>
            </w:r>
            <w:r>
              <w:rPr>
                <w:rFonts w:ascii="宋体" w:hAnsi="宋体" w:cs="宋体" w:eastAsia="宋体" w:hint="default"/>
                <w:spacing w:val="-5"/>
                <w:sz w:val="18"/>
                <w:szCs w:val="18"/>
              </w:rPr>
              <w:t>）智</w:t>
            </w:r>
            <w:r>
              <w:rPr>
                <w:rFonts w:ascii="宋体" w:hAnsi="宋体" w:cs="宋体" w:eastAsia="宋体" w:hint="default"/>
                <w:spacing w:val="-54"/>
                <w:sz w:val="18"/>
                <w:szCs w:val="18"/>
              </w:rPr>
              <w:t> </w:t>
            </w:r>
            <w:r>
              <w:rPr>
                <w:rFonts w:ascii="宋体" w:hAnsi="宋体" w:cs="宋体" w:eastAsia="宋体" w:hint="default"/>
                <w:sz w:val="18"/>
                <w:szCs w:val="18"/>
              </w:rPr>
              <w:t>度股份收购福建智度及其附属公司拥有的</w:t>
            </w:r>
            <w:r>
              <w:rPr>
                <w:rFonts w:ascii="宋体" w:hAnsi="宋体" w:cs="宋体" w:eastAsia="宋体" w:hint="default"/>
                <w:spacing w:val="-39"/>
                <w:sz w:val="18"/>
                <w:szCs w:val="18"/>
              </w:rPr>
              <w:t> </w:t>
            </w:r>
            <w:r>
              <w:rPr>
                <w:rFonts w:ascii="宋体" w:hAnsi="宋体" w:cs="宋体" w:eastAsia="宋体" w:hint="default"/>
                <w:sz w:val="18"/>
                <w:szCs w:val="18"/>
              </w:rPr>
              <w:t>91iOS</w:t>
            </w:r>
            <w:r>
              <w:rPr>
                <w:rFonts w:ascii="宋体" w:hAnsi="宋体" w:cs="宋体" w:eastAsia="宋体" w:hint="default"/>
                <w:spacing w:val="-39"/>
                <w:sz w:val="18"/>
                <w:szCs w:val="18"/>
              </w:rPr>
              <w:t> </w:t>
            </w:r>
            <w:r>
              <w:rPr>
                <w:rFonts w:ascii="宋体" w:hAnsi="宋体" w:cs="宋体" w:eastAsia="宋体" w:hint="default"/>
                <w:spacing w:val="-4"/>
                <w:sz w:val="18"/>
                <w:szCs w:val="18"/>
              </w:rPr>
              <w:t>业务定价原则。由智度股份聘请具有证券业务资格的资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产评估机构依照相关法律法规的规定，对交易资产进行整体评估，最终交易价格以交易资产截至评估基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准日的评估值为参考，经交易各方协商确定。</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96"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9"/>
                <w:sz w:val="20"/>
                <w:szCs w:val="20"/>
              </w:rPr>
              <w:pict>
                <v:group style="width:55.8pt;height:124.8pt;mso-position-horizontal-relative:char;mso-position-vertical-relative:line" coordorigin="0,0" coordsize="1116,2496">
                  <v:group style="position:absolute;left:0;top:0;width:1116;height:2496" coordorigin="0,0" coordsize="1116,2496">
                    <v:shape style="position:absolute;left:0;top:0;width:1116;height:2496" coordorigin="0,0" coordsize="1116,2496" path="m0,2496l1116,2496,1116,0,0,0,0,2496xe" filled="true" fillcolor="#ffffff" stroked="false">
                      <v:path arrowok="t"/>
                      <v:fill type="solid"/>
                    </v:shape>
                  </v:group>
                </v:group>
              </w:pict>
            </w:r>
            <w:r>
              <w:rPr>
                <w:rFonts w:ascii="Times New Roman" w:hAnsi="Times New Roman" w:cs="Times New Roman" w:eastAsia="Times New Roman" w:hint="default"/>
                <w:position w:val="-49"/>
                <w:sz w:val="20"/>
                <w:szCs w:val="20"/>
              </w:rPr>
            </w:r>
          </w:p>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1338"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2"/>
              <w:jc w:val="both"/>
              <w:rPr>
                <w:rFonts w:ascii="宋体" w:hAnsi="宋体" w:cs="宋体" w:eastAsia="宋体" w:hint="default"/>
                <w:sz w:val="18"/>
                <w:szCs w:val="18"/>
              </w:rPr>
            </w:pPr>
            <w:r>
              <w:rPr>
                <w:rFonts w:ascii="宋体" w:hAnsi="宋体" w:cs="宋体" w:eastAsia="宋体" w:hint="default"/>
                <w:sz w:val="18"/>
                <w:szCs w:val="18"/>
              </w:rPr>
              <w:t>承诺 是否 按时 履行</w:t>
            </w:r>
          </w:p>
        </w:tc>
        <w:tc>
          <w:tcPr>
            <w:tcW w:w="1346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40" w:h="11910" w:orient="landscape"/>
          <w:pgMar w:header="867" w:footer="1187" w:top="1060" w:bottom="1380" w:left="1320" w:right="0"/>
        </w:sectPr>
      </w:pPr>
    </w:p>
    <w:p>
      <w:pPr>
        <w:spacing w:line="240" w:lineRule="auto" w:before="7"/>
        <w:rPr>
          <w:rFonts w:ascii="Times New Roman" w:hAnsi="Times New Roman" w:cs="Times New Roman" w:eastAsia="Times New Roman" w:hint="default"/>
          <w:sz w:val="23"/>
          <w:szCs w:val="23"/>
        </w:rPr>
      </w:pPr>
    </w:p>
    <w:p>
      <w:pPr>
        <w:pStyle w:val="Heading3"/>
        <w:spacing w:line="273" w:lineRule="auto" w:before="35"/>
        <w:ind w:left="153" w:right="0"/>
        <w:jc w:val="left"/>
        <w:rPr>
          <w:b w:val="0"/>
          <w:bCs w:val="0"/>
        </w:rPr>
      </w:pPr>
      <w:bookmarkStart w:name="2、公司资产或项目存在盈利预测，且报告期仍处在盈利预测期间，公司就资产或项目达到" w:id="69"/>
      <w:bookmarkEnd w:id="69"/>
      <w:r>
        <w:rPr>
          <w:b w:val="0"/>
          <w:bCs w:val="0"/>
        </w:rPr>
      </w:r>
      <w:r>
        <w:rPr>
          <w:rFonts w:ascii="宋体" w:hAnsi="宋体" w:cs="宋体" w:eastAsia="宋体" w:hint="default"/>
        </w:rPr>
        <w:t>2</w:t>
      </w:r>
      <w:r>
        <w:rPr/>
        <w:t>、公司资产或项目存在盈利预测，且报告期仍处在盈利预测期间，公司就资产或项目达到原盈利预测及</w:t>
      </w:r>
      <w:r>
        <w:rPr>
          <w:spacing w:val="-73"/>
        </w:rPr>
        <w:t> </w:t>
      </w:r>
      <w:r>
        <w:rPr>
          <w:spacing w:val="-73"/>
        </w:rPr>
      </w:r>
      <w:r>
        <w:rPr/>
        <w:t>其原因做出说明</w:t>
      </w:r>
      <w:r>
        <w:rPr>
          <w:b w:val="0"/>
          <w:bCs w:val="0"/>
        </w:rPr>
      </w:r>
    </w:p>
    <w:p>
      <w:pPr>
        <w:spacing w:line="240" w:lineRule="auto" w:before="7"/>
        <w:rPr>
          <w:rFonts w:ascii="宋体" w:hAnsi="宋体" w:cs="宋体" w:eastAsia="宋体" w:hint="default"/>
          <w:b/>
          <w:bCs/>
          <w:sz w:val="25"/>
          <w:szCs w:val="25"/>
        </w:rPr>
      </w:pPr>
    </w:p>
    <w:p>
      <w:pPr>
        <w:pStyle w:val="BodyText"/>
        <w:spacing w:line="240" w:lineRule="auto"/>
        <w:ind w:left="153"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51"/>
        <w:gridCol w:w="709"/>
        <w:gridCol w:w="708"/>
        <w:gridCol w:w="851"/>
        <w:gridCol w:w="993"/>
        <w:gridCol w:w="992"/>
        <w:gridCol w:w="851"/>
        <w:gridCol w:w="3686"/>
      </w:tblGrid>
      <w:tr>
        <w:trPr>
          <w:trHeight w:val="1026"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0" w:right="59"/>
              <w:jc w:val="both"/>
              <w:rPr>
                <w:rFonts w:ascii="宋体" w:hAnsi="宋体" w:cs="宋体" w:eastAsia="宋体" w:hint="default"/>
                <w:sz w:val="18"/>
                <w:szCs w:val="18"/>
              </w:rPr>
            </w:pPr>
            <w:r>
              <w:rPr>
                <w:rFonts w:ascii="宋体" w:hAnsi="宋体" w:cs="宋体" w:eastAsia="宋体" w:hint="default"/>
                <w:sz w:val="18"/>
                <w:szCs w:val="18"/>
              </w:rPr>
              <w:t>盈利预测 资产或项 目名称</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9" w:right="78"/>
              <w:jc w:val="left"/>
              <w:rPr>
                <w:rFonts w:ascii="宋体" w:hAnsi="宋体" w:cs="宋体" w:eastAsia="宋体" w:hint="default"/>
                <w:sz w:val="18"/>
                <w:szCs w:val="18"/>
              </w:rPr>
            </w:pPr>
            <w:r>
              <w:rPr>
                <w:rFonts w:ascii="宋体" w:hAnsi="宋体" w:cs="宋体" w:eastAsia="宋体" w:hint="default"/>
                <w:sz w:val="18"/>
                <w:szCs w:val="18"/>
              </w:rPr>
              <w:t>预测起 始时间</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8" w:right="78"/>
              <w:jc w:val="left"/>
              <w:rPr>
                <w:rFonts w:ascii="宋体" w:hAnsi="宋体" w:cs="宋体" w:eastAsia="宋体" w:hint="default"/>
                <w:sz w:val="18"/>
                <w:szCs w:val="18"/>
              </w:rPr>
            </w:pPr>
            <w:r>
              <w:rPr>
                <w:rFonts w:ascii="宋体" w:hAnsi="宋体" w:cs="宋体" w:eastAsia="宋体" w:hint="default"/>
                <w:sz w:val="18"/>
                <w:szCs w:val="18"/>
              </w:rPr>
              <w:t>预测终 止时间</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0" w:right="59"/>
              <w:jc w:val="center"/>
              <w:rPr>
                <w:rFonts w:ascii="宋体" w:hAnsi="宋体" w:cs="宋体" w:eastAsia="宋体" w:hint="default"/>
                <w:sz w:val="18"/>
                <w:szCs w:val="18"/>
              </w:rPr>
            </w:pPr>
            <w:r>
              <w:rPr>
                <w:rFonts w:ascii="宋体" w:hAnsi="宋体" w:cs="宋体" w:eastAsia="宋体" w:hint="default"/>
                <w:sz w:val="18"/>
                <w:szCs w:val="18"/>
              </w:rPr>
              <w:t>当期预测 业绩（万 元）</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0" w:right="40"/>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 w:right="41"/>
              <w:jc w:val="center"/>
              <w:rPr>
                <w:rFonts w:ascii="宋体" w:hAnsi="宋体" w:cs="宋体" w:eastAsia="宋体" w:hint="default"/>
                <w:sz w:val="18"/>
                <w:szCs w:val="18"/>
              </w:rPr>
            </w:pPr>
            <w:r>
              <w:rPr>
                <w:rFonts w:ascii="宋体" w:hAnsi="宋体" w:cs="宋体" w:eastAsia="宋体" w:hint="default"/>
                <w:sz w:val="18"/>
                <w:szCs w:val="18"/>
              </w:rPr>
              <w:t>未达预测的 原因（如适 用）</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50" w:right="59" w:hanging="90"/>
              <w:jc w:val="left"/>
              <w:rPr>
                <w:rFonts w:ascii="宋体" w:hAnsi="宋体" w:cs="宋体" w:eastAsia="宋体" w:hint="default"/>
                <w:sz w:val="18"/>
                <w:szCs w:val="18"/>
              </w:rPr>
            </w:pPr>
            <w:r>
              <w:rPr>
                <w:rFonts w:ascii="宋体" w:hAnsi="宋体" w:cs="宋体" w:eastAsia="宋体" w:hint="default"/>
                <w:sz w:val="18"/>
                <w:szCs w:val="18"/>
              </w:rPr>
              <w:t>原预测披 露日期</w:t>
            </w:r>
          </w:p>
        </w:tc>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207"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96"/>
              <w:jc w:val="both"/>
              <w:rPr>
                <w:rFonts w:ascii="宋体" w:hAnsi="宋体" w:cs="宋体" w:eastAsia="宋体" w:hint="default"/>
                <w:sz w:val="18"/>
                <w:szCs w:val="18"/>
              </w:rPr>
            </w:pPr>
            <w:r>
              <w:rPr>
                <w:rFonts w:ascii="宋体" w:hAnsi="宋体" w:cs="宋体" w:eastAsia="宋体" w:hint="default"/>
                <w:sz w:val="18"/>
                <w:szCs w:val="18"/>
              </w:rPr>
              <w:t>上海猎鹰 网络有限 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15,210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z w:val="18"/>
              </w:rPr>
              <w:t>15,983.75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深交所巨潮资讯网</w:t>
            </w:r>
          </w:p>
          <w:p>
            <w:pPr>
              <w:pStyle w:val="TableParagraph"/>
              <w:spacing w:line="319" w:lineRule="auto" w:before="75"/>
              <w:ind w:left="22" w:right="23"/>
              <w:jc w:val="both"/>
              <w:rPr>
                <w:rFonts w:ascii="宋体" w:hAnsi="宋体" w:cs="宋体" w:eastAsia="宋体" w:hint="default"/>
                <w:sz w:val="18"/>
                <w:szCs w:val="18"/>
              </w:rPr>
            </w:pPr>
            <w:r>
              <w:rPr>
                <w:rFonts w:ascii="宋体" w:hAnsi="宋体" w:cs="宋体" w:eastAsia="宋体" w:hint="default"/>
                <w:spacing w:val="-5"/>
                <w:sz w:val="18"/>
                <w:szCs w:val="18"/>
              </w:rPr>
              <w:t>（</w:t>
            </w:r>
            <w:hyperlink r:id="rId12">
              <w:r>
                <w:rPr>
                  <w:rFonts w:ascii="宋体" w:hAnsi="宋体" w:cs="宋体" w:eastAsia="宋体" w:hint="default"/>
                  <w:spacing w:val="-5"/>
                  <w:sz w:val="18"/>
                  <w:szCs w:val="18"/>
                </w:rPr>
                <w:t>http://www.cninfo.com.cn</w:t>
              </w:r>
            </w:hyperlink>
            <w:r>
              <w:rPr>
                <w:rFonts w:ascii="宋体" w:hAnsi="宋体" w:cs="宋体" w:eastAsia="宋体" w:hint="default"/>
                <w:spacing w:val="-5"/>
                <w:sz w:val="18"/>
                <w:szCs w:val="18"/>
              </w:rPr>
              <w:t>）公司披露的《发</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行股份及支付现金购买资产并募集配套资金暨 关联交易报告书》</w:t>
            </w:r>
            <w:r>
              <w:rPr>
                <w:rFonts w:ascii="宋体" w:hAnsi="宋体" w:cs="宋体" w:eastAsia="宋体" w:hint="default"/>
                <w:sz w:val="18"/>
                <w:szCs w:val="18"/>
              </w:rPr>
              <w:t>(</w:t>
            </w:r>
            <w:r>
              <w:rPr>
                <w:rFonts w:ascii="宋体" w:hAnsi="宋体" w:cs="宋体" w:eastAsia="宋体" w:hint="default"/>
                <w:sz w:val="18"/>
                <w:szCs w:val="18"/>
              </w:rPr>
              <w:t>草案）</w:t>
            </w: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both"/>
              <w:rPr>
                <w:rFonts w:ascii="宋体" w:hAnsi="宋体" w:cs="宋体" w:eastAsia="宋体" w:hint="default"/>
                <w:sz w:val="18"/>
                <w:szCs w:val="18"/>
              </w:rPr>
            </w:pPr>
            <w:r>
              <w:rPr>
                <w:rFonts w:ascii="宋体" w:hAnsi="宋体" w:cs="宋体" w:eastAsia="宋体" w:hint="default"/>
                <w:sz w:val="18"/>
                <w:szCs w:val="18"/>
              </w:rPr>
              <w:t>上海智度 亦复信息 技术有限 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5,915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z w:val="18"/>
              </w:rPr>
              <w:t>6,324.03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深交所巨潮资讯网</w:t>
            </w:r>
          </w:p>
          <w:p>
            <w:pPr>
              <w:pStyle w:val="TableParagraph"/>
              <w:spacing w:line="319" w:lineRule="auto" w:before="75"/>
              <w:ind w:left="22" w:right="23"/>
              <w:jc w:val="both"/>
              <w:rPr>
                <w:rFonts w:ascii="宋体" w:hAnsi="宋体" w:cs="宋体" w:eastAsia="宋体" w:hint="default"/>
                <w:sz w:val="18"/>
                <w:szCs w:val="18"/>
              </w:rPr>
            </w:pPr>
            <w:r>
              <w:rPr>
                <w:rFonts w:ascii="宋体" w:hAnsi="宋体" w:cs="宋体" w:eastAsia="宋体" w:hint="default"/>
                <w:spacing w:val="-5"/>
                <w:sz w:val="18"/>
                <w:szCs w:val="18"/>
              </w:rPr>
              <w:t>（</w:t>
            </w:r>
            <w:hyperlink r:id="rId12">
              <w:r>
                <w:rPr>
                  <w:rFonts w:ascii="宋体" w:hAnsi="宋体" w:cs="宋体" w:eastAsia="宋体" w:hint="default"/>
                  <w:spacing w:val="-5"/>
                  <w:sz w:val="18"/>
                  <w:szCs w:val="18"/>
                </w:rPr>
                <w:t>http://www.cninfo.com.cn</w:t>
              </w:r>
            </w:hyperlink>
            <w:r>
              <w:rPr>
                <w:rFonts w:ascii="宋体" w:hAnsi="宋体" w:cs="宋体" w:eastAsia="宋体" w:hint="default"/>
                <w:spacing w:val="-5"/>
                <w:sz w:val="18"/>
                <w:szCs w:val="18"/>
              </w:rPr>
              <w:t>）公司披露的《发</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行股份及支付现金购买资产并募集配套资金暨 关联交易报告书》</w:t>
            </w:r>
            <w:r>
              <w:rPr>
                <w:rFonts w:ascii="宋体" w:hAnsi="宋体" w:cs="宋体" w:eastAsia="宋体" w:hint="default"/>
                <w:sz w:val="18"/>
                <w:szCs w:val="18"/>
              </w:rPr>
              <w:t>(</w:t>
            </w:r>
            <w:r>
              <w:rPr>
                <w:rFonts w:ascii="宋体" w:hAnsi="宋体" w:cs="宋体" w:eastAsia="宋体" w:hint="default"/>
                <w:sz w:val="18"/>
                <w:szCs w:val="18"/>
              </w:rPr>
              <w:t>草案）</w:t>
            </w:r>
          </w:p>
        </w:tc>
      </w:tr>
      <w:tr>
        <w:trPr>
          <w:trHeight w:val="1339"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86"/>
              <w:jc w:val="left"/>
              <w:rPr>
                <w:rFonts w:ascii="宋体" w:hAnsi="宋体" w:cs="宋体" w:eastAsia="宋体" w:hint="default"/>
                <w:sz w:val="18"/>
                <w:szCs w:val="18"/>
              </w:rPr>
            </w:pPr>
            <w:r>
              <w:rPr>
                <w:rFonts w:ascii="宋体"/>
                <w:sz w:val="18"/>
              </w:rPr>
              <w:t>SPIGOT, INC.</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3,409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z w:val="18"/>
              </w:rPr>
              <w:t>4,075.87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深交所巨潮资讯网</w:t>
            </w:r>
          </w:p>
          <w:p>
            <w:pPr>
              <w:pStyle w:val="TableParagraph"/>
              <w:spacing w:line="319" w:lineRule="auto" w:before="75"/>
              <w:ind w:left="22" w:right="23"/>
              <w:jc w:val="both"/>
              <w:rPr>
                <w:rFonts w:ascii="宋体" w:hAnsi="宋体" w:cs="宋体" w:eastAsia="宋体" w:hint="default"/>
                <w:sz w:val="18"/>
                <w:szCs w:val="18"/>
              </w:rPr>
            </w:pPr>
            <w:r>
              <w:rPr>
                <w:rFonts w:ascii="宋体" w:hAnsi="宋体" w:cs="宋体" w:eastAsia="宋体" w:hint="default"/>
                <w:spacing w:val="-5"/>
                <w:sz w:val="18"/>
                <w:szCs w:val="18"/>
              </w:rPr>
              <w:t>（</w:t>
            </w:r>
            <w:hyperlink r:id="rId12">
              <w:r>
                <w:rPr>
                  <w:rFonts w:ascii="宋体" w:hAnsi="宋体" w:cs="宋体" w:eastAsia="宋体" w:hint="default"/>
                  <w:spacing w:val="-5"/>
                  <w:sz w:val="18"/>
                  <w:szCs w:val="18"/>
                </w:rPr>
                <w:t>http://www.cninfo.com.cn</w:t>
              </w:r>
            </w:hyperlink>
            <w:r>
              <w:rPr>
                <w:rFonts w:ascii="宋体" w:hAnsi="宋体" w:cs="宋体" w:eastAsia="宋体" w:hint="default"/>
                <w:spacing w:val="-5"/>
                <w:sz w:val="18"/>
                <w:szCs w:val="18"/>
              </w:rPr>
              <w:t>）公司披露的《发</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行股份及支付现金购买资产并募集配套资金暨 关联交易报告书》</w:t>
            </w:r>
            <w:r>
              <w:rPr>
                <w:rFonts w:ascii="宋体" w:hAnsi="宋体" w:cs="宋体" w:eastAsia="宋体" w:hint="default"/>
                <w:sz w:val="18"/>
                <w:szCs w:val="18"/>
              </w:rPr>
              <w:t>(</w:t>
            </w:r>
            <w:r>
              <w:rPr>
                <w:rFonts w:ascii="宋体" w:hAnsi="宋体" w:cs="宋体" w:eastAsia="宋体" w:hint="default"/>
                <w:sz w:val="18"/>
                <w:szCs w:val="18"/>
              </w:rPr>
              <w:t>草案）</w:t>
            </w:r>
          </w:p>
        </w:tc>
      </w:tr>
    </w:tbl>
    <w:p>
      <w:pPr>
        <w:pStyle w:val="BodyText"/>
        <w:spacing w:line="240" w:lineRule="auto" w:before="51"/>
        <w:ind w:right="0"/>
        <w:jc w:val="both"/>
      </w:pPr>
      <w:r>
        <w:rPr/>
        <w:t>公司股东、交易对手方在报告年度经营业绩做出的承诺情况</w:t>
      </w:r>
    </w:p>
    <w:p>
      <w:pPr>
        <w:pStyle w:val="BodyText"/>
        <w:spacing w:line="357" w:lineRule="auto" w:before="116"/>
        <w:ind w:left="513" w:right="1123" w:hanging="360"/>
        <w:jc w:val="left"/>
      </w:pPr>
      <w:r>
        <w:rPr/>
        <w:t>√ 适用 □ 不适用 </w:t>
      </w:r>
      <w:r>
        <w:rPr>
          <w:rFonts w:ascii="宋体" w:hAnsi="宋体" w:cs="宋体" w:eastAsia="宋体" w:hint="default"/>
        </w:rPr>
        <w:t>1</w:t>
      </w:r>
      <w:r>
        <w:rPr/>
        <w:t>、易晋网络等上海猎鹰公司原股东承诺上海猎鹰公司在</w:t>
      </w:r>
      <w:r>
        <w:rPr>
          <w:rFonts w:ascii="宋体" w:hAnsi="宋体" w:cs="宋体" w:eastAsia="宋体" w:hint="default"/>
        </w:rPr>
        <w:t>2015</w:t>
      </w:r>
      <w:r>
        <w:rPr/>
        <w:t>年至</w:t>
      </w:r>
      <w:r>
        <w:rPr>
          <w:rFonts w:ascii="宋体" w:hAnsi="宋体" w:cs="宋体" w:eastAsia="宋体" w:hint="default"/>
        </w:rPr>
        <w:t>2018</w:t>
      </w:r>
      <w:r>
        <w:rPr/>
        <w:t>年各年度，拟实现的扣除非经常性损益后归属于</w:t>
      </w:r>
    </w:p>
    <w:p>
      <w:pPr>
        <w:pStyle w:val="BodyText"/>
        <w:spacing w:line="224" w:lineRule="exact"/>
        <w:ind w:left="153" w:right="0"/>
        <w:jc w:val="both"/>
      </w:pPr>
      <w:r>
        <w:rPr/>
        <w:t>母公司股东的净利润分别不低于</w:t>
      </w:r>
      <w:r>
        <w:rPr>
          <w:rFonts w:ascii="宋体" w:hAnsi="宋体" w:cs="宋体" w:eastAsia="宋体" w:hint="default"/>
        </w:rPr>
        <w:t>8,838</w:t>
      </w:r>
      <w:r>
        <w:rPr/>
        <w:t>万元、</w:t>
      </w:r>
      <w:r>
        <w:rPr>
          <w:rFonts w:ascii="宋体" w:hAnsi="宋体" w:cs="宋体" w:eastAsia="宋体" w:hint="default"/>
        </w:rPr>
        <w:t>11,700</w:t>
      </w:r>
      <w:r>
        <w:rPr/>
        <w:t>万元、</w:t>
      </w:r>
      <w:r>
        <w:rPr>
          <w:rFonts w:ascii="宋体" w:hAnsi="宋体" w:cs="宋体" w:eastAsia="宋体" w:hint="default"/>
        </w:rPr>
        <w:t>15,210</w:t>
      </w:r>
      <w:r>
        <w:rPr/>
        <w:t>万元及</w:t>
      </w:r>
      <w:r>
        <w:rPr>
          <w:rFonts w:ascii="宋体" w:hAnsi="宋体" w:cs="宋体" w:eastAsia="宋体" w:hint="default"/>
        </w:rPr>
        <w:t>18,252</w:t>
      </w:r>
      <w:r>
        <w:rPr/>
        <w:t>万元。若上海猎鹰公司</w:t>
      </w:r>
      <w:r>
        <w:rPr>
          <w:rFonts w:ascii="宋体" w:hAnsi="宋体" w:cs="宋体" w:eastAsia="宋体" w:hint="default"/>
        </w:rPr>
        <w:t>2015</w:t>
      </w:r>
      <w:r>
        <w:rPr/>
        <w:t>年至</w:t>
      </w:r>
      <w:r>
        <w:rPr>
          <w:rFonts w:ascii="宋体" w:hAnsi="宋体" w:cs="宋体" w:eastAsia="宋体" w:hint="default"/>
        </w:rPr>
        <w:t>2018</w:t>
      </w:r>
      <w:r>
        <w:rPr/>
        <w:t>年各年</w:t>
      </w:r>
    </w:p>
    <w:p>
      <w:pPr>
        <w:pStyle w:val="BodyText"/>
        <w:spacing w:line="319" w:lineRule="auto" w:before="76"/>
        <w:ind w:left="153" w:right="1133"/>
        <w:jc w:val="both"/>
      </w:pPr>
      <w:r>
        <w:rPr/>
        <w:t>度实现的实际净利润数低于前述当年净利润预测数的，则易晋网络等上海猎鹰公司原股东应按《标的资产盈利预测补偿协</w:t>
      </w:r>
      <w:r>
        <w:rPr>
          <w:spacing w:val="-9"/>
        </w:rPr>
        <w:t> </w:t>
      </w:r>
      <w:r>
        <w:rPr>
          <w:spacing w:val="-9"/>
        </w:rPr>
      </w:r>
      <w:r>
        <w:rPr>
          <w:spacing w:val="-2"/>
        </w:rPr>
        <w:t>议》、《标的资产盈利预测补偿协议的补充协议》及《标的资产盈利预测补偿协议的补充协议（二）》的约定向本公司进行</w:t>
      </w:r>
      <w:r>
        <w:rPr>
          <w:spacing w:val="-67"/>
        </w:rPr>
        <w:t> </w:t>
      </w:r>
      <w:r>
        <w:rPr>
          <w:spacing w:val="-67"/>
        </w:rPr>
      </w:r>
      <w:r>
        <w:rPr/>
        <w:t>补偿。</w:t>
      </w:r>
    </w:p>
    <w:p>
      <w:pPr>
        <w:pStyle w:val="BodyText"/>
        <w:spacing w:line="319" w:lineRule="auto" w:before="55"/>
        <w:ind w:left="153" w:right="1130" w:firstLine="360"/>
        <w:jc w:val="both"/>
      </w:pPr>
      <w:r>
        <w:rPr/>
        <w:t>上海猎鹰公司</w:t>
      </w:r>
      <w:r>
        <w:rPr>
          <w:rFonts w:ascii="宋体" w:hAnsi="宋体" w:cs="宋体" w:eastAsia="宋体" w:hint="default"/>
        </w:rPr>
        <w:t>2017</w:t>
      </w:r>
      <w:r>
        <w:rPr/>
        <w:t>年度归属于母公司股东的净利润为</w:t>
      </w:r>
      <w:r>
        <w:rPr>
          <w:rFonts w:ascii="宋体" w:hAnsi="宋体" w:cs="宋体" w:eastAsia="宋体" w:hint="default"/>
        </w:rPr>
        <w:t>16,309.12</w:t>
      </w:r>
      <w:r>
        <w:rPr/>
        <w:t>万元，扣除非经常性损益及本次配套募集资金对盈利预 测的影响数后的实际盈利数为</w:t>
      </w:r>
      <w:r>
        <w:rPr>
          <w:rFonts w:ascii="宋体" w:hAnsi="宋体" w:cs="宋体" w:eastAsia="宋体" w:hint="default"/>
        </w:rPr>
        <w:t>15,983.75</w:t>
      </w:r>
      <w:r>
        <w:rPr/>
        <w:t>万元，超过业绩承诺</w:t>
      </w:r>
      <w:r>
        <w:rPr>
          <w:rFonts w:ascii="宋体" w:hAnsi="宋体" w:cs="宋体" w:eastAsia="宋体" w:hint="default"/>
        </w:rPr>
        <w:t>773.75</w:t>
      </w:r>
      <w:r>
        <w:rPr/>
        <w:t>万元。</w:t>
      </w:r>
    </w:p>
    <w:p>
      <w:pPr>
        <w:pStyle w:val="BodyText"/>
        <w:spacing w:line="319" w:lineRule="auto" w:before="55"/>
        <w:ind w:left="153" w:right="1130" w:firstLine="360"/>
        <w:jc w:val="both"/>
      </w:pPr>
      <w:r>
        <w:rPr>
          <w:rFonts w:ascii="宋体" w:hAnsi="宋体" w:cs="宋体" w:eastAsia="宋体" w:hint="default"/>
        </w:rPr>
        <w:t>2</w:t>
      </w:r>
      <w:r>
        <w:rPr/>
        <w:t>、计宏铭等上海亦复信息公司原股东承诺上海亦复信息公司在</w:t>
      </w:r>
      <w:r>
        <w:rPr>
          <w:rFonts w:ascii="宋体" w:hAnsi="宋体" w:cs="宋体" w:eastAsia="宋体" w:hint="default"/>
        </w:rPr>
        <w:t>2015</w:t>
      </w:r>
      <w:r>
        <w:rPr/>
        <w:t>年至</w:t>
      </w:r>
      <w:r>
        <w:rPr>
          <w:rFonts w:ascii="宋体" w:hAnsi="宋体" w:cs="宋体" w:eastAsia="宋体" w:hint="default"/>
        </w:rPr>
        <w:t>2018</w:t>
      </w:r>
      <w:r>
        <w:rPr/>
        <w:t>年各年度，拟实现的扣除非经常性损益后 </w:t>
      </w:r>
      <w:r>
        <w:rPr>
          <w:spacing w:val="-2"/>
        </w:rPr>
        <w:t>归属于母公司股东的净利润分别不低于</w:t>
      </w:r>
      <w:r>
        <w:rPr>
          <w:rFonts w:ascii="宋体" w:hAnsi="宋体" w:cs="宋体" w:eastAsia="宋体" w:hint="default"/>
          <w:spacing w:val="-2"/>
        </w:rPr>
        <w:t>3,500</w:t>
      </w:r>
      <w:r>
        <w:rPr>
          <w:spacing w:val="-2"/>
        </w:rPr>
        <w:t>万元、</w:t>
      </w:r>
      <w:r>
        <w:rPr>
          <w:rFonts w:ascii="宋体" w:hAnsi="宋体" w:cs="宋体" w:eastAsia="宋体" w:hint="default"/>
          <w:spacing w:val="-2"/>
        </w:rPr>
        <w:t>4,550</w:t>
      </w:r>
      <w:r>
        <w:rPr>
          <w:spacing w:val="-2"/>
        </w:rPr>
        <w:t>万元、</w:t>
      </w:r>
      <w:r>
        <w:rPr>
          <w:rFonts w:ascii="宋体" w:hAnsi="宋体" w:cs="宋体" w:eastAsia="宋体" w:hint="default"/>
          <w:spacing w:val="-2"/>
        </w:rPr>
        <w:t>5,915</w:t>
      </w:r>
      <w:r>
        <w:rPr>
          <w:spacing w:val="-2"/>
        </w:rPr>
        <w:t>万元及</w:t>
      </w:r>
      <w:r>
        <w:rPr>
          <w:rFonts w:ascii="宋体" w:hAnsi="宋体" w:cs="宋体" w:eastAsia="宋体" w:hint="default"/>
          <w:spacing w:val="-2"/>
        </w:rPr>
        <w:t>7,098</w:t>
      </w:r>
      <w:r>
        <w:rPr>
          <w:spacing w:val="-2"/>
        </w:rPr>
        <w:t>万元。若上海亦复信息公司</w:t>
      </w:r>
      <w:r>
        <w:rPr>
          <w:rFonts w:ascii="宋体" w:hAnsi="宋体" w:cs="宋体" w:eastAsia="宋体" w:hint="default"/>
          <w:spacing w:val="-2"/>
        </w:rPr>
        <w:t>2015</w:t>
      </w:r>
      <w:r>
        <w:rPr>
          <w:spacing w:val="-2"/>
        </w:rPr>
        <w:t>年至</w:t>
      </w:r>
      <w:r>
        <w:rPr>
          <w:rFonts w:ascii="宋体" w:hAnsi="宋体" w:cs="宋体" w:eastAsia="宋体" w:hint="default"/>
          <w:spacing w:val="-2"/>
        </w:rPr>
        <w:t>2018</w:t>
      </w:r>
      <w:r>
        <w:rPr>
          <w:rFonts w:ascii="宋体" w:hAnsi="宋体" w:cs="宋体" w:eastAsia="宋体" w:hint="default"/>
          <w:spacing w:val="-38"/>
        </w:rPr>
        <w:t> </w:t>
      </w:r>
      <w:r>
        <w:rPr>
          <w:spacing w:val="-2"/>
        </w:rPr>
        <w:t>年各年度实现的实际净利润数低于上述当年净利润预测数的，则计宏铭等原股东应按《标的资产盈利预测补偿协议》、《标</w:t>
      </w:r>
      <w:r>
        <w:rPr>
          <w:spacing w:val="-67"/>
        </w:rPr>
        <w:t> </w:t>
      </w:r>
      <w:r>
        <w:rPr>
          <w:spacing w:val="-67"/>
        </w:rPr>
      </w:r>
      <w:r>
        <w:rPr/>
        <w:t>的资产盈利预测补偿协议的补充协议》及《标的资产盈利预测补偿协议的补充协议（二）》的约定向本公司进行补偿。</w:t>
      </w:r>
    </w:p>
    <w:p>
      <w:pPr>
        <w:pStyle w:val="BodyText"/>
        <w:spacing w:line="319" w:lineRule="auto" w:before="56"/>
        <w:ind w:left="153" w:right="1131" w:firstLine="360"/>
        <w:jc w:val="both"/>
      </w:pPr>
      <w:r>
        <w:rPr>
          <w:spacing w:val="-2"/>
        </w:rPr>
        <w:t>上海亦复信息公司</w:t>
      </w:r>
      <w:r>
        <w:rPr>
          <w:rFonts w:ascii="宋体" w:hAnsi="宋体" w:cs="宋体" w:eastAsia="宋体" w:hint="default"/>
          <w:spacing w:val="-2"/>
        </w:rPr>
        <w:t>2017</w:t>
      </w:r>
      <w:r>
        <w:rPr>
          <w:spacing w:val="-2"/>
        </w:rPr>
        <w:t>年度归属于母公司股东的净利润为</w:t>
      </w:r>
      <w:r>
        <w:rPr>
          <w:rFonts w:ascii="宋体" w:hAnsi="宋体" w:cs="宋体" w:eastAsia="宋体" w:hint="default"/>
          <w:spacing w:val="-2"/>
        </w:rPr>
        <w:t>6,797.68</w:t>
      </w:r>
      <w:r>
        <w:rPr>
          <w:spacing w:val="-2"/>
        </w:rPr>
        <w:t>万元，扣除非经常性损益及本次配套募集资金对盈利</w:t>
      </w:r>
      <w:r>
        <w:rPr/>
        <w:t> 预测的影响数后的实际盈利数为</w:t>
      </w:r>
      <w:r>
        <w:rPr>
          <w:rFonts w:ascii="宋体" w:hAnsi="宋体" w:cs="宋体" w:eastAsia="宋体" w:hint="default"/>
        </w:rPr>
        <w:t>6,324.03</w:t>
      </w:r>
      <w:r>
        <w:rPr/>
        <w:t>万元，超过业绩承诺</w:t>
      </w:r>
      <w:r>
        <w:rPr>
          <w:rFonts w:ascii="宋体" w:hAnsi="宋体" w:cs="宋体" w:eastAsia="宋体" w:hint="default"/>
        </w:rPr>
        <w:t>409.03</w:t>
      </w:r>
      <w:r>
        <w:rPr/>
        <w:t>万元。</w:t>
      </w:r>
    </w:p>
    <w:p>
      <w:pPr>
        <w:pStyle w:val="BodyText"/>
        <w:spacing w:line="319" w:lineRule="auto" w:before="55"/>
        <w:ind w:left="153" w:right="1131" w:firstLine="360"/>
        <w:jc w:val="both"/>
      </w:pPr>
      <w:r>
        <w:rPr>
          <w:rFonts w:ascii="宋体" w:hAnsi="宋体" w:cs="宋体" w:eastAsia="宋体" w:hint="default"/>
        </w:rPr>
        <w:t>3</w:t>
      </w:r>
      <w:r>
        <w:rPr/>
        <w:t>、</w:t>
      </w:r>
      <w:r>
        <w:rPr>
          <w:rFonts w:ascii="宋体" w:hAnsi="宋体" w:cs="宋体" w:eastAsia="宋体" w:hint="default"/>
        </w:rPr>
        <w:t>RodrigoSales</w:t>
      </w:r>
      <w:r>
        <w:rPr/>
        <w:t>等</w:t>
      </w:r>
      <w:r>
        <w:rPr>
          <w:rFonts w:ascii="宋体" w:hAnsi="宋体" w:cs="宋体" w:eastAsia="宋体" w:hint="default"/>
        </w:rPr>
        <w:t>Spigot</w:t>
      </w:r>
      <w:r>
        <w:rPr/>
        <w:t>原股东承诺</w:t>
      </w:r>
      <w:r>
        <w:rPr>
          <w:rFonts w:ascii="宋体" w:hAnsi="宋体" w:cs="宋体" w:eastAsia="宋体" w:hint="default"/>
        </w:rPr>
        <w:t>Spigot</w:t>
      </w:r>
      <w:r>
        <w:rPr/>
        <w:t>公司在</w:t>
      </w:r>
      <w:r>
        <w:rPr>
          <w:rFonts w:ascii="宋体" w:hAnsi="宋体" w:cs="宋体" w:eastAsia="宋体" w:hint="default"/>
        </w:rPr>
        <w:t>2015</w:t>
      </w:r>
      <w:r>
        <w:rPr/>
        <w:t>年至</w:t>
      </w:r>
      <w:r>
        <w:rPr>
          <w:rFonts w:ascii="宋体" w:hAnsi="宋体" w:cs="宋体" w:eastAsia="宋体" w:hint="default"/>
        </w:rPr>
        <w:t>2018</w:t>
      </w:r>
      <w:r>
        <w:rPr/>
        <w:t>年（初始对赌年份）的各年度，拟实现的净利润分别 不低于</w:t>
      </w:r>
      <w:r>
        <w:rPr>
          <w:rFonts w:ascii="宋体" w:hAnsi="宋体" w:cs="宋体" w:eastAsia="宋体" w:hint="default"/>
        </w:rPr>
        <w:t>1,721</w:t>
      </w:r>
      <w:r>
        <w:rPr/>
        <w:t>万美元、</w:t>
      </w:r>
      <w:r>
        <w:rPr>
          <w:rFonts w:ascii="宋体" w:hAnsi="宋体" w:cs="宋体" w:eastAsia="宋体" w:hint="default"/>
        </w:rPr>
        <w:t>2,561</w:t>
      </w:r>
      <w:r>
        <w:rPr/>
        <w:t>万美元、</w:t>
      </w:r>
      <w:r>
        <w:rPr>
          <w:rFonts w:ascii="宋体" w:hAnsi="宋体" w:cs="宋体" w:eastAsia="宋体" w:hint="default"/>
        </w:rPr>
        <w:t>3,409</w:t>
      </w:r>
      <w:r>
        <w:rPr/>
        <w:t>万美元及</w:t>
      </w:r>
      <w:r>
        <w:rPr>
          <w:rFonts w:ascii="宋体" w:hAnsi="宋体" w:cs="宋体" w:eastAsia="宋体" w:hint="default"/>
        </w:rPr>
        <w:t>4,006</w:t>
      </w:r>
      <w:r>
        <w:rPr/>
        <w:t>万美元。</w:t>
      </w:r>
    </w:p>
    <w:p>
      <w:pPr>
        <w:pStyle w:val="BodyText"/>
        <w:spacing w:line="319" w:lineRule="auto" w:before="55"/>
        <w:ind w:left="153" w:right="1130" w:firstLine="360"/>
        <w:jc w:val="both"/>
      </w:pPr>
      <w:r>
        <w:rPr>
          <w:rFonts w:ascii="宋体" w:hAnsi="宋体" w:cs="宋体" w:eastAsia="宋体" w:hint="default"/>
          <w:spacing w:val="-6"/>
        </w:rPr>
        <w:t>2016</w:t>
      </w:r>
      <w:r>
        <w:rPr>
          <w:spacing w:val="-6"/>
        </w:rPr>
        <w:t>年</w:t>
      </w:r>
      <w:r>
        <w:rPr>
          <w:rFonts w:ascii="宋体" w:hAnsi="宋体" w:cs="宋体" w:eastAsia="宋体" w:hint="default"/>
          <w:spacing w:val="-6"/>
        </w:rPr>
        <w:t>10</w:t>
      </w:r>
      <w:r>
        <w:rPr>
          <w:spacing w:val="-6"/>
        </w:rPr>
        <w:t>月</w:t>
      </w:r>
      <w:r>
        <w:rPr>
          <w:rFonts w:ascii="宋体" w:hAnsi="宋体" w:cs="宋体" w:eastAsia="宋体" w:hint="default"/>
          <w:spacing w:val="-6"/>
        </w:rPr>
        <w:t>28</w:t>
      </w:r>
      <w:r>
        <w:rPr>
          <w:spacing w:val="-6"/>
        </w:rPr>
        <w:t>日，根据本公司第七届董事会第十九次会议决议，并经</w:t>
      </w:r>
      <w:r>
        <w:rPr>
          <w:rFonts w:ascii="宋体" w:hAnsi="宋体" w:cs="宋体" w:eastAsia="宋体" w:hint="default"/>
          <w:spacing w:val="-6"/>
        </w:rPr>
        <w:t>2016</w:t>
      </w:r>
      <w:r>
        <w:rPr>
          <w:spacing w:val="-6"/>
        </w:rPr>
        <w:t>年第二次临时股东大会审议通过，依据《</w:t>
      </w:r>
      <w:r>
        <w:rPr>
          <w:rFonts w:ascii="宋体" w:hAnsi="宋体" w:cs="宋体" w:eastAsia="宋体" w:hint="default"/>
          <w:spacing w:val="-6"/>
        </w:rPr>
        <w:t>Spigot,</w:t>
      </w:r>
      <w:r>
        <w:rPr>
          <w:rFonts w:ascii="宋体" w:hAnsi="宋体" w:cs="宋体" w:eastAsia="宋体" w:hint="default"/>
        </w:rPr>
        <w:t> </w:t>
      </w:r>
      <w:r>
        <w:rPr>
          <w:rFonts w:ascii="宋体" w:hAnsi="宋体" w:cs="宋体" w:eastAsia="宋体" w:hint="default"/>
          <w:spacing w:val="-2"/>
        </w:rPr>
        <w:t>Inc.</w:t>
      </w:r>
      <w:r>
        <w:rPr>
          <w:spacing w:val="-2"/>
        </w:rPr>
        <w:t>股权购买协议之补充协议》约定，在</w:t>
      </w:r>
      <w:r>
        <w:rPr>
          <w:rFonts w:ascii="宋体" w:hAnsi="宋体" w:cs="宋体" w:eastAsia="宋体" w:hint="default"/>
          <w:spacing w:val="-2"/>
        </w:rPr>
        <w:t>Polarity</w:t>
      </w:r>
      <w:r>
        <w:rPr>
          <w:spacing w:val="-2"/>
        </w:rPr>
        <w:t>和</w:t>
      </w:r>
      <w:r>
        <w:rPr>
          <w:rFonts w:ascii="宋体" w:hAnsi="宋体" w:cs="宋体" w:eastAsia="宋体" w:hint="default"/>
          <w:spacing w:val="-2"/>
        </w:rPr>
        <w:t>Eightpoint</w:t>
      </w:r>
      <w:r>
        <w:rPr>
          <w:spacing w:val="-2"/>
        </w:rPr>
        <w:t>与</w:t>
      </w:r>
      <w:r>
        <w:rPr>
          <w:rFonts w:ascii="宋体" w:hAnsi="宋体" w:cs="宋体" w:eastAsia="宋体" w:hint="default"/>
          <w:spacing w:val="-2"/>
        </w:rPr>
        <w:t>Spigot</w:t>
      </w:r>
      <w:r>
        <w:rPr>
          <w:spacing w:val="-2"/>
        </w:rPr>
        <w:t>业务范围一致时，将</w:t>
      </w:r>
      <w:r>
        <w:rPr>
          <w:rFonts w:ascii="宋体" w:hAnsi="宋体" w:cs="宋体" w:eastAsia="宋体" w:hint="default"/>
          <w:spacing w:val="-2"/>
        </w:rPr>
        <w:t>Spigot</w:t>
      </w:r>
      <w:r>
        <w:rPr>
          <w:spacing w:val="-2"/>
        </w:rPr>
        <w:t>的业绩承诺主体涵盖范</w:t>
      </w:r>
      <w:r>
        <w:rPr>
          <w:spacing w:val="-33"/>
        </w:rPr>
        <w:t> </w:t>
      </w:r>
      <w:r>
        <w:rPr/>
        <w:t>围扩大至</w:t>
      </w:r>
      <w:r>
        <w:rPr>
          <w:rFonts w:ascii="宋体" w:hAnsi="宋体" w:cs="宋体" w:eastAsia="宋体" w:hint="default"/>
        </w:rPr>
        <w:t>Spigot</w:t>
      </w:r>
      <w:r>
        <w:rPr/>
        <w:t>、</w:t>
      </w:r>
      <w:r>
        <w:rPr>
          <w:rFonts w:ascii="宋体" w:hAnsi="宋体" w:cs="宋体" w:eastAsia="宋体" w:hint="default"/>
        </w:rPr>
        <w:t>Polarity</w:t>
      </w:r>
      <w:r>
        <w:rPr/>
        <w:t>和</w:t>
      </w:r>
      <w:r>
        <w:rPr>
          <w:rFonts w:ascii="宋体" w:hAnsi="宋体" w:cs="宋体" w:eastAsia="宋体" w:hint="default"/>
        </w:rPr>
        <w:t>Eightpoint</w:t>
      </w:r>
      <w:r>
        <w:rPr/>
        <w:t>三家公司模拟的集团（以下简称“</w:t>
      </w:r>
      <w:r>
        <w:rPr>
          <w:rFonts w:ascii="宋体" w:hAnsi="宋体" w:cs="宋体" w:eastAsia="宋体" w:hint="default"/>
        </w:rPr>
        <w:t>SPE</w:t>
      </w:r>
      <w:r>
        <w:rPr/>
        <w:t>公司”）。</w:t>
      </w:r>
    </w:p>
    <w:p>
      <w:pPr>
        <w:pStyle w:val="BodyText"/>
        <w:spacing w:line="319" w:lineRule="auto" w:before="56"/>
        <w:ind w:left="153" w:right="1130" w:firstLine="360"/>
        <w:jc w:val="both"/>
      </w:pPr>
      <w:r>
        <w:rPr>
          <w:rFonts w:ascii="宋体" w:hAnsi="宋体" w:cs="宋体" w:eastAsia="宋体" w:hint="default"/>
        </w:rPr>
        <w:t>SPE</w:t>
      </w:r>
      <w:r>
        <w:rPr/>
        <w:t>公司</w:t>
      </w:r>
      <w:r>
        <w:rPr>
          <w:rFonts w:ascii="宋体" w:hAnsi="宋体" w:cs="宋体" w:eastAsia="宋体" w:hint="default"/>
        </w:rPr>
        <w:t>2017</w:t>
      </w:r>
      <w:r>
        <w:rPr/>
        <w:t>年度净利润为</w:t>
      </w:r>
      <w:r>
        <w:rPr>
          <w:rFonts w:ascii="宋体" w:hAnsi="宋体" w:cs="宋体" w:eastAsia="宋体" w:hint="default"/>
        </w:rPr>
        <w:t>4,229.01</w:t>
      </w:r>
      <w:r>
        <w:rPr/>
        <w:t>万美元，扣除非经常性损益后的净利润为</w:t>
      </w:r>
      <w:r>
        <w:rPr>
          <w:rFonts w:ascii="宋体" w:hAnsi="宋体" w:cs="宋体" w:eastAsia="宋体" w:hint="default"/>
        </w:rPr>
        <w:t>4,075.87</w:t>
      </w:r>
      <w:r>
        <w:rPr/>
        <w:t>万美元，超过业绩承诺</w:t>
      </w:r>
      <w:r>
        <w:rPr>
          <w:rFonts w:ascii="宋体" w:hAnsi="宋体" w:cs="宋体" w:eastAsia="宋体" w:hint="default"/>
        </w:rPr>
        <w:t>666.87</w:t>
      </w:r>
      <w:r>
        <w:rPr/>
        <w:t>万 美元。</w:t>
      </w:r>
    </w:p>
    <w:p>
      <w:pPr>
        <w:pStyle w:val="BodyText"/>
        <w:spacing w:line="240" w:lineRule="auto" w:before="55"/>
        <w:ind w:left="513" w:right="0"/>
        <w:jc w:val="left"/>
      </w:pPr>
      <w:r>
        <w:rPr>
          <w:spacing w:val="-4"/>
        </w:rPr>
        <w:t>注：公司股东、交易对手方对公司或相关资产在报告年度经营业绩做出承诺的，公司董事会应关注业绩承诺的实现情况。</w:t>
      </w:r>
    </w:p>
    <w:p>
      <w:pPr>
        <w:spacing w:after="0" w:line="240" w:lineRule="auto"/>
        <w:jc w:val="left"/>
        <w:sectPr>
          <w:headerReference w:type="default" r:id="rId26"/>
          <w:footerReference w:type="default" r:id="rId27"/>
          <w:pgSz w:w="11910" w:h="16840"/>
          <w:pgMar w:header="877" w:footer="1187" w:top="1100" w:bottom="1380" w:left="980" w:right="0"/>
          <w:pgNumType w:start="48"/>
        </w:sectPr>
      </w:pPr>
    </w:p>
    <w:p>
      <w:pPr>
        <w:spacing w:line="240" w:lineRule="auto" w:before="12"/>
        <w:rPr>
          <w:rFonts w:ascii="宋体" w:hAnsi="宋体" w:cs="宋体" w:eastAsia="宋体" w:hint="default"/>
          <w:sz w:val="21"/>
          <w:szCs w:val="21"/>
        </w:rPr>
      </w:pPr>
    </w:p>
    <w:p>
      <w:pPr>
        <w:pStyle w:val="BodyText"/>
        <w:spacing w:line="319" w:lineRule="auto" w:before="44"/>
        <w:ind w:left="153" w:right="0"/>
        <w:jc w:val="left"/>
      </w:pPr>
      <w:r>
        <w:rPr>
          <w:spacing w:val="-2"/>
        </w:rPr>
        <w:t>公司或相关资产年度业绩未达到承诺的，董事会应对公司或相关资产的实际盈利数与承诺数据的差异情况进行单独审议，详</w:t>
      </w:r>
      <w:r>
        <w:rPr>
          <w:spacing w:val="-64"/>
        </w:rPr>
        <w:t> </w:t>
      </w:r>
      <w:r>
        <w:rPr>
          <w:spacing w:val="-64"/>
        </w:rPr>
      </w:r>
      <w:r>
        <w:rPr/>
        <w:t>细说明差异情况及上市公司已或拟采取的措施，督促公司相关股东、交易对手方履行承诺。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9"/>
        <w:ind w:left="153" w:right="0"/>
        <w:jc w:val="left"/>
        <w:rPr>
          <w:b w:val="0"/>
          <w:bCs w:val="0"/>
        </w:rPr>
      </w:pPr>
      <w:bookmarkStart w:name="四、控股股东及其关联方对上市公司的非经营性占用资金情况" w:id="70"/>
      <w:bookmarkEnd w:id="70"/>
      <w:r>
        <w:rPr>
          <w:b w:val="0"/>
          <w:bCs w:val="0"/>
        </w:rPr>
      </w: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4992"/>
        <w:jc w:val="left"/>
      </w:pPr>
      <w:r>
        <w:rPr/>
        <w:t>□ 适用 √ 不适用 公司报告期不存在控股股东及其关联方对上市公司的非经营性占用资金。</w:t>
      </w:r>
    </w:p>
    <w:p>
      <w:pPr>
        <w:spacing w:line="240" w:lineRule="auto" w:before="1"/>
        <w:rPr>
          <w:rFonts w:ascii="宋体" w:hAnsi="宋体" w:cs="宋体" w:eastAsia="宋体" w:hint="default"/>
          <w:sz w:val="18"/>
          <w:szCs w:val="18"/>
        </w:rPr>
      </w:pPr>
    </w:p>
    <w:p>
      <w:pPr>
        <w:pStyle w:val="Heading2"/>
        <w:spacing w:line="240" w:lineRule="auto"/>
        <w:ind w:left="153" w:right="1392"/>
        <w:jc w:val="left"/>
        <w:rPr>
          <w:b w:val="0"/>
          <w:bCs w:val="0"/>
        </w:rPr>
      </w:pPr>
      <w:bookmarkStart w:name="五、董事会、监事会、独立董事（如有）对会计师事务所本报告期“非标准审计报告”的说" w:id="71"/>
      <w:bookmarkEnd w:id="71"/>
      <w:r>
        <w:rPr>
          <w:b w:val="0"/>
          <w:bCs w:val="0"/>
        </w:rPr>
      </w:r>
      <w:r>
        <w:rPr>
          <w:w w:val="95"/>
        </w:rPr>
        <w:t>五、董事会、监事会、独立董事（如有）对会计师事务所本报告期“非标准审计报告”的说  </w:t>
      </w:r>
      <w:r>
        <w:rPr>
          <w:spacing w:val="111"/>
          <w:w w:val="95"/>
        </w:rPr>
        <w:t> </w:t>
      </w:r>
      <w:r>
        <w:rPr>
          <w:spacing w:val="111"/>
          <w:w w:val="95"/>
        </w:rPr>
      </w:r>
      <w:r>
        <w:rPr/>
        <w:t>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六、与上年度财务报告相比，会计政策、会计估计和核算方法发生变化的情况说明" w:id="72"/>
      <w:bookmarkEnd w:id="72"/>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0"/>
        <w:jc w:val="left"/>
      </w:pPr>
      <w:r>
        <w:rPr/>
        <w:t>√ 适用 □ 不适用</w:t>
      </w:r>
    </w:p>
    <w:p>
      <w:pPr>
        <w:pStyle w:val="BodyText"/>
        <w:spacing w:line="240" w:lineRule="auto" w:before="115"/>
        <w:ind w:right="0"/>
        <w:jc w:val="left"/>
      </w:pPr>
      <w:r>
        <w:rPr/>
        <w:t>（</w:t>
      </w:r>
      <w:r>
        <w:rPr>
          <w:rFonts w:ascii="宋体" w:hAnsi="宋体" w:cs="宋体" w:eastAsia="宋体" w:hint="default"/>
        </w:rPr>
        <w:t>1</w:t>
      </w:r>
      <w:r>
        <w:rPr/>
        <w:t>）重要会计政策变更</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537"/>
        <w:gridCol w:w="709"/>
        <w:gridCol w:w="1559"/>
        <w:gridCol w:w="1560"/>
        <w:gridCol w:w="1234"/>
      </w:tblGrid>
      <w:tr>
        <w:trPr>
          <w:trHeight w:val="654"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57" w:right="77" w:hanging="180"/>
              <w:jc w:val="left"/>
              <w:rPr>
                <w:rFonts w:ascii="宋体" w:hAnsi="宋体" w:cs="宋体" w:eastAsia="宋体" w:hint="default"/>
                <w:sz w:val="18"/>
                <w:szCs w:val="18"/>
              </w:rPr>
            </w:pPr>
            <w:r>
              <w:rPr>
                <w:rFonts w:ascii="宋体" w:hAnsi="宋体" w:cs="宋体" w:eastAsia="宋体" w:hint="default"/>
                <w:b/>
                <w:bCs/>
                <w:sz w:val="18"/>
                <w:szCs w:val="18"/>
              </w:rPr>
              <w:t>审批程</w:t>
            </w:r>
            <w:r>
              <w:rPr>
                <w:rFonts w:ascii="宋体" w:hAnsi="宋体" w:cs="宋体" w:eastAsia="宋体" w:hint="default"/>
                <w:b/>
                <w:bCs/>
                <w:spacing w:val="1"/>
                <w:w w:val="99"/>
                <w:sz w:val="18"/>
                <w:szCs w:val="18"/>
              </w:rPr>
              <w:t> </w:t>
            </w:r>
            <w:r>
              <w:rPr>
                <w:rFonts w:ascii="宋体" w:hAnsi="宋体" w:cs="宋体" w:eastAsia="宋体" w:hint="default"/>
                <w:b/>
                <w:bCs/>
                <w:sz w:val="18"/>
                <w:szCs w:val="18"/>
              </w:rPr>
              <w:t>序</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820"/>
              <w:jc w:val="left"/>
              <w:rPr>
                <w:rFonts w:ascii="宋体" w:hAnsi="宋体" w:cs="宋体" w:eastAsia="宋体" w:hint="default"/>
                <w:sz w:val="18"/>
                <w:szCs w:val="18"/>
              </w:rPr>
            </w:pPr>
            <w:r>
              <w:rPr>
                <w:rFonts w:ascii="宋体" w:hAnsi="宋体" w:cs="宋体" w:eastAsia="宋体" w:hint="default"/>
                <w:b/>
                <w:bCs/>
                <w:sz w:val="18"/>
                <w:szCs w:val="18"/>
              </w:rPr>
              <w:t>受影响的</w:t>
            </w:r>
            <w:r>
              <w:rPr>
                <w:rFonts w:ascii="宋体" w:hAnsi="宋体" w:cs="宋体" w:eastAsia="宋体" w:hint="default"/>
                <w:b/>
                <w:bCs/>
                <w:w w:val="99"/>
                <w:sz w:val="18"/>
                <w:szCs w:val="18"/>
              </w:rPr>
              <w:t> </w:t>
            </w:r>
            <w:r>
              <w:rPr>
                <w:rFonts w:ascii="宋体" w:hAnsi="宋体" w:cs="宋体" w:eastAsia="宋体" w:hint="default"/>
                <w:b/>
                <w:bCs/>
                <w:sz w:val="18"/>
                <w:szCs w:val="18"/>
              </w:rPr>
              <w:t>报表项目</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hAnsi="宋体" w:cs="宋体" w:eastAsia="宋体" w:hint="default"/>
                <w:b/>
                <w:bCs/>
                <w:w w:val="95"/>
                <w:sz w:val="18"/>
                <w:szCs w:val="18"/>
              </w:rPr>
              <w:t>当期影响</w:t>
            </w:r>
            <w:r>
              <w:rPr>
                <w:rFonts w:ascii="宋体" w:hAnsi="宋体" w:cs="宋体" w:eastAsia="宋体" w:hint="default"/>
                <w:sz w:val="18"/>
                <w:szCs w:val="18"/>
              </w:rPr>
            </w:r>
          </w:p>
          <w:p>
            <w:pPr>
              <w:pStyle w:val="TableParagraph"/>
              <w:spacing w:line="240" w:lineRule="auto" w:before="76"/>
              <w:ind w:right="2"/>
              <w:jc w:val="righ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hAnsi="宋体" w:cs="宋体" w:eastAsia="宋体" w:hint="default"/>
                <w:b/>
                <w:bCs/>
                <w:w w:val="95"/>
                <w:sz w:val="18"/>
                <w:szCs w:val="18"/>
              </w:rPr>
              <w:t>上期影响</w:t>
            </w:r>
            <w:r>
              <w:rPr>
                <w:rFonts w:ascii="宋体" w:hAnsi="宋体" w:cs="宋体" w:eastAsia="宋体" w:hint="default"/>
                <w:sz w:val="18"/>
                <w:szCs w:val="18"/>
              </w:rPr>
            </w:r>
          </w:p>
          <w:p>
            <w:pPr>
              <w:pStyle w:val="TableParagraph"/>
              <w:spacing w:line="240" w:lineRule="auto" w:before="76"/>
              <w:ind w:right="1"/>
              <w:jc w:val="righ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2838"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4"/>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z w:val="18"/>
                <w:szCs w:val="18"/>
              </w:rPr>
              <w:t>42</w:t>
            </w:r>
            <w:r>
              <w:rPr>
                <w:rFonts w:ascii="宋体" w:hAnsi="宋体" w:cs="宋体" w:eastAsia="宋体" w:hint="default"/>
                <w:sz w:val="18"/>
                <w:szCs w:val="18"/>
              </w:rPr>
              <w:t>号——持有待售的非流动资产、处置 </w:t>
            </w:r>
            <w:r>
              <w:rPr>
                <w:rFonts w:ascii="宋体" w:hAnsi="宋体" w:cs="宋体" w:eastAsia="宋体" w:hint="default"/>
                <w:spacing w:val="-3"/>
                <w:sz w:val="18"/>
                <w:szCs w:val="18"/>
              </w:rPr>
              <w:t>组和终止经营》对于</w:t>
            </w:r>
            <w:r>
              <w:rPr>
                <w:rFonts w:ascii="宋体" w:hAnsi="宋体" w:cs="宋体" w:eastAsia="宋体" w:hint="default"/>
                <w:spacing w:val="-3"/>
                <w:sz w:val="18"/>
                <w:szCs w:val="18"/>
              </w:rPr>
              <w:t>2017</w:t>
            </w:r>
            <w:r>
              <w:rPr>
                <w:rFonts w:ascii="宋体" w:hAnsi="宋体" w:cs="宋体" w:eastAsia="宋体" w:hint="default"/>
                <w:spacing w:val="-3"/>
                <w:sz w:val="18"/>
                <w:szCs w:val="18"/>
              </w:rPr>
              <w:t>年</w:t>
            </w:r>
            <w:r>
              <w:rPr>
                <w:rFonts w:ascii="宋体" w:hAnsi="宋体" w:cs="宋体" w:eastAsia="宋体" w:hint="default"/>
                <w:spacing w:val="-3"/>
                <w:sz w:val="18"/>
                <w:szCs w:val="18"/>
              </w:rPr>
              <w:t>5</w:t>
            </w:r>
            <w:r>
              <w:rPr>
                <w:rFonts w:ascii="宋体" w:hAnsi="宋体" w:cs="宋体" w:eastAsia="宋体" w:hint="default"/>
                <w:spacing w:val="-3"/>
                <w:sz w:val="18"/>
                <w:szCs w:val="18"/>
              </w:rPr>
              <w:t>月</w:t>
            </w:r>
            <w:r>
              <w:rPr>
                <w:rFonts w:ascii="宋体" w:hAnsi="宋体" w:cs="宋体" w:eastAsia="宋体" w:hint="default"/>
                <w:spacing w:val="-3"/>
                <w:sz w:val="18"/>
                <w:szCs w:val="18"/>
              </w:rPr>
              <w:t>28</w:t>
            </w:r>
            <w:r>
              <w:rPr>
                <w:rFonts w:ascii="宋体" w:hAnsi="宋体" w:cs="宋体" w:eastAsia="宋体" w:hint="default"/>
                <w:spacing w:val="-3"/>
                <w:sz w:val="18"/>
                <w:szCs w:val="18"/>
              </w:rPr>
              <w:t>日之后持有待售的非流动</w:t>
            </w:r>
            <w:r>
              <w:rPr>
                <w:rFonts w:ascii="宋体" w:hAnsi="宋体" w:cs="宋体" w:eastAsia="宋体" w:hint="default"/>
                <w:spacing w:val="-78"/>
                <w:sz w:val="18"/>
                <w:szCs w:val="18"/>
              </w:rPr>
              <w:t> </w:t>
            </w:r>
            <w:r>
              <w:rPr>
                <w:rFonts w:ascii="宋体" w:hAnsi="宋体" w:cs="宋体" w:eastAsia="宋体" w:hint="default"/>
                <w:sz w:val="18"/>
                <w:szCs w:val="18"/>
              </w:rPr>
              <w:t>资产或处置组的分类、计量和列报，以及终止经营的列报 等进行了规定，并采用未来适用法进行处理； 修改了财务报表的列报，在合并利润表和个别利润表中分 别列示持续经营损益和终止经营损益等。 对比较报表的列报进行了相应调整：对于当期列报的终止 经营，原来作为持续经营损益列报的信息重新在比较报表 中作为终止经营损益列报。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4" w:right="152"/>
              <w:jc w:val="both"/>
              <w:rPr>
                <w:rFonts w:ascii="宋体" w:hAnsi="宋体" w:cs="宋体" w:eastAsia="宋体" w:hint="default"/>
                <w:sz w:val="18"/>
                <w:szCs w:val="18"/>
              </w:rPr>
            </w:pPr>
            <w:r>
              <w:rPr>
                <w:rFonts w:ascii="宋体" w:hAnsi="宋体" w:cs="宋体" w:eastAsia="宋体" w:hint="default"/>
                <w:sz w:val="18"/>
                <w:szCs w:val="18"/>
              </w:rPr>
              <w:t>第七届 董事会 第三十 五次会 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364" w:right="5" w:hanging="36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89"/>
                <w:sz w:val="18"/>
                <w:szCs w:val="18"/>
              </w:rPr>
              <w:t> </w:t>
            </w:r>
            <w:r>
              <w:rPr>
                <w:rFonts w:ascii="宋体" w:hAnsi="宋体" w:cs="宋体" w:eastAsia="宋体" w:hint="default"/>
                <w:spacing w:val="16"/>
                <w:sz w:val="18"/>
                <w:szCs w:val="18"/>
              </w:rPr>
              <w:t>持续经营净利</w:t>
            </w:r>
            <w:r>
              <w:rPr>
                <w:rFonts w:ascii="宋体" w:hAnsi="宋体" w:cs="宋体" w:eastAsia="宋体" w:hint="default"/>
                <w:sz w:val="18"/>
                <w:szCs w:val="18"/>
              </w:rPr>
              <w:t> 润</w:t>
            </w:r>
          </w:p>
          <w:p>
            <w:pPr>
              <w:pStyle w:val="TableParagraph"/>
              <w:spacing w:line="316" w:lineRule="auto" w:before="19"/>
              <w:ind w:left="364" w:right="5" w:hanging="36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89"/>
                <w:sz w:val="18"/>
                <w:szCs w:val="18"/>
              </w:rPr>
              <w:t> </w:t>
            </w:r>
            <w:r>
              <w:rPr>
                <w:rFonts w:ascii="宋体" w:hAnsi="宋体" w:cs="宋体" w:eastAsia="宋体" w:hint="default"/>
                <w:spacing w:val="16"/>
                <w:sz w:val="18"/>
                <w:szCs w:val="18"/>
              </w:rPr>
              <w:t>终止经营净利</w:t>
            </w:r>
            <w:r>
              <w:rPr>
                <w:rFonts w:ascii="宋体" w:hAnsi="宋体" w:cs="宋体" w:eastAsia="宋体" w:hint="default"/>
                <w:sz w:val="18"/>
                <w:szCs w:val="18"/>
              </w:rPr>
              <w:t> 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p>
            <w:pPr>
              <w:pStyle w:val="TableParagraph"/>
              <w:spacing w:line="240" w:lineRule="auto" w:before="76"/>
              <w:ind w:right="5"/>
              <w:jc w:val="right"/>
              <w:rPr>
                <w:rFonts w:ascii="宋体" w:hAnsi="宋体" w:cs="宋体" w:eastAsia="宋体" w:hint="default"/>
                <w:sz w:val="18"/>
                <w:szCs w:val="18"/>
              </w:rPr>
            </w:pPr>
            <w:r>
              <w:rPr>
                <w:rFonts w:ascii="宋体"/>
                <w:sz w:val="18"/>
              </w:rPr>
              <w:t>--</w:t>
            </w: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2838"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5"/>
              <w:jc w:val="left"/>
              <w:rPr>
                <w:rFonts w:ascii="宋体" w:hAnsi="宋体" w:cs="宋体" w:eastAsia="宋体" w:hint="default"/>
                <w:sz w:val="18"/>
                <w:szCs w:val="18"/>
              </w:rPr>
            </w:pPr>
            <w:r>
              <w:rPr>
                <w:rFonts w:ascii="宋体" w:hAnsi="宋体" w:cs="宋体" w:eastAsia="宋体" w:hint="default"/>
                <w:sz w:val="18"/>
                <w:szCs w:val="18"/>
              </w:rPr>
              <w:t>根据《企业会计准则第</w:t>
            </w:r>
            <w:r>
              <w:rPr>
                <w:rFonts w:ascii="宋体" w:hAnsi="宋体" w:cs="宋体" w:eastAsia="宋体" w:hint="default"/>
                <w:sz w:val="18"/>
                <w:szCs w:val="18"/>
              </w:rPr>
              <w:t>16</w:t>
            </w:r>
            <w:r>
              <w:rPr>
                <w:rFonts w:ascii="宋体" w:hAnsi="宋体" w:cs="宋体" w:eastAsia="宋体" w:hint="default"/>
                <w:sz w:val="18"/>
                <w:szCs w:val="18"/>
              </w:rPr>
              <w:t>号——政府补助》（</w:t>
            </w:r>
            <w:r>
              <w:rPr>
                <w:rFonts w:ascii="宋体" w:hAnsi="宋体" w:cs="宋体" w:eastAsia="宋体" w:hint="default"/>
                <w:sz w:val="18"/>
                <w:szCs w:val="18"/>
              </w:rPr>
              <w:t>2017</w:t>
            </w:r>
            <w:r>
              <w:rPr>
                <w:rFonts w:ascii="宋体" w:hAnsi="宋体" w:cs="宋体" w:eastAsia="宋体" w:hint="default"/>
                <w:sz w:val="18"/>
                <w:szCs w:val="18"/>
              </w:rPr>
              <w:t>），政 府补助的会计处理方法从总额法改为允许采用净额法，将 与资产相关的政府补助相关递延收益的摊销方式从在相关 </w:t>
            </w:r>
            <w:r>
              <w:rPr>
                <w:rFonts w:ascii="宋体" w:hAnsi="宋体" w:cs="宋体" w:eastAsia="宋体" w:hint="default"/>
                <w:spacing w:val="-6"/>
                <w:sz w:val="18"/>
                <w:szCs w:val="18"/>
              </w:rPr>
              <w:t>资产使用寿命内平均分配改为按照合理、系统的方法分配，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并修改了政府补助的列报项目。</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日尚未摊销完 毕的政府补助和</w:t>
            </w:r>
            <w:r>
              <w:rPr>
                <w:rFonts w:ascii="宋体" w:hAnsi="宋体" w:cs="宋体" w:eastAsia="宋体" w:hint="default"/>
                <w:sz w:val="18"/>
                <w:szCs w:val="18"/>
              </w:rPr>
              <w:t>2017</w:t>
            </w:r>
            <w:r>
              <w:rPr>
                <w:rFonts w:ascii="宋体" w:hAnsi="宋体" w:cs="宋体" w:eastAsia="宋体" w:hint="default"/>
                <w:sz w:val="18"/>
                <w:szCs w:val="18"/>
              </w:rPr>
              <w:t>年取得的政府补助适用修订后的准 则。 对新的披露要求不需提供比较信息，不对比较报表中其他 收益的列报进行相应调整。</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52"/>
              <w:jc w:val="both"/>
              <w:rPr>
                <w:rFonts w:ascii="宋体" w:hAnsi="宋体" w:cs="宋体" w:eastAsia="宋体" w:hint="default"/>
                <w:sz w:val="18"/>
                <w:szCs w:val="18"/>
              </w:rPr>
            </w:pPr>
            <w:r>
              <w:rPr>
                <w:rFonts w:ascii="宋体" w:hAnsi="宋体" w:cs="宋体" w:eastAsia="宋体" w:hint="default"/>
                <w:sz w:val="18"/>
                <w:szCs w:val="18"/>
              </w:rPr>
              <w:t>第七届 董事会 第三十 五次会 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其他收益</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4.  </w:t>
            </w:r>
            <w:r>
              <w:rPr>
                <w:rFonts w:ascii="宋体" w:hAnsi="宋体" w:cs="宋体" w:eastAsia="宋体" w:hint="default"/>
                <w:sz w:val="18"/>
                <w:szCs w:val="18"/>
              </w:rPr>
              <w:t>营业外收入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74" w:right="0"/>
              <w:jc w:val="left"/>
              <w:rPr>
                <w:rFonts w:ascii="宋体" w:hAnsi="宋体" w:cs="宋体" w:eastAsia="宋体" w:hint="default"/>
                <w:sz w:val="18"/>
                <w:szCs w:val="18"/>
              </w:rPr>
            </w:pPr>
            <w:r>
              <w:rPr>
                <w:rFonts w:ascii="宋体"/>
                <w:sz w:val="18"/>
              </w:rPr>
              <w:t>11,274,920.46</w:t>
            </w:r>
          </w:p>
          <w:p>
            <w:pPr>
              <w:pStyle w:val="TableParagraph"/>
              <w:spacing w:line="240" w:lineRule="auto" w:before="76"/>
              <w:ind w:left="284" w:right="0"/>
              <w:jc w:val="left"/>
              <w:rPr>
                <w:rFonts w:ascii="宋体" w:hAnsi="宋体" w:cs="宋体" w:eastAsia="宋体" w:hint="default"/>
                <w:sz w:val="18"/>
                <w:szCs w:val="18"/>
              </w:rPr>
            </w:pPr>
            <w:r>
              <w:rPr>
                <w:rFonts w:ascii="宋体"/>
                <w:sz w:val="18"/>
              </w:rPr>
              <w:t>-11,274,920.46</w:t>
            </w: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1904"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9"/>
              <w:jc w:val="both"/>
              <w:rPr>
                <w:rFonts w:ascii="宋体" w:hAnsi="宋体" w:cs="宋体" w:eastAsia="宋体" w:hint="default"/>
                <w:sz w:val="18"/>
                <w:szCs w:val="18"/>
              </w:rPr>
            </w:pPr>
            <w:r>
              <w:rPr>
                <w:rFonts w:ascii="宋体" w:hAnsi="宋体" w:cs="宋体" w:eastAsia="宋体" w:hint="default"/>
                <w:sz w:val="18"/>
                <w:szCs w:val="18"/>
              </w:rPr>
              <w:t>根据《关于修订印发一般企业财务报表格式的通知》（财 会</w:t>
            </w:r>
            <w:r>
              <w:rPr>
                <w:rFonts w:ascii="宋体" w:hAnsi="宋体" w:cs="宋体" w:eastAsia="宋体" w:hint="default"/>
                <w:sz w:val="18"/>
                <w:szCs w:val="18"/>
              </w:rPr>
              <w:t>[2017]30</w:t>
            </w:r>
            <w:r>
              <w:rPr>
                <w:rFonts w:ascii="宋体" w:hAnsi="宋体" w:cs="宋体" w:eastAsia="宋体" w:hint="default"/>
                <w:sz w:val="18"/>
                <w:szCs w:val="18"/>
              </w:rPr>
              <w:t>号），在利润表中新增“资产处置收益”行项 目，反映企业出售划分为持有待售的非流动资产（金融工 具、长期股权投资和投资性房地产除外）或处置组时确认 的处置利得或损失，处置未划分为持有待售的固定资产、 在建工程、生产性生物资产及无形资产而产生的处置利得</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4" w:right="152"/>
              <w:jc w:val="both"/>
              <w:rPr>
                <w:rFonts w:ascii="宋体" w:hAnsi="宋体" w:cs="宋体" w:eastAsia="宋体" w:hint="default"/>
                <w:sz w:val="18"/>
                <w:szCs w:val="18"/>
              </w:rPr>
            </w:pPr>
            <w:r>
              <w:rPr>
                <w:rFonts w:ascii="宋体" w:hAnsi="宋体" w:cs="宋体" w:eastAsia="宋体" w:hint="default"/>
                <w:sz w:val="18"/>
                <w:szCs w:val="18"/>
              </w:rPr>
              <w:t>第七届 董事会 第三十 五次会 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5.  </w:t>
            </w:r>
            <w:r>
              <w:rPr>
                <w:rFonts w:ascii="宋体" w:hAnsi="宋体" w:cs="宋体" w:eastAsia="宋体" w:hint="default"/>
                <w:sz w:val="18"/>
                <w:szCs w:val="18"/>
              </w:rPr>
              <w:t>资产处置收益</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6.  </w:t>
            </w:r>
            <w:r>
              <w:rPr>
                <w:rFonts w:ascii="宋体" w:hAnsi="宋体" w:cs="宋体" w:eastAsia="宋体" w:hint="default"/>
                <w:sz w:val="18"/>
                <w:szCs w:val="18"/>
              </w:rPr>
              <w:t>营业外收入</w:t>
            </w:r>
          </w:p>
          <w:p>
            <w:pPr>
              <w:pStyle w:val="TableParagraph"/>
              <w:spacing w:line="240" w:lineRule="auto" w:before="77"/>
              <w:ind w:left="4" w:right="0"/>
              <w:jc w:val="left"/>
              <w:rPr>
                <w:rFonts w:ascii="宋体" w:hAnsi="宋体" w:cs="宋体" w:eastAsia="宋体" w:hint="default"/>
                <w:sz w:val="18"/>
                <w:szCs w:val="18"/>
              </w:rPr>
            </w:pPr>
            <w:r>
              <w:rPr>
                <w:rFonts w:ascii="宋体" w:hAnsi="宋体" w:cs="宋体" w:eastAsia="宋体" w:hint="default"/>
                <w:sz w:val="18"/>
                <w:szCs w:val="18"/>
              </w:rPr>
              <w:t>7.  </w:t>
            </w:r>
            <w:r>
              <w:rPr>
                <w:rFonts w:ascii="宋体" w:hAnsi="宋体" w:cs="宋体" w:eastAsia="宋体" w:hint="default"/>
                <w:sz w:val="18"/>
                <w:szCs w:val="18"/>
              </w:rPr>
              <w:t>营业外支出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28" w:right="0"/>
              <w:jc w:val="center"/>
              <w:rPr>
                <w:rFonts w:ascii="宋体" w:hAnsi="宋体" w:cs="宋体" w:eastAsia="宋体" w:hint="default"/>
                <w:sz w:val="18"/>
                <w:szCs w:val="18"/>
              </w:rPr>
            </w:pPr>
            <w:r>
              <w:rPr>
                <w:rFonts w:ascii="宋体"/>
                <w:sz w:val="18"/>
              </w:rPr>
              <w:t>54,259.77</w:t>
            </w:r>
          </w:p>
          <w:p>
            <w:pPr>
              <w:pStyle w:val="TableParagraph"/>
              <w:spacing w:line="240" w:lineRule="auto" w:before="76"/>
              <w:ind w:left="548" w:right="0"/>
              <w:jc w:val="center"/>
              <w:rPr>
                <w:rFonts w:ascii="宋体" w:hAnsi="宋体" w:cs="宋体" w:eastAsia="宋体" w:hint="default"/>
                <w:sz w:val="18"/>
                <w:szCs w:val="18"/>
              </w:rPr>
            </w:pPr>
            <w:r>
              <w:rPr>
                <w:rFonts w:ascii="宋体"/>
                <w:sz w:val="18"/>
              </w:rPr>
              <w:t>-131,098.80</w:t>
            </w:r>
          </w:p>
          <w:p>
            <w:pPr>
              <w:pStyle w:val="TableParagraph"/>
              <w:spacing w:line="240" w:lineRule="auto" w:before="77"/>
              <w:ind w:left="644" w:right="0"/>
              <w:jc w:val="left"/>
              <w:rPr>
                <w:rFonts w:ascii="宋体" w:hAnsi="宋体" w:cs="宋体" w:eastAsia="宋体" w:hint="default"/>
                <w:sz w:val="18"/>
                <w:szCs w:val="18"/>
              </w:rPr>
            </w:pPr>
            <w:r>
              <w:rPr>
                <w:rFonts w:ascii="宋体"/>
                <w:sz w:val="18"/>
              </w:rPr>
              <w:t>-76,839.03</w:t>
            </w:r>
          </w:p>
        </w:tc>
        <w:tc>
          <w:tcPr>
            <w:tcW w:w="123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537"/>
        <w:gridCol w:w="709"/>
        <w:gridCol w:w="1559"/>
        <w:gridCol w:w="1560"/>
        <w:gridCol w:w="1234"/>
      </w:tblGrid>
      <w:tr>
        <w:trPr>
          <w:trHeight w:val="2838"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9"/>
              <w:jc w:val="left"/>
              <w:rPr>
                <w:rFonts w:ascii="宋体" w:hAnsi="宋体" w:cs="宋体" w:eastAsia="宋体" w:hint="default"/>
                <w:sz w:val="18"/>
                <w:szCs w:val="18"/>
              </w:rPr>
            </w:pPr>
            <w:r>
              <w:rPr>
                <w:rFonts w:ascii="宋体" w:hAnsi="宋体" w:cs="宋体" w:eastAsia="宋体" w:hint="default"/>
                <w:sz w:val="18"/>
                <w:szCs w:val="18"/>
              </w:rPr>
              <w:t>或损失，以及债务重组中因处置非流动资产产生的利得或 损失和非货币性资产交换产生的利得或损失。 相应的删除“营业外收入”和“营业外支出”项下的“其 中：非流动资产处置利得”和“其中：非流动资产处置损 失”项目，修正后的营业外收支反映企业发生的营业利润 以外的收益，主要包括债务重组利得或损失、与企业日常 活动无关的政府补助、公益性捐赠支出、非常损失、盘盈 利得或损失、捐赠利得、非流动资产毁损报废损失等。 对比较报表的列报进行了相应调整。</w:t>
            </w: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sz w:val="18"/>
              </w:rPr>
              <w:t>626,080.46</w:t>
            </w:r>
          </w:p>
          <w:p>
            <w:pPr>
              <w:pStyle w:val="TableParagraph"/>
              <w:spacing w:line="240" w:lineRule="auto" w:before="76"/>
              <w:ind w:left="229" w:right="0"/>
              <w:jc w:val="left"/>
              <w:rPr>
                <w:rFonts w:ascii="宋体" w:hAnsi="宋体" w:cs="宋体" w:eastAsia="宋体" w:hint="default"/>
                <w:sz w:val="18"/>
                <w:szCs w:val="18"/>
              </w:rPr>
            </w:pPr>
            <w:r>
              <w:rPr>
                <w:rFonts w:ascii="宋体"/>
                <w:sz w:val="18"/>
              </w:rPr>
              <w:t>-952,082.82</w:t>
            </w:r>
          </w:p>
          <w:p>
            <w:pPr>
              <w:pStyle w:val="TableParagraph"/>
              <w:spacing w:line="240" w:lineRule="auto" w:before="76"/>
              <w:ind w:left="229" w:right="0"/>
              <w:jc w:val="left"/>
              <w:rPr>
                <w:rFonts w:ascii="宋体" w:hAnsi="宋体" w:cs="宋体" w:eastAsia="宋体" w:hint="default"/>
                <w:sz w:val="18"/>
                <w:szCs w:val="18"/>
              </w:rPr>
            </w:pPr>
            <w:r>
              <w:rPr>
                <w:rFonts w:ascii="宋体"/>
                <w:sz w:val="18"/>
              </w:rPr>
              <w:t>-326,002.36</w:t>
            </w:r>
          </w:p>
        </w:tc>
      </w:tr>
    </w:tbl>
    <w:p>
      <w:pPr>
        <w:pStyle w:val="BodyText"/>
        <w:spacing w:line="316" w:lineRule="auto" w:before="10"/>
        <w:ind w:right="7872"/>
        <w:jc w:val="left"/>
      </w:pPr>
      <w:r>
        <w:rPr/>
        <w:t>（</w:t>
      </w:r>
      <w:r>
        <w:rPr>
          <w:rFonts w:ascii="宋体" w:hAnsi="宋体" w:cs="宋体" w:eastAsia="宋体" w:hint="default"/>
        </w:rPr>
        <w:t>2</w:t>
      </w:r>
      <w:r>
        <w:rPr/>
        <w:t>）重要会计估计变更 本公司本年度无重要会计估计变更。</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七、报告期内发生重大会计差错更正需追溯重述的情况说明" w:id="73"/>
      <w:bookmarkEnd w:id="73"/>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6612"/>
        <w:jc w:val="left"/>
      </w:pPr>
      <w:r>
        <w:rPr/>
        <w:t>□ 适用 √ 不适用 公司报告期无重大会计差错更正需追溯重述的情况。</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八、与上年度财务报告相比，合并报表范围发生变化的情况说明" w:id="74"/>
      <w:bookmarkEnd w:id="74"/>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872"/>
        <w:jc w:val="left"/>
      </w:pPr>
      <w:r>
        <w:rPr/>
        <w:pict>
          <v:shape style="position:absolute;margin-left:56.459999pt;margin-top:32.591721pt;width:457pt;height:317.95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4"/>
                    <w:gridCol w:w="992"/>
                    <w:gridCol w:w="1946"/>
                    <w:gridCol w:w="743"/>
                    <w:gridCol w:w="857"/>
                    <w:gridCol w:w="1892"/>
                  </w:tblGrid>
                  <w:tr>
                    <w:trPr>
                      <w:trHeight w:val="342" w:hRule="exact"/>
                    </w:trPr>
                    <w:tc>
                      <w:tcPr>
                        <w:tcW w:w="2694" w:type="dxa"/>
                        <w:vMerge w:val="restart"/>
                        <w:tcBorders>
                          <w:top w:val="single" w:sz="4" w:space="0" w:color="000000"/>
                          <w:left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本期新设子公司名称</w:t>
                        </w:r>
                        <w:r>
                          <w:rPr>
                            <w:rFonts w:ascii="宋体" w:hAnsi="宋体" w:cs="宋体" w:eastAsia="宋体" w:hint="default"/>
                            <w:sz w:val="18"/>
                            <w:szCs w:val="18"/>
                          </w:rPr>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946" w:type="dxa"/>
                        <w:vMerge w:val="restart"/>
                        <w:tcBorders>
                          <w:top w:val="single" w:sz="4" w:space="0" w:color="000000"/>
                          <w:left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成立时间</w:t>
                        </w:r>
                        <w:r>
                          <w:rPr>
                            <w:rFonts w:ascii="宋体" w:hAnsi="宋体" w:cs="宋体" w:eastAsia="宋体" w:hint="default"/>
                            <w:sz w:val="18"/>
                            <w:szCs w:val="18"/>
                          </w:rPr>
                        </w:r>
                      </w:p>
                    </w:tc>
                    <w:tc>
                      <w:tcPr>
                        <w:tcW w:w="16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90"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b/>
                            <w:bCs/>
                            <w:sz w:val="18"/>
                            <w:szCs w:val="18"/>
                          </w:rPr>
                          <w:t>(%)</w:t>
                        </w:r>
                        <w:r>
                          <w:rPr>
                            <w:rFonts w:ascii="宋体" w:hAnsi="宋体" w:cs="宋体" w:eastAsia="宋体" w:hint="default"/>
                            <w:sz w:val="18"/>
                            <w:szCs w:val="18"/>
                          </w:rPr>
                        </w:r>
                      </w:p>
                    </w:tc>
                    <w:tc>
                      <w:tcPr>
                        <w:tcW w:w="1892" w:type="dxa"/>
                        <w:vMerge w:val="restart"/>
                        <w:tcBorders>
                          <w:top w:val="single" w:sz="4" w:space="0" w:color="000000"/>
                          <w:left w:val="single" w:sz="4" w:space="0" w:color="000000"/>
                          <w:right w:val="single" w:sz="4" w:space="0" w:color="000000"/>
                        </w:tcBorders>
                      </w:tcPr>
                      <w:p>
                        <w:pPr>
                          <w:pStyle w:val="TableParagraph"/>
                          <w:spacing w:line="240" w:lineRule="auto" w:before="21"/>
                          <w:ind w:left="1154"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r>
                  <w:tr>
                    <w:trPr>
                      <w:trHeight w:val="342" w:hRule="exact"/>
                    </w:trPr>
                    <w:tc>
                      <w:tcPr>
                        <w:tcW w:w="269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946" w:type="dxa"/>
                        <w:vMerge/>
                        <w:tcBorders>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1892" w:type="dxa"/>
                        <w:vMerge/>
                        <w:tcBorders>
                          <w:left w:val="single" w:sz="4" w:space="0" w:color="000000"/>
                          <w:bottom w:val="single" w:sz="4" w:space="0" w:color="000000"/>
                          <w:right w:val="single" w:sz="4" w:space="0" w:color="000000"/>
                        </w:tcBorders>
                      </w:tcPr>
                      <w:p>
                        <w:pPr/>
                      </w:p>
                    </w:tc>
                  </w:tr>
                  <w:tr>
                    <w:trPr>
                      <w:trHeight w:val="34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西藏智媒公司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z w:val="18"/>
                            <w:szCs w:val="18"/>
                          </w:rPr>
                          <w:t>3,000.00</w:t>
                        </w:r>
                        <w:r>
                          <w:rPr>
                            <w:rFonts w:ascii="宋体" w:hAnsi="宋体" w:cs="宋体" w:eastAsia="宋体" w:hint="default"/>
                            <w:sz w:val="18"/>
                            <w:szCs w:val="18"/>
                          </w:rPr>
                          <w:t>万</w:t>
                        </w:r>
                      </w:p>
                    </w:tc>
                  </w:tr>
                  <w:tr>
                    <w:trPr>
                      <w:trHeight w:val="34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上海宴杰网络科技有限公司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100.00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z w:val="18"/>
                            <w:szCs w:val="18"/>
                          </w:rPr>
                          <w:t>1,000.00</w:t>
                        </w:r>
                        <w:r>
                          <w:rPr>
                            <w:rFonts w:ascii="宋体" w:hAnsi="宋体" w:cs="宋体" w:eastAsia="宋体" w:hint="default"/>
                            <w:sz w:val="18"/>
                            <w:szCs w:val="18"/>
                          </w:rPr>
                          <w:t>万</w:t>
                        </w:r>
                      </w:p>
                    </w:tc>
                  </w:tr>
                  <w:tr>
                    <w:trPr>
                      <w:trHeight w:val="65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6"/>
                          <w:jc w:val="left"/>
                          <w:rPr>
                            <w:rFonts w:ascii="宋体" w:hAnsi="宋体" w:cs="宋体" w:eastAsia="宋体" w:hint="default"/>
                            <w:sz w:val="18"/>
                            <w:szCs w:val="18"/>
                          </w:rPr>
                        </w:pPr>
                        <w:r>
                          <w:rPr>
                            <w:rFonts w:ascii="宋体" w:hAnsi="宋体" w:cs="宋体" w:eastAsia="宋体" w:hint="default"/>
                            <w:spacing w:val="10"/>
                            <w:sz w:val="18"/>
                            <w:szCs w:val="18"/>
                          </w:rPr>
                          <w:t>拉萨经济技术开发区猎鹰网络科</w:t>
                        </w:r>
                        <w:r>
                          <w:rPr>
                            <w:rFonts w:ascii="宋体" w:hAnsi="宋体" w:cs="宋体" w:eastAsia="宋体" w:hint="default"/>
                            <w:sz w:val="18"/>
                            <w:szCs w:val="18"/>
                          </w:rPr>
                          <w:t> 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12</w:t>
                        </w:r>
                        <w:r>
                          <w:rPr>
                            <w:rFonts w:ascii="宋体" w:hAnsi="宋体" w:cs="宋体" w:eastAsia="宋体" w:hint="default"/>
                            <w:sz w:val="18"/>
                            <w:szCs w:val="18"/>
                          </w:rPr>
                          <w:t>日</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100.00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z w:val="18"/>
                            <w:szCs w:val="18"/>
                          </w:rPr>
                          <w:t>1,000.00</w:t>
                        </w:r>
                        <w:r>
                          <w:rPr>
                            <w:rFonts w:ascii="宋体" w:hAnsi="宋体" w:cs="宋体" w:eastAsia="宋体" w:hint="default"/>
                            <w:sz w:val="18"/>
                            <w:szCs w:val="18"/>
                          </w:rPr>
                          <w:t>万</w:t>
                        </w:r>
                      </w:p>
                    </w:tc>
                  </w:tr>
                  <w:tr>
                    <w:trPr>
                      <w:trHeight w:val="34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深圳智度信息技术有限公司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z w:val="18"/>
                            <w:szCs w:val="18"/>
                          </w:rPr>
                          <w:t>1,000.00</w:t>
                        </w:r>
                        <w:r>
                          <w:rPr>
                            <w:rFonts w:ascii="宋体" w:hAnsi="宋体" w:cs="宋体" w:eastAsia="宋体" w:hint="default"/>
                            <w:sz w:val="18"/>
                            <w:szCs w:val="18"/>
                          </w:rPr>
                          <w:t>万</w:t>
                        </w:r>
                      </w:p>
                    </w:tc>
                  </w:tr>
                  <w:tr>
                    <w:trPr>
                      <w:trHeight w:val="34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智度小贷公司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z w:val="18"/>
                            <w:szCs w:val="18"/>
                          </w:rPr>
                          <w:t>50,000.00</w:t>
                        </w:r>
                        <w:r>
                          <w:rPr>
                            <w:rFonts w:ascii="宋体" w:hAnsi="宋体" w:cs="宋体" w:eastAsia="宋体" w:hint="default"/>
                            <w:sz w:val="18"/>
                            <w:szCs w:val="18"/>
                          </w:rPr>
                          <w:t>万</w:t>
                        </w:r>
                      </w:p>
                    </w:tc>
                  </w:tr>
                  <w:tr>
                    <w:trPr>
                      <w:trHeight w:val="34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广州市智度商业保理有限公司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60.00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z w:val="18"/>
                            <w:szCs w:val="18"/>
                          </w:rPr>
                          <w:t>5,000.00</w:t>
                        </w:r>
                        <w:r>
                          <w:rPr>
                            <w:rFonts w:ascii="宋体" w:hAnsi="宋体" w:cs="宋体" w:eastAsia="宋体" w:hint="default"/>
                            <w:sz w:val="18"/>
                            <w:szCs w:val="18"/>
                          </w:rPr>
                          <w:t>万</w:t>
                        </w:r>
                      </w:p>
                    </w:tc>
                  </w:tr>
                  <w:tr>
                    <w:trPr>
                      <w:trHeight w:val="34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上海智度网络科技有限公司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z w:val="18"/>
                            <w:szCs w:val="18"/>
                          </w:rPr>
                          <w:t>1,000.00</w:t>
                        </w:r>
                        <w:r>
                          <w:rPr>
                            <w:rFonts w:ascii="宋体" w:hAnsi="宋体" w:cs="宋体" w:eastAsia="宋体" w:hint="default"/>
                            <w:sz w:val="18"/>
                            <w:szCs w:val="18"/>
                          </w:rPr>
                          <w:t>万</w:t>
                        </w:r>
                      </w:p>
                    </w:tc>
                  </w:tr>
                  <w:tr>
                    <w:trPr>
                      <w:trHeight w:val="34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霍尔果斯白猫科技有限公司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霍尔果斯</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6</w:t>
                        </w:r>
                        <w:r>
                          <w:rPr>
                            <w:rFonts w:ascii="宋体" w:hAnsi="宋体" w:cs="宋体" w:eastAsia="宋体" w:hint="default"/>
                            <w:sz w:val="18"/>
                            <w:szCs w:val="18"/>
                          </w:rPr>
                          <w:t>日</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z w:val="18"/>
                            <w:szCs w:val="18"/>
                          </w:rPr>
                          <w:t>1,000.00</w:t>
                        </w:r>
                        <w:r>
                          <w:rPr>
                            <w:rFonts w:ascii="宋体" w:hAnsi="宋体" w:cs="宋体" w:eastAsia="宋体" w:hint="default"/>
                            <w:sz w:val="18"/>
                            <w:szCs w:val="18"/>
                          </w:rPr>
                          <w:t>万</w:t>
                        </w:r>
                      </w:p>
                    </w:tc>
                  </w:tr>
                  <w:tr>
                    <w:trPr>
                      <w:trHeight w:val="65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6"/>
                          <w:jc w:val="left"/>
                          <w:rPr>
                            <w:rFonts w:ascii="宋体" w:hAnsi="宋体" w:cs="宋体" w:eastAsia="宋体" w:hint="default"/>
                            <w:sz w:val="18"/>
                            <w:szCs w:val="18"/>
                          </w:rPr>
                        </w:pPr>
                        <w:r>
                          <w:rPr>
                            <w:rFonts w:ascii="宋体" w:hAnsi="宋体" w:cs="宋体" w:eastAsia="宋体" w:hint="default"/>
                            <w:spacing w:val="10"/>
                            <w:sz w:val="18"/>
                            <w:szCs w:val="18"/>
                          </w:rPr>
                          <w:t>厦门智得天下金融信息服务有限</w:t>
                        </w:r>
                        <w:r>
                          <w:rPr>
                            <w:rFonts w:ascii="宋体" w:hAnsi="宋体" w:cs="宋体" w:eastAsia="宋体" w:hint="default"/>
                            <w:sz w:val="18"/>
                            <w:szCs w:val="18"/>
                          </w:rPr>
                          <w:t> 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5</w:t>
                        </w:r>
                        <w:r>
                          <w:rPr>
                            <w:rFonts w:ascii="宋体" w:hAnsi="宋体" w:cs="宋体" w:eastAsia="宋体" w:hint="default"/>
                            <w:sz w:val="18"/>
                            <w:szCs w:val="18"/>
                          </w:rPr>
                          <w:t>日</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z w:val="18"/>
                            <w:szCs w:val="18"/>
                          </w:rPr>
                          <w:t>1,000.00</w:t>
                        </w:r>
                        <w:r>
                          <w:rPr>
                            <w:rFonts w:ascii="宋体" w:hAnsi="宋体" w:cs="宋体" w:eastAsia="宋体" w:hint="default"/>
                            <w:sz w:val="18"/>
                            <w:szCs w:val="18"/>
                          </w:rPr>
                          <w:t>万</w:t>
                        </w:r>
                      </w:p>
                    </w:tc>
                  </w:tr>
                  <w:tr>
                    <w:trPr>
                      <w:trHeight w:val="65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Better Cloud Solutions Ltd.</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77"/>
                          <w:jc w:val="left"/>
                          <w:rPr>
                            <w:rFonts w:ascii="宋体" w:hAnsi="宋体" w:cs="宋体" w:eastAsia="宋体" w:hint="default"/>
                            <w:sz w:val="18"/>
                            <w:szCs w:val="18"/>
                          </w:rPr>
                        </w:pPr>
                        <w:r>
                          <w:rPr>
                            <w:rFonts w:ascii="宋体" w:hAnsi="宋体" w:cs="宋体" w:eastAsia="宋体" w:hint="default"/>
                            <w:sz w:val="18"/>
                            <w:szCs w:val="18"/>
                          </w:rPr>
                          <w:t>塞浦路斯共 和国</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欧元  </w:t>
                        </w:r>
                        <w:r>
                          <w:rPr>
                            <w:rFonts w:ascii="宋体" w:hAnsi="宋体" w:cs="宋体" w:eastAsia="宋体" w:hint="default"/>
                            <w:sz w:val="18"/>
                            <w:szCs w:val="18"/>
                          </w:rPr>
                          <w:t>1.00</w:t>
                        </w:r>
                      </w:p>
                    </w:tc>
                  </w:tr>
                  <w:tr>
                    <w:trPr>
                      <w:trHeight w:val="65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4"/>
                          <w:jc w:val="left"/>
                          <w:rPr>
                            <w:rFonts w:ascii="宋体" w:hAnsi="宋体" w:cs="宋体" w:eastAsia="宋体" w:hint="default"/>
                            <w:sz w:val="18"/>
                            <w:szCs w:val="18"/>
                          </w:rPr>
                        </w:pPr>
                        <w:r>
                          <w:rPr>
                            <w:rFonts w:ascii="宋体"/>
                            <w:sz w:val="18"/>
                          </w:rPr>
                          <w:t>Polarity Internet</w:t>
                        </w:r>
                        <w:r>
                          <w:rPr>
                            <w:rFonts w:ascii="宋体"/>
                            <w:spacing w:val="-28"/>
                            <w:sz w:val="18"/>
                          </w:rPr>
                          <w:t> </w:t>
                        </w:r>
                        <w:r>
                          <w:rPr>
                            <w:rFonts w:ascii="宋体"/>
                            <w:sz w:val="18"/>
                          </w:rPr>
                          <w:t>Technologies</w:t>
                        </w:r>
                        <w:r>
                          <w:rPr>
                            <w:rFonts w:ascii="宋体"/>
                            <w:sz w:val="18"/>
                          </w:rPr>
                          <w:t> SRL</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罗马尼亚</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罗马尼亚列伊</w:t>
                        </w:r>
                        <w:r>
                          <w:rPr>
                            <w:rFonts w:ascii="宋体" w:hAnsi="宋体" w:cs="宋体" w:eastAsia="宋体" w:hint="default"/>
                            <w:sz w:val="18"/>
                            <w:szCs w:val="18"/>
                          </w:rPr>
                          <w:t>200.00</w:t>
                        </w:r>
                      </w:p>
                    </w:tc>
                  </w:tr>
                  <w:tr>
                    <w:trPr>
                      <w:trHeight w:val="65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Springtech,Ltd.</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4" w:right="77"/>
                          <w:jc w:val="left"/>
                          <w:rPr>
                            <w:rFonts w:ascii="宋体" w:hAnsi="宋体" w:cs="宋体" w:eastAsia="宋体" w:hint="default"/>
                            <w:sz w:val="18"/>
                            <w:szCs w:val="18"/>
                          </w:rPr>
                        </w:pPr>
                        <w:r>
                          <w:rPr>
                            <w:rFonts w:ascii="宋体" w:hAnsi="宋体" w:cs="宋体" w:eastAsia="宋体" w:hint="default"/>
                            <w:sz w:val="18"/>
                            <w:szCs w:val="18"/>
                          </w:rPr>
                          <w:t>塞浦路斯共 和国</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欧元  </w:t>
                        </w:r>
                        <w:r>
                          <w:rPr>
                            <w:rFonts w:ascii="宋体" w:hAnsi="宋体" w:cs="宋体" w:eastAsia="宋体" w:hint="default"/>
                            <w:sz w:val="18"/>
                            <w:szCs w:val="18"/>
                          </w:rPr>
                          <w:t>1.00</w:t>
                        </w:r>
                      </w:p>
                    </w:tc>
                  </w:tr>
                </w:tbl>
                <w:p>
                  <w:pPr/>
                </w:p>
              </w:txbxContent>
            </v:textbox>
            <w10:wrap type="none"/>
          </v:shape>
        </w:pict>
      </w:r>
      <w:r>
        <w:rPr/>
        <w:t>√ 适用 □ 不适用 新设子公司导致的合并范围变动情况</w:t>
      </w:r>
    </w:p>
    <w:p>
      <w:pPr>
        <w:spacing w:after="0" w:line="357" w:lineRule="auto"/>
        <w:jc w:val="left"/>
        <w:sectPr>
          <w:pgSz w:w="11910" w:h="16840"/>
          <w:pgMar w:header="877" w:footer="1187" w:top="1100" w:bottom="1380" w:left="980" w:right="0"/>
        </w:sectPr>
      </w:pPr>
    </w:p>
    <w:p>
      <w:pPr>
        <w:spacing w:line="240" w:lineRule="auto" w:before="9"/>
        <w:rPr>
          <w:rFonts w:ascii="宋体" w:hAnsi="宋体" w:cs="宋体" w:eastAsia="宋体" w:hint="default"/>
          <w:sz w:val="19"/>
          <w:szCs w:val="19"/>
        </w:rPr>
      </w:pPr>
    </w:p>
    <w:p>
      <w:pPr>
        <w:pStyle w:val="Heading2"/>
        <w:spacing w:line="240" w:lineRule="auto" w:before="26"/>
        <w:ind w:left="153" w:right="0"/>
        <w:jc w:val="left"/>
        <w:rPr>
          <w:b w:val="0"/>
          <w:bCs w:val="0"/>
        </w:rPr>
      </w:pPr>
      <w:bookmarkStart w:name="九、聘任、解聘会计师事务所情况" w:id="75"/>
      <w:bookmarkEnd w:id="75"/>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325</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sz w:val="18"/>
              </w:rPr>
              <w:t>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3" w:right="0"/>
              <w:jc w:val="left"/>
              <w:rPr>
                <w:rFonts w:ascii="宋体" w:hAnsi="宋体" w:cs="宋体" w:eastAsia="宋体" w:hint="default"/>
                <w:sz w:val="18"/>
                <w:szCs w:val="18"/>
              </w:rPr>
            </w:pPr>
            <w:r>
              <w:rPr>
                <w:rFonts w:ascii="宋体" w:hAnsi="宋体" w:cs="宋体" w:eastAsia="宋体" w:hint="default"/>
                <w:sz w:val="18"/>
                <w:szCs w:val="18"/>
              </w:rPr>
              <w:t>倪军 董阳阳</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sz w:val="18"/>
              </w:rPr>
              <w:t>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0"/>
        <w:jc w:val="left"/>
      </w:pPr>
      <w:r>
        <w:rPr/>
        <w:t>当期是否改聘会计师事务所</w:t>
      </w:r>
    </w:p>
    <w:p>
      <w:pPr>
        <w:pStyle w:val="BodyText"/>
        <w:spacing w:line="340" w:lineRule="auto" w:before="116"/>
        <w:ind w:left="153" w:right="80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是否在审计期间改聘会计师事务所</w:t>
      </w:r>
    </w:p>
    <w:p>
      <w:pPr>
        <w:pStyle w:val="BodyText"/>
        <w:spacing w:line="338" w:lineRule="auto" w:before="40"/>
        <w:ind w:left="153" w:right="78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更换会计师事务所是否履行审批程序</w:t>
      </w:r>
    </w:p>
    <w:p>
      <w:pPr>
        <w:pStyle w:val="BodyText"/>
        <w:spacing w:line="338" w:lineRule="auto" w:before="43"/>
        <w:ind w:left="153"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对改聘、变更会计师事务所情况的详细说明</w:t>
      </w:r>
    </w:p>
    <w:p>
      <w:pPr>
        <w:pStyle w:val="BodyText"/>
        <w:spacing w:line="300" w:lineRule="auto" w:before="41"/>
        <w:ind w:left="153" w:right="1131" w:firstLine="360"/>
        <w:jc w:val="both"/>
      </w:pPr>
      <w:r>
        <w:rPr>
          <w:spacing w:val="-2"/>
        </w:rPr>
        <w:t>公司第七届董事会第三十九次会议和</w:t>
      </w:r>
      <w:r>
        <w:rPr>
          <w:rFonts w:ascii="Times New Roman" w:hAnsi="Times New Roman" w:cs="Times New Roman" w:eastAsia="Times New Roman" w:hint="default"/>
          <w:spacing w:val="-2"/>
        </w:rPr>
        <w:t>2018</w:t>
      </w:r>
      <w:r>
        <w:rPr>
          <w:spacing w:val="-2"/>
        </w:rPr>
        <w:t>年第二次临时股东大会审议通过了《关于聘请</w:t>
      </w:r>
      <w:r>
        <w:rPr>
          <w:rFonts w:ascii="Times New Roman" w:hAnsi="Times New Roman" w:cs="Times New Roman" w:eastAsia="Times New Roman" w:hint="default"/>
          <w:spacing w:val="-2"/>
        </w:rPr>
        <w:t>2017</w:t>
      </w:r>
      <w:r>
        <w:rPr>
          <w:spacing w:val="-2"/>
        </w:rPr>
        <w:t>年度审计机构的议案》，同</w:t>
      </w:r>
      <w:r>
        <w:rPr/>
        <w:t> </w:t>
      </w:r>
      <w:r>
        <w:rPr>
          <w:spacing w:val="-2"/>
        </w:rPr>
        <w:t>意聘请致同会计师事务所（特殊普通合伙）为公司</w:t>
      </w:r>
      <w:r>
        <w:rPr>
          <w:rFonts w:ascii="Times New Roman" w:hAnsi="Times New Roman" w:cs="Times New Roman" w:eastAsia="Times New Roman" w:hint="default"/>
          <w:spacing w:val="-2"/>
        </w:rPr>
        <w:t>2017</w:t>
      </w:r>
      <w:r>
        <w:rPr>
          <w:spacing w:val="-2"/>
        </w:rPr>
        <w:t>年度财务审计机构和内部控制审计机构，聘期一年，财务审计费用为</w:t>
      </w:r>
      <w:r>
        <w:rPr>
          <w:spacing w:val="-62"/>
        </w:rPr>
        <w:t> </w:t>
      </w:r>
      <w:r>
        <w:rPr>
          <w:spacing w:val="-62"/>
        </w:rPr>
      </w:r>
      <w:r>
        <w:rPr/>
        <w:t>人民币</w:t>
      </w:r>
      <w:r>
        <w:rPr>
          <w:rFonts w:ascii="Times New Roman" w:hAnsi="Times New Roman" w:cs="Times New Roman" w:eastAsia="Times New Roman" w:hint="default"/>
        </w:rPr>
        <w:t>285</w:t>
      </w:r>
      <w:r>
        <w:rPr/>
        <w:t>万元（含税），内部控制审计费用为人民币</w:t>
      </w:r>
      <w:r>
        <w:rPr>
          <w:rFonts w:ascii="Times New Roman" w:hAnsi="Times New Roman" w:cs="Times New Roman" w:eastAsia="Times New Roman" w:hint="default"/>
        </w:rPr>
        <w:t>40</w:t>
      </w:r>
      <w:r>
        <w:rPr/>
        <w:t>万元（含税）。</w:t>
      </w:r>
    </w:p>
    <w:p>
      <w:pPr>
        <w:pStyle w:val="BodyText"/>
        <w:spacing w:line="240" w:lineRule="auto" w:before="53"/>
        <w:ind w:left="153" w:right="0"/>
        <w:jc w:val="left"/>
      </w:pPr>
      <w:r>
        <w:rPr/>
        <w:t>聘请内部控制审计会计师事务所、财务顾问或保荐人情况</w:t>
      </w:r>
    </w:p>
    <w:p>
      <w:pPr>
        <w:pStyle w:val="BodyText"/>
        <w:spacing w:line="338" w:lineRule="auto" w:before="117"/>
        <w:ind w:left="51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公司第七届董事会第三十九次会议和</w:t>
      </w:r>
      <w:r>
        <w:rPr>
          <w:rFonts w:ascii="宋体" w:hAnsi="宋体" w:cs="宋体" w:eastAsia="宋体" w:hint="default"/>
          <w:spacing w:val="-2"/>
        </w:rPr>
        <w:t>2018</w:t>
      </w:r>
      <w:r>
        <w:rPr>
          <w:spacing w:val="-2"/>
        </w:rPr>
        <w:t>年第二次临时股东大会审议通过了《关于聘请</w:t>
      </w:r>
      <w:r>
        <w:rPr>
          <w:rFonts w:ascii="宋体" w:hAnsi="宋体" w:cs="宋体" w:eastAsia="宋体" w:hint="default"/>
          <w:spacing w:val="-2"/>
        </w:rPr>
        <w:t>2017</w:t>
      </w:r>
      <w:r>
        <w:rPr>
          <w:spacing w:val="-2"/>
        </w:rPr>
        <w:t>年度审计机构的议案》，同</w:t>
      </w:r>
    </w:p>
    <w:p>
      <w:pPr>
        <w:pStyle w:val="BodyText"/>
        <w:spacing w:line="316" w:lineRule="auto" w:before="2"/>
        <w:ind w:left="153" w:right="0"/>
        <w:jc w:val="left"/>
      </w:pPr>
      <w:r>
        <w:rPr>
          <w:spacing w:val="-2"/>
        </w:rPr>
        <w:t>意聘请致同会计师事务所（特殊普通合伙）为公司</w:t>
      </w:r>
      <w:r>
        <w:rPr>
          <w:rFonts w:ascii="宋体" w:hAnsi="宋体" w:cs="宋体" w:eastAsia="宋体" w:hint="default"/>
          <w:spacing w:val="-2"/>
        </w:rPr>
        <w:t>2017</w:t>
      </w:r>
      <w:r>
        <w:rPr>
          <w:spacing w:val="-2"/>
        </w:rPr>
        <w:t>年度财务审计机构和内部控制审计机构，聘期一年，财务审计费用为</w:t>
      </w:r>
      <w:r>
        <w:rPr>
          <w:spacing w:val="-62"/>
        </w:rPr>
        <w:t> </w:t>
      </w:r>
      <w:r>
        <w:rPr>
          <w:spacing w:val="-62"/>
        </w:rPr>
      </w:r>
      <w:r>
        <w:rPr/>
        <w:t>人民币</w:t>
      </w:r>
      <w:r>
        <w:rPr>
          <w:rFonts w:ascii="宋体" w:hAnsi="宋体" w:cs="宋体" w:eastAsia="宋体" w:hint="default"/>
        </w:rPr>
        <w:t>285</w:t>
      </w:r>
      <w:r>
        <w:rPr/>
        <w:t>万元（含税），内部控制审计费用为人民币</w:t>
      </w:r>
      <w:r>
        <w:rPr>
          <w:rFonts w:ascii="宋体" w:hAnsi="宋体" w:cs="宋体" w:eastAsia="宋体" w:hint="default"/>
        </w:rPr>
        <w:t>40</w:t>
      </w:r>
      <w:r>
        <w:rPr/>
        <w:t>万元（含税）。</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left="153" w:right="0"/>
        <w:jc w:val="left"/>
        <w:rPr>
          <w:b w:val="0"/>
          <w:bCs w:val="0"/>
        </w:rPr>
      </w:pPr>
      <w:bookmarkStart w:name="十、年度报告披露后面临暂停上市和终止上市情况" w:id="76"/>
      <w:bookmarkEnd w:id="76"/>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一、破产重整相关事项" w:id="77"/>
      <w:bookmarkEnd w:id="77"/>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 适用 √ 不适用 公司报告期未发生破产重整相关事项。</w:t>
      </w:r>
    </w:p>
    <w:p>
      <w:pPr>
        <w:spacing w:after="0" w:line="357" w:lineRule="auto"/>
        <w:jc w:val="left"/>
        <w:sectPr>
          <w:pgSz w:w="11910" w:h="16840"/>
          <w:pgMar w:header="877" w:footer="1187" w:top="1100" w:bottom="1380" w:left="980" w:right="0"/>
        </w:sectPr>
      </w:pPr>
    </w:p>
    <w:p>
      <w:pPr>
        <w:spacing w:line="240" w:lineRule="auto" w:before="8"/>
        <w:rPr>
          <w:rFonts w:ascii="宋体" w:hAnsi="宋体" w:cs="宋体" w:eastAsia="宋体" w:hint="default"/>
          <w:sz w:val="19"/>
          <w:szCs w:val="19"/>
        </w:rPr>
      </w:pPr>
      <w:r>
        <w:rPr/>
        <w:pict>
          <v:group style="position:absolute;margin-left:368.859985pt;margin-top:332.029968pt;width:33.8pt;height:36.3pt;mso-position-horizontal-relative:page;mso-position-vertical-relative:page;z-index:-1181704" coordorigin="7377,6641" coordsize="676,726">
            <v:group style="position:absolute;left:7389;top:6652;width:2;height:704" coordorigin="7389,6652" coordsize="2,704">
              <v:shape style="position:absolute;left:7389;top:6652;width:2;height:704" coordorigin="7389,6652" coordsize="0,704" path="m7389,6652l7389,7355e" filled="false" stroked="true" strokeweight="1.140pt" strokecolor="#ffffff">
                <v:path arrowok="t"/>
              </v:shape>
            </v:group>
            <v:group style="position:absolute;left:7400;top:6652;width:653;height:352" coordorigin="7400,6652" coordsize="653,352">
              <v:shape style="position:absolute;left:7400;top:6652;width:653;height:352" coordorigin="7400,6652" coordsize="653,352" path="m7400,7004l8053,7004,8053,6652,7400,6652,7400,7004xe" filled="true" fillcolor="#ffffff" stroked="false">
                <v:path arrowok="t"/>
                <v:fill type="solid"/>
              </v:shape>
            </v:group>
            <v:group style="position:absolute;left:7400;top:7004;width:653;height:352" coordorigin="7400,7004" coordsize="653,352">
              <v:shape style="position:absolute;left:7400;top:7004;width:653;height:352" coordorigin="7400,7004" coordsize="653,352" path="m7400,7355l8053,7355,8053,7004,7400,7004,7400,7355xe" filled="true" fillcolor="#ffffff" stroked="false">
                <v:path arrowok="t"/>
                <v:fill type="solid"/>
              </v:shape>
            </v:group>
            <w10:wrap type="none"/>
          </v:group>
        </w:pict>
      </w:r>
    </w:p>
    <w:p>
      <w:pPr>
        <w:pStyle w:val="Heading2"/>
        <w:spacing w:line="240" w:lineRule="auto" w:before="26"/>
        <w:ind w:left="153" w:right="0"/>
        <w:jc w:val="left"/>
        <w:rPr>
          <w:b w:val="0"/>
          <w:bCs w:val="0"/>
        </w:rPr>
      </w:pPr>
      <w:bookmarkStart w:name="十二、重大诉讼、仲裁事项" w:id="78"/>
      <w:bookmarkEnd w:id="78"/>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44"/>
        <w:gridCol w:w="852"/>
        <w:gridCol w:w="708"/>
        <w:gridCol w:w="1134"/>
        <w:gridCol w:w="708"/>
        <w:gridCol w:w="852"/>
        <w:gridCol w:w="566"/>
        <w:gridCol w:w="1064"/>
      </w:tblGrid>
      <w:tr>
        <w:trPr>
          <w:trHeight w:val="1338"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56"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z w:val="18"/>
                <w:szCs w:val="18"/>
              </w:rPr>
              <w:t>基本情况</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61"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6"/>
              <w:ind w:left="6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8" w:right="78"/>
              <w:jc w:val="both"/>
              <w:rPr>
                <w:rFonts w:ascii="宋体" w:hAnsi="宋体" w:cs="宋体" w:eastAsia="宋体" w:hint="default"/>
                <w:sz w:val="18"/>
                <w:szCs w:val="18"/>
              </w:rPr>
            </w:pPr>
            <w:r>
              <w:rPr>
                <w:rFonts w:ascii="宋体" w:hAnsi="宋体" w:cs="宋体" w:eastAsia="宋体" w:hint="default"/>
                <w:sz w:val="18"/>
                <w:szCs w:val="18"/>
              </w:rPr>
              <w:t>是否形 成预计 负债</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381" w:right="110" w:hanging="270"/>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 </w:t>
            </w:r>
            <w:r>
              <w:rPr>
                <w:rFonts w:ascii="宋体" w:hAnsi="宋体" w:cs="宋体" w:eastAsia="宋体" w:hint="default"/>
                <w:sz w:val="18"/>
                <w:szCs w:val="18"/>
              </w:rPr>
              <w:t>进展</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3" w:right="32"/>
              <w:jc w:val="center"/>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 裁</w:t>
            </w:r>
            <w:r>
              <w:rPr>
                <w:rFonts w:ascii="宋体" w:hAnsi="宋体" w:cs="宋体" w:eastAsia="宋体" w:hint="default"/>
                <w:sz w:val="18"/>
                <w:szCs w:val="18"/>
              </w:rPr>
              <w:t>)</w:t>
            </w:r>
            <w:r>
              <w:rPr>
                <w:rFonts w:ascii="宋体" w:hAnsi="宋体" w:cs="宋体" w:eastAsia="宋体" w:hint="default"/>
                <w:sz w:val="18"/>
                <w:szCs w:val="18"/>
              </w:rPr>
              <w:t>审理 结果及 影响</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 w:right="59" w:firstLine="45"/>
              <w:jc w:val="both"/>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 裁</w:t>
            </w:r>
            <w:r>
              <w:rPr>
                <w:rFonts w:ascii="宋体" w:hAnsi="宋体" w:cs="宋体" w:eastAsia="宋体" w:hint="default"/>
                <w:sz w:val="18"/>
                <w:szCs w:val="18"/>
              </w:rPr>
              <w:t>)</w:t>
            </w:r>
            <w:r>
              <w:rPr>
                <w:rFonts w:ascii="宋体" w:hAnsi="宋体" w:cs="宋体" w:eastAsia="宋体" w:hint="default"/>
                <w:sz w:val="18"/>
                <w:szCs w:val="18"/>
              </w:rPr>
              <w:t>判决 执行情况</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98" w:right="96"/>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pacing w:val="-6"/>
                <w:sz w:val="18"/>
                <w:szCs w:val="18"/>
              </w:rPr>
              <w:t>日，快乐屋公司（郑州）服饰</w:t>
            </w:r>
            <w:r>
              <w:rPr>
                <w:rFonts w:ascii="宋体" w:hAnsi="宋体" w:cs="宋体" w:eastAsia="宋体" w:hint="default"/>
                <w:sz w:val="18"/>
                <w:szCs w:val="18"/>
              </w:rPr>
              <w:t> 有限公司向郑州市仲裁委员会申请仲裁，郑 州市仲裁委员会于</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日作出</w:t>
            </w:r>
          </w:p>
          <w:p>
            <w:pPr>
              <w:pStyle w:val="TableParagraph"/>
              <w:spacing w:line="319" w:lineRule="auto" w:before="19"/>
              <w:ind w:left="22" w:right="2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z w:val="18"/>
                <w:szCs w:val="18"/>
              </w:rPr>
              <w:t>）郑仲裁字第</w:t>
            </w:r>
            <w:r>
              <w:rPr>
                <w:rFonts w:ascii="宋体" w:hAnsi="宋体" w:cs="宋体" w:eastAsia="宋体" w:hint="default"/>
                <w:spacing w:val="-46"/>
                <w:sz w:val="18"/>
                <w:szCs w:val="18"/>
              </w:rPr>
              <w:t> </w:t>
            </w:r>
            <w:r>
              <w:rPr>
                <w:rFonts w:ascii="宋体" w:hAnsi="宋体" w:cs="宋体" w:eastAsia="宋体" w:hint="default"/>
                <w:sz w:val="18"/>
                <w:szCs w:val="18"/>
              </w:rPr>
              <w:t>131</w:t>
            </w:r>
            <w:r>
              <w:rPr>
                <w:rFonts w:ascii="宋体" w:hAnsi="宋体" w:cs="宋体" w:eastAsia="宋体" w:hint="default"/>
                <w:spacing w:val="-46"/>
                <w:sz w:val="18"/>
                <w:szCs w:val="18"/>
              </w:rPr>
              <w:t> </w:t>
            </w:r>
            <w:r>
              <w:rPr>
                <w:rFonts w:ascii="宋体" w:hAnsi="宋体" w:cs="宋体" w:eastAsia="宋体" w:hint="default"/>
                <w:sz w:val="18"/>
                <w:szCs w:val="18"/>
              </w:rPr>
              <w:t>号仲裁裁决书，裁 决我公司协助快乐屋公司将郑国用</w:t>
            </w:r>
            <w:r>
              <w:rPr>
                <w:rFonts w:ascii="宋体" w:hAnsi="宋体" w:cs="宋体" w:eastAsia="宋体" w:hint="default"/>
                <w:sz w:val="18"/>
                <w:szCs w:val="18"/>
              </w:rPr>
              <w:t>[1996]</w:t>
            </w:r>
            <w:r>
              <w:rPr>
                <w:rFonts w:ascii="宋体" w:hAnsi="宋体" w:cs="宋体" w:eastAsia="宋体" w:hint="default"/>
                <w:sz w:val="18"/>
                <w:szCs w:val="18"/>
              </w:rPr>
              <w:t>字 第</w:t>
            </w:r>
            <w:r>
              <w:rPr>
                <w:rFonts w:ascii="宋体" w:hAnsi="宋体" w:cs="宋体" w:eastAsia="宋体" w:hint="default"/>
                <w:spacing w:val="-57"/>
                <w:sz w:val="18"/>
                <w:szCs w:val="18"/>
              </w:rPr>
              <w:t> </w:t>
            </w:r>
            <w:r>
              <w:rPr>
                <w:rFonts w:ascii="宋体" w:hAnsi="宋体" w:cs="宋体" w:eastAsia="宋体" w:hint="default"/>
                <w:sz w:val="18"/>
                <w:szCs w:val="18"/>
              </w:rPr>
              <w:t>1296</w:t>
            </w:r>
            <w:r>
              <w:rPr>
                <w:rFonts w:ascii="宋体" w:hAnsi="宋体" w:cs="宋体" w:eastAsia="宋体" w:hint="default"/>
                <w:spacing w:val="-56"/>
                <w:sz w:val="18"/>
                <w:szCs w:val="18"/>
              </w:rPr>
              <w:t> </w:t>
            </w:r>
            <w:r>
              <w:rPr>
                <w:rFonts w:ascii="宋体" w:hAnsi="宋体" w:cs="宋体" w:eastAsia="宋体" w:hint="default"/>
                <w:sz w:val="18"/>
                <w:szCs w:val="18"/>
              </w:rPr>
              <w:t>号国有土地使用权证下土地变更过户 登记至快乐屋公司名下。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已判决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33"/>
              <w:jc w:val="left"/>
              <w:rPr>
                <w:rFonts w:ascii="宋体" w:hAnsi="宋体" w:cs="宋体" w:eastAsia="宋体" w:hint="default"/>
                <w:sz w:val="18"/>
                <w:szCs w:val="18"/>
              </w:rPr>
            </w:pPr>
            <w:r>
              <w:rPr>
                <w:rFonts w:ascii="宋体" w:hAnsi="宋体" w:cs="宋体" w:eastAsia="宋体" w:hint="default"/>
                <w:sz w:val="18"/>
                <w:szCs w:val="18"/>
              </w:rPr>
              <w:t>报告期 内暂无</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96"/>
              <w:jc w:val="left"/>
              <w:rPr>
                <w:rFonts w:ascii="宋体" w:hAnsi="宋体" w:cs="宋体" w:eastAsia="宋体" w:hint="default"/>
                <w:sz w:val="18"/>
                <w:szCs w:val="18"/>
              </w:rPr>
            </w:pPr>
            <w:r>
              <w:rPr>
                <w:rFonts w:ascii="宋体" w:hAnsi="宋体" w:cs="宋体" w:eastAsia="宋体" w:hint="default"/>
                <w:sz w:val="18"/>
                <w:szCs w:val="18"/>
              </w:rPr>
              <w:t>配合执行 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sz w:val="18"/>
              </w:rPr>
              <w:t>2017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319" w:lineRule="auto" w:before="76"/>
              <w:ind w:left="22" w:right="12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5"/>
              <w:ind w:left="22" w:right="4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www.cninf </w:t>
            </w:r>
            <w:r>
              <w:rPr>
                <w:rFonts w:ascii="宋体" w:hAnsi="宋体" w:cs="宋体" w:eastAsia="宋体" w:hint="default"/>
                <w:spacing w:val="-15"/>
                <w:sz w:val="18"/>
                <w:szCs w:val="18"/>
              </w:rPr>
              <w:t>o.com.cn</w:t>
            </w:r>
            <w:r>
              <w:rPr>
                <w:rFonts w:ascii="宋体" w:hAnsi="宋体" w:cs="宋体" w:eastAsia="宋体" w:hint="default"/>
                <w:spacing w:val="-15"/>
                <w:sz w:val="18"/>
                <w:szCs w:val="18"/>
              </w:rPr>
              <w:t>）公</w:t>
            </w:r>
            <w:r>
              <w:rPr>
                <w:rFonts w:ascii="宋体" w:hAnsi="宋体" w:cs="宋体" w:eastAsia="宋体" w:hint="default"/>
                <w:spacing w:val="-84"/>
                <w:sz w:val="18"/>
                <w:szCs w:val="18"/>
              </w:rPr>
              <w:t> </w:t>
            </w:r>
            <w:r>
              <w:rPr>
                <w:rFonts w:ascii="宋体" w:hAnsi="宋体" w:cs="宋体" w:eastAsia="宋体" w:hint="default"/>
                <w:sz w:val="18"/>
                <w:szCs w:val="18"/>
              </w:rPr>
              <w:t>司披露的</w:t>
            </w:r>
          </w:p>
          <w:p>
            <w:pPr>
              <w:pStyle w:val="TableParagraph"/>
              <w:spacing w:line="319" w:lineRule="auto" w:before="19"/>
              <w:ind w:left="22" w:right="85"/>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年年 度报告 》</w:t>
            </w:r>
          </w:p>
        </w:tc>
      </w:tr>
      <w:tr>
        <w:trPr>
          <w:trHeight w:val="196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20"/>
              <w:jc w:val="left"/>
              <w:rPr>
                <w:rFonts w:ascii="宋体" w:hAnsi="宋体" w:cs="宋体" w:eastAsia="宋体" w:hint="default"/>
                <w:sz w:val="18"/>
                <w:szCs w:val="18"/>
              </w:rPr>
            </w:pPr>
            <w:r>
              <w:rPr>
                <w:rFonts w:ascii="宋体" w:hAnsi="宋体" w:cs="宋体" w:eastAsia="宋体" w:hint="default"/>
                <w:sz w:val="18"/>
                <w:szCs w:val="18"/>
              </w:rPr>
              <w:t>与中信国安盟固利电源技术有限公司的案件 </w:t>
            </w:r>
            <w:r>
              <w:rPr>
                <w:rFonts w:ascii="宋体" w:hAnsi="宋体" w:cs="宋体" w:eastAsia="宋体" w:hint="default"/>
                <w:spacing w:val="-10"/>
                <w:sz w:val="18"/>
                <w:szCs w:val="18"/>
              </w:rPr>
              <w:t>纠纷。</w:t>
            </w:r>
            <w:r>
              <w:rPr>
                <w:rFonts w:ascii="宋体" w:hAnsi="宋体" w:cs="宋体" w:eastAsia="宋体" w:hint="default"/>
                <w:spacing w:val="-10"/>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月思达高科收到深圳市福田 </w:t>
            </w:r>
            <w:r>
              <w:rPr>
                <w:rFonts w:ascii="宋体" w:hAnsi="宋体" w:cs="宋体" w:eastAsia="宋体" w:hint="default"/>
                <w:spacing w:val="-6"/>
                <w:sz w:val="18"/>
                <w:szCs w:val="18"/>
              </w:rPr>
              <w:t>区人民法院民事诉状、（</w:t>
            </w:r>
            <w:r>
              <w:rPr>
                <w:rFonts w:ascii="宋体" w:hAnsi="宋体" w:cs="宋体" w:eastAsia="宋体" w:hint="default"/>
                <w:spacing w:val="-6"/>
                <w:sz w:val="18"/>
                <w:szCs w:val="18"/>
              </w:rPr>
              <w:t>2014</w:t>
            </w:r>
            <w:r>
              <w:rPr>
                <w:rFonts w:ascii="宋体" w:hAnsi="宋体" w:cs="宋体" w:eastAsia="宋体" w:hint="default"/>
                <w:spacing w:val="-6"/>
                <w:sz w:val="18"/>
                <w:szCs w:val="18"/>
              </w:rPr>
              <w:t>）深福法民二初</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字第</w:t>
            </w:r>
            <w:r>
              <w:rPr>
                <w:rFonts w:ascii="宋体" w:hAnsi="宋体" w:cs="宋体" w:eastAsia="宋体" w:hint="default"/>
                <w:spacing w:val="-46"/>
                <w:sz w:val="18"/>
                <w:szCs w:val="18"/>
              </w:rPr>
              <w:t> </w:t>
            </w:r>
            <w:r>
              <w:rPr>
                <w:rFonts w:ascii="宋体" w:hAnsi="宋体" w:cs="宋体" w:eastAsia="宋体" w:hint="default"/>
                <w:sz w:val="18"/>
                <w:szCs w:val="18"/>
              </w:rPr>
              <w:t>7433</w:t>
            </w:r>
            <w:r>
              <w:rPr>
                <w:rFonts w:ascii="宋体" w:hAnsi="宋体" w:cs="宋体" w:eastAsia="宋体" w:hint="default"/>
                <w:spacing w:val="-46"/>
                <w:sz w:val="18"/>
                <w:szCs w:val="18"/>
              </w:rPr>
              <w:t> </w:t>
            </w:r>
            <w:r>
              <w:rPr>
                <w:rFonts w:ascii="宋体" w:hAnsi="宋体" w:cs="宋体" w:eastAsia="宋体" w:hint="default"/>
                <w:sz w:val="18"/>
                <w:szCs w:val="18"/>
              </w:rPr>
              <w:t>号传票等诉讼材料。</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z w:val="18"/>
              </w:rPr>
              <w:t>1,100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z w:val="18"/>
                <w:szCs w:val="18"/>
              </w:rPr>
              <w:t>一审已出判 决（智度胜 </w:t>
            </w:r>
            <w:r>
              <w:rPr>
                <w:rFonts w:ascii="宋体" w:hAnsi="宋体" w:cs="宋体" w:eastAsia="宋体" w:hint="default"/>
                <w:spacing w:val="-16"/>
                <w:sz w:val="18"/>
                <w:szCs w:val="18"/>
              </w:rPr>
              <w:t>诉），已上诉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二审开庭时 间尚未确定。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195" w:lineRule="exact"/>
              <w:ind w:left="22" w:right="0"/>
              <w:jc w:val="left"/>
              <w:rPr>
                <w:rFonts w:ascii="宋体" w:hAnsi="宋体" w:cs="宋体" w:eastAsia="宋体" w:hint="default"/>
                <w:sz w:val="18"/>
                <w:szCs w:val="18"/>
              </w:rPr>
            </w:pPr>
            <w:r>
              <w:rPr>
                <w:rFonts w:ascii="宋体" w:hAnsi="宋体" w:cs="宋体" w:eastAsia="宋体" w:hint="default"/>
                <w:sz w:val="18"/>
                <w:szCs w:val="18"/>
              </w:rPr>
              <w:t>报告期</w:t>
            </w:r>
          </w:p>
          <w:p>
            <w:pPr>
              <w:pStyle w:val="TableParagraph"/>
              <w:spacing w:line="15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内暂无</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报告期内 暂无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sz w:val="18"/>
              </w:rPr>
              <w:t>2017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319" w:lineRule="auto" w:before="76"/>
              <w:ind w:left="22" w:right="12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5"/>
              <w:ind w:left="22" w:right="4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www.cninf </w:t>
            </w:r>
            <w:r>
              <w:rPr>
                <w:rFonts w:ascii="宋体" w:hAnsi="宋体" w:cs="宋体" w:eastAsia="宋体" w:hint="default"/>
                <w:spacing w:val="-15"/>
                <w:sz w:val="18"/>
                <w:szCs w:val="18"/>
              </w:rPr>
              <w:t>o.com.cn</w:t>
            </w:r>
            <w:r>
              <w:rPr>
                <w:rFonts w:ascii="宋体" w:hAnsi="宋体" w:cs="宋体" w:eastAsia="宋体" w:hint="default"/>
                <w:spacing w:val="-15"/>
                <w:sz w:val="18"/>
                <w:szCs w:val="18"/>
              </w:rPr>
              <w:t>）公</w:t>
            </w:r>
            <w:r>
              <w:rPr>
                <w:rFonts w:ascii="宋体" w:hAnsi="宋体" w:cs="宋体" w:eastAsia="宋体" w:hint="default"/>
                <w:spacing w:val="-84"/>
                <w:sz w:val="18"/>
                <w:szCs w:val="18"/>
              </w:rPr>
              <w:t> </w:t>
            </w:r>
            <w:r>
              <w:rPr>
                <w:rFonts w:ascii="宋体" w:hAnsi="宋体" w:cs="宋体" w:eastAsia="宋体" w:hint="default"/>
                <w:sz w:val="18"/>
                <w:szCs w:val="18"/>
              </w:rPr>
              <w:t>司披露的</w:t>
            </w:r>
          </w:p>
          <w:p>
            <w:pPr>
              <w:pStyle w:val="TableParagraph"/>
              <w:spacing w:line="319" w:lineRule="auto" w:before="19"/>
              <w:ind w:left="22" w:right="85"/>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年年 度报告 》</w:t>
            </w:r>
          </w:p>
        </w:tc>
      </w:tr>
      <w:tr>
        <w:trPr>
          <w:trHeight w:val="196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河南天视达通信技术有限公司</w:t>
            </w:r>
            <w:r>
              <w:rPr>
                <w:rFonts w:ascii="宋体" w:hAnsi="宋体" w:cs="宋体" w:eastAsia="宋体" w:hint="default"/>
                <w:spacing w:val="-50"/>
                <w:sz w:val="18"/>
                <w:szCs w:val="18"/>
              </w:rPr>
              <w:t> </w:t>
            </w:r>
            <w:r>
              <w:rPr>
                <w:rFonts w:ascii="宋体" w:hAnsi="宋体" w:cs="宋体" w:eastAsia="宋体" w:hint="default"/>
                <w:sz w:val="18"/>
                <w:szCs w:val="18"/>
              </w:rPr>
              <w:t>2012</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w:t>
            </w:r>
            <w:r>
              <w:rPr>
                <w:rFonts w:ascii="宋体" w:hAnsi="宋体" w:cs="宋体" w:eastAsia="宋体" w:hint="default"/>
                <w:spacing w:val="-51"/>
                <w:sz w:val="18"/>
                <w:szCs w:val="18"/>
              </w:rPr>
              <w:t> </w:t>
            </w:r>
            <w:r>
              <w:rPr>
                <w:rFonts w:ascii="宋体" w:hAnsi="宋体" w:cs="宋体" w:eastAsia="宋体" w:hint="default"/>
                <w:sz w:val="18"/>
                <w:szCs w:val="18"/>
              </w:rPr>
              <w:t>月向 河南省郑州市中级人民法院提起诉讼，以思 达高科抽逃对河南天视达通信技术有限公司 的出资款</w:t>
            </w:r>
            <w:r>
              <w:rPr>
                <w:rFonts w:ascii="宋体" w:hAnsi="宋体" w:cs="宋体" w:eastAsia="宋体" w:hint="default"/>
                <w:spacing w:val="-46"/>
                <w:sz w:val="18"/>
                <w:szCs w:val="18"/>
              </w:rPr>
              <w:t> </w:t>
            </w:r>
            <w:r>
              <w:rPr>
                <w:rFonts w:ascii="宋体" w:hAnsi="宋体" w:cs="宋体" w:eastAsia="宋体" w:hint="default"/>
                <w:sz w:val="18"/>
                <w:szCs w:val="18"/>
              </w:rPr>
              <w:t>794</w:t>
            </w:r>
            <w:r>
              <w:rPr>
                <w:rFonts w:ascii="宋体" w:hAnsi="宋体" w:cs="宋体" w:eastAsia="宋体" w:hint="default"/>
                <w:spacing w:val="-45"/>
                <w:sz w:val="18"/>
                <w:szCs w:val="18"/>
              </w:rPr>
              <w:t> </w:t>
            </w:r>
            <w:r>
              <w:rPr>
                <w:rFonts w:ascii="宋体" w:hAnsi="宋体" w:cs="宋体" w:eastAsia="宋体" w:hint="default"/>
                <w:sz w:val="18"/>
                <w:szCs w:val="18"/>
              </w:rPr>
              <w:t>万元为由，要求思达高科返还</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出资额</w:t>
            </w:r>
            <w:r>
              <w:rPr>
                <w:rFonts w:ascii="宋体" w:hAnsi="宋体" w:cs="宋体" w:eastAsia="宋体" w:hint="default"/>
                <w:spacing w:val="-46"/>
                <w:sz w:val="18"/>
                <w:szCs w:val="18"/>
              </w:rPr>
              <w:t> </w:t>
            </w:r>
            <w:r>
              <w:rPr>
                <w:rFonts w:ascii="宋体" w:hAnsi="宋体" w:cs="宋体" w:eastAsia="宋体" w:hint="default"/>
                <w:sz w:val="18"/>
                <w:szCs w:val="18"/>
              </w:rPr>
              <w:t>794</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z w:val="18"/>
              </w:rPr>
              <w:t>794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2" w:right="199"/>
              <w:jc w:val="both"/>
              <w:rPr>
                <w:rFonts w:ascii="宋体" w:hAnsi="宋体" w:cs="宋体" w:eastAsia="宋体" w:hint="default"/>
                <w:sz w:val="18"/>
                <w:szCs w:val="18"/>
              </w:rPr>
            </w:pPr>
            <w:r>
              <w:rPr>
                <w:rFonts w:ascii="宋体" w:hAnsi="宋体" w:cs="宋体" w:eastAsia="宋体" w:hint="default"/>
                <w:sz w:val="18"/>
                <w:szCs w:val="18"/>
              </w:rPr>
              <w:t>二审已出判 决，智度胜 诉。</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33"/>
              <w:jc w:val="left"/>
              <w:rPr>
                <w:rFonts w:ascii="宋体" w:hAnsi="宋体" w:cs="宋体" w:eastAsia="宋体" w:hint="default"/>
                <w:sz w:val="18"/>
                <w:szCs w:val="18"/>
              </w:rPr>
            </w:pPr>
            <w:r>
              <w:rPr>
                <w:rFonts w:ascii="宋体" w:hAnsi="宋体" w:cs="宋体" w:eastAsia="宋体" w:hint="default"/>
                <w:sz w:val="18"/>
                <w:szCs w:val="18"/>
              </w:rPr>
              <w:t>报告期 内暂无</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报告期内 暂无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sz w:val="18"/>
              </w:rPr>
              <w:t>2017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319" w:lineRule="auto" w:before="76"/>
              <w:ind w:left="22" w:right="12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5"/>
              <w:ind w:left="22" w:right="4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www.cninf </w:t>
            </w:r>
            <w:r>
              <w:rPr>
                <w:rFonts w:ascii="宋体" w:hAnsi="宋体" w:cs="宋体" w:eastAsia="宋体" w:hint="default"/>
                <w:spacing w:val="-15"/>
                <w:sz w:val="18"/>
                <w:szCs w:val="18"/>
              </w:rPr>
              <w:t>o.com.cn</w:t>
            </w:r>
            <w:r>
              <w:rPr>
                <w:rFonts w:ascii="宋体" w:hAnsi="宋体" w:cs="宋体" w:eastAsia="宋体" w:hint="default"/>
                <w:spacing w:val="-15"/>
                <w:sz w:val="18"/>
                <w:szCs w:val="18"/>
              </w:rPr>
              <w:t>）公</w:t>
            </w:r>
            <w:r>
              <w:rPr>
                <w:rFonts w:ascii="宋体" w:hAnsi="宋体" w:cs="宋体" w:eastAsia="宋体" w:hint="default"/>
                <w:spacing w:val="-84"/>
                <w:sz w:val="18"/>
                <w:szCs w:val="18"/>
              </w:rPr>
              <w:t> </w:t>
            </w:r>
            <w:r>
              <w:rPr>
                <w:rFonts w:ascii="宋体" w:hAnsi="宋体" w:cs="宋体" w:eastAsia="宋体" w:hint="default"/>
                <w:sz w:val="18"/>
                <w:szCs w:val="18"/>
              </w:rPr>
              <w:t>司披露的</w:t>
            </w:r>
          </w:p>
          <w:p>
            <w:pPr>
              <w:pStyle w:val="TableParagraph"/>
              <w:spacing w:line="319" w:lineRule="auto" w:before="19"/>
              <w:ind w:left="22" w:right="85"/>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年年 度报告 》</w:t>
            </w:r>
          </w:p>
        </w:tc>
      </w:tr>
      <w:tr>
        <w:trPr>
          <w:trHeight w:val="196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89"/>
              <w:jc w:val="left"/>
              <w:rPr>
                <w:rFonts w:ascii="宋体" w:hAnsi="宋体" w:cs="宋体" w:eastAsia="宋体" w:hint="default"/>
                <w:sz w:val="18"/>
                <w:szCs w:val="18"/>
              </w:rPr>
            </w:pPr>
            <w:r>
              <w:rPr>
                <w:rFonts w:ascii="宋体" w:hAnsi="宋体" w:cs="宋体" w:eastAsia="宋体" w:hint="default"/>
                <w:sz w:val="18"/>
                <w:szCs w:val="18"/>
              </w:rPr>
              <w:t>腾讯科技（深圳）有限公司、深圳市腾讯计 算机系统有限公司起诉掌汇天下 《天天炫 舞》游戏商标权侵权纠纷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z w:val="18"/>
              </w:rPr>
              <w:t>50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已开庭，尚未 出判决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33"/>
              <w:jc w:val="left"/>
              <w:rPr>
                <w:rFonts w:ascii="宋体" w:hAnsi="宋体" w:cs="宋体" w:eastAsia="宋体" w:hint="default"/>
                <w:sz w:val="18"/>
                <w:szCs w:val="18"/>
              </w:rPr>
            </w:pPr>
            <w:r>
              <w:rPr>
                <w:rFonts w:ascii="宋体" w:hAnsi="宋体" w:cs="宋体" w:eastAsia="宋体" w:hint="default"/>
                <w:sz w:val="18"/>
                <w:szCs w:val="18"/>
              </w:rPr>
              <w:t>报告期 内暂无</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报告期内 暂无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sz w:val="18"/>
              </w:rPr>
              <w:t>2017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319" w:lineRule="auto" w:before="76"/>
              <w:ind w:left="22" w:right="12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5"/>
              <w:ind w:left="22" w:right="4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www.cninf </w:t>
            </w:r>
            <w:r>
              <w:rPr>
                <w:rFonts w:ascii="宋体" w:hAnsi="宋体" w:cs="宋体" w:eastAsia="宋体" w:hint="default"/>
                <w:spacing w:val="-15"/>
                <w:sz w:val="18"/>
                <w:szCs w:val="18"/>
              </w:rPr>
              <w:t>o.com.cn</w:t>
            </w:r>
            <w:r>
              <w:rPr>
                <w:rFonts w:ascii="宋体" w:hAnsi="宋体" w:cs="宋体" w:eastAsia="宋体" w:hint="default"/>
                <w:spacing w:val="-15"/>
                <w:sz w:val="18"/>
                <w:szCs w:val="18"/>
              </w:rPr>
              <w:t>）公</w:t>
            </w:r>
            <w:r>
              <w:rPr>
                <w:rFonts w:ascii="宋体" w:hAnsi="宋体" w:cs="宋体" w:eastAsia="宋体" w:hint="default"/>
                <w:spacing w:val="-84"/>
                <w:sz w:val="18"/>
                <w:szCs w:val="18"/>
              </w:rPr>
              <w:t> </w:t>
            </w:r>
            <w:r>
              <w:rPr>
                <w:rFonts w:ascii="宋体" w:hAnsi="宋体" w:cs="宋体" w:eastAsia="宋体" w:hint="default"/>
                <w:sz w:val="18"/>
                <w:szCs w:val="18"/>
              </w:rPr>
              <w:t>司披露的</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年半 年度报告 》</w:t>
            </w:r>
          </w:p>
        </w:tc>
      </w:tr>
      <w:tr>
        <w:trPr>
          <w:trHeight w:val="196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89"/>
              <w:jc w:val="both"/>
              <w:rPr>
                <w:rFonts w:ascii="宋体" w:hAnsi="宋体" w:cs="宋体" w:eastAsia="宋体" w:hint="default"/>
                <w:sz w:val="18"/>
                <w:szCs w:val="18"/>
              </w:rPr>
            </w:pPr>
            <w:r>
              <w:rPr>
                <w:rFonts w:ascii="宋体" w:hAnsi="宋体" w:cs="宋体" w:eastAsia="宋体" w:hint="default"/>
                <w:sz w:val="18"/>
                <w:szCs w:val="18"/>
              </w:rPr>
              <w:t>北京康智乐思网络科技有限公司公司起诉厦 门美柚科技有限公司侵犯</w:t>
            </w:r>
            <w:r>
              <w:rPr>
                <w:rFonts w:ascii="宋体" w:hAnsi="宋体" w:cs="宋体" w:eastAsia="宋体" w:hint="default"/>
                <w:sz w:val="18"/>
                <w:szCs w:val="18"/>
              </w:rPr>
              <w:t>"</w:t>
            </w:r>
            <w:r>
              <w:rPr>
                <w:rFonts w:ascii="宋体" w:hAnsi="宋体" w:cs="宋体" w:eastAsia="宋体" w:hint="default"/>
                <w:sz w:val="18"/>
                <w:szCs w:val="18"/>
              </w:rPr>
              <w:t>美柚</w:t>
            </w:r>
            <w:r>
              <w:rPr>
                <w:rFonts w:ascii="宋体" w:hAnsi="宋体" w:cs="宋体" w:eastAsia="宋体" w:hint="default"/>
                <w:sz w:val="18"/>
                <w:szCs w:val="18"/>
              </w:rPr>
              <w:t>"APP</w:t>
            </w:r>
            <w:r>
              <w:rPr>
                <w:rFonts w:ascii="宋体" w:hAnsi="宋体" w:cs="宋体" w:eastAsia="宋体" w:hint="default"/>
                <w:spacing w:val="-46"/>
                <w:sz w:val="18"/>
                <w:szCs w:val="18"/>
              </w:rPr>
              <w:t> </w:t>
            </w:r>
            <w:r>
              <w:rPr>
                <w:rFonts w:ascii="宋体" w:hAnsi="宋体" w:cs="宋体" w:eastAsia="宋体" w:hint="default"/>
                <w:sz w:val="18"/>
                <w:szCs w:val="18"/>
              </w:rPr>
              <w:t>著作权 侵权纠纷，掌汇天下为连带被告，掌汇天下 已实际删除了涉案</w:t>
            </w:r>
            <w:r>
              <w:rPr>
                <w:rFonts w:ascii="宋体" w:hAnsi="宋体" w:cs="宋体" w:eastAsia="宋体" w:hint="default"/>
                <w:spacing w:val="-46"/>
                <w:sz w:val="18"/>
                <w:szCs w:val="18"/>
              </w:rPr>
              <w:t> </w:t>
            </w:r>
            <w:r>
              <w:rPr>
                <w:rFonts w:ascii="宋体" w:hAnsi="宋体" w:cs="宋体" w:eastAsia="宋体" w:hint="default"/>
                <w:sz w:val="18"/>
                <w:szCs w:val="18"/>
              </w:rPr>
              <w:t>APP</w:t>
            </w:r>
            <w:r>
              <w:rPr>
                <w:rFonts w:ascii="宋体" w:hAnsi="宋体" w:cs="宋体" w:eastAsia="宋体" w:hint="default"/>
                <w:sz w:val="18"/>
                <w:szCs w:val="18"/>
              </w:rPr>
              <w:t>，尽到了平台应尽义 务，应使用避风港原则免责。</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z w:val="18"/>
              </w:rPr>
              <w:t>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已开庭，尚未 出判决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33"/>
              <w:jc w:val="left"/>
              <w:rPr>
                <w:rFonts w:ascii="宋体" w:hAnsi="宋体" w:cs="宋体" w:eastAsia="宋体" w:hint="default"/>
                <w:sz w:val="18"/>
                <w:szCs w:val="18"/>
              </w:rPr>
            </w:pPr>
            <w:r>
              <w:rPr>
                <w:rFonts w:ascii="宋体" w:hAnsi="宋体" w:cs="宋体" w:eastAsia="宋体" w:hint="default"/>
                <w:sz w:val="18"/>
                <w:szCs w:val="18"/>
              </w:rPr>
              <w:t>报告期 内暂无</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报告期内 暂无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sz w:val="18"/>
              </w:rPr>
              <w:t>2017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319" w:lineRule="auto" w:before="76"/>
              <w:ind w:left="22" w:right="12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5"/>
              <w:ind w:left="22" w:right="4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www.cninf </w:t>
            </w:r>
            <w:r>
              <w:rPr>
                <w:rFonts w:ascii="宋体" w:hAnsi="宋体" w:cs="宋体" w:eastAsia="宋体" w:hint="default"/>
                <w:spacing w:val="-15"/>
                <w:sz w:val="18"/>
                <w:szCs w:val="18"/>
              </w:rPr>
              <w:t>o.com.cn</w:t>
            </w:r>
            <w:r>
              <w:rPr>
                <w:rFonts w:ascii="宋体" w:hAnsi="宋体" w:cs="宋体" w:eastAsia="宋体" w:hint="default"/>
                <w:spacing w:val="-15"/>
                <w:sz w:val="18"/>
                <w:szCs w:val="18"/>
              </w:rPr>
              <w:t>）公</w:t>
            </w:r>
            <w:r>
              <w:rPr>
                <w:rFonts w:ascii="宋体" w:hAnsi="宋体" w:cs="宋体" w:eastAsia="宋体" w:hint="default"/>
                <w:spacing w:val="-84"/>
                <w:sz w:val="18"/>
                <w:szCs w:val="18"/>
              </w:rPr>
              <w:t> </w:t>
            </w:r>
            <w:r>
              <w:rPr>
                <w:rFonts w:ascii="宋体" w:hAnsi="宋体" w:cs="宋体" w:eastAsia="宋体" w:hint="default"/>
                <w:sz w:val="18"/>
                <w:szCs w:val="18"/>
              </w:rPr>
              <w:t>司披露的</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年半 年度报告 》</w:t>
            </w:r>
          </w:p>
        </w:tc>
      </w:tr>
      <w:tr>
        <w:trPr>
          <w:trHeight w:val="1340"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2" w:right="20"/>
              <w:jc w:val="both"/>
              <w:rPr>
                <w:rFonts w:ascii="宋体" w:hAnsi="宋体" w:cs="宋体" w:eastAsia="宋体" w:hint="default"/>
                <w:sz w:val="18"/>
                <w:szCs w:val="18"/>
              </w:rPr>
            </w:pPr>
            <w:r>
              <w:rPr>
                <w:rFonts w:ascii="宋体" w:hAnsi="宋体" w:cs="宋体" w:eastAsia="宋体" w:hint="default"/>
                <w:sz w:val="18"/>
                <w:szCs w:val="18"/>
              </w:rPr>
              <w:t>北京康智乐思网络科技有限公司公司起诉上 海禹容网络科技有限公司侵犯</w:t>
            </w:r>
            <w:r>
              <w:rPr>
                <w:rFonts w:ascii="宋体" w:hAnsi="宋体" w:cs="宋体" w:eastAsia="宋体" w:hint="default"/>
                <w:sz w:val="18"/>
                <w:szCs w:val="18"/>
              </w:rPr>
              <w:t>"</w:t>
            </w:r>
            <w:r>
              <w:rPr>
                <w:rFonts w:ascii="宋体" w:hAnsi="宋体" w:cs="宋体" w:eastAsia="宋体" w:hint="default"/>
                <w:sz w:val="18"/>
                <w:szCs w:val="18"/>
              </w:rPr>
              <w:t>大姨吗</w:t>
            </w:r>
            <w:r>
              <w:rPr>
                <w:rFonts w:ascii="宋体" w:hAnsi="宋体" w:cs="宋体" w:eastAsia="宋体" w:hint="default"/>
                <w:sz w:val="18"/>
                <w:szCs w:val="18"/>
              </w:rPr>
              <w:t>"</w:t>
            </w:r>
            <w:r>
              <w:rPr>
                <w:rFonts w:ascii="宋体" w:hAnsi="宋体" w:cs="宋体" w:eastAsia="宋体" w:hint="default"/>
                <w:sz w:val="18"/>
                <w:szCs w:val="18"/>
              </w:rPr>
              <w:t>商标 权侵权纠纷，掌汇天下为连带被告，掌汇天 下已实际删除了涉案</w:t>
            </w:r>
            <w:r>
              <w:rPr>
                <w:rFonts w:ascii="宋体" w:hAnsi="宋体" w:cs="宋体" w:eastAsia="宋体" w:hint="default"/>
                <w:spacing w:val="-41"/>
                <w:sz w:val="18"/>
                <w:szCs w:val="18"/>
              </w:rPr>
              <w:t> </w:t>
            </w:r>
            <w:r>
              <w:rPr>
                <w:rFonts w:ascii="宋体" w:hAnsi="宋体" w:cs="宋体" w:eastAsia="宋体" w:hint="default"/>
                <w:spacing w:val="-6"/>
                <w:sz w:val="18"/>
                <w:szCs w:val="18"/>
              </w:rPr>
              <w:t>APP</w:t>
            </w:r>
            <w:r>
              <w:rPr>
                <w:rFonts w:ascii="宋体" w:hAnsi="宋体" w:cs="宋体" w:eastAsia="宋体" w:hint="default"/>
                <w:spacing w:val="-6"/>
                <w:sz w:val="18"/>
                <w:szCs w:val="18"/>
              </w:rPr>
              <w:t>，尽到了平台应尽义</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483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一审已出判 决，掌汇天下 胜诉。</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33"/>
              <w:jc w:val="left"/>
              <w:rPr>
                <w:rFonts w:ascii="宋体" w:hAnsi="宋体" w:cs="宋体" w:eastAsia="宋体" w:hint="default"/>
                <w:sz w:val="18"/>
                <w:szCs w:val="18"/>
              </w:rPr>
            </w:pPr>
            <w:r>
              <w:rPr>
                <w:rFonts w:ascii="宋体" w:hAnsi="宋体" w:cs="宋体" w:eastAsia="宋体" w:hint="default"/>
                <w:sz w:val="18"/>
                <w:szCs w:val="18"/>
              </w:rPr>
              <w:t>报告期 内暂无</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3" w:right="96"/>
              <w:jc w:val="left"/>
              <w:rPr>
                <w:rFonts w:ascii="宋体" w:hAnsi="宋体" w:cs="宋体" w:eastAsia="宋体" w:hint="default"/>
                <w:sz w:val="18"/>
                <w:szCs w:val="18"/>
              </w:rPr>
            </w:pPr>
            <w:r>
              <w:rPr>
                <w:rFonts w:ascii="宋体" w:hAnsi="宋体" w:cs="宋体" w:eastAsia="宋体" w:hint="default"/>
                <w:sz w:val="18"/>
                <w:szCs w:val="18"/>
              </w:rPr>
              <w:t>报告期内 暂无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sz w:val="18"/>
              </w:rPr>
              <w:t>2017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319" w:lineRule="auto" w:before="76"/>
              <w:ind w:left="22" w:right="12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6"/>
              <w:ind w:left="22" w:right="4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www.cninf </w:t>
            </w:r>
            <w:r>
              <w:rPr>
                <w:rFonts w:ascii="宋体" w:hAnsi="宋体" w:cs="宋体" w:eastAsia="宋体" w:hint="default"/>
                <w:spacing w:val="-15"/>
                <w:sz w:val="18"/>
                <w:szCs w:val="18"/>
              </w:rPr>
              <w:t>o.com.cn</w:t>
            </w:r>
            <w:r>
              <w:rPr>
                <w:rFonts w:ascii="宋体" w:hAnsi="宋体" w:cs="宋体" w:eastAsia="宋体" w:hint="default"/>
                <w:spacing w:val="-15"/>
                <w:sz w:val="18"/>
                <w:szCs w:val="18"/>
              </w:rPr>
              <w:t>）公</w:t>
            </w:r>
            <w:r>
              <w:rPr>
                <w:rFonts w:ascii="宋体" w:hAnsi="宋体" w:cs="宋体" w:eastAsia="宋体" w:hint="default"/>
                <w:spacing w:val="-84"/>
                <w:sz w:val="18"/>
                <w:szCs w:val="18"/>
              </w:rPr>
              <w:t> </w:t>
            </w:r>
            <w:r>
              <w:rPr>
                <w:rFonts w:ascii="宋体" w:hAnsi="宋体" w:cs="宋体" w:eastAsia="宋体" w:hint="default"/>
                <w:sz w:val="18"/>
                <w:szCs w:val="18"/>
              </w:rPr>
              <w:t>司披露的</w:t>
            </w:r>
          </w:p>
        </w:tc>
      </w:tr>
    </w:tbl>
    <w:p>
      <w:pPr>
        <w:spacing w:after="0" w:line="316" w:lineRule="auto"/>
        <w:jc w:val="both"/>
        <w:rPr>
          <w:rFonts w:ascii="宋体" w:hAnsi="宋体" w:cs="宋体" w:eastAsia="宋体" w:hint="default"/>
          <w:sz w:val="18"/>
          <w:szCs w:val="18"/>
        </w:rPr>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544"/>
        <w:gridCol w:w="852"/>
        <w:gridCol w:w="708"/>
        <w:gridCol w:w="1134"/>
        <w:gridCol w:w="708"/>
        <w:gridCol w:w="852"/>
        <w:gridCol w:w="566"/>
        <w:gridCol w:w="1064"/>
      </w:tblGrid>
      <w:tr>
        <w:trPr>
          <w:trHeight w:val="67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务，应使用避风港原则免责。</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年半 年度报告 》</w:t>
            </w:r>
          </w:p>
        </w:tc>
      </w:tr>
      <w:tr>
        <w:trPr>
          <w:trHeight w:val="196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89"/>
              <w:jc w:val="both"/>
              <w:rPr>
                <w:rFonts w:ascii="宋体" w:hAnsi="宋体" w:cs="宋体" w:eastAsia="宋体" w:hint="default"/>
                <w:sz w:val="18"/>
                <w:szCs w:val="18"/>
              </w:rPr>
            </w:pPr>
            <w:r>
              <w:rPr>
                <w:rFonts w:ascii="宋体" w:hAnsi="宋体" w:cs="宋体" w:eastAsia="宋体" w:hint="default"/>
                <w:sz w:val="18"/>
                <w:szCs w:val="18"/>
              </w:rPr>
              <w:t>北京萝卜特科技有限公司起诉北京联想调频 科技有限公司侵犯《超级酒保》游戏著作权 侵权纠纷，掌汇天下被追加为第三人。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6.57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已和解</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33"/>
              <w:jc w:val="left"/>
              <w:rPr>
                <w:rFonts w:ascii="宋体" w:hAnsi="宋体" w:cs="宋体" w:eastAsia="宋体" w:hint="default"/>
                <w:sz w:val="18"/>
                <w:szCs w:val="18"/>
              </w:rPr>
            </w:pPr>
            <w:r>
              <w:rPr>
                <w:rFonts w:ascii="宋体" w:hAnsi="宋体" w:cs="宋体" w:eastAsia="宋体" w:hint="default"/>
                <w:sz w:val="18"/>
                <w:szCs w:val="18"/>
              </w:rPr>
              <w:t>报告期 内暂无</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报告期内 暂无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sz w:val="18"/>
              </w:rPr>
              <w:t>2017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319" w:lineRule="auto" w:before="76"/>
              <w:ind w:left="22" w:right="12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9" w:lineRule="auto" w:before="75"/>
              <w:ind w:left="22" w:right="4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www.cninf </w:t>
            </w:r>
            <w:r>
              <w:rPr>
                <w:rFonts w:ascii="宋体" w:hAnsi="宋体" w:cs="宋体" w:eastAsia="宋体" w:hint="default"/>
                <w:spacing w:val="-15"/>
                <w:sz w:val="18"/>
                <w:szCs w:val="18"/>
              </w:rPr>
              <w:t>o.com.cn</w:t>
            </w:r>
            <w:r>
              <w:rPr>
                <w:rFonts w:ascii="宋体" w:hAnsi="宋体" w:cs="宋体" w:eastAsia="宋体" w:hint="default"/>
                <w:spacing w:val="-15"/>
                <w:sz w:val="18"/>
                <w:szCs w:val="18"/>
              </w:rPr>
              <w:t>）公</w:t>
            </w:r>
            <w:r>
              <w:rPr>
                <w:rFonts w:ascii="宋体" w:hAnsi="宋体" w:cs="宋体" w:eastAsia="宋体" w:hint="default"/>
                <w:spacing w:val="-84"/>
                <w:sz w:val="18"/>
                <w:szCs w:val="18"/>
              </w:rPr>
              <w:t> </w:t>
            </w:r>
            <w:r>
              <w:rPr>
                <w:rFonts w:ascii="宋体" w:hAnsi="宋体" w:cs="宋体" w:eastAsia="宋体" w:hint="default"/>
                <w:sz w:val="18"/>
                <w:szCs w:val="18"/>
              </w:rPr>
              <w:t>司披露的</w:t>
            </w:r>
          </w:p>
          <w:p>
            <w:pPr>
              <w:pStyle w:val="TableParagraph"/>
              <w:spacing w:line="319" w:lineRule="auto" w:before="17"/>
              <w:ind w:left="22" w:right="4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年半 年度报告 》</w:t>
            </w:r>
          </w:p>
        </w:tc>
      </w:tr>
      <w:tr>
        <w:trPr>
          <w:trHeight w:val="196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北京萝卜特科技有限公司起诉掌汇天下侵犯</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《植物总动员</w:t>
            </w:r>
            <w:r>
              <w:rPr>
                <w:rFonts w:ascii="宋体" w:hAnsi="宋体" w:cs="宋体" w:eastAsia="宋体" w:hint="default"/>
                <w:spacing w:val="-90"/>
                <w:sz w:val="18"/>
                <w:szCs w:val="18"/>
              </w:rPr>
              <w:t>》</w:t>
            </w:r>
            <w:r>
              <w:rPr>
                <w:rFonts w:ascii="宋体" w:hAnsi="宋体" w:cs="宋体" w:eastAsia="宋体" w:hint="default"/>
                <w:sz w:val="18"/>
                <w:szCs w:val="18"/>
              </w:rPr>
              <w:t>、游戏著作权侵权纠纷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宋体" w:hAnsi="宋体" w:cs="宋体" w:eastAsia="宋体" w:hint="default"/>
                <w:sz w:val="18"/>
                <w:szCs w:val="18"/>
              </w:rPr>
            </w:pPr>
            <w:r>
              <w:rPr>
                <w:rFonts w:ascii="宋体"/>
                <w:sz w:val="18"/>
              </w:rPr>
              <w:t>51.1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已和解</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33"/>
              <w:jc w:val="left"/>
              <w:rPr>
                <w:rFonts w:ascii="宋体" w:hAnsi="宋体" w:cs="宋体" w:eastAsia="宋体" w:hint="default"/>
                <w:sz w:val="18"/>
                <w:szCs w:val="18"/>
              </w:rPr>
            </w:pPr>
            <w:r>
              <w:rPr>
                <w:rFonts w:ascii="宋体" w:hAnsi="宋体" w:cs="宋体" w:eastAsia="宋体" w:hint="default"/>
                <w:sz w:val="18"/>
                <w:szCs w:val="18"/>
              </w:rPr>
              <w:t>报告期 内暂无</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报告期内 暂无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sz w:val="18"/>
              </w:rPr>
              <w:t>2017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319" w:lineRule="auto" w:before="76"/>
              <w:ind w:left="22" w:right="12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5"/>
              <w:ind w:left="22" w:right="23"/>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www.cninf </w:t>
            </w:r>
            <w:r>
              <w:rPr>
                <w:rFonts w:ascii="宋体" w:hAnsi="宋体" w:cs="宋体" w:eastAsia="宋体" w:hint="default"/>
                <w:spacing w:val="-8"/>
                <w:sz w:val="18"/>
                <w:szCs w:val="18"/>
              </w:rPr>
              <w:t>o.com.cn</w:t>
            </w:r>
            <w:r>
              <w:rPr>
                <w:rFonts w:ascii="宋体" w:hAnsi="宋体" w:cs="宋体" w:eastAsia="宋体" w:hint="default"/>
                <w:spacing w:val="-8"/>
                <w:sz w:val="18"/>
                <w:szCs w:val="18"/>
              </w:rPr>
              <w:t>）公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司披露的</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年半 年度报告 》</w:t>
            </w:r>
          </w:p>
        </w:tc>
      </w:tr>
      <w:tr>
        <w:trPr>
          <w:trHeight w:val="196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北京萝卜特科技有限公司起诉掌汇天下侵犯</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《傲视长空》游戏著作权侵权纠纷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宋体" w:hAnsi="宋体" w:cs="宋体" w:eastAsia="宋体" w:hint="default"/>
                <w:sz w:val="18"/>
                <w:szCs w:val="18"/>
              </w:rPr>
            </w:pPr>
            <w:r>
              <w:rPr>
                <w:rFonts w:ascii="宋体"/>
                <w:sz w:val="18"/>
              </w:rPr>
              <w:t>6.92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已和解</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33"/>
              <w:jc w:val="left"/>
              <w:rPr>
                <w:rFonts w:ascii="宋体" w:hAnsi="宋体" w:cs="宋体" w:eastAsia="宋体" w:hint="default"/>
                <w:sz w:val="18"/>
                <w:szCs w:val="18"/>
              </w:rPr>
            </w:pPr>
            <w:r>
              <w:rPr>
                <w:rFonts w:ascii="宋体" w:hAnsi="宋体" w:cs="宋体" w:eastAsia="宋体" w:hint="default"/>
                <w:sz w:val="18"/>
                <w:szCs w:val="18"/>
              </w:rPr>
              <w:t>报告期 内暂无</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报告期内 暂无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sz w:val="18"/>
              </w:rPr>
              <w:t>2017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319" w:lineRule="auto" w:before="76"/>
              <w:ind w:left="22" w:right="12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5"/>
              <w:ind w:left="22" w:right="4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www.cninf </w:t>
            </w:r>
            <w:r>
              <w:rPr>
                <w:rFonts w:ascii="宋体" w:hAnsi="宋体" w:cs="宋体" w:eastAsia="宋体" w:hint="default"/>
                <w:spacing w:val="-15"/>
                <w:sz w:val="18"/>
                <w:szCs w:val="18"/>
              </w:rPr>
              <w:t>o.com.cn</w:t>
            </w:r>
            <w:r>
              <w:rPr>
                <w:rFonts w:ascii="宋体" w:hAnsi="宋体" w:cs="宋体" w:eastAsia="宋体" w:hint="default"/>
                <w:spacing w:val="-15"/>
                <w:sz w:val="18"/>
                <w:szCs w:val="18"/>
              </w:rPr>
              <w:t>）公</w:t>
            </w:r>
            <w:r>
              <w:rPr>
                <w:rFonts w:ascii="宋体" w:hAnsi="宋体" w:cs="宋体" w:eastAsia="宋体" w:hint="default"/>
                <w:spacing w:val="-84"/>
                <w:sz w:val="18"/>
                <w:szCs w:val="18"/>
              </w:rPr>
              <w:t> </w:t>
            </w:r>
            <w:r>
              <w:rPr>
                <w:rFonts w:ascii="宋体" w:hAnsi="宋体" w:cs="宋体" w:eastAsia="宋体" w:hint="default"/>
                <w:sz w:val="18"/>
                <w:szCs w:val="18"/>
              </w:rPr>
              <w:t>司披露的</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年半 年度报告 》</w:t>
            </w:r>
          </w:p>
        </w:tc>
      </w:tr>
      <w:tr>
        <w:trPr>
          <w:trHeight w:val="196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北京萝卜特科技有限公司起诉掌汇天下侵犯</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《超级酒保》游戏著作权侵权纠纷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6.1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已和解</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33"/>
              <w:jc w:val="left"/>
              <w:rPr>
                <w:rFonts w:ascii="宋体" w:hAnsi="宋体" w:cs="宋体" w:eastAsia="宋体" w:hint="default"/>
                <w:sz w:val="18"/>
                <w:szCs w:val="18"/>
              </w:rPr>
            </w:pPr>
            <w:r>
              <w:rPr>
                <w:rFonts w:ascii="宋体" w:hAnsi="宋体" w:cs="宋体" w:eastAsia="宋体" w:hint="default"/>
                <w:sz w:val="18"/>
                <w:szCs w:val="18"/>
              </w:rPr>
              <w:t>报告期 内暂无</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报告期内 暂无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sz w:val="18"/>
              </w:rPr>
              <w:t>2017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319" w:lineRule="auto" w:before="76"/>
              <w:ind w:left="22" w:right="12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5"/>
              <w:ind w:left="22" w:right="4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www.cninf </w:t>
            </w:r>
            <w:r>
              <w:rPr>
                <w:rFonts w:ascii="宋体" w:hAnsi="宋体" w:cs="宋体" w:eastAsia="宋体" w:hint="default"/>
                <w:spacing w:val="-15"/>
                <w:sz w:val="18"/>
                <w:szCs w:val="18"/>
              </w:rPr>
              <w:t>o.com.cn</w:t>
            </w:r>
            <w:r>
              <w:rPr>
                <w:rFonts w:ascii="宋体" w:hAnsi="宋体" w:cs="宋体" w:eastAsia="宋体" w:hint="default"/>
                <w:spacing w:val="-15"/>
                <w:sz w:val="18"/>
                <w:szCs w:val="18"/>
              </w:rPr>
              <w:t>）公</w:t>
            </w:r>
            <w:r>
              <w:rPr>
                <w:rFonts w:ascii="宋体" w:hAnsi="宋体" w:cs="宋体" w:eastAsia="宋体" w:hint="default"/>
                <w:spacing w:val="-84"/>
                <w:sz w:val="18"/>
                <w:szCs w:val="18"/>
              </w:rPr>
              <w:t> </w:t>
            </w:r>
            <w:r>
              <w:rPr>
                <w:rFonts w:ascii="宋体" w:hAnsi="宋体" w:cs="宋体" w:eastAsia="宋体" w:hint="default"/>
                <w:sz w:val="18"/>
                <w:szCs w:val="18"/>
              </w:rPr>
              <w:t>司披露的</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年半 年度报告 》</w:t>
            </w:r>
          </w:p>
        </w:tc>
      </w:tr>
      <w:tr>
        <w:trPr>
          <w:trHeight w:val="196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89"/>
              <w:jc w:val="left"/>
              <w:rPr>
                <w:rFonts w:ascii="宋体" w:hAnsi="宋体" w:cs="宋体" w:eastAsia="宋体" w:hint="default"/>
                <w:sz w:val="18"/>
                <w:szCs w:val="18"/>
              </w:rPr>
            </w:pPr>
            <w:r>
              <w:rPr>
                <w:rFonts w:ascii="宋体" w:hAnsi="宋体" w:cs="宋体" w:eastAsia="宋体" w:hint="default"/>
                <w:sz w:val="18"/>
                <w:szCs w:val="18"/>
              </w:rPr>
              <w:t>北京中文在线数字出版集团股份有限公司起 诉掌汇天下电子书著作权侵权纠纷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宋体" w:hAnsi="宋体" w:cs="宋体" w:eastAsia="宋体" w:hint="default"/>
                <w:sz w:val="18"/>
                <w:szCs w:val="18"/>
              </w:rPr>
            </w:pPr>
            <w:r>
              <w:rPr>
                <w:rFonts w:ascii="宋体"/>
                <w:sz w:val="18"/>
              </w:rPr>
              <w:t>275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已和解</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33"/>
              <w:jc w:val="left"/>
              <w:rPr>
                <w:rFonts w:ascii="宋体" w:hAnsi="宋体" w:cs="宋体" w:eastAsia="宋体" w:hint="default"/>
                <w:sz w:val="18"/>
                <w:szCs w:val="18"/>
              </w:rPr>
            </w:pPr>
            <w:r>
              <w:rPr>
                <w:rFonts w:ascii="宋体" w:hAnsi="宋体" w:cs="宋体" w:eastAsia="宋体" w:hint="default"/>
                <w:sz w:val="18"/>
                <w:szCs w:val="18"/>
              </w:rPr>
              <w:t>报告期 内暂无</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报告期内 暂无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sz w:val="18"/>
              </w:rPr>
              <w:t>2017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319" w:lineRule="auto" w:before="76"/>
              <w:ind w:left="22" w:right="12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5"/>
              <w:ind w:left="22" w:right="4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www.cninf </w:t>
            </w:r>
            <w:r>
              <w:rPr>
                <w:rFonts w:ascii="宋体" w:hAnsi="宋体" w:cs="宋体" w:eastAsia="宋体" w:hint="default"/>
                <w:spacing w:val="-15"/>
                <w:sz w:val="18"/>
                <w:szCs w:val="18"/>
              </w:rPr>
              <w:t>o.com.cn</w:t>
            </w:r>
            <w:r>
              <w:rPr>
                <w:rFonts w:ascii="宋体" w:hAnsi="宋体" w:cs="宋体" w:eastAsia="宋体" w:hint="default"/>
                <w:spacing w:val="-15"/>
                <w:sz w:val="18"/>
                <w:szCs w:val="18"/>
              </w:rPr>
              <w:t>）公</w:t>
            </w:r>
            <w:r>
              <w:rPr>
                <w:rFonts w:ascii="宋体" w:hAnsi="宋体" w:cs="宋体" w:eastAsia="宋体" w:hint="default"/>
                <w:spacing w:val="-84"/>
                <w:sz w:val="18"/>
                <w:szCs w:val="18"/>
              </w:rPr>
              <w:t> </w:t>
            </w:r>
            <w:r>
              <w:rPr>
                <w:rFonts w:ascii="宋体" w:hAnsi="宋体" w:cs="宋体" w:eastAsia="宋体" w:hint="default"/>
                <w:sz w:val="18"/>
                <w:szCs w:val="18"/>
              </w:rPr>
              <w:t>司披露的</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年半 年度报告 》</w:t>
            </w:r>
          </w:p>
        </w:tc>
      </w:tr>
      <w:tr>
        <w:trPr>
          <w:trHeight w:val="196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89"/>
              <w:jc w:val="both"/>
              <w:rPr>
                <w:rFonts w:ascii="宋体" w:hAnsi="宋体" w:cs="宋体" w:eastAsia="宋体" w:hint="default"/>
                <w:sz w:val="18"/>
                <w:szCs w:val="18"/>
              </w:rPr>
            </w:pPr>
            <w:r>
              <w:rPr>
                <w:rFonts w:ascii="宋体" w:hAnsi="宋体" w:cs="宋体" w:eastAsia="宋体" w:hint="default"/>
                <w:sz w:val="18"/>
                <w:szCs w:val="18"/>
              </w:rPr>
              <w:t>北京拾全影源影像有限公司起诉掌汇天下图 片侵权纠纷，掌汇天下已申请追加图片上传 者为第三人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宋体" w:hAnsi="宋体" w:cs="宋体" w:eastAsia="宋体" w:hint="default"/>
                <w:sz w:val="18"/>
                <w:szCs w:val="18"/>
              </w:rPr>
            </w:pPr>
            <w:r>
              <w:rPr>
                <w:rFonts w:ascii="宋体"/>
                <w:sz w:val="18"/>
              </w:rPr>
              <w:t>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已和解</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33"/>
              <w:jc w:val="left"/>
              <w:rPr>
                <w:rFonts w:ascii="宋体" w:hAnsi="宋体" w:cs="宋体" w:eastAsia="宋体" w:hint="default"/>
                <w:sz w:val="18"/>
                <w:szCs w:val="18"/>
              </w:rPr>
            </w:pPr>
            <w:r>
              <w:rPr>
                <w:rFonts w:ascii="宋体" w:hAnsi="宋体" w:cs="宋体" w:eastAsia="宋体" w:hint="default"/>
                <w:sz w:val="18"/>
                <w:szCs w:val="18"/>
              </w:rPr>
              <w:t>报告期 内暂无</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报告期内 暂无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sz w:val="18"/>
              </w:rPr>
              <w:t>2017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319" w:lineRule="auto" w:before="76"/>
              <w:ind w:left="22" w:right="12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5"/>
              <w:ind w:left="22" w:right="4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www.cninf </w:t>
            </w:r>
            <w:r>
              <w:rPr>
                <w:rFonts w:ascii="宋体" w:hAnsi="宋体" w:cs="宋体" w:eastAsia="宋体" w:hint="default"/>
                <w:spacing w:val="-15"/>
                <w:sz w:val="18"/>
                <w:szCs w:val="18"/>
              </w:rPr>
              <w:t>o.com.cn</w:t>
            </w:r>
            <w:r>
              <w:rPr>
                <w:rFonts w:ascii="宋体" w:hAnsi="宋体" w:cs="宋体" w:eastAsia="宋体" w:hint="default"/>
                <w:spacing w:val="-15"/>
                <w:sz w:val="18"/>
                <w:szCs w:val="18"/>
              </w:rPr>
              <w:t>）公</w:t>
            </w:r>
            <w:r>
              <w:rPr>
                <w:rFonts w:ascii="宋体" w:hAnsi="宋体" w:cs="宋体" w:eastAsia="宋体" w:hint="default"/>
                <w:spacing w:val="-84"/>
                <w:sz w:val="18"/>
                <w:szCs w:val="18"/>
              </w:rPr>
              <w:t> </w:t>
            </w:r>
            <w:r>
              <w:rPr>
                <w:rFonts w:ascii="宋体" w:hAnsi="宋体" w:cs="宋体" w:eastAsia="宋体" w:hint="default"/>
                <w:sz w:val="18"/>
                <w:szCs w:val="18"/>
              </w:rPr>
              <w:t>司披露的</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年半 年度报告 》</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三、处罚及整改情况" w:id="79"/>
      <w:bookmarkEnd w:id="79"/>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0"/>
        <w:jc w:val="left"/>
      </w:pPr>
      <w:r>
        <w:rPr/>
        <w:t>□ 适用 √ 不适用</w:t>
      </w:r>
    </w:p>
    <w:p>
      <w:pPr>
        <w:spacing w:after="0" w:line="240" w:lineRule="auto"/>
        <w:jc w:val="left"/>
        <w:sectPr>
          <w:pgSz w:w="11910" w:h="16840"/>
          <w:pgMar w:header="877" w:footer="1187" w:top="1100" w:bottom="1380" w:left="980" w:right="0"/>
        </w:sectPr>
      </w:pPr>
    </w:p>
    <w:p>
      <w:pPr>
        <w:spacing w:line="240" w:lineRule="auto" w:before="13"/>
        <w:rPr>
          <w:rFonts w:ascii="宋体" w:hAnsi="宋体" w:cs="宋体" w:eastAsia="宋体" w:hint="default"/>
          <w:sz w:val="21"/>
          <w:szCs w:val="21"/>
        </w:rPr>
      </w:pPr>
    </w:p>
    <w:p>
      <w:pPr>
        <w:pStyle w:val="BodyText"/>
        <w:spacing w:line="240" w:lineRule="auto" w:before="44"/>
        <w:ind w:left="153" w:right="0"/>
        <w:jc w:val="left"/>
      </w:pPr>
      <w:r>
        <w:rPr/>
        <w:t>公司报告期不存在处罚及整改情况。</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四、公司及其控股股东、实际控制人的诚信状况" w:id="80"/>
      <w:bookmarkEnd w:id="80"/>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153" w:right="0"/>
        <w:jc w:val="left"/>
        <w:rPr>
          <w:b w:val="0"/>
          <w:bCs w:val="0"/>
        </w:rPr>
      </w:pPr>
      <w:bookmarkStart w:name="十五、公司股权激励计划、员工持股计划或其他员工激励措施的实施情况" w:id="81"/>
      <w:bookmarkEnd w:id="81"/>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4452"/>
        <w:jc w:val="left"/>
      </w:pPr>
      <w:r>
        <w:rPr/>
        <w:t>□ 适用 √ 不适用 公司报告期无股权激励计划、员工持股计划或其他员工激励措施及其实施情况。</w:t>
      </w:r>
    </w:p>
    <w:p>
      <w:pPr>
        <w:spacing w:after="0" w:line="357" w:lineRule="auto"/>
        <w:jc w:val="left"/>
        <w:sectPr>
          <w:pgSz w:w="11910" w:h="16840"/>
          <w:pgMar w:header="877" w:footer="1187" w:top="1100" w:bottom="1380" w:left="980" w:right="0"/>
        </w:sectPr>
      </w:pPr>
    </w:p>
    <w:p>
      <w:pPr>
        <w:pStyle w:val="Heading2"/>
        <w:spacing w:line="240" w:lineRule="auto" w:before="30"/>
        <w:ind w:left="140" w:right="0"/>
        <w:jc w:val="left"/>
        <w:rPr>
          <w:b w:val="0"/>
          <w:bCs w:val="0"/>
        </w:rPr>
      </w:pPr>
      <w:r>
        <w:rPr/>
        <w:pict>
          <v:group style="position:absolute;margin-left:70.5pt;margin-top:2.255627pt;width:701pt;height:.1pt;mso-position-horizontal-relative:page;mso-position-vertical-relative:paragraph;z-index:-1181680" coordorigin="1410,45" coordsize="14020,2">
            <v:shape style="position:absolute;left:1410;top:45;width:14020;height:2" coordorigin="1410,45" coordsize="14020,0" path="m1410,45l15430,45e" filled="false" stroked="true" strokeweight=".72pt" strokecolor="#000000">
              <v:path arrowok="t"/>
            </v:shape>
            <w10:wrap type="none"/>
          </v:group>
        </w:pict>
      </w:r>
      <w:bookmarkStart w:name="十六、重大关联交易" w:id="82"/>
      <w:bookmarkEnd w:id="82"/>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40" w:right="0"/>
        <w:jc w:val="left"/>
        <w:rPr>
          <w:b w:val="0"/>
          <w:bCs w:val="0"/>
        </w:rPr>
      </w:pPr>
      <w:bookmarkStart w:name="1、与日常经营相关的关联交易" w:id="83"/>
      <w:bookmarkEnd w:id="83"/>
      <w:r>
        <w:rPr>
          <w:b w:val="0"/>
          <w:bCs w:val="0"/>
        </w:rPr>
      </w:r>
      <w:r>
        <w:rPr>
          <w:rFonts w:ascii="宋体" w:hAnsi="宋体" w:cs="宋体" w:eastAsia="宋体" w:hint="default"/>
        </w:rPr>
        <w:t>1</w:t>
      </w:r>
      <w:r>
        <w:rPr/>
        <w:t>、与日常经营相关的关联交易</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40"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709"/>
        <w:gridCol w:w="993"/>
        <w:gridCol w:w="677"/>
        <w:gridCol w:w="704"/>
        <w:gridCol w:w="680"/>
        <w:gridCol w:w="1340"/>
        <w:gridCol w:w="673"/>
        <w:gridCol w:w="674"/>
        <w:gridCol w:w="675"/>
        <w:gridCol w:w="812"/>
        <w:gridCol w:w="851"/>
        <w:gridCol w:w="851"/>
        <w:gridCol w:w="1134"/>
        <w:gridCol w:w="3402"/>
      </w:tblGrid>
      <w:tr>
        <w:trPr>
          <w:trHeight w:val="1337" w:hRule="exact"/>
        </w:trPr>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9" w:right="78" w:hanging="90"/>
              <w:jc w:val="left"/>
              <w:rPr>
                <w:rFonts w:ascii="宋体" w:hAnsi="宋体" w:cs="宋体" w:eastAsia="宋体" w:hint="default"/>
                <w:sz w:val="18"/>
                <w:szCs w:val="18"/>
              </w:rPr>
            </w:pPr>
            <w:r>
              <w:rPr>
                <w:rFonts w:ascii="宋体" w:hAnsi="宋体" w:cs="宋体" w:eastAsia="宋体" w:hint="default"/>
                <w:sz w:val="18"/>
                <w:szCs w:val="18"/>
              </w:rPr>
              <w:t>关联交 易方</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4"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关联交易价格</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0"/>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1" w:right="150"/>
              <w:jc w:val="left"/>
              <w:rPr>
                <w:rFonts w:ascii="宋体" w:hAnsi="宋体" w:cs="宋体" w:eastAsia="宋体" w:hint="default"/>
                <w:sz w:val="18"/>
                <w:szCs w:val="18"/>
              </w:rPr>
            </w:pPr>
            <w:r>
              <w:rPr>
                <w:rFonts w:ascii="宋体" w:hAnsi="宋体" w:cs="宋体" w:eastAsia="宋体" w:hint="default"/>
                <w:sz w:val="18"/>
                <w:szCs w:val="18"/>
              </w:rPr>
              <w:t>（万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3"/>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0" w:right="41"/>
              <w:jc w:val="left"/>
              <w:rPr>
                <w:rFonts w:ascii="宋体" w:hAnsi="宋体" w:cs="宋体" w:eastAsia="宋体" w:hint="default"/>
                <w:sz w:val="18"/>
                <w:szCs w:val="18"/>
              </w:rPr>
            </w:pPr>
            <w:r>
              <w:rPr>
                <w:rFonts w:ascii="宋体" w:hAnsi="宋体" w:cs="宋体" w:eastAsia="宋体" w:hint="default"/>
                <w:sz w:val="18"/>
                <w:szCs w:val="18"/>
              </w:rPr>
              <w:t>是否超过 获批额度</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0" w:right="59"/>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0" w:right="59"/>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34"/>
              <w:jc w:val="both"/>
              <w:rPr>
                <w:rFonts w:ascii="宋体" w:hAnsi="宋体" w:cs="宋体" w:eastAsia="宋体" w:hint="default"/>
                <w:sz w:val="18"/>
                <w:szCs w:val="18"/>
              </w:rPr>
            </w:pPr>
            <w:r>
              <w:rPr>
                <w:rFonts w:ascii="宋体" w:hAnsi="宋体" w:cs="宋体" w:eastAsia="宋体" w:hint="default"/>
                <w:sz w:val="18"/>
                <w:szCs w:val="18"/>
              </w:rPr>
              <w:t>福建风 灵创景 科技有 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58"/>
              <w:jc w:val="both"/>
              <w:rPr>
                <w:rFonts w:ascii="宋体" w:hAnsi="宋体" w:cs="宋体" w:eastAsia="宋体" w:hint="default"/>
                <w:sz w:val="18"/>
                <w:szCs w:val="18"/>
              </w:rPr>
            </w:pPr>
            <w:r>
              <w:rPr>
                <w:rFonts w:ascii="宋体" w:hAnsi="宋体" w:cs="宋体" w:eastAsia="宋体" w:hint="default"/>
                <w:sz w:val="18"/>
                <w:szCs w:val="18"/>
              </w:rPr>
              <w:t>本公司关键 管理人员任 职的公司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 w:right="102"/>
              <w:jc w:val="left"/>
              <w:rPr>
                <w:rFonts w:ascii="宋体" w:hAnsi="宋体" w:cs="宋体" w:eastAsia="宋体" w:hint="default"/>
                <w:sz w:val="18"/>
                <w:szCs w:val="18"/>
              </w:rPr>
            </w:pPr>
            <w:r>
              <w:rPr>
                <w:rFonts w:ascii="宋体" w:hAnsi="宋体" w:cs="宋体" w:eastAsia="宋体" w:hint="default"/>
                <w:sz w:val="18"/>
                <w:szCs w:val="18"/>
              </w:rPr>
              <w:t>接受劳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 w:right="131"/>
              <w:jc w:val="left"/>
              <w:rPr>
                <w:rFonts w:ascii="宋体" w:hAnsi="宋体" w:cs="宋体" w:eastAsia="宋体" w:hint="default"/>
                <w:sz w:val="18"/>
                <w:szCs w:val="18"/>
              </w:rPr>
            </w:pPr>
            <w:r>
              <w:rPr>
                <w:rFonts w:ascii="宋体" w:hAnsi="宋体" w:cs="宋体" w:eastAsia="宋体" w:hint="default"/>
                <w:sz w:val="18"/>
                <w:szCs w:val="18"/>
              </w:rPr>
              <w:t>广告推 广</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47"/>
              <w:jc w:val="both"/>
              <w:rPr>
                <w:rFonts w:ascii="宋体" w:hAnsi="宋体" w:cs="宋体" w:eastAsia="宋体" w:hint="default"/>
                <w:sz w:val="18"/>
                <w:szCs w:val="18"/>
              </w:rPr>
            </w:pPr>
            <w:r>
              <w:rPr>
                <w:rFonts w:ascii="宋体" w:hAnsi="宋体" w:cs="宋体" w:eastAsia="宋体" w:hint="default"/>
                <w:sz w:val="18"/>
                <w:szCs w:val="18"/>
              </w:rPr>
              <w:t>价格以一般商业 条款作为定价基 础</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61.27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z w:val="18"/>
              </w:rPr>
              <w:t>61.27</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定期结算</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 w:right="143"/>
              <w:jc w:val="left"/>
              <w:rPr>
                <w:rFonts w:ascii="宋体" w:hAnsi="宋体" w:cs="宋体" w:eastAsia="宋体" w:hint="default"/>
                <w:sz w:val="18"/>
                <w:szCs w:val="18"/>
              </w:rPr>
            </w:pPr>
            <w:r>
              <w:rPr>
                <w:rFonts w:ascii="宋体" w:hAnsi="宋体" w:cs="宋体" w:eastAsia="宋体" w:hint="default"/>
                <w:sz w:val="18"/>
                <w:szCs w:val="18"/>
              </w:rPr>
              <w:t>61.27</w:t>
            </w:r>
            <w:r>
              <w:rPr>
                <w:rFonts w:ascii="宋体" w:hAnsi="宋体" w:cs="宋体" w:eastAsia="宋体" w:hint="default"/>
                <w:spacing w:val="-46"/>
                <w:sz w:val="18"/>
                <w:szCs w:val="18"/>
              </w:rPr>
              <w:t> </w:t>
            </w:r>
            <w:r>
              <w:rPr>
                <w:rFonts w:ascii="宋体" w:hAnsi="宋体" w:cs="宋体" w:eastAsia="宋体" w:hint="default"/>
                <w:sz w:val="18"/>
                <w:szCs w:val="18"/>
              </w:rPr>
              <w:t>万 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深交所巨潮资讯网</w:t>
            </w:r>
          </w:p>
          <w:p>
            <w:pPr>
              <w:pStyle w:val="TableParagraph"/>
              <w:spacing w:line="319" w:lineRule="auto" w:before="75"/>
              <w:ind w:left="22" w:right="37"/>
              <w:jc w:val="left"/>
              <w:rPr>
                <w:rFonts w:ascii="宋体" w:hAnsi="宋体" w:cs="宋体" w:eastAsia="宋体" w:hint="default"/>
                <w:sz w:val="18"/>
                <w:szCs w:val="18"/>
              </w:rPr>
            </w:pPr>
            <w:r>
              <w:rPr>
                <w:rFonts w:ascii="宋体" w:hAnsi="宋体" w:cs="宋体" w:eastAsia="宋体" w:hint="default"/>
                <w:spacing w:val="-3"/>
                <w:sz w:val="18"/>
                <w:szCs w:val="18"/>
              </w:rPr>
              <w:t>（</w:t>
            </w:r>
            <w:hyperlink r:id="rId12">
              <w:r>
                <w:rPr>
                  <w:rFonts w:ascii="宋体" w:hAnsi="宋体" w:cs="宋体" w:eastAsia="宋体" w:hint="default"/>
                  <w:spacing w:val="-3"/>
                  <w:sz w:val="18"/>
                  <w:szCs w:val="18"/>
                </w:rPr>
                <w:t>http://www.cninfo.com.cn</w:t>
              </w:r>
            </w:hyperlink>
            <w:r>
              <w:rPr>
                <w:rFonts w:ascii="宋体" w:hAnsi="宋体" w:cs="宋体" w:eastAsia="宋体" w:hint="default"/>
                <w:spacing w:val="-3"/>
                <w:sz w:val="18"/>
                <w:szCs w:val="18"/>
              </w:rPr>
              <w:t>）《关于日常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经营性关联交易的公告》</w:t>
            </w:r>
          </w:p>
        </w:tc>
      </w:tr>
      <w:tr>
        <w:trPr>
          <w:trHeight w:val="1338"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4"/>
              <w:jc w:val="both"/>
              <w:rPr>
                <w:rFonts w:ascii="宋体" w:hAnsi="宋体" w:cs="宋体" w:eastAsia="宋体" w:hint="default"/>
                <w:sz w:val="18"/>
                <w:szCs w:val="18"/>
              </w:rPr>
            </w:pPr>
            <w:r>
              <w:rPr>
                <w:rFonts w:ascii="宋体" w:hAnsi="宋体" w:cs="宋体" w:eastAsia="宋体" w:hint="default"/>
                <w:sz w:val="18"/>
                <w:szCs w:val="18"/>
              </w:rPr>
              <w:t>北京智 度德正 投资有 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58"/>
              <w:jc w:val="left"/>
              <w:rPr>
                <w:rFonts w:ascii="宋体" w:hAnsi="宋体" w:cs="宋体" w:eastAsia="宋体" w:hint="default"/>
                <w:sz w:val="18"/>
                <w:szCs w:val="18"/>
              </w:rPr>
            </w:pPr>
            <w:r>
              <w:rPr>
                <w:rFonts w:ascii="宋体" w:hAnsi="宋体" w:cs="宋体" w:eastAsia="宋体" w:hint="default"/>
                <w:sz w:val="18"/>
                <w:szCs w:val="18"/>
              </w:rPr>
              <w:t>同一实际控 制人</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2"/>
              <w:jc w:val="left"/>
              <w:rPr>
                <w:rFonts w:ascii="宋体" w:hAnsi="宋体" w:cs="宋体" w:eastAsia="宋体" w:hint="default"/>
                <w:sz w:val="18"/>
                <w:szCs w:val="18"/>
              </w:rPr>
            </w:pPr>
            <w:r>
              <w:rPr>
                <w:rFonts w:ascii="宋体" w:hAnsi="宋体" w:cs="宋体" w:eastAsia="宋体" w:hint="default"/>
                <w:sz w:val="18"/>
                <w:szCs w:val="18"/>
              </w:rPr>
              <w:t>接受劳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31"/>
              <w:jc w:val="left"/>
              <w:rPr>
                <w:rFonts w:ascii="宋体" w:hAnsi="宋体" w:cs="宋体" w:eastAsia="宋体" w:hint="default"/>
                <w:sz w:val="18"/>
                <w:szCs w:val="18"/>
              </w:rPr>
            </w:pPr>
            <w:r>
              <w:rPr>
                <w:rFonts w:ascii="宋体" w:hAnsi="宋体" w:cs="宋体" w:eastAsia="宋体" w:hint="default"/>
                <w:sz w:val="18"/>
                <w:szCs w:val="18"/>
              </w:rPr>
              <w:t>劳务派 遣</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7"/>
              <w:jc w:val="both"/>
              <w:rPr>
                <w:rFonts w:ascii="宋体" w:hAnsi="宋体" w:cs="宋体" w:eastAsia="宋体" w:hint="default"/>
                <w:sz w:val="18"/>
                <w:szCs w:val="18"/>
              </w:rPr>
            </w:pPr>
            <w:r>
              <w:rPr>
                <w:rFonts w:ascii="宋体" w:hAnsi="宋体" w:cs="宋体" w:eastAsia="宋体" w:hint="default"/>
                <w:sz w:val="18"/>
                <w:szCs w:val="18"/>
              </w:rPr>
              <w:t>价格以一般商业 条款作为定价基 础</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9.72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z w:val="18"/>
              </w:rPr>
              <w:t>9.72</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定期结算</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9.72</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134" w:type="dxa"/>
            <w:tcBorders>
              <w:top w:val="single" w:sz="4" w:space="0" w:color="000000"/>
              <w:left w:val="single" w:sz="4" w:space="0" w:color="000000"/>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4"/>
              <w:jc w:val="both"/>
              <w:rPr>
                <w:rFonts w:ascii="宋体" w:hAnsi="宋体" w:cs="宋体" w:eastAsia="宋体" w:hint="default"/>
                <w:sz w:val="18"/>
                <w:szCs w:val="18"/>
              </w:rPr>
            </w:pPr>
            <w:r>
              <w:rPr>
                <w:rFonts w:ascii="宋体" w:hAnsi="宋体" w:cs="宋体" w:eastAsia="宋体" w:hint="default"/>
                <w:sz w:val="18"/>
                <w:szCs w:val="18"/>
              </w:rPr>
              <w:t>福建智 度科技 有限公 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58"/>
              <w:jc w:val="left"/>
              <w:rPr>
                <w:rFonts w:ascii="宋体" w:hAnsi="宋体" w:cs="宋体" w:eastAsia="宋体" w:hint="default"/>
                <w:sz w:val="18"/>
                <w:szCs w:val="18"/>
              </w:rPr>
            </w:pPr>
            <w:r>
              <w:rPr>
                <w:rFonts w:ascii="宋体" w:hAnsi="宋体" w:cs="宋体" w:eastAsia="宋体" w:hint="default"/>
                <w:sz w:val="18"/>
                <w:szCs w:val="18"/>
              </w:rPr>
              <w:t>同一实际控 制人</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2"/>
              <w:jc w:val="left"/>
              <w:rPr>
                <w:rFonts w:ascii="宋体" w:hAnsi="宋体" w:cs="宋体" w:eastAsia="宋体" w:hint="default"/>
                <w:sz w:val="18"/>
                <w:szCs w:val="18"/>
              </w:rPr>
            </w:pPr>
            <w:r>
              <w:rPr>
                <w:rFonts w:ascii="宋体" w:hAnsi="宋体" w:cs="宋体" w:eastAsia="宋体" w:hint="default"/>
                <w:sz w:val="18"/>
                <w:szCs w:val="18"/>
              </w:rPr>
              <w:t>接受劳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31"/>
              <w:jc w:val="left"/>
              <w:rPr>
                <w:rFonts w:ascii="宋体" w:hAnsi="宋体" w:cs="宋体" w:eastAsia="宋体" w:hint="default"/>
                <w:sz w:val="18"/>
                <w:szCs w:val="18"/>
              </w:rPr>
            </w:pPr>
            <w:r>
              <w:rPr>
                <w:rFonts w:ascii="宋体" w:hAnsi="宋体" w:cs="宋体" w:eastAsia="宋体" w:hint="default"/>
                <w:sz w:val="18"/>
                <w:szCs w:val="18"/>
              </w:rPr>
              <w:t>媒介采 购</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7"/>
              <w:jc w:val="both"/>
              <w:rPr>
                <w:rFonts w:ascii="宋体" w:hAnsi="宋体" w:cs="宋体" w:eastAsia="宋体" w:hint="default"/>
                <w:sz w:val="18"/>
                <w:szCs w:val="18"/>
              </w:rPr>
            </w:pPr>
            <w:r>
              <w:rPr>
                <w:rFonts w:ascii="宋体" w:hAnsi="宋体" w:cs="宋体" w:eastAsia="宋体" w:hint="default"/>
                <w:sz w:val="18"/>
                <w:szCs w:val="18"/>
              </w:rPr>
              <w:t>价格以一般商业 条款作为定价基 础</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2.81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z w:val="18"/>
              </w:rPr>
              <w:t>2.81</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定期结算</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2.81</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深交所巨潮资讯网</w:t>
            </w:r>
          </w:p>
          <w:p>
            <w:pPr>
              <w:pStyle w:val="TableParagraph"/>
              <w:spacing w:line="319" w:lineRule="auto" w:before="75"/>
              <w:ind w:left="22" w:right="37"/>
              <w:jc w:val="left"/>
              <w:rPr>
                <w:rFonts w:ascii="宋体" w:hAnsi="宋体" w:cs="宋体" w:eastAsia="宋体" w:hint="default"/>
                <w:sz w:val="18"/>
                <w:szCs w:val="18"/>
              </w:rPr>
            </w:pPr>
            <w:r>
              <w:rPr>
                <w:rFonts w:ascii="宋体" w:hAnsi="宋体" w:cs="宋体" w:eastAsia="宋体" w:hint="default"/>
                <w:spacing w:val="-3"/>
                <w:sz w:val="18"/>
                <w:szCs w:val="18"/>
              </w:rPr>
              <w:t>（</w:t>
            </w:r>
            <w:hyperlink r:id="rId12">
              <w:r>
                <w:rPr>
                  <w:rFonts w:ascii="宋体" w:hAnsi="宋体" w:cs="宋体" w:eastAsia="宋体" w:hint="default"/>
                  <w:spacing w:val="-3"/>
                  <w:sz w:val="18"/>
                  <w:szCs w:val="18"/>
                </w:rPr>
                <w:t>http://www.cninfo.com.cn</w:t>
              </w:r>
            </w:hyperlink>
            <w:r>
              <w:rPr>
                <w:rFonts w:ascii="宋体" w:hAnsi="宋体" w:cs="宋体" w:eastAsia="宋体" w:hint="default"/>
                <w:spacing w:val="-3"/>
                <w:sz w:val="18"/>
                <w:szCs w:val="18"/>
              </w:rPr>
              <w:t>）《关于日常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经营性关联交易的公告》</w:t>
            </w:r>
          </w:p>
        </w:tc>
      </w:tr>
      <w:tr>
        <w:trPr>
          <w:trHeight w:val="1338"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34"/>
              <w:jc w:val="both"/>
              <w:rPr>
                <w:rFonts w:ascii="宋体" w:hAnsi="宋体" w:cs="宋体" w:eastAsia="宋体" w:hint="default"/>
                <w:sz w:val="18"/>
                <w:szCs w:val="18"/>
              </w:rPr>
            </w:pPr>
            <w:r>
              <w:rPr>
                <w:rFonts w:ascii="宋体" w:hAnsi="宋体" w:cs="宋体" w:eastAsia="宋体" w:hint="default"/>
                <w:sz w:val="18"/>
                <w:szCs w:val="18"/>
              </w:rPr>
              <w:t>福建风 灵创景 科技有 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58"/>
              <w:jc w:val="both"/>
              <w:rPr>
                <w:rFonts w:ascii="宋体" w:hAnsi="宋体" w:cs="宋体" w:eastAsia="宋体" w:hint="default"/>
                <w:sz w:val="18"/>
                <w:szCs w:val="18"/>
              </w:rPr>
            </w:pPr>
            <w:r>
              <w:rPr>
                <w:rFonts w:ascii="宋体" w:hAnsi="宋体" w:cs="宋体" w:eastAsia="宋体" w:hint="default"/>
                <w:sz w:val="18"/>
                <w:szCs w:val="18"/>
              </w:rPr>
              <w:t>本公司关键 管理人员任 职的公司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2"/>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31"/>
              <w:jc w:val="left"/>
              <w:rPr>
                <w:rFonts w:ascii="宋体" w:hAnsi="宋体" w:cs="宋体" w:eastAsia="宋体" w:hint="default"/>
                <w:sz w:val="18"/>
                <w:szCs w:val="18"/>
              </w:rPr>
            </w:pPr>
            <w:r>
              <w:rPr>
                <w:rFonts w:ascii="宋体" w:hAnsi="宋体" w:cs="宋体" w:eastAsia="宋体" w:hint="default"/>
                <w:sz w:val="18"/>
                <w:szCs w:val="18"/>
              </w:rPr>
              <w:t>广告推 广</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47"/>
              <w:jc w:val="both"/>
              <w:rPr>
                <w:rFonts w:ascii="宋体" w:hAnsi="宋体" w:cs="宋体" w:eastAsia="宋体" w:hint="default"/>
                <w:sz w:val="18"/>
                <w:szCs w:val="18"/>
              </w:rPr>
            </w:pPr>
            <w:r>
              <w:rPr>
                <w:rFonts w:ascii="宋体" w:hAnsi="宋体" w:cs="宋体" w:eastAsia="宋体" w:hint="default"/>
                <w:sz w:val="18"/>
                <w:szCs w:val="18"/>
              </w:rPr>
              <w:t>价格以一般商业 条款作为定价基 础</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93.11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z w:val="18"/>
              </w:rPr>
              <w:t>93.11</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定期结算</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43"/>
              <w:jc w:val="left"/>
              <w:rPr>
                <w:rFonts w:ascii="宋体" w:hAnsi="宋体" w:cs="宋体" w:eastAsia="宋体" w:hint="default"/>
                <w:sz w:val="18"/>
                <w:szCs w:val="18"/>
              </w:rPr>
            </w:pPr>
            <w:r>
              <w:rPr>
                <w:rFonts w:ascii="宋体" w:hAnsi="宋体" w:cs="宋体" w:eastAsia="宋体" w:hint="default"/>
                <w:sz w:val="18"/>
                <w:szCs w:val="18"/>
              </w:rPr>
              <w:t>93.11</w:t>
            </w:r>
            <w:r>
              <w:rPr>
                <w:rFonts w:ascii="宋体" w:hAnsi="宋体" w:cs="宋体" w:eastAsia="宋体" w:hint="default"/>
                <w:spacing w:val="-46"/>
                <w:sz w:val="18"/>
                <w:szCs w:val="18"/>
              </w:rPr>
              <w:t> </w:t>
            </w:r>
            <w:r>
              <w:rPr>
                <w:rFonts w:ascii="宋体" w:hAnsi="宋体" w:cs="宋体" w:eastAsia="宋体" w:hint="default"/>
                <w:sz w:val="18"/>
                <w:szCs w:val="18"/>
              </w:rPr>
              <w:t>万 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深交所巨潮资讯网</w:t>
            </w:r>
          </w:p>
          <w:p>
            <w:pPr>
              <w:pStyle w:val="TableParagraph"/>
              <w:spacing w:line="319" w:lineRule="auto" w:before="75"/>
              <w:ind w:left="22" w:right="37"/>
              <w:jc w:val="left"/>
              <w:rPr>
                <w:rFonts w:ascii="宋体" w:hAnsi="宋体" w:cs="宋体" w:eastAsia="宋体" w:hint="default"/>
                <w:sz w:val="18"/>
                <w:szCs w:val="18"/>
              </w:rPr>
            </w:pPr>
            <w:r>
              <w:rPr>
                <w:rFonts w:ascii="宋体" w:hAnsi="宋体" w:cs="宋体" w:eastAsia="宋体" w:hint="default"/>
                <w:spacing w:val="-3"/>
                <w:sz w:val="18"/>
                <w:szCs w:val="18"/>
              </w:rPr>
              <w:t>（</w:t>
            </w:r>
            <w:hyperlink r:id="rId12">
              <w:r>
                <w:rPr>
                  <w:rFonts w:ascii="宋体" w:hAnsi="宋体" w:cs="宋体" w:eastAsia="宋体" w:hint="default"/>
                  <w:spacing w:val="-3"/>
                  <w:sz w:val="18"/>
                  <w:szCs w:val="18"/>
                </w:rPr>
                <w:t>http://www.cninfo.com.cn</w:t>
              </w:r>
            </w:hyperlink>
            <w:r>
              <w:rPr>
                <w:rFonts w:ascii="宋体" w:hAnsi="宋体" w:cs="宋体" w:eastAsia="宋体" w:hint="default"/>
                <w:spacing w:val="-3"/>
                <w:sz w:val="18"/>
                <w:szCs w:val="18"/>
              </w:rPr>
              <w:t>）《关于日常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经营性关联交易的公告》</w:t>
            </w:r>
          </w:p>
        </w:tc>
      </w:tr>
      <w:tr>
        <w:trPr>
          <w:trHeight w:val="1027"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4"/>
              <w:jc w:val="both"/>
              <w:rPr>
                <w:rFonts w:ascii="宋体" w:hAnsi="宋体" w:cs="宋体" w:eastAsia="宋体" w:hint="default"/>
                <w:sz w:val="18"/>
                <w:szCs w:val="18"/>
              </w:rPr>
            </w:pPr>
            <w:r>
              <w:rPr>
                <w:rFonts w:ascii="宋体" w:hAnsi="宋体" w:cs="宋体" w:eastAsia="宋体" w:hint="default"/>
                <w:sz w:val="18"/>
                <w:szCs w:val="18"/>
              </w:rPr>
              <w:t>智度集 团有限 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持股超过</w:t>
            </w:r>
            <w:r>
              <w:rPr>
                <w:rFonts w:ascii="宋体" w:hAnsi="宋体" w:cs="宋体" w:eastAsia="宋体" w:hint="default"/>
                <w:spacing w:val="-54"/>
                <w:sz w:val="18"/>
                <w:szCs w:val="18"/>
              </w:rPr>
              <w:t> </w:t>
            </w:r>
            <w:r>
              <w:rPr>
                <w:rFonts w:ascii="宋体" w:hAnsi="宋体" w:cs="宋体" w:eastAsia="宋体" w:hint="default"/>
                <w:sz w:val="18"/>
                <w:szCs w:val="18"/>
              </w:rPr>
              <w:t>5% </w:t>
            </w:r>
            <w:r>
              <w:rPr>
                <w:rFonts w:ascii="宋体" w:hAnsi="宋体" w:cs="宋体" w:eastAsia="宋体" w:hint="default"/>
                <w:sz w:val="18"/>
                <w:szCs w:val="18"/>
              </w:rPr>
              <w:t>的主要股东</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房租办 公用房</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房屋建 筑物</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7"/>
              <w:jc w:val="both"/>
              <w:rPr>
                <w:rFonts w:ascii="宋体" w:hAnsi="宋体" w:cs="宋体" w:eastAsia="宋体" w:hint="default"/>
                <w:sz w:val="18"/>
                <w:szCs w:val="18"/>
              </w:rPr>
            </w:pPr>
            <w:r>
              <w:rPr>
                <w:rFonts w:ascii="宋体" w:hAnsi="宋体" w:cs="宋体" w:eastAsia="宋体" w:hint="default"/>
                <w:sz w:val="18"/>
                <w:szCs w:val="18"/>
              </w:rPr>
              <w:t>价格以一般商业 条款作为定价基 础</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714.43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39.68%</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宋体" w:hAnsi="宋体" w:cs="宋体" w:eastAsia="宋体" w:hint="default"/>
                <w:sz w:val="18"/>
                <w:szCs w:val="18"/>
              </w:rPr>
            </w:pPr>
            <w:r>
              <w:rPr>
                <w:rFonts w:ascii="宋体"/>
                <w:sz w:val="18"/>
              </w:rPr>
              <w:t>714.43</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73"/>
              <w:jc w:val="center"/>
              <w:rPr>
                <w:rFonts w:ascii="宋体" w:hAnsi="宋体" w:cs="宋体" w:eastAsia="宋体" w:hint="default"/>
                <w:sz w:val="18"/>
                <w:szCs w:val="18"/>
              </w:rPr>
            </w:pPr>
            <w:r>
              <w:rPr>
                <w:rFonts w:ascii="宋体" w:hAnsi="宋体" w:cs="宋体" w:eastAsia="宋体" w:hint="default"/>
                <w:sz w:val="18"/>
                <w:szCs w:val="18"/>
              </w:rPr>
              <w:t>定期结算</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53"/>
              <w:jc w:val="left"/>
              <w:rPr>
                <w:rFonts w:ascii="宋体" w:hAnsi="宋体" w:cs="宋体" w:eastAsia="宋体" w:hint="default"/>
                <w:sz w:val="18"/>
                <w:szCs w:val="18"/>
              </w:rPr>
            </w:pPr>
            <w:r>
              <w:rPr>
                <w:rFonts w:ascii="宋体" w:hAnsi="宋体" w:cs="宋体" w:eastAsia="宋体" w:hint="default"/>
                <w:sz w:val="18"/>
                <w:szCs w:val="18"/>
              </w:rPr>
              <w:t>714.43</w:t>
            </w:r>
            <w:r>
              <w:rPr>
                <w:rFonts w:ascii="宋体" w:hAnsi="宋体" w:cs="宋体" w:eastAsia="宋体" w:hint="default"/>
                <w:spacing w:val="-46"/>
                <w:sz w:val="18"/>
                <w:szCs w:val="18"/>
              </w:rPr>
              <w:t> </w:t>
            </w:r>
            <w:r>
              <w:rPr>
                <w:rFonts w:ascii="宋体" w:hAnsi="宋体" w:cs="宋体" w:eastAsia="宋体" w:hint="default"/>
                <w:sz w:val="18"/>
                <w:szCs w:val="18"/>
              </w:rPr>
              <w:t>万 元</w:t>
            </w:r>
          </w:p>
        </w:tc>
        <w:tc>
          <w:tcPr>
            <w:tcW w:w="1134" w:type="dxa"/>
            <w:tcBorders>
              <w:top w:val="single" w:sz="4" w:space="0" w:color="000000"/>
              <w:left w:val="single" w:sz="4" w:space="0" w:color="000000"/>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8"/>
          <w:footerReference w:type="default" r:id="rId29"/>
          <w:pgSz w:w="16840" w:h="11910" w:orient="landscape"/>
          <w:pgMar w:header="867" w:footer="1187" w:top="1060" w:bottom="1460" w:left="1300" w:right="0"/>
          <w:pgNumType w:start="55"/>
        </w:sectPr>
      </w:pPr>
    </w:p>
    <w:p>
      <w:pPr>
        <w:spacing w:line="240" w:lineRule="auto" w:before="4"/>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060"/>
        <w:gridCol w:w="691"/>
        <w:gridCol w:w="1329"/>
        <w:gridCol w:w="685"/>
        <w:gridCol w:w="674"/>
        <w:gridCol w:w="675"/>
        <w:gridCol w:w="812"/>
        <w:gridCol w:w="851"/>
        <w:gridCol w:w="850"/>
        <w:gridCol w:w="1135"/>
        <w:gridCol w:w="3402"/>
      </w:tblGrid>
      <w:tr>
        <w:trPr>
          <w:trHeight w:val="416" w:hRule="exact"/>
        </w:trPr>
        <w:tc>
          <w:tcPr>
            <w:tcW w:w="306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sz w:val="18"/>
              </w:rPr>
              <w:t>--</w:t>
            </w:r>
          </w:p>
        </w:tc>
        <w:tc>
          <w:tcPr>
            <w:tcW w:w="132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sz w:val="18"/>
              </w:rPr>
              <w:t>--</w:t>
            </w:r>
          </w:p>
        </w:tc>
        <w:tc>
          <w:tcPr>
            <w:tcW w:w="685" w:type="dxa"/>
            <w:tcBorders>
              <w:top w:val="single" w:sz="15" w:space="0" w:color="000000"/>
              <w:left w:val="single" w:sz="13" w:space="0" w:color="D2D2D2"/>
              <w:bottom w:val="single" w:sz="4" w:space="0" w:color="000000"/>
              <w:right w:val="single" w:sz="4"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sz w:val="18"/>
              </w:rPr>
              <w:t>881.34</w:t>
            </w:r>
          </w:p>
        </w:tc>
        <w:tc>
          <w:tcPr>
            <w:tcW w:w="67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67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sz w:val="18"/>
              </w:rPr>
              <w:t>881.34</w:t>
            </w:r>
          </w:p>
        </w:tc>
        <w:tc>
          <w:tcPr>
            <w:tcW w:w="81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5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5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13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340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11105"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按类别对本期将发生的日常关联交易 </w:t>
            </w:r>
            <w:r>
              <w:rPr>
                <w:rFonts w:ascii="宋体" w:hAnsi="宋体" w:cs="宋体" w:eastAsia="宋体" w:hint="default"/>
                <w:spacing w:val="-3"/>
                <w:sz w:val="18"/>
                <w:szCs w:val="18"/>
              </w:rPr>
              <w:t>进行总金额预计的，在报告期内的实际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履行情况（如有）</w:t>
            </w:r>
          </w:p>
        </w:tc>
        <w:tc>
          <w:tcPr>
            <w:tcW w:w="11105"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7" w:right="79"/>
              <w:jc w:val="left"/>
              <w:rPr>
                <w:rFonts w:ascii="宋体" w:hAnsi="宋体" w:cs="宋体" w:eastAsia="宋体" w:hint="default"/>
                <w:sz w:val="18"/>
                <w:szCs w:val="18"/>
              </w:rPr>
            </w:pPr>
            <w:r>
              <w:rPr>
                <w:rFonts w:ascii="宋体" w:hAnsi="宋体" w:cs="宋体" w:eastAsia="宋体" w:hint="default"/>
                <w:sz w:val="18"/>
                <w:szCs w:val="18"/>
              </w:rPr>
              <w:t>公司与上述关联方日常关联交易的实际发生额小于预计金额，主要系公司根据客户需要选取相适应的广告投放渠道，在实际执行过程中因客 户实际需求的变化，公司适时的调整了相关媒体资源的选取，上述差异属于正常经营行为，对公司日常经营及业绩不会产生重大影响。</w:t>
            </w:r>
          </w:p>
        </w:tc>
      </w:tr>
      <w:tr>
        <w:trPr>
          <w:trHeight w:val="714"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7"/>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 原因（如适用）</w:t>
            </w:r>
          </w:p>
        </w:tc>
        <w:tc>
          <w:tcPr>
            <w:tcW w:w="11105"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6840" w:h="11910" w:orient="landscape"/>
          <w:pgMar w:header="867" w:footer="1187" w:top="1060" w:bottom="1380" w:left="1340" w:right="0"/>
        </w:sectPr>
      </w:pPr>
    </w:p>
    <w:p>
      <w:pPr>
        <w:spacing w:line="240" w:lineRule="auto" w:before="7"/>
        <w:rPr>
          <w:rFonts w:ascii="Times New Roman" w:hAnsi="Times New Roman" w:cs="Times New Roman" w:eastAsia="Times New Roman" w:hint="default"/>
          <w:sz w:val="23"/>
          <w:szCs w:val="23"/>
        </w:rPr>
      </w:pPr>
    </w:p>
    <w:p>
      <w:pPr>
        <w:pStyle w:val="Heading3"/>
        <w:spacing w:line="240" w:lineRule="auto" w:before="35"/>
        <w:ind w:left="153" w:right="0"/>
        <w:jc w:val="left"/>
        <w:rPr>
          <w:b w:val="0"/>
          <w:bCs w:val="0"/>
        </w:rPr>
      </w:pPr>
      <w:bookmarkStart w:name="2、资产或股权收购、出售发生的关联交易" w:id="84"/>
      <w:bookmarkEnd w:id="84"/>
      <w:r>
        <w:rPr>
          <w:b w:val="0"/>
          <w:bCs w:val="0"/>
        </w:rPr>
      </w:r>
      <w:r>
        <w:rPr>
          <w:rFonts w:ascii="宋体" w:hAnsi="宋体" w:cs="宋体" w:eastAsia="宋体" w:hint="default"/>
        </w:rPr>
        <w:t>2</w:t>
      </w:r>
      <w:r>
        <w:rPr/>
        <w:t>、资产或股权收购、出售发生的关联交易</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right="6432"/>
        <w:jc w:val="left"/>
      </w:pPr>
      <w:r>
        <w:rPr/>
        <w:t>□ 适用 √ 不适用 公司报告期未发生资产或股权收购、出售的关联交易。</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3、共同对外投资的关联交易" w:id="85"/>
      <w:bookmarkEnd w:id="85"/>
      <w:r>
        <w:rPr>
          <w:b w:val="0"/>
          <w:bCs w:val="0"/>
        </w:rPr>
      </w:r>
      <w:r>
        <w:rPr>
          <w:rFonts w:ascii="宋体" w:hAnsi="宋体" w:cs="宋体" w:eastAsia="宋体" w:hint="default"/>
        </w:rPr>
        <w:t>3</w:t>
      </w:r>
      <w:r>
        <w:rPr/>
        <w:t>、共同对外投资的关联交易</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77"/>
        <w:gridCol w:w="1073"/>
        <w:gridCol w:w="1076"/>
        <w:gridCol w:w="1224"/>
        <w:gridCol w:w="1080"/>
        <w:gridCol w:w="1350"/>
        <w:gridCol w:w="1347"/>
        <w:gridCol w:w="1342"/>
      </w:tblGrid>
      <w:tr>
        <w:trPr>
          <w:trHeight w:val="714" w:hRule="exact"/>
        </w:trPr>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2" w:right="83"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7" w:right="65"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5" w:right="83"/>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9" w:right="38" w:hanging="90"/>
              <w:jc w:val="left"/>
              <w:rPr>
                <w:rFonts w:ascii="宋体" w:hAnsi="宋体" w:cs="宋体" w:eastAsia="宋体" w:hint="default"/>
                <w:sz w:val="18"/>
                <w:szCs w:val="18"/>
              </w:rPr>
            </w:pPr>
            <w:r>
              <w:rPr>
                <w:rFonts w:ascii="宋体" w:hAnsi="宋体" w:cs="宋体" w:eastAsia="宋体" w:hint="default"/>
                <w:sz w:val="18"/>
                <w:szCs w:val="18"/>
              </w:rPr>
              <w:t>被投资企业的总 资产（万元）</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8" w:right="36" w:hanging="91"/>
              <w:jc w:val="left"/>
              <w:rPr>
                <w:rFonts w:ascii="宋体" w:hAnsi="宋体" w:cs="宋体" w:eastAsia="宋体" w:hint="default"/>
                <w:sz w:val="18"/>
                <w:szCs w:val="18"/>
              </w:rPr>
            </w:pPr>
            <w:r>
              <w:rPr>
                <w:rFonts w:ascii="宋体" w:hAnsi="宋体" w:cs="宋体" w:eastAsia="宋体" w:hint="default"/>
                <w:sz w:val="18"/>
                <w:szCs w:val="18"/>
              </w:rPr>
              <w:t>被投资企业的净 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6" w:right="35" w:hanging="90"/>
              <w:jc w:val="left"/>
              <w:rPr>
                <w:rFonts w:ascii="宋体" w:hAnsi="宋体" w:cs="宋体" w:eastAsia="宋体" w:hint="default"/>
                <w:sz w:val="18"/>
                <w:szCs w:val="18"/>
              </w:rPr>
            </w:pPr>
            <w:r>
              <w:rPr>
                <w:rFonts w:ascii="宋体" w:hAnsi="宋体" w:cs="宋体" w:eastAsia="宋体" w:hint="default"/>
                <w:sz w:val="18"/>
                <w:szCs w:val="18"/>
              </w:rPr>
              <w:t>被投资企业的净 利润（万元）</w:t>
            </w:r>
          </w:p>
        </w:tc>
      </w:tr>
      <w:tr>
        <w:trPr>
          <w:trHeight w:val="1026"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42"/>
              <w:jc w:val="left"/>
              <w:rPr>
                <w:rFonts w:ascii="宋体" w:hAnsi="宋体" w:cs="宋体" w:eastAsia="宋体" w:hint="default"/>
                <w:sz w:val="18"/>
                <w:szCs w:val="18"/>
              </w:rPr>
            </w:pPr>
            <w:r>
              <w:rPr>
                <w:rFonts w:ascii="宋体" w:hAnsi="宋体" w:cs="宋体" w:eastAsia="宋体" w:hint="default"/>
                <w:sz w:val="18"/>
                <w:szCs w:val="18"/>
              </w:rPr>
              <w:t>智度集团有 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持股超过</w:t>
            </w:r>
            <w:r>
              <w:rPr>
                <w:rFonts w:ascii="宋体" w:hAnsi="宋体" w:cs="宋体" w:eastAsia="宋体" w:hint="default"/>
                <w:spacing w:val="-46"/>
                <w:sz w:val="18"/>
                <w:szCs w:val="18"/>
              </w:rPr>
              <w:t> </w:t>
            </w:r>
            <w:r>
              <w:rPr>
                <w:rFonts w:ascii="宋体" w:hAnsi="宋体" w:cs="宋体" w:eastAsia="宋体" w:hint="default"/>
                <w:sz w:val="18"/>
                <w:szCs w:val="18"/>
              </w:rPr>
              <w:t>5% </w:t>
            </w:r>
            <w:r>
              <w:rPr>
                <w:rFonts w:ascii="宋体" w:hAnsi="宋体" w:cs="宋体" w:eastAsia="宋体" w:hint="default"/>
                <w:sz w:val="18"/>
                <w:szCs w:val="18"/>
              </w:rPr>
              <w:t>的主要股东</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3"/>
              <w:jc w:val="both"/>
              <w:rPr>
                <w:rFonts w:ascii="宋体" w:hAnsi="宋体" w:cs="宋体" w:eastAsia="宋体" w:hint="default"/>
                <w:sz w:val="18"/>
                <w:szCs w:val="18"/>
              </w:rPr>
            </w:pPr>
            <w:r>
              <w:rPr>
                <w:rFonts w:ascii="宋体" w:hAnsi="宋体" w:cs="宋体" w:eastAsia="宋体" w:hint="default"/>
                <w:sz w:val="18"/>
                <w:szCs w:val="18"/>
              </w:rPr>
              <w:t>广州市智度 商业保理有 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4" w:right="0"/>
              <w:jc w:val="left"/>
              <w:rPr>
                <w:rFonts w:ascii="宋体" w:hAnsi="宋体" w:cs="宋体" w:eastAsia="宋体" w:hint="default"/>
                <w:sz w:val="18"/>
                <w:szCs w:val="18"/>
              </w:rPr>
            </w:pPr>
            <w:r>
              <w:rPr>
                <w:rFonts w:ascii="宋体" w:hAnsi="宋体" w:cs="宋体" w:eastAsia="宋体" w:hint="default"/>
                <w:sz w:val="18"/>
                <w:szCs w:val="18"/>
              </w:rPr>
              <w:t>商业保</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理业务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3" w:right="0"/>
              <w:jc w:val="left"/>
              <w:rPr>
                <w:rFonts w:ascii="宋体" w:hAnsi="宋体" w:cs="宋体" w:eastAsia="宋体" w:hint="default"/>
                <w:sz w:val="18"/>
                <w:szCs w:val="18"/>
              </w:rPr>
            </w:pPr>
            <w:r>
              <w:rPr>
                <w:rFonts w:ascii="宋体"/>
                <w:sz w:val="18"/>
              </w:rPr>
              <w:t>5,000</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w:t>
            </w:r>
          </w:p>
        </w:tc>
      </w:tr>
      <w:tr>
        <w:trPr>
          <w:trHeight w:val="1026" w:hRule="exact"/>
        </w:trPr>
        <w:tc>
          <w:tcPr>
            <w:tcW w:w="21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5"/>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1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日与智度集团有限公司在广州共同设立广州市智度商业保理有限公司，</w:t>
            </w:r>
          </w:p>
          <w:p>
            <w:pPr>
              <w:pStyle w:val="TableParagraph"/>
              <w:spacing w:line="319" w:lineRule="auto" w:before="75"/>
              <w:ind w:left="22" w:right="50"/>
              <w:jc w:val="left"/>
              <w:rPr>
                <w:rFonts w:ascii="宋体" w:hAnsi="宋体" w:cs="宋体" w:eastAsia="宋体" w:hint="default"/>
                <w:sz w:val="18"/>
                <w:szCs w:val="18"/>
              </w:rPr>
            </w:pPr>
            <w:r>
              <w:rPr>
                <w:rFonts w:ascii="宋体" w:hAnsi="宋体" w:cs="宋体" w:eastAsia="宋体" w:hint="default"/>
                <w:sz w:val="18"/>
                <w:szCs w:val="18"/>
              </w:rPr>
              <w:t>注册资本</w:t>
            </w:r>
            <w:r>
              <w:rPr>
                <w:rFonts w:ascii="宋体" w:hAnsi="宋体" w:cs="宋体" w:eastAsia="宋体" w:hint="default"/>
                <w:spacing w:val="-46"/>
                <w:sz w:val="18"/>
                <w:szCs w:val="18"/>
              </w:rPr>
              <w:t> </w:t>
            </w:r>
            <w:r>
              <w:rPr>
                <w:rFonts w:ascii="宋体" w:hAnsi="宋体" w:cs="宋体" w:eastAsia="宋体" w:hint="default"/>
                <w:sz w:val="18"/>
                <w:szCs w:val="18"/>
              </w:rPr>
              <w:t>5,000.00</w:t>
            </w:r>
            <w:r>
              <w:rPr>
                <w:rFonts w:ascii="宋体" w:hAnsi="宋体" w:cs="宋体" w:eastAsia="宋体" w:hint="default"/>
                <w:spacing w:val="-46"/>
                <w:sz w:val="18"/>
                <w:szCs w:val="18"/>
              </w:rPr>
              <w:t> </w:t>
            </w:r>
            <w:r>
              <w:rPr>
                <w:rFonts w:ascii="宋体" w:hAnsi="宋体" w:cs="宋体" w:eastAsia="宋体" w:hint="default"/>
                <w:sz w:val="18"/>
                <w:szCs w:val="18"/>
              </w:rPr>
              <w:t>万元，其中，公司持股比例</w:t>
            </w:r>
            <w:r>
              <w:rPr>
                <w:rFonts w:ascii="宋体" w:hAnsi="宋体" w:cs="宋体" w:eastAsia="宋体" w:hint="default"/>
                <w:spacing w:val="-46"/>
                <w:sz w:val="18"/>
                <w:szCs w:val="18"/>
              </w:rPr>
              <w:t> </w:t>
            </w:r>
            <w:r>
              <w:rPr>
                <w:rFonts w:ascii="宋体" w:hAnsi="宋体" w:cs="宋体" w:eastAsia="宋体" w:hint="default"/>
                <w:sz w:val="18"/>
                <w:szCs w:val="18"/>
              </w:rPr>
              <w:t>60%</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日尚未实缴注册资 本金。</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关联债权债务往来" w:id="86"/>
      <w:bookmarkEnd w:id="86"/>
      <w:r>
        <w:rPr>
          <w:b w:val="0"/>
          <w:bCs w:val="0"/>
        </w:rPr>
      </w:r>
      <w:r>
        <w:rPr>
          <w:rFonts w:ascii="宋体" w:hAnsi="宋体" w:cs="宋体" w:eastAsia="宋体" w:hint="default"/>
        </w:rPr>
        <w:t>4</w:t>
      </w:r>
      <w:r>
        <w:rPr/>
        <w:t>、关联债权债务往来</w:t>
      </w:r>
      <w:r>
        <w:rPr>
          <w:b w:val="0"/>
          <w:bCs w:val="0"/>
        </w:rPr>
      </w:r>
    </w:p>
    <w:p>
      <w:pPr>
        <w:spacing w:line="240" w:lineRule="auto" w:before="11"/>
        <w:rPr>
          <w:rFonts w:ascii="宋体" w:hAnsi="宋体" w:cs="宋体" w:eastAsia="宋体" w:hint="default"/>
          <w:b/>
          <w:bCs/>
          <w:sz w:val="27"/>
          <w:szCs w:val="27"/>
        </w:rPr>
      </w:pPr>
    </w:p>
    <w:p>
      <w:pPr>
        <w:pStyle w:val="BodyText"/>
        <w:spacing w:line="360" w:lineRule="auto"/>
        <w:ind w:right="7872"/>
        <w:jc w:val="left"/>
      </w:pPr>
      <w:r>
        <w:rPr/>
        <w:t>√ 适用 □ 不适用 是否存在非经营性关联债权债务往来</w:t>
      </w:r>
    </w:p>
    <w:p>
      <w:pPr>
        <w:pStyle w:val="BodyText"/>
        <w:spacing w:line="357" w:lineRule="auto" w:before="26"/>
        <w:ind w:left="153" w:right="9493"/>
        <w:jc w:val="left"/>
      </w:pPr>
      <w:r>
        <w:rPr/>
        <w:t>√ 是 □ 否 应收关联方债权</w:t>
      </w:r>
    </w:p>
    <w:tbl>
      <w:tblPr>
        <w:tblW w:w="0" w:type="auto"/>
        <w:jc w:val="left"/>
        <w:tblInd w:w="149" w:type="dxa"/>
        <w:tblLayout w:type="fixed"/>
        <w:tblCellMar>
          <w:top w:w="0" w:type="dxa"/>
          <w:left w:w="0" w:type="dxa"/>
          <w:bottom w:w="0" w:type="dxa"/>
          <w:right w:w="0" w:type="dxa"/>
        </w:tblCellMar>
        <w:tblLook w:val="01E0"/>
      </w:tblPr>
      <w:tblGrid>
        <w:gridCol w:w="935"/>
        <w:gridCol w:w="944"/>
        <w:gridCol w:w="956"/>
        <w:gridCol w:w="958"/>
        <w:gridCol w:w="956"/>
        <w:gridCol w:w="958"/>
        <w:gridCol w:w="956"/>
        <w:gridCol w:w="958"/>
        <w:gridCol w:w="956"/>
        <w:gridCol w:w="991"/>
      </w:tblGrid>
      <w:tr>
        <w:trPr>
          <w:trHeight w:val="1026"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6"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2"/>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本期收回金 额（万元）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3"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6"/>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6"/>
              <w:ind w:left="130"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1338"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80"/>
              <w:jc w:val="both"/>
              <w:rPr>
                <w:rFonts w:ascii="宋体" w:hAnsi="宋体" w:cs="宋体" w:eastAsia="宋体" w:hint="default"/>
                <w:sz w:val="18"/>
                <w:szCs w:val="18"/>
              </w:rPr>
            </w:pPr>
            <w:r>
              <w:rPr>
                <w:rFonts w:ascii="宋体" w:hAnsi="宋体" w:cs="宋体" w:eastAsia="宋体" w:hint="default"/>
                <w:sz w:val="18"/>
                <w:szCs w:val="18"/>
              </w:rPr>
              <w:t>深圳市隽 川科技有 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子公司关 键管理人 员控制的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1.13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1.13</w:t>
            </w: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罗川</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其他关联 自然人</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过渡期损益 业绩补偿</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43.01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43.01</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缪志坚</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其他关联 自然人</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过渡期损益 业绩补偿</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8.66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8.66</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徐锋</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其他关联 自然人</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过渡期损益 业绩补偿</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10.55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10.55</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3"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袁聪</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关键管理 人员</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过渡期损益 业绩补偿</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24.07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24.07</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986"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0"/>
              <w:jc w:val="both"/>
              <w:rPr>
                <w:rFonts w:ascii="宋体" w:hAnsi="宋体" w:cs="宋体" w:eastAsia="宋体" w:hint="default"/>
                <w:sz w:val="18"/>
                <w:szCs w:val="18"/>
              </w:rPr>
            </w:pPr>
            <w:r>
              <w:rPr>
                <w:rFonts w:ascii="宋体" w:hAnsi="宋体" w:cs="宋体" w:eastAsia="宋体" w:hint="default"/>
                <w:sz w:val="18"/>
                <w:szCs w:val="18"/>
              </w:rPr>
              <w:t>北京盈聚 思成投资 管理中心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1"/>
              <w:jc w:val="both"/>
              <w:rPr>
                <w:rFonts w:ascii="宋体" w:hAnsi="宋体" w:cs="宋体" w:eastAsia="宋体" w:hint="default"/>
                <w:sz w:val="18"/>
                <w:szCs w:val="18"/>
              </w:rPr>
            </w:pPr>
            <w:r>
              <w:rPr>
                <w:rFonts w:ascii="宋体" w:hAnsi="宋体" w:cs="宋体" w:eastAsia="宋体" w:hint="default"/>
                <w:sz w:val="18"/>
                <w:szCs w:val="18"/>
              </w:rPr>
              <w:t>本公司关 键管理人 员任职的</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过渡期损益 业绩补偿</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0"/>
              <w:jc w:val="right"/>
              <w:rPr>
                <w:rFonts w:ascii="宋体" w:hAnsi="宋体" w:cs="宋体" w:eastAsia="宋体" w:hint="default"/>
                <w:sz w:val="18"/>
                <w:szCs w:val="18"/>
              </w:rPr>
            </w:pPr>
            <w:r>
              <w:rPr>
                <w:rFonts w:ascii="宋体"/>
                <w:sz w:val="18"/>
              </w:rPr>
              <w:t>15.15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0"/>
              <w:jc w:val="right"/>
              <w:rPr>
                <w:rFonts w:ascii="宋体" w:hAnsi="宋体" w:cs="宋体" w:eastAsia="宋体" w:hint="default"/>
                <w:sz w:val="18"/>
                <w:szCs w:val="18"/>
              </w:rPr>
            </w:pPr>
            <w:r>
              <w:rPr>
                <w:rFonts w:ascii="宋体"/>
                <w:sz w:val="18"/>
              </w:rPr>
              <w:t>15.15</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headerReference w:type="default" r:id="rId30"/>
          <w:footerReference w:type="default" r:id="rId31"/>
          <w:pgSz w:w="11910" w:h="16840"/>
          <w:pgMar w:header="877" w:footer="1187" w:top="1100" w:bottom="1380" w:left="980" w:right="0"/>
          <w:pgNumType w:start="57"/>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935"/>
        <w:gridCol w:w="944"/>
        <w:gridCol w:w="956"/>
        <w:gridCol w:w="958"/>
        <w:gridCol w:w="956"/>
        <w:gridCol w:w="958"/>
        <w:gridCol w:w="956"/>
        <w:gridCol w:w="958"/>
        <w:gridCol w:w="956"/>
        <w:gridCol w:w="991"/>
      </w:tblGrid>
      <w:tr>
        <w:trPr>
          <w:trHeight w:val="674"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80"/>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关联债权对公司经营成 果及财务状况的影响</w:t>
            </w:r>
          </w:p>
        </w:tc>
        <w:tc>
          <w:tcPr>
            <w:tcW w:w="769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未对公司经营产生影响。</w:t>
            </w:r>
          </w:p>
        </w:tc>
      </w:tr>
    </w:tbl>
    <w:p>
      <w:pPr>
        <w:pStyle w:val="BodyText"/>
        <w:spacing w:line="240" w:lineRule="auto" w:before="51"/>
        <w:ind w:right="0"/>
        <w:jc w:val="left"/>
      </w:pPr>
      <w:r>
        <w:rPr/>
        <w:t>应付关联方债务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56"/>
        <w:gridCol w:w="1038"/>
        <w:gridCol w:w="1045"/>
        <w:gridCol w:w="1044"/>
        <w:gridCol w:w="1044"/>
        <w:gridCol w:w="1044"/>
        <w:gridCol w:w="1044"/>
        <w:gridCol w:w="1044"/>
        <w:gridCol w:w="1109"/>
      </w:tblGrid>
      <w:tr>
        <w:trPr>
          <w:trHeight w:val="714" w:hRule="exact"/>
        </w:trPr>
        <w:tc>
          <w:tcPr>
            <w:tcW w:w="1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6"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5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6" w:right="66"/>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6" w:right="66"/>
              <w:jc w:val="left"/>
              <w:rPr>
                <w:rFonts w:ascii="宋体" w:hAnsi="宋体" w:cs="宋体" w:eastAsia="宋体" w:hint="default"/>
                <w:sz w:val="18"/>
                <w:szCs w:val="18"/>
              </w:rPr>
            </w:pPr>
            <w:r>
              <w:rPr>
                <w:rFonts w:ascii="宋体" w:hAnsi="宋体" w:cs="宋体" w:eastAsia="宋体" w:hint="default"/>
                <w:sz w:val="18"/>
                <w:szCs w:val="18"/>
              </w:rPr>
              <w:t>本期归还金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6"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6"/>
              <w:ind w:left="15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68" w:right="21" w:hanging="346"/>
              <w:jc w:val="left"/>
              <w:rPr>
                <w:rFonts w:ascii="宋体" w:hAnsi="宋体" w:cs="宋体" w:eastAsia="宋体" w:hint="default"/>
                <w:sz w:val="18"/>
                <w:szCs w:val="18"/>
              </w:rPr>
            </w:pPr>
            <w:r>
              <w:rPr>
                <w:rFonts w:ascii="宋体" w:hAnsi="宋体" w:cs="宋体" w:eastAsia="宋体" w:hint="default"/>
                <w:spacing w:val="-5"/>
                <w:sz w:val="18"/>
                <w:szCs w:val="18"/>
              </w:rPr>
              <w:t>期末余额（万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元）</w:t>
            </w:r>
          </w:p>
        </w:tc>
      </w:tr>
      <w:tr>
        <w:trPr>
          <w:trHeight w:val="1026" w:hRule="exact"/>
        </w:trPr>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智度德普股权 投资（香港） 有限公司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02"/>
              <w:jc w:val="left"/>
              <w:rPr>
                <w:rFonts w:ascii="宋体" w:hAnsi="宋体" w:cs="宋体" w:eastAsia="宋体" w:hint="default"/>
                <w:sz w:val="18"/>
                <w:szCs w:val="18"/>
              </w:rPr>
            </w:pPr>
            <w:r>
              <w:rPr>
                <w:rFonts w:ascii="宋体" w:hAnsi="宋体" w:cs="宋体" w:eastAsia="宋体" w:hint="default"/>
                <w:sz w:val="18"/>
                <w:szCs w:val="18"/>
              </w:rPr>
              <w:t>控股股东之 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20,164.82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-526.89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20,086.28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5.20%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448.35</w:t>
            </w: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1"/>
              <w:jc w:val="left"/>
              <w:rPr>
                <w:rFonts w:ascii="宋体" w:hAnsi="宋体" w:cs="宋体" w:eastAsia="宋体" w:hint="default"/>
                <w:sz w:val="18"/>
                <w:szCs w:val="18"/>
              </w:rPr>
            </w:pPr>
            <w:r>
              <w:rPr>
                <w:rFonts w:ascii="宋体"/>
                <w:sz w:val="18"/>
              </w:rPr>
              <w:t>Rodrigo Sales</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2"/>
              <w:jc w:val="left"/>
              <w:rPr>
                <w:rFonts w:ascii="宋体" w:hAnsi="宋体" w:cs="宋体" w:eastAsia="宋体" w:hint="default"/>
                <w:sz w:val="18"/>
                <w:szCs w:val="18"/>
              </w:rPr>
            </w:pPr>
            <w:r>
              <w:rPr>
                <w:rFonts w:ascii="宋体" w:hAnsi="宋体" w:cs="宋体" w:eastAsia="宋体" w:hint="default"/>
                <w:sz w:val="18"/>
                <w:szCs w:val="18"/>
              </w:rPr>
              <w:t>子公司的关 键管理人员</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2,215.81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-128.64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109.2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5.00%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106.03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2,084</w:t>
            </w:r>
          </w:p>
        </w:tc>
      </w:tr>
      <w:tr>
        <w:trPr>
          <w:trHeight w:val="1026" w:hRule="exact"/>
        </w:trPr>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sz w:val="18"/>
              </w:rPr>
              <w:t>MichaelLevit</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2"/>
              <w:jc w:val="both"/>
              <w:rPr>
                <w:rFonts w:ascii="宋体" w:hAnsi="宋体" w:cs="宋体" w:eastAsia="宋体" w:hint="default"/>
                <w:sz w:val="18"/>
                <w:szCs w:val="18"/>
              </w:rPr>
            </w:pPr>
            <w:r>
              <w:rPr>
                <w:rFonts w:ascii="宋体" w:hAnsi="宋体" w:cs="宋体" w:eastAsia="宋体" w:hint="default"/>
                <w:sz w:val="18"/>
                <w:szCs w:val="18"/>
              </w:rPr>
              <w:t>原子公司的 关键管理人 员</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1,125.34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-65.19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55.47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5.00%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53.86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1,058.54</w:t>
            </w:r>
          </w:p>
        </w:tc>
      </w:tr>
      <w:tr>
        <w:trPr>
          <w:trHeight w:val="714" w:hRule="exact"/>
        </w:trPr>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RyanStephens</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2"/>
              <w:jc w:val="left"/>
              <w:rPr>
                <w:rFonts w:ascii="宋体" w:hAnsi="宋体" w:cs="宋体" w:eastAsia="宋体" w:hint="default"/>
                <w:sz w:val="18"/>
                <w:szCs w:val="18"/>
              </w:rPr>
            </w:pPr>
            <w:r>
              <w:rPr>
                <w:rFonts w:ascii="宋体" w:hAnsi="宋体" w:cs="宋体" w:eastAsia="宋体" w:hint="default"/>
                <w:sz w:val="18"/>
                <w:szCs w:val="18"/>
              </w:rPr>
              <w:t>子公司的关 键管理人员</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175.88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-10.22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8.67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5.00%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8.41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165.4</w:t>
            </w:r>
          </w:p>
        </w:tc>
      </w:tr>
      <w:tr>
        <w:trPr>
          <w:trHeight w:val="714" w:hRule="exact"/>
        </w:trPr>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智度德普有限 合伙</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50,412.63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4.35%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412.63</w:t>
            </w: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上海易晋网络 科技有限公司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2"/>
              <w:jc w:val="both"/>
              <w:rPr>
                <w:rFonts w:ascii="宋体" w:hAnsi="宋体" w:cs="宋体" w:eastAsia="宋体" w:hint="default"/>
                <w:sz w:val="18"/>
                <w:szCs w:val="18"/>
              </w:rPr>
            </w:pPr>
            <w:r>
              <w:rPr>
                <w:rFonts w:ascii="宋体" w:hAnsi="宋体" w:cs="宋体" w:eastAsia="宋体" w:hint="default"/>
                <w:sz w:val="18"/>
                <w:szCs w:val="18"/>
              </w:rPr>
              <w:t>本公司关键 管理人员控 制的公司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2,700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2,725.87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4.35%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25.87</w:t>
            </w: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2"/>
              <w:jc w:val="left"/>
              <w:rPr>
                <w:rFonts w:ascii="宋体" w:hAnsi="宋体" w:cs="宋体" w:eastAsia="宋体" w:hint="default"/>
                <w:sz w:val="18"/>
                <w:szCs w:val="18"/>
              </w:rPr>
            </w:pPr>
            <w:r>
              <w:rPr>
                <w:rFonts w:ascii="宋体" w:hAnsi="宋体" w:cs="宋体" w:eastAsia="宋体" w:hint="default"/>
                <w:sz w:val="18"/>
                <w:szCs w:val="18"/>
              </w:rPr>
              <w:t>关键管理人 员</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8,900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8,900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4.35%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11.54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11.54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其他重大关联交易" w:id="87"/>
      <w:bookmarkEnd w:id="87"/>
      <w:r>
        <w:rPr>
          <w:b w:val="0"/>
          <w:bCs w:val="0"/>
        </w:rPr>
      </w:r>
      <w:r>
        <w:rPr>
          <w:rFonts w:ascii="宋体" w:hAnsi="宋体" w:cs="宋体" w:eastAsia="宋体" w:hint="default"/>
        </w:rPr>
        <w:t>5</w:t>
      </w:r>
      <w:r>
        <w:rPr/>
        <w:t>、其他重大关联交易</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2"/>
        <w:rPr>
          <w:rFonts w:ascii="宋体" w:hAnsi="宋体" w:cs="宋体" w:eastAsia="宋体" w:hint="default"/>
          <w:sz w:val="14"/>
          <w:szCs w:val="14"/>
        </w:rPr>
      </w:pPr>
    </w:p>
    <w:p>
      <w:pPr>
        <w:pStyle w:val="BodyText"/>
        <w:spacing w:line="240" w:lineRule="auto"/>
        <w:ind w:right="0"/>
        <w:jc w:val="left"/>
      </w:pPr>
      <w:r>
        <w:rPr/>
        <w:t>（</w:t>
      </w:r>
      <w:r>
        <w:rPr>
          <w:rFonts w:ascii="宋体" w:hAnsi="宋体" w:cs="宋体" w:eastAsia="宋体" w:hint="default"/>
        </w:rPr>
        <w:t>1</w:t>
      </w:r>
      <w:r>
        <w:rPr/>
        <w:t>）应收关联方款项</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557"/>
        <w:gridCol w:w="3506"/>
        <w:gridCol w:w="1434"/>
        <w:gridCol w:w="921"/>
        <w:gridCol w:w="1310"/>
        <w:gridCol w:w="853"/>
      </w:tblGrid>
      <w:tr>
        <w:trPr>
          <w:trHeight w:val="342" w:hRule="exact"/>
        </w:trPr>
        <w:tc>
          <w:tcPr>
            <w:tcW w:w="1557" w:type="dxa"/>
            <w:vMerge w:val="restart"/>
            <w:tcBorders>
              <w:top w:val="single" w:sz="4" w:space="0" w:color="000000"/>
              <w:left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3506" w:type="dxa"/>
            <w:vMerge w:val="restart"/>
            <w:tcBorders>
              <w:top w:val="single" w:sz="4" w:space="0" w:color="000000"/>
              <w:left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3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21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r>
        <w:trPr>
          <w:trHeight w:val="342" w:hRule="exact"/>
        </w:trPr>
        <w:tc>
          <w:tcPr>
            <w:tcW w:w="1557" w:type="dxa"/>
            <w:vMerge/>
            <w:tcBorders>
              <w:left w:val="single" w:sz="4" w:space="0" w:color="000000"/>
              <w:bottom w:val="single" w:sz="4" w:space="0" w:color="000000"/>
              <w:right w:val="single" w:sz="4" w:space="0" w:color="000000"/>
            </w:tcBorders>
          </w:tcPr>
          <w:p>
            <w:pPr/>
          </w:p>
        </w:tc>
        <w:tc>
          <w:tcPr>
            <w:tcW w:w="3506" w:type="dxa"/>
            <w:vMerge/>
            <w:tcBorders>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sz w:val="18"/>
                <w:szCs w:val="18"/>
              </w:rPr>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hAnsi="宋体" w:cs="宋体" w:eastAsia="宋体" w:hint="default"/>
                <w:b/>
                <w:bCs/>
                <w:w w:val="95"/>
                <w:sz w:val="18"/>
                <w:szCs w:val="18"/>
              </w:rPr>
              <w:t>坏账准备</w:t>
            </w:r>
            <w:r>
              <w:rPr>
                <w:rFonts w:ascii="宋体" w:hAnsi="宋体" w:cs="宋体" w:eastAsia="宋体" w:hint="default"/>
                <w:sz w:val="18"/>
                <w:szCs w:val="18"/>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sz w:val="18"/>
                <w:szCs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hAnsi="宋体" w:cs="宋体" w:eastAsia="宋体" w:hint="default"/>
                <w:b/>
                <w:bCs/>
                <w:w w:val="95"/>
                <w:sz w:val="18"/>
                <w:szCs w:val="18"/>
              </w:rPr>
              <w:t>坏账准备</w:t>
            </w:r>
            <w:r>
              <w:rPr>
                <w:rFonts w:ascii="宋体" w:hAnsi="宋体" w:cs="宋体" w:eastAsia="宋体" w:hint="default"/>
                <w:sz w:val="18"/>
                <w:szCs w:val="18"/>
              </w:rPr>
            </w:r>
          </w:p>
        </w:tc>
      </w:tr>
      <w:tr>
        <w:trPr>
          <w:trHeight w:val="342" w:hRule="exact"/>
        </w:trPr>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福建风灵创景科技有限公司</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21,882.42</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145,131.92</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r>
    </w:tbl>
    <w:p>
      <w:pPr>
        <w:spacing w:line="240" w:lineRule="auto" w:before="8"/>
        <w:rPr>
          <w:rFonts w:ascii="宋体" w:hAnsi="宋体" w:cs="宋体" w:eastAsia="宋体" w:hint="default"/>
          <w:sz w:val="6"/>
          <w:szCs w:val="6"/>
        </w:rPr>
      </w:pPr>
    </w:p>
    <w:p>
      <w:pPr>
        <w:pStyle w:val="BodyText"/>
        <w:spacing w:line="240" w:lineRule="auto" w:before="44"/>
        <w:ind w:right="0"/>
        <w:jc w:val="left"/>
      </w:pPr>
      <w:r>
        <w:rPr/>
        <w:t>（</w:t>
      </w:r>
      <w:r>
        <w:rPr>
          <w:rFonts w:ascii="宋体" w:hAnsi="宋体" w:cs="宋体" w:eastAsia="宋体" w:hint="default"/>
        </w:rPr>
        <w:t>2</w:t>
      </w:r>
      <w:r>
        <w:rPr/>
        <w:t>）应付关联方款项</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524"/>
        <w:gridCol w:w="3202"/>
        <w:gridCol w:w="1731"/>
        <w:gridCol w:w="2167"/>
      </w:tblGrid>
      <w:tr>
        <w:trPr>
          <w:trHeight w:val="346" w:hRule="exact"/>
        </w:trPr>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r>
        <w:trPr>
          <w:trHeight w:val="344" w:hRule="exact"/>
        </w:trPr>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福建风灵创景科技有限公司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64,091.49</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244,469.20</w:t>
            </w:r>
          </w:p>
        </w:tc>
      </w:tr>
      <w:tr>
        <w:trPr>
          <w:trHeight w:val="346" w:hRule="exact"/>
        </w:trPr>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福建智度科技有限公司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29,780.00</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r>
      <w:tr>
        <w:trPr>
          <w:trHeight w:val="344" w:hRule="exact"/>
        </w:trPr>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福建风灵创景科技有限公司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11,118.26</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r>
      <w:tr>
        <w:trPr>
          <w:trHeight w:val="360" w:hRule="exact"/>
        </w:trPr>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深圳市思达仪表有限公司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3,948,241.75</w:t>
            </w:r>
          </w:p>
        </w:tc>
      </w:tr>
      <w:tr>
        <w:trPr>
          <w:trHeight w:val="342" w:hRule="exact"/>
        </w:trPr>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Rodrigo Sales</w:t>
            </w:r>
            <w:r>
              <w:rPr>
                <w:rFonts w:ascii="宋体" w:hAnsi="宋体" w:cs="宋体" w:eastAsia="宋体" w:hint="default"/>
                <w:sz w:val="18"/>
                <w:szCs w:val="18"/>
              </w:rPr>
              <w:t>等原股东</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299,191,739.44</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587,934,682.65</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524"/>
        <w:gridCol w:w="3202"/>
        <w:gridCol w:w="1731"/>
        <w:gridCol w:w="2167"/>
      </w:tblGrid>
      <w:tr>
        <w:trPr>
          <w:trHeight w:val="346" w:hRule="exact"/>
        </w:trPr>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Rodrigo Sales</w:t>
            </w:r>
            <w:r>
              <w:rPr>
                <w:rFonts w:ascii="宋体" w:hAnsi="宋体" w:cs="宋体" w:eastAsia="宋体" w:hint="default"/>
                <w:sz w:val="18"/>
                <w:szCs w:val="18"/>
              </w:rPr>
              <w:t>等原股东</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54" w:right="0"/>
              <w:jc w:val="left"/>
              <w:rPr>
                <w:rFonts w:ascii="宋体" w:hAnsi="宋体" w:cs="宋体" w:eastAsia="宋体" w:hint="default"/>
                <w:sz w:val="18"/>
                <w:szCs w:val="18"/>
              </w:rPr>
            </w:pPr>
            <w:r>
              <w:rPr>
                <w:rFonts w:ascii="宋体"/>
                <w:sz w:val="18"/>
              </w:rPr>
              <w:t>254,604,253.55</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92" w:right="0"/>
              <w:jc w:val="left"/>
              <w:rPr>
                <w:rFonts w:ascii="宋体" w:hAnsi="宋体" w:cs="宋体" w:eastAsia="宋体" w:hint="default"/>
                <w:sz w:val="18"/>
                <w:szCs w:val="18"/>
              </w:rPr>
            </w:pPr>
            <w:r>
              <w:rPr>
                <w:rFonts w:ascii="宋体"/>
                <w:sz w:val="18"/>
              </w:rPr>
              <w:t>203,061,459.51</w:t>
            </w:r>
          </w:p>
        </w:tc>
      </w:tr>
    </w:tbl>
    <w:p>
      <w:pPr>
        <w:spacing w:line="240" w:lineRule="auto" w:before="8"/>
        <w:rPr>
          <w:rFonts w:ascii="宋体" w:hAnsi="宋体" w:cs="宋体" w:eastAsia="宋体" w:hint="default"/>
          <w:sz w:val="6"/>
          <w:szCs w:val="6"/>
        </w:rPr>
      </w:pPr>
    </w:p>
    <w:p>
      <w:pPr>
        <w:pStyle w:val="BodyText"/>
        <w:spacing w:line="240" w:lineRule="auto" w:before="44"/>
        <w:ind w:right="0"/>
        <w:jc w:val="left"/>
      </w:pPr>
      <w:r>
        <w:rPr/>
        <w:t>（</w:t>
      </w:r>
      <w:r>
        <w:rPr>
          <w:rFonts w:ascii="宋体" w:hAnsi="宋体" w:cs="宋体" w:eastAsia="宋体" w:hint="default"/>
        </w:rPr>
        <w:t>3</w:t>
      </w:r>
      <w:r>
        <w:rPr/>
        <w:t>）关联方资产转让、债务重组情况</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444"/>
        <w:gridCol w:w="2273"/>
        <w:gridCol w:w="1727"/>
        <w:gridCol w:w="2165"/>
      </w:tblGrid>
      <w:tr>
        <w:trPr>
          <w:trHeight w:val="342" w:hRule="exact"/>
        </w:trPr>
        <w:tc>
          <w:tcPr>
            <w:tcW w:w="3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关联交易内容</w:t>
            </w:r>
            <w:r>
              <w:rPr>
                <w:rFonts w:ascii="宋体" w:hAnsi="宋体" w:cs="宋体" w:eastAsia="宋体" w:hint="default"/>
                <w:sz w:val="18"/>
                <w:szCs w:val="18"/>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b/>
                <w:bCs/>
                <w:w w:val="95"/>
                <w:sz w:val="18"/>
                <w:szCs w:val="18"/>
              </w:rPr>
              <w:t>本期发生额</w:t>
            </w:r>
            <w:r>
              <w:rPr>
                <w:rFonts w:ascii="宋体" w:hAnsi="宋体" w:cs="宋体" w:eastAsia="宋体" w:hint="default"/>
                <w:sz w:val="18"/>
                <w:szCs w:val="18"/>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b/>
                <w:bCs/>
                <w:w w:val="95"/>
                <w:sz w:val="18"/>
                <w:szCs w:val="18"/>
              </w:rPr>
              <w:t>上期发生额</w:t>
            </w:r>
            <w:r>
              <w:rPr>
                <w:rFonts w:ascii="宋体" w:hAnsi="宋体" w:cs="宋体" w:eastAsia="宋体" w:hint="default"/>
                <w:sz w:val="18"/>
                <w:szCs w:val="18"/>
              </w:rPr>
            </w:r>
          </w:p>
        </w:tc>
      </w:tr>
      <w:tr>
        <w:trPr>
          <w:trHeight w:val="342" w:hRule="exact"/>
        </w:trPr>
        <w:tc>
          <w:tcPr>
            <w:tcW w:w="3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深圳市思达高科投资有限公司</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出售股权</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right"/>
              <w:rPr>
                <w:rFonts w:ascii="宋体" w:hAnsi="宋体" w:cs="宋体" w:eastAsia="宋体" w:hint="default"/>
                <w:sz w:val="15"/>
                <w:szCs w:val="15"/>
              </w:rPr>
            </w:pPr>
            <w:r>
              <w:rPr>
                <w:rFonts w:ascii="宋体"/>
                <w:sz w:val="15"/>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
              <w:jc w:val="right"/>
              <w:rPr>
                <w:rFonts w:ascii="宋体" w:hAnsi="宋体" w:cs="宋体" w:eastAsia="宋体" w:hint="default"/>
                <w:sz w:val="15"/>
                <w:szCs w:val="15"/>
              </w:rPr>
            </w:pPr>
            <w:r>
              <w:rPr>
                <w:rFonts w:ascii="宋体"/>
                <w:spacing w:val="-1"/>
                <w:sz w:val="15"/>
              </w:rPr>
              <w:t>144,151,488.12</w:t>
            </w:r>
          </w:p>
        </w:tc>
      </w:tr>
    </w:tbl>
    <w:p>
      <w:pPr>
        <w:spacing w:line="240" w:lineRule="auto" w:before="5"/>
        <w:rPr>
          <w:rFonts w:ascii="宋体" w:hAnsi="宋体" w:cs="宋体" w:eastAsia="宋体" w:hint="default"/>
          <w:sz w:val="24"/>
          <w:szCs w:val="24"/>
        </w:rPr>
      </w:pPr>
    </w:p>
    <w:p>
      <w:pPr>
        <w:pStyle w:val="BodyText"/>
        <w:spacing w:line="240" w:lineRule="auto" w:before="44"/>
        <w:ind w:right="0"/>
        <w:jc w:val="left"/>
      </w:pPr>
      <w:r>
        <w:rPr/>
        <w:t>重大关联交易临时报告披露网站相关查询</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智度科技股份有限公司关于向控股股东借 款暨关联交易的公告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hyperlink r:id="rId12">
              <w:r>
                <w:rPr>
                  <w:rFonts w:ascii="宋体" w:hAnsi="宋体" w:cs="宋体" w:eastAsia="宋体" w:hint="default"/>
                  <w:sz w:val="18"/>
                  <w:szCs w:val="18"/>
                </w:rPr>
                <w:t>http://www.cninfo.com.cn/</w:t>
              </w:r>
            </w:hyperlink>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智度科技股份有限公司关于向控股股东借 款暨关联交易的公告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hyperlink r:id="rId12">
              <w:r>
                <w:rPr>
                  <w:rFonts w:ascii="宋体" w:hAnsi="宋体" w:cs="宋体" w:eastAsia="宋体" w:hint="default"/>
                  <w:sz w:val="18"/>
                  <w:szCs w:val="18"/>
                </w:rPr>
                <w:t>http://www.cninfo.com.cn/</w:t>
              </w:r>
            </w:hyperlink>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智度科技股份有限公司拟设立广州市智度 商业保理有限公司暨关联交易的公告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hyperlink r:id="rId12">
              <w:r>
                <w:rPr>
                  <w:rFonts w:ascii="宋体" w:hAnsi="宋体" w:cs="宋体" w:eastAsia="宋体" w:hint="default"/>
                  <w:sz w:val="18"/>
                  <w:szCs w:val="18"/>
                </w:rPr>
                <w:t>http://www.cninfo.com.cn/</w:t>
              </w:r>
            </w:hyperlink>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智度科技股份有限公司关于与关联方签署</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《房屋租赁合同》的公告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hyperlink r:id="rId12">
              <w:r>
                <w:rPr>
                  <w:rFonts w:ascii="宋体" w:hAnsi="宋体" w:cs="宋体" w:eastAsia="宋体" w:hint="default"/>
                  <w:sz w:val="18"/>
                  <w:szCs w:val="18"/>
                </w:rPr>
                <w:t>http://www.cninfo.com.cn/</w:t>
              </w:r>
            </w:hyperlink>
          </w:p>
        </w:tc>
      </w:tr>
    </w:tbl>
    <w:p>
      <w:pPr>
        <w:spacing w:line="240" w:lineRule="auto" w:before="2"/>
        <w:rPr>
          <w:rFonts w:ascii="宋体" w:hAnsi="宋体" w:cs="宋体" w:eastAsia="宋体" w:hint="default"/>
          <w:sz w:val="18"/>
          <w:szCs w:val="18"/>
        </w:rPr>
      </w:pPr>
    </w:p>
    <w:p>
      <w:pPr>
        <w:pStyle w:val="Heading2"/>
        <w:spacing w:line="240" w:lineRule="auto" w:before="26"/>
        <w:ind w:right="0"/>
        <w:jc w:val="both"/>
        <w:rPr>
          <w:b w:val="0"/>
          <w:bCs w:val="0"/>
        </w:rPr>
      </w:pPr>
      <w:bookmarkStart w:name="十七、重大合同及其履行情况" w:id="88"/>
      <w:bookmarkEnd w:id="88"/>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1、托管、承包、租赁事项情况" w:id="89"/>
      <w:bookmarkEnd w:id="89"/>
      <w:r>
        <w:rPr>
          <w:b w:val="0"/>
          <w:bCs w:val="0"/>
        </w:rPr>
      </w:r>
      <w:r>
        <w:rPr>
          <w:rFonts w:ascii="宋体" w:hAnsi="宋体" w:cs="宋体" w:eastAsia="宋体" w:hint="default"/>
        </w:rPr>
        <w:t>1</w:t>
      </w:r>
      <w:r>
        <w:rPr/>
        <w:t>、托管、承包、租赁事项情况</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53" w:right="0"/>
        <w:jc w:val="both"/>
        <w:rPr>
          <w:b w:val="0"/>
          <w:bCs w:val="0"/>
        </w:rPr>
      </w:pPr>
      <w:bookmarkStart w:name="（1）托管情况" w:id="90"/>
      <w:bookmarkEnd w:id="90"/>
      <w:r>
        <w:rPr>
          <w:b w:val="0"/>
          <w:bCs w:val="0"/>
        </w:rPr>
      </w:r>
      <w:r>
        <w:rPr/>
        <w:t>（</w:t>
      </w:r>
      <w:r>
        <w:rPr>
          <w:rFonts w:ascii="宋体" w:hAnsi="宋体" w:cs="宋体" w:eastAsia="宋体" w:hint="default"/>
        </w:rPr>
        <w:t>1</w:t>
      </w:r>
      <w:r>
        <w:rPr/>
        <w:t>）托管情况</w:t>
      </w:r>
      <w:r>
        <w:rPr>
          <w:b w:val="0"/>
          <w:bCs w:val="0"/>
        </w:rPr>
      </w:r>
    </w:p>
    <w:p>
      <w:pPr>
        <w:spacing w:line="240" w:lineRule="auto" w:before="11"/>
        <w:rPr>
          <w:rFonts w:ascii="宋体" w:hAnsi="宋体" w:cs="宋体" w:eastAsia="宋体" w:hint="default"/>
          <w:b/>
          <w:bCs/>
          <w:sz w:val="27"/>
          <w:szCs w:val="27"/>
        </w:rPr>
      </w:pPr>
    </w:p>
    <w:p>
      <w:pPr>
        <w:pStyle w:val="BodyText"/>
        <w:spacing w:line="360" w:lineRule="auto"/>
        <w:ind w:right="8412"/>
        <w:jc w:val="left"/>
      </w:pPr>
      <w:r>
        <w:rPr/>
        <w:t>□ 适用 √ 不适用 公司报告期不存在托管情况。</w:t>
      </w:r>
    </w:p>
    <w:p>
      <w:pPr>
        <w:spacing w:line="240" w:lineRule="auto" w:before="11"/>
        <w:rPr>
          <w:rFonts w:ascii="宋体" w:hAnsi="宋体" w:cs="宋体" w:eastAsia="宋体" w:hint="default"/>
          <w:sz w:val="19"/>
          <w:szCs w:val="19"/>
        </w:rPr>
      </w:pPr>
    </w:p>
    <w:p>
      <w:pPr>
        <w:pStyle w:val="Heading3"/>
        <w:spacing w:line="240" w:lineRule="auto"/>
        <w:ind w:right="0"/>
        <w:jc w:val="both"/>
        <w:rPr>
          <w:b w:val="0"/>
          <w:bCs w:val="0"/>
        </w:rPr>
      </w:pPr>
      <w:bookmarkStart w:name="（2）承包情况" w:id="91"/>
      <w:bookmarkEnd w:id="91"/>
      <w:r>
        <w:rPr>
          <w:b w:val="0"/>
          <w:bCs w:val="0"/>
        </w:rPr>
      </w:r>
      <w:r>
        <w:rPr/>
        <w:t>（</w:t>
      </w:r>
      <w:r>
        <w:rPr>
          <w:rFonts w:ascii="宋体" w:hAnsi="宋体" w:cs="宋体" w:eastAsia="宋体" w:hint="default"/>
        </w:rPr>
        <w:t>2</w:t>
      </w:r>
      <w:r>
        <w:rPr/>
        <w:t>）承包情况</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right="8412"/>
        <w:jc w:val="left"/>
      </w:pPr>
      <w:r>
        <w:rPr/>
        <w:t>□ 适用 √ 不适用 公司报告期不存在承包情况。</w:t>
      </w:r>
    </w:p>
    <w:p>
      <w:pPr>
        <w:spacing w:line="240" w:lineRule="auto" w:before="13"/>
        <w:rPr>
          <w:rFonts w:ascii="宋体" w:hAnsi="宋体" w:cs="宋体" w:eastAsia="宋体" w:hint="default"/>
          <w:sz w:val="19"/>
          <w:szCs w:val="19"/>
        </w:rPr>
      </w:pPr>
    </w:p>
    <w:p>
      <w:pPr>
        <w:pStyle w:val="Heading3"/>
        <w:spacing w:line="240" w:lineRule="auto"/>
        <w:ind w:right="0"/>
        <w:jc w:val="both"/>
        <w:rPr>
          <w:b w:val="0"/>
          <w:bCs w:val="0"/>
        </w:rPr>
      </w:pPr>
      <w:bookmarkStart w:name="（3）租赁情况" w:id="92"/>
      <w:bookmarkEnd w:id="92"/>
      <w:r>
        <w:rPr>
          <w:b w:val="0"/>
          <w:bCs w:val="0"/>
        </w:rPr>
      </w:r>
      <w:r>
        <w:rPr/>
        <w:t>（</w:t>
      </w:r>
      <w:r>
        <w:rPr>
          <w:rFonts w:ascii="宋体" w:hAnsi="宋体" w:cs="宋体" w:eastAsia="宋体" w:hint="default"/>
        </w:rPr>
        <w:t>3</w:t>
      </w:r>
      <w:r>
        <w:rPr/>
        <w:t>）租赁情况</w:t>
      </w:r>
      <w:r>
        <w:rPr>
          <w:b w:val="0"/>
          <w:bCs w:val="0"/>
        </w:rPr>
      </w:r>
    </w:p>
    <w:p>
      <w:pPr>
        <w:spacing w:line="240" w:lineRule="auto" w:before="12"/>
        <w:rPr>
          <w:rFonts w:ascii="宋体" w:hAnsi="宋体" w:cs="宋体" w:eastAsia="宋体" w:hint="default"/>
          <w:b/>
          <w:bCs/>
          <w:sz w:val="27"/>
          <w:szCs w:val="27"/>
        </w:rPr>
      </w:pPr>
    </w:p>
    <w:p>
      <w:pPr>
        <w:pStyle w:val="BodyText"/>
        <w:spacing w:line="360" w:lineRule="auto"/>
        <w:ind w:right="9222"/>
        <w:jc w:val="left"/>
      </w:pPr>
      <w:r>
        <w:rPr/>
        <w:t>√ 适用 □ 不适用 租赁情况说明</w:t>
      </w:r>
    </w:p>
    <w:p>
      <w:pPr>
        <w:pStyle w:val="BodyText"/>
        <w:spacing w:line="240" w:lineRule="auto" w:before="25"/>
        <w:ind w:left="513" w:right="0"/>
        <w:jc w:val="left"/>
      </w:pPr>
      <w:r>
        <w:rPr/>
        <w:t>公司于</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9</w:t>
      </w:r>
      <w:r>
        <w:rPr/>
        <w:t>日召开第七届董事会第二十四次会议和第七届监事会第十八次会议，审议通过了《关于与关联方签署</w:t>
      </w:r>
    </w:p>
    <w:p>
      <w:pPr>
        <w:pStyle w:val="BodyText"/>
        <w:spacing w:line="319" w:lineRule="auto" w:before="76"/>
        <w:ind w:left="153" w:right="1131"/>
        <w:jc w:val="both"/>
      </w:pPr>
      <w:r>
        <w:rPr>
          <w:rFonts w:ascii="宋体" w:hAnsi="宋体" w:cs="宋体" w:eastAsia="宋体" w:hint="default"/>
          <w:spacing w:val="-2"/>
        </w:rPr>
        <w:t>&lt;</w:t>
      </w:r>
      <w:r>
        <w:rPr>
          <w:spacing w:val="-2"/>
        </w:rPr>
        <w:t>房屋租赁合同</w:t>
      </w:r>
      <w:r>
        <w:rPr>
          <w:rFonts w:ascii="宋体" w:hAnsi="宋体" w:cs="宋体" w:eastAsia="宋体" w:hint="default"/>
          <w:spacing w:val="-2"/>
        </w:rPr>
        <w:t>&gt;</w:t>
      </w:r>
      <w:r>
        <w:rPr>
          <w:spacing w:val="-2"/>
        </w:rPr>
        <w:t>的议案》，同意公司及子公司北京掌汇天下科技有限公司和上海智度亦复信息技术有限公司的全资子公司上</w:t>
      </w:r>
      <w:r>
        <w:rPr>
          <w:spacing w:val="-62"/>
        </w:rPr>
        <w:t> </w:t>
      </w:r>
      <w:r>
        <w:rPr>
          <w:spacing w:val="-62"/>
        </w:rPr>
      </w:r>
      <w:r>
        <w:rPr/>
        <w:t>海佑迎广告有限公司向智度集团租赁其位于北京市西城区西绒线胡同</w:t>
      </w:r>
      <w:r>
        <w:rPr>
          <w:rFonts w:ascii="宋体" w:hAnsi="宋体" w:cs="宋体" w:eastAsia="宋体" w:hint="default"/>
        </w:rPr>
        <w:t>51</w:t>
      </w:r>
      <w:r>
        <w:rPr/>
        <w:t>号内的房屋用于办公，总面积共</w:t>
      </w:r>
      <w:r>
        <w:rPr>
          <w:rFonts w:ascii="宋体" w:hAnsi="宋体" w:cs="宋体" w:eastAsia="宋体" w:hint="default"/>
        </w:rPr>
        <w:t>3329.80</w:t>
      </w:r>
      <w:r>
        <w:rPr/>
        <w:t>平方米，租 赁期为</w:t>
      </w:r>
      <w:r>
        <w:rPr>
          <w:rFonts w:ascii="宋体" w:hAnsi="宋体" w:cs="宋体" w:eastAsia="宋体" w:hint="default"/>
        </w:rPr>
        <w:t>3</w:t>
      </w:r>
      <w:r>
        <w:rPr/>
        <w:t>年，三年租金总计为人民币</w:t>
      </w:r>
      <w:r>
        <w:rPr>
          <w:rFonts w:ascii="宋体" w:hAnsi="宋体" w:cs="宋体" w:eastAsia="宋体" w:hint="default"/>
        </w:rPr>
        <w:t>24,783,918.00</w:t>
      </w:r>
      <w:r>
        <w:rPr/>
        <w:t>元。</w:t>
      </w:r>
    </w:p>
    <w:p>
      <w:pPr>
        <w:spacing w:line="240" w:lineRule="auto" w:before="0"/>
        <w:rPr>
          <w:rFonts w:ascii="宋体" w:hAnsi="宋体" w:cs="宋体" w:eastAsia="宋体" w:hint="default"/>
          <w:sz w:val="18"/>
          <w:szCs w:val="18"/>
        </w:rPr>
      </w:pPr>
    </w:p>
    <w:p>
      <w:pPr>
        <w:pStyle w:val="BodyText"/>
        <w:spacing w:line="240" w:lineRule="auto" w:before="134"/>
        <w:ind w:right="0"/>
        <w:jc w:val="both"/>
      </w:pPr>
      <w:r>
        <w:rPr/>
        <w:t>为公司带来的损益达到公司报告期利润总额</w:t>
      </w:r>
      <w:r>
        <w:rPr>
          <w:spacing w:val="-46"/>
        </w:rPr>
        <w:t> </w:t>
      </w:r>
      <w:r>
        <w:rPr>
          <w:rFonts w:ascii="宋体" w:hAnsi="宋体" w:cs="宋体" w:eastAsia="宋体" w:hint="default"/>
        </w:rPr>
        <w:t>10%</w:t>
      </w:r>
      <w:r>
        <w:rPr/>
        <w:t>以上的项目</w:t>
      </w:r>
    </w:p>
    <w:p>
      <w:pPr>
        <w:pStyle w:val="BodyText"/>
        <w:spacing w:line="240" w:lineRule="auto" w:before="117"/>
        <w:ind w:left="153" w:right="0"/>
        <w:jc w:val="both"/>
      </w:pPr>
      <w:r>
        <w:rPr/>
        <w:t>□ 适用 √ 不适用</w:t>
      </w:r>
    </w:p>
    <w:p>
      <w:pPr>
        <w:spacing w:after="0" w:line="240" w:lineRule="auto"/>
        <w:jc w:val="both"/>
        <w:sectPr>
          <w:pgSz w:w="11910" w:h="16840"/>
          <w:pgMar w:header="877" w:footer="1187" w:top="1100" w:bottom="1380" w:left="980" w:right="0"/>
        </w:sectPr>
      </w:pPr>
    </w:p>
    <w:p>
      <w:pPr>
        <w:spacing w:line="240" w:lineRule="auto" w:before="13"/>
        <w:rPr>
          <w:rFonts w:ascii="宋体" w:hAnsi="宋体" w:cs="宋体" w:eastAsia="宋体" w:hint="default"/>
          <w:sz w:val="21"/>
          <w:szCs w:val="21"/>
        </w:rPr>
      </w:pPr>
    </w:p>
    <w:p>
      <w:pPr>
        <w:pStyle w:val="BodyText"/>
        <w:spacing w:line="240" w:lineRule="auto" w:before="44"/>
        <w:ind w:left="153" w:right="0"/>
        <w:jc w:val="left"/>
      </w:pPr>
      <w:r>
        <w:rPr/>
        <w:t>公司报告期不存在为公司带来的损益达到公司报告期利润总额</w:t>
      </w:r>
      <w:r>
        <w:rPr>
          <w:spacing w:val="-45"/>
        </w:rPr>
        <w:t> </w:t>
      </w:r>
      <w:r>
        <w:rPr>
          <w:rFonts w:ascii="宋体" w:hAnsi="宋体" w:cs="宋体" w:eastAsia="宋体" w:hint="default"/>
        </w:rPr>
        <w:t>10%</w:t>
      </w:r>
      <w:r>
        <w:rPr/>
        <w:t>以上的租赁项目。</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2、重大担保" w:id="93"/>
      <w:bookmarkEnd w:id="93"/>
      <w:r>
        <w:rPr>
          <w:b w:val="0"/>
          <w:bCs w:val="0"/>
        </w:rPr>
      </w:r>
      <w:r>
        <w:rPr>
          <w:rFonts w:ascii="宋体" w:hAnsi="宋体" w:cs="宋体" w:eastAsia="宋体" w:hint="default"/>
        </w:rPr>
        <w:t>2</w:t>
      </w:r>
      <w:r>
        <w:rPr/>
        <w:t>、重大担保</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153"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担保情况" w:id="94"/>
      <w:bookmarkEnd w:id="94"/>
      <w:r>
        <w:rPr>
          <w:b w:val="0"/>
          <w:bCs w:val="0"/>
        </w:rPr>
      </w:r>
      <w:r>
        <w:rPr/>
        <w:t>（</w:t>
      </w:r>
      <w:r>
        <w:rPr>
          <w:rFonts w:ascii="宋体" w:hAnsi="宋体" w:cs="宋体" w:eastAsia="宋体" w:hint="default"/>
        </w:rPr>
        <w:t>1</w:t>
      </w:r>
      <w:r>
        <w:rPr/>
        <w:t>）担保情况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9"/>
        <w:gridCol w:w="923"/>
        <w:gridCol w:w="922"/>
        <w:gridCol w:w="1302"/>
        <w:gridCol w:w="1057"/>
        <w:gridCol w:w="1041"/>
        <w:gridCol w:w="1048"/>
        <w:gridCol w:w="790"/>
        <w:gridCol w:w="783"/>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9" w:right="9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5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6"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5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9"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4"/>
              <w:jc w:val="left"/>
              <w:rPr>
                <w:rFonts w:ascii="宋体" w:hAnsi="宋体" w:cs="宋体" w:eastAsia="宋体" w:hint="default"/>
                <w:sz w:val="18"/>
                <w:szCs w:val="18"/>
              </w:rPr>
            </w:pPr>
            <w:r>
              <w:rPr>
                <w:rFonts w:ascii="宋体"/>
                <w:sz w:val="18"/>
              </w:rPr>
              <w:t>Eightpoint Technologies Ltd.</w:t>
            </w:r>
          </w:p>
        </w:tc>
        <w:tc>
          <w:tcPr>
            <w:tcW w:w="92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sz w:val="18"/>
              </w:rPr>
              <w:t>19,645.76</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05</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31</w:t>
            </w:r>
          </w:p>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sz w:val="18"/>
              </w:rPr>
              <w:t>19,645.76</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上海猎鹰公司</w:t>
            </w:r>
          </w:p>
        </w:tc>
        <w:tc>
          <w:tcPr>
            <w:tcW w:w="92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sz w:val="18"/>
              </w:rPr>
              <w:t>900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11</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21</w:t>
            </w:r>
          </w:p>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sz w:val="18"/>
              </w:rPr>
              <w:t>900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9"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上海猎鹰公司</w:t>
            </w:r>
          </w:p>
        </w:tc>
        <w:tc>
          <w:tcPr>
            <w:tcW w:w="92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sz w:val="18"/>
              </w:rPr>
              <w:t>1,500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12</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07</w:t>
            </w:r>
          </w:p>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sz w:val="18"/>
              </w:rPr>
              <w:t>1,500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9"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上海猎鹰公司</w:t>
            </w:r>
          </w:p>
        </w:tc>
        <w:tc>
          <w:tcPr>
            <w:tcW w:w="92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sz w:val="18"/>
              </w:rPr>
              <w:t>900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12</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13</w:t>
            </w:r>
          </w:p>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sz w:val="18"/>
              </w:rPr>
              <w:t>900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9"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上海猎鹰公司</w:t>
            </w:r>
          </w:p>
        </w:tc>
        <w:tc>
          <w:tcPr>
            <w:tcW w:w="92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sz w:val="18"/>
              </w:rPr>
              <w:t>1,500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12</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21</w:t>
            </w:r>
          </w:p>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sz w:val="18"/>
              </w:rPr>
              <w:t>1,500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9"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宋体" w:hAnsi="宋体" w:cs="宋体" w:eastAsia="宋体" w:hint="default"/>
                <w:sz w:val="18"/>
                <w:szCs w:val="18"/>
              </w:rPr>
              <w:t>B1</w:t>
            </w:r>
            <w:r>
              <w:rPr>
                <w:rFonts w:ascii="宋体" w:hAnsi="宋体" w:cs="宋体" w:eastAsia="宋体" w:hint="default"/>
                <w:sz w:val="18"/>
                <w:szCs w:val="18"/>
              </w:rPr>
              <w:t>）</w:t>
            </w:r>
          </w:p>
        </w:tc>
        <w:tc>
          <w:tcPr>
            <w:tcW w:w="222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69" w:right="0"/>
              <w:jc w:val="left"/>
              <w:rPr>
                <w:rFonts w:ascii="宋体" w:hAnsi="宋体" w:cs="宋体" w:eastAsia="宋体" w:hint="default"/>
                <w:sz w:val="18"/>
                <w:szCs w:val="18"/>
              </w:rPr>
            </w:pPr>
            <w:r>
              <w:rPr>
                <w:rFonts w:ascii="宋体"/>
                <w:sz w:val="18"/>
              </w:rPr>
              <w:t>24,445.76</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宋体" w:hAnsi="宋体" w:cs="宋体" w:eastAsia="宋体"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24,445.76</w:t>
            </w:r>
          </w:p>
        </w:tc>
      </w:tr>
      <w:tr>
        <w:trPr>
          <w:trHeight w:val="719"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宋体" w:hAnsi="宋体" w:cs="宋体" w:eastAsia="宋体" w:hint="default"/>
                <w:sz w:val="18"/>
                <w:szCs w:val="18"/>
              </w:rPr>
              <w:t>B3</w:t>
            </w:r>
            <w:r>
              <w:rPr>
                <w:rFonts w:ascii="宋体" w:hAnsi="宋体" w:cs="宋体" w:eastAsia="宋体" w:hint="default"/>
                <w:sz w:val="18"/>
                <w:szCs w:val="18"/>
              </w:rPr>
              <w:t>）</w:t>
            </w:r>
          </w:p>
        </w:tc>
        <w:tc>
          <w:tcPr>
            <w:tcW w:w="222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69" w:right="0"/>
              <w:jc w:val="left"/>
              <w:rPr>
                <w:rFonts w:ascii="宋体" w:hAnsi="宋体" w:cs="宋体" w:eastAsia="宋体" w:hint="default"/>
                <w:sz w:val="18"/>
                <w:szCs w:val="18"/>
              </w:rPr>
            </w:pPr>
            <w:r>
              <w:rPr>
                <w:rFonts w:ascii="宋体"/>
                <w:sz w:val="18"/>
              </w:rPr>
              <w:t>24,445.76</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宋体" w:hAnsi="宋体" w:cs="宋体" w:eastAsia="宋体"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24,445.76</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1"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2" w:right="9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2" w:type="dxa"/>
            <w:vMerge w:val="restart"/>
            <w:tcBorders>
              <w:top w:val="single" w:sz="4" w:space="0" w:color="000000"/>
              <w:left w:val="single" w:sz="4" w:space="0" w:color="000000"/>
              <w:right w:val="single" w:sz="4" w:space="0" w:color="000000"/>
            </w:tcBorders>
            <w:shd w:val="clear" w:color="auto" w:fill="D2D2D2"/>
          </w:tcPr>
          <w:p>
            <w:pPr/>
          </w:p>
        </w:tc>
        <w:tc>
          <w:tcPr>
            <w:tcW w:w="13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1" w:type="dxa"/>
            <w:vMerge w:val="restart"/>
            <w:tcBorders>
              <w:top w:val="single" w:sz="4" w:space="0" w:color="000000"/>
              <w:left w:val="single" w:sz="4" w:space="0" w:color="000000"/>
              <w:right w:val="single" w:sz="4" w:space="0" w:color="000000"/>
            </w:tcBorders>
            <w:shd w:val="clear" w:color="auto" w:fill="D2D2D2"/>
          </w:tcPr>
          <w:p>
            <w:pPr/>
          </w:p>
        </w:tc>
        <w:tc>
          <w:tcPr>
            <w:tcW w:w="1048" w:type="dxa"/>
            <w:vMerge w:val="restart"/>
            <w:tcBorders>
              <w:top w:val="single" w:sz="4" w:space="0" w:color="000000"/>
              <w:left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23" w:type="dxa"/>
            <w:vMerge/>
            <w:tcBorders>
              <w:left w:val="single" w:sz="4" w:space="0" w:color="000000"/>
              <w:right w:val="single" w:sz="4" w:space="0" w:color="000000"/>
            </w:tcBorders>
            <w:shd w:val="clear" w:color="auto" w:fill="D2D2D2"/>
          </w:tcPr>
          <w:p>
            <w:pPr/>
          </w:p>
        </w:tc>
        <w:tc>
          <w:tcPr>
            <w:tcW w:w="922" w:type="dxa"/>
            <w:vMerge/>
            <w:tcBorders>
              <w:left w:val="single" w:sz="4" w:space="0" w:color="000000"/>
              <w:bottom w:val="nil" w:sz="6" w:space="0" w:color="auto"/>
              <w:right w:val="single" w:sz="4" w:space="0" w:color="000000"/>
            </w:tcBorders>
            <w:shd w:val="clear" w:color="auto" w:fill="D2D2D2"/>
          </w:tcPr>
          <w:p>
            <w:pPr/>
          </w:p>
        </w:tc>
        <w:tc>
          <w:tcPr>
            <w:tcW w:w="13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6" w:right="7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vMerge/>
            <w:tcBorders>
              <w:left w:val="single" w:sz="4" w:space="0" w:color="000000"/>
              <w:bottom w:val="nil" w:sz="6" w:space="0" w:color="auto"/>
              <w:right w:val="single" w:sz="4" w:space="0" w:color="000000"/>
            </w:tcBorders>
            <w:shd w:val="clear" w:color="auto" w:fill="D2D2D2"/>
          </w:tcPr>
          <w:p>
            <w:pPr/>
          </w:p>
        </w:tc>
        <w:tc>
          <w:tcPr>
            <w:tcW w:w="1048" w:type="dxa"/>
            <w:vMerge/>
            <w:tcBorders>
              <w:left w:val="single" w:sz="4" w:space="0" w:color="000000"/>
              <w:bottom w:val="nil" w:sz="6" w:space="0" w:color="auto"/>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5"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vMerge/>
            <w:tcBorders>
              <w:left w:val="single" w:sz="4" w:space="0" w:color="000000"/>
              <w:right w:val="single" w:sz="4" w:space="0" w:color="000000"/>
            </w:tcBorders>
            <w:shd w:val="clear" w:color="auto" w:fill="D2D2D2"/>
          </w:tcPr>
          <w:p>
            <w:pPr/>
          </w:p>
        </w:tc>
        <w:tc>
          <w:tcPr>
            <w:tcW w:w="9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8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vMerge/>
            <w:tcBorders>
              <w:left w:val="single" w:sz="4" w:space="0" w:color="000000"/>
              <w:right w:val="single" w:sz="4" w:space="0" w:color="000000"/>
            </w:tcBorders>
            <w:shd w:val="clear" w:color="auto" w:fill="D2D2D2"/>
          </w:tcPr>
          <w:p>
            <w:pPr/>
          </w:p>
        </w:tc>
        <w:tc>
          <w:tcPr>
            <w:tcW w:w="1057" w:type="dxa"/>
            <w:vMerge/>
            <w:tcBorders>
              <w:left w:val="single" w:sz="4" w:space="0" w:color="000000"/>
              <w:right w:val="single" w:sz="4" w:space="0" w:color="000000"/>
            </w:tcBorders>
            <w:shd w:val="clear" w:color="auto" w:fill="D2D2D2"/>
          </w:tcPr>
          <w:p>
            <w:pPr/>
          </w:p>
        </w:tc>
        <w:tc>
          <w:tcPr>
            <w:tcW w:w="1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23" w:type="dxa"/>
            <w:vMerge/>
            <w:tcBorders>
              <w:left w:val="single" w:sz="4" w:space="0" w:color="000000"/>
              <w:right w:val="single" w:sz="4" w:space="0" w:color="000000"/>
            </w:tcBorders>
            <w:shd w:val="clear" w:color="auto" w:fill="D2D2D2"/>
          </w:tcPr>
          <w:p>
            <w:pPr/>
          </w:p>
        </w:tc>
        <w:tc>
          <w:tcPr>
            <w:tcW w:w="922" w:type="dxa"/>
            <w:vMerge w:val="restart"/>
            <w:tcBorders>
              <w:top w:val="nil" w:sz="6" w:space="0" w:color="auto"/>
              <w:left w:val="single" w:sz="4" w:space="0" w:color="000000"/>
              <w:right w:val="single" w:sz="4" w:space="0" w:color="000000"/>
            </w:tcBorders>
            <w:shd w:val="clear" w:color="auto" w:fill="D2D2D2"/>
          </w:tcPr>
          <w:p>
            <w:pPr/>
          </w:p>
        </w:tc>
        <w:tc>
          <w:tcPr>
            <w:tcW w:w="1302" w:type="dxa"/>
            <w:vMerge/>
            <w:tcBorders>
              <w:left w:val="single" w:sz="4" w:space="0" w:color="000000"/>
              <w:bottom w:val="nil" w:sz="6" w:space="0" w:color="auto"/>
              <w:right w:val="single" w:sz="4" w:space="0" w:color="000000"/>
            </w:tcBorders>
            <w:shd w:val="clear" w:color="auto" w:fill="D2D2D2"/>
          </w:tcPr>
          <w:p>
            <w:pPr/>
          </w:p>
        </w:tc>
        <w:tc>
          <w:tcPr>
            <w:tcW w:w="1057" w:type="dxa"/>
            <w:vMerge/>
            <w:tcBorders>
              <w:left w:val="single" w:sz="4" w:space="0" w:color="000000"/>
              <w:bottom w:val="nil" w:sz="6" w:space="0" w:color="auto"/>
              <w:right w:val="single" w:sz="4" w:space="0" w:color="000000"/>
            </w:tcBorders>
            <w:shd w:val="clear" w:color="auto" w:fill="D2D2D2"/>
          </w:tcPr>
          <w:p>
            <w:pPr/>
          </w:p>
        </w:tc>
        <w:tc>
          <w:tcPr>
            <w:tcW w:w="1041" w:type="dxa"/>
            <w:vMerge w:val="restart"/>
            <w:tcBorders>
              <w:top w:val="nil" w:sz="6" w:space="0" w:color="auto"/>
              <w:left w:val="single" w:sz="4" w:space="0" w:color="000000"/>
              <w:right w:val="single" w:sz="4" w:space="0" w:color="000000"/>
            </w:tcBorders>
            <w:shd w:val="clear" w:color="auto" w:fill="D2D2D2"/>
          </w:tcPr>
          <w:p>
            <w:pPr/>
          </w:p>
        </w:tc>
        <w:tc>
          <w:tcPr>
            <w:tcW w:w="1048" w:type="dxa"/>
            <w:vMerge w:val="restart"/>
            <w:tcBorders>
              <w:top w:val="nil" w:sz="6" w:space="0" w:color="auto"/>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c>
          <w:tcPr>
            <w:tcW w:w="13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1" w:type="dxa"/>
            <w:vMerge/>
            <w:tcBorders>
              <w:left w:val="single" w:sz="4" w:space="0" w:color="000000"/>
              <w:bottom w:val="single" w:sz="4" w:space="0" w:color="000000"/>
              <w:right w:val="single" w:sz="4" w:space="0" w:color="000000"/>
            </w:tcBorders>
            <w:shd w:val="clear" w:color="auto" w:fill="D2D2D2"/>
          </w:tcPr>
          <w:p>
            <w:pPr/>
          </w:p>
        </w:tc>
        <w:tc>
          <w:tcPr>
            <w:tcW w:w="1048"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上海猎鹰公司</w:t>
            </w:r>
          </w:p>
        </w:tc>
        <w:tc>
          <w:tcPr>
            <w:tcW w:w="92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3"/>
              <w:jc w:val="right"/>
              <w:rPr>
                <w:rFonts w:ascii="宋体" w:hAnsi="宋体" w:cs="宋体" w:eastAsia="宋体" w:hint="default"/>
                <w:sz w:val="18"/>
                <w:szCs w:val="18"/>
              </w:rPr>
            </w:pPr>
            <w:r>
              <w:rPr>
                <w:rFonts w:ascii="宋体"/>
                <w:sz w:val="18"/>
              </w:rPr>
              <w:t>4,000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27</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4"/>
              <w:jc w:val="right"/>
              <w:rPr>
                <w:rFonts w:ascii="宋体" w:hAnsi="宋体" w:cs="宋体" w:eastAsia="宋体" w:hint="default"/>
                <w:sz w:val="18"/>
                <w:szCs w:val="18"/>
              </w:rPr>
            </w:pPr>
            <w:r>
              <w:rPr>
                <w:rFonts w:ascii="宋体"/>
                <w:sz w:val="18"/>
              </w:rPr>
              <w:t>4,000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上海猎鹰公司</w:t>
            </w:r>
          </w:p>
        </w:tc>
        <w:tc>
          <w:tcPr>
            <w:tcW w:w="92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3"/>
              <w:jc w:val="right"/>
              <w:rPr>
                <w:rFonts w:ascii="宋体" w:hAnsi="宋体" w:cs="宋体" w:eastAsia="宋体" w:hint="default"/>
                <w:sz w:val="18"/>
                <w:szCs w:val="18"/>
              </w:rPr>
            </w:pPr>
            <w:r>
              <w:rPr>
                <w:rFonts w:ascii="宋体"/>
                <w:sz w:val="18"/>
              </w:rPr>
              <w:t>3,000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07</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4"/>
              <w:jc w:val="right"/>
              <w:rPr>
                <w:rFonts w:ascii="宋体" w:hAnsi="宋体" w:cs="宋体" w:eastAsia="宋体" w:hint="default"/>
                <w:sz w:val="18"/>
                <w:szCs w:val="18"/>
              </w:rPr>
            </w:pPr>
            <w:r>
              <w:rPr>
                <w:rFonts w:ascii="宋体"/>
                <w:sz w:val="18"/>
              </w:rPr>
              <w:t>3,000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上海菲索广告有限公</w:t>
            </w:r>
          </w:p>
        </w:tc>
        <w:tc>
          <w:tcPr>
            <w:tcW w:w="92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3"/>
              <w:jc w:val="right"/>
              <w:rPr>
                <w:rFonts w:ascii="宋体" w:hAnsi="宋体" w:cs="宋体" w:eastAsia="宋体" w:hint="default"/>
                <w:sz w:val="18"/>
                <w:szCs w:val="18"/>
              </w:rPr>
            </w:pPr>
            <w:r>
              <w:rPr>
                <w:rFonts w:ascii="宋体"/>
                <w:sz w:val="18"/>
              </w:rPr>
              <w:t>3,000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4"/>
              <w:jc w:val="right"/>
              <w:rPr>
                <w:rFonts w:ascii="宋体" w:hAnsi="宋体" w:cs="宋体" w:eastAsia="宋体" w:hint="default"/>
                <w:sz w:val="18"/>
                <w:szCs w:val="18"/>
              </w:rPr>
            </w:pPr>
            <w:r>
              <w:rPr>
                <w:rFonts w:ascii="宋体"/>
                <w:sz w:val="18"/>
              </w:rPr>
              <w:t>3,000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 w:right="0"/>
              <w:jc w:val="left"/>
              <w:rPr>
                <w:rFonts w:ascii="宋体" w:hAnsi="宋体" w:cs="宋体" w:eastAsia="宋体" w:hint="default"/>
                <w:sz w:val="18"/>
                <w:szCs w:val="18"/>
              </w:rPr>
            </w:pPr>
            <w:r>
              <w:rPr>
                <w:rFonts w:ascii="宋体" w:hAnsi="宋体" w:cs="宋体" w:eastAsia="宋体" w:hint="default"/>
                <w:sz w:val="18"/>
                <w:szCs w:val="18"/>
              </w:rPr>
              <w:t>连带责任保</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1187" w:top="1100" w:bottom="14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698"/>
        <w:gridCol w:w="914"/>
        <w:gridCol w:w="919"/>
        <w:gridCol w:w="1313"/>
        <w:gridCol w:w="1044"/>
        <w:gridCol w:w="1048"/>
        <w:gridCol w:w="1051"/>
        <w:gridCol w:w="786"/>
        <w:gridCol w:w="790"/>
      </w:tblGrid>
      <w:tr>
        <w:trPr>
          <w:trHeight w:val="362" w:hRule="exact"/>
        </w:trPr>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1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51"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1" w:right="54"/>
              <w:jc w:val="left"/>
              <w:rPr>
                <w:rFonts w:ascii="宋体" w:hAnsi="宋体" w:cs="宋体" w:eastAsia="宋体" w:hint="default"/>
                <w:sz w:val="18"/>
                <w:szCs w:val="18"/>
              </w:rPr>
            </w:pPr>
            <w:r>
              <w:rPr>
                <w:rFonts w:ascii="宋体" w:hAnsi="宋体" w:cs="宋体" w:eastAsia="宋体" w:hint="default"/>
                <w:sz w:val="18"/>
                <w:szCs w:val="18"/>
              </w:rPr>
              <w:t>上海佑迎广告有限公 司</w:t>
            </w:r>
          </w:p>
        </w:tc>
        <w:tc>
          <w:tcPr>
            <w:tcW w:w="91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15</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2,000</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深圳范特西公司</w:t>
            </w:r>
          </w:p>
        </w:tc>
        <w:tc>
          <w:tcPr>
            <w:tcW w:w="91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18</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3,000</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深圳范特西公司</w:t>
            </w:r>
          </w:p>
        </w:tc>
        <w:tc>
          <w:tcPr>
            <w:tcW w:w="91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900</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1" w:right="144"/>
              <w:jc w:val="left"/>
              <w:rPr>
                <w:rFonts w:ascii="宋体" w:hAnsi="宋体" w:cs="宋体" w:eastAsia="宋体" w:hint="default"/>
                <w:sz w:val="18"/>
                <w:szCs w:val="18"/>
              </w:rPr>
            </w:pPr>
            <w:r>
              <w:rPr>
                <w:rFonts w:ascii="宋体"/>
                <w:sz w:val="18"/>
              </w:rPr>
              <w:t>Eightpoint Technologies Ltd.</w:t>
            </w:r>
          </w:p>
        </w:tc>
        <w:tc>
          <w:tcPr>
            <w:tcW w:w="91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05</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8"/>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宋体" w:hAnsi="宋体" w:cs="宋体" w:eastAsia="宋体" w:hint="default"/>
                <w:sz w:val="18"/>
                <w:szCs w:val="18"/>
              </w:rPr>
              <w:t>C1</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sz w:val="18"/>
              </w:rPr>
              <w:t>15,900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宋体" w:hAnsi="宋体" w:cs="宋体" w:eastAsia="宋体" w:hint="default"/>
                <w:sz w:val="18"/>
                <w:szCs w:val="18"/>
              </w:rPr>
              <w:t>C2</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15,900</w:t>
            </w:r>
          </w:p>
        </w:tc>
      </w:tr>
      <w:tr>
        <w:trPr>
          <w:trHeight w:val="719" w:hRule="exact"/>
        </w:trPr>
        <w:tc>
          <w:tcPr>
            <w:tcW w:w="26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8"/>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宋体" w:hAnsi="宋体" w:cs="宋体" w:eastAsia="宋体" w:hint="default"/>
                <w:sz w:val="18"/>
                <w:szCs w:val="18"/>
              </w:rPr>
              <w:t>C3</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sz w:val="18"/>
              </w:rPr>
              <w:t>15,900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宋体" w:hAnsi="宋体" w:cs="宋体" w:eastAsia="宋体" w:hint="default"/>
                <w:sz w:val="18"/>
                <w:szCs w:val="18"/>
              </w:rPr>
              <w:t>C4</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15,900</w:t>
            </w: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2"/>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A1+B1+C1</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78" w:right="0"/>
              <w:jc w:val="left"/>
              <w:rPr>
                <w:rFonts w:ascii="宋体" w:hAnsi="宋体" w:cs="宋体" w:eastAsia="宋体" w:hint="default"/>
                <w:sz w:val="18"/>
                <w:szCs w:val="18"/>
              </w:rPr>
            </w:pPr>
            <w:r>
              <w:rPr>
                <w:rFonts w:ascii="宋体"/>
                <w:sz w:val="18"/>
              </w:rPr>
              <w:t>40,345.76</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3" w:right="77"/>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宋体" w:hAnsi="宋体" w:cs="宋体" w:eastAsia="宋体" w:hint="default"/>
                <w:sz w:val="18"/>
                <w:szCs w:val="18"/>
              </w:rPr>
              <w:t>A2+B2+C2</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3"/>
              <w:jc w:val="right"/>
              <w:rPr>
                <w:rFonts w:ascii="宋体" w:hAnsi="宋体" w:cs="宋体" w:eastAsia="宋体" w:hint="default"/>
                <w:sz w:val="18"/>
                <w:szCs w:val="18"/>
              </w:rPr>
            </w:pPr>
            <w:r>
              <w:rPr>
                <w:rFonts w:ascii="宋体"/>
                <w:sz w:val="18"/>
              </w:rPr>
              <w:t>40,345.76</w:t>
            </w:r>
          </w:p>
        </w:tc>
      </w:tr>
      <w:tr>
        <w:trPr>
          <w:trHeight w:val="714" w:hRule="exact"/>
        </w:trPr>
        <w:tc>
          <w:tcPr>
            <w:tcW w:w="26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A3+B3+C3</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8" w:right="0"/>
              <w:jc w:val="left"/>
              <w:rPr>
                <w:rFonts w:ascii="宋体" w:hAnsi="宋体" w:cs="宋体" w:eastAsia="宋体" w:hint="default"/>
                <w:sz w:val="18"/>
                <w:szCs w:val="18"/>
              </w:rPr>
            </w:pPr>
            <w:r>
              <w:rPr>
                <w:rFonts w:ascii="宋体"/>
                <w:sz w:val="18"/>
              </w:rPr>
              <w:t>40,345.76</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宋体" w:hAnsi="宋体" w:cs="宋体" w:eastAsia="宋体" w:hint="default"/>
                <w:sz w:val="18"/>
                <w:szCs w:val="18"/>
              </w:rPr>
              <w:t>A4+B4+C4</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40,345.76</w:t>
            </w:r>
          </w:p>
        </w:tc>
      </w:tr>
      <w:tr>
        <w:trPr>
          <w:trHeight w:val="407"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宋体" w:hAnsi="宋体" w:cs="宋体" w:eastAsia="宋体"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7.98%</w:t>
            </w:r>
          </w:p>
        </w:tc>
      </w:tr>
      <w:tr>
        <w:trPr>
          <w:trHeight w:val="393"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宋体" w:hAnsi="宋体" w:cs="宋体" w:eastAsia="宋体"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right="23"/>
              <w:jc w:val="right"/>
              <w:rPr>
                <w:rFonts w:ascii="宋体" w:hAnsi="宋体" w:cs="宋体" w:eastAsia="宋体" w:hint="default"/>
                <w:sz w:val="18"/>
                <w:szCs w:val="18"/>
              </w:rPr>
            </w:pPr>
            <w:r>
              <w:rPr>
                <w:rFonts w:ascii="宋体"/>
                <w:sz w:val="18"/>
              </w:rPr>
              <w:t>0</w:t>
            </w:r>
          </w:p>
        </w:tc>
      </w:tr>
      <w:tr>
        <w:trPr>
          <w:trHeight w:val="714"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61"/>
                <w:sz w:val="18"/>
                <w:szCs w:val="18"/>
              </w:rPr>
              <w:t> </w:t>
            </w:r>
            <w:r>
              <w:rPr>
                <w:rFonts w:ascii="宋体" w:hAnsi="宋体" w:cs="宋体" w:eastAsia="宋体" w:hint="default"/>
                <w:sz w:val="18"/>
                <w:szCs w:val="18"/>
              </w:rPr>
              <w:t>70%</w:t>
            </w:r>
            <w:r>
              <w:rPr>
                <w:rFonts w:ascii="宋体" w:hAnsi="宋体" w:cs="宋体" w:eastAsia="宋体" w:hint="default"/>
                <w:sz w:val="18"/>
                <w:szCs w:val="18"/>
              </w:rPr>
              <w:t>的被担保对象提供的债务担 保余额（</w:t>
            </w:r>
            <w:r>
              <w:rPr>
                <w:rFonts w:ascii="宋体" w:hAnsi="宋体" w:cs="宋体" w:eastAsia="宋体"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402"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z w:val="18"/>
                <w:szCs w:val="18"/>
              </w:rPr>
              <w:t>部分的金额（</w:t>
            </w:r>
            <w:r>
              <w:rPr>
                <w:rFonts w:ascii="宋体" w:hAnsi="宋体" w:cs="宋体" w:eastAsia="宋体" w:hint="default"/>
                <w:sz w:val="18"/>
                <w:szCs w:val="18"/>
              </w:rPr>
              <w:t>F</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402"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宋体" w:hAnsi="宋体" w:cs="宋体" w:eastAsia="宋体"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714"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采用复合方式担保的具体情况说明</w:t>
      </w:r>
    </w:p>
    <w:p>
      <w:pPr>
        <w:pStyle w:val="BodyText"/>
        <w:spacing w:line="319" w:lineRule="auto" w:before="116"/>
        <w:ind w:right="1172" w:firstLine="360"/>
        <w:jc w:val="left"/>
      </w:pPr>
      <w:r>
        <w:rPr/>
        <w:t>本期保证加质押贷款系子公司</w:t>
      </w:r>
      <w:r>
        <w:rPr>
          <w:spacing w:val="-46"/>
        </w:rPr>
        <w:t> </w:t>
      </w:r>
      <w:r>
        <w:rPr>
          <w:rFonts w:ascii="宋体" w:hAnsi="宋体" w:cs="宋体" w:eastAsia="宋体" w:hint="default"/>
        </w:rPr>
        <w:t>Eightpoint Technologies Limited</w:t>
      </w:r>
      <w:r>
        <w:rPr>
          <w:rFonts w:ascii="宋体" w:hAnsi="宋体" w:cs="宋体" w:eastAsia="宋体" w:hint="default"/>
          <w:spacing w:val="-46"/>
        </w:rPr>
        <w:t> </w:t>
      </w:r>
      <w:r>
        <w:rPr/>
        <w:t>与招商银行股份有限公司纽约分行于</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5"/>
        </w:rPr>
        <w:t> </w:t>
      </w:r>
      <w:r>
        <w:rPr>
          <w:rFonts w:ascii="宋体" w:hAnsi="宋体" w:cs="宋体" w:eastAsia="宋体" w:hint="default"/>
        </w:rPr>
        <w:t>6</w:t>
      </w:r>
      <w:r>
        <w:rPr>
          <w:rFonts w:ascii="宋体" w:hAnsi="宋体" w:cs="宋体" w:eastAsia="宋体" w:hint="default"/>
          <w:spacing w:val="-46"/>
        </w:rPr>
        <w:t> </w:t>
      </w:r>
      <w:r>
        <w:rPr/>
        <w:t>月</w:t>
      </w:r>
      <w:r>
        <w:rPr>
          <w:spacing w:val="-45"/>
        </w:rPr>
        <w:t> </w:t>
      </w:r>
      <w:r>
        <w:rPr>
          <w:rFonts w:ascii="宋体" w:hAnsi="宋体" w:cs="宋体" w:eastAsia="宋体" w:hint="default"/>
        </w:rPr>
        <w:t>5 </w:t>
      </w:r>
      <w:r>
        <w:rPr/>
        <w:t>日签订贷款合同，期限</w:t>
      </w:r>
      <w:r>
        <w:rPr>
          <w:spacing w:val="-46"/>
        </w:rPr>
        <w:t> </w:t>
      </w:r>
      <w:r>
        <w:rPr>
          <w:rFonts w:ascii="宋体" w:hAnsi="宋体" w:cs="宋体" w:eastAsia="宋体" w:hint="default"/>
        </w:rPr>
        <w:t>3</w:t>
      </w:r>
      <w:r>
        <w:rPr>
          <w:rFonts w:ascii="宋体" w:hAnsi="宋体" w:cs="宋体" w:eastAsia="宋体" w:hint="default"/>
          <w:spacing w:val="-46"/>
        </w:rPr>
        <w:t> </w:t>
      </w:r>
      <w:r>
        <w:rPr/>
        <w:t>年，贷款金额</w:t>
      </w:r>
      <w:r>
        <w:rPr>
          <w:spacing w:val="-46"/>
        </w:rPr>
        <w:t> </w:t>
      </w:r>
      <w:r>
        <w:rPr>
          <w:rFonts w:ascii="宋体" w:hAnsi="宋体" w:cs="宋体" w:eastAsia="宋体" w:hint="default"/>
        </w:rPr>
        <w:t>2900</w:t>
      </w:r>
      <w:r>
        <w:rPr>
          <w:rFonts w:ascii="宋体" w:hAnsi="宋体" w:cs="宋体" w:eastAsia="宋体" w:hint="default"/>
          <w:spacing w:val="-46"/>
        </w:rPr>
        <w:t> </w:t>
      </w:r>
      <w:r>
        <w:rPr/>
        <w:t>万美元。智度股份以存单质押作为质押物，开立融资性保函，</w:t>
      </w:r>
      <w:r>
        <w:rPr>
          <w:rFonts w:ascii="宋体" w:hAnsi="宋体" w:cs="宋体" w:eastAsia="宋体" w:hint="default"/>
        </w:rPr>
        <w:t>Eightpoint Technologies Limited</w:t>
      </w:r>
      <w:r>
        <w:rPr>
          <w:rFonts w:ascii="宋体" w:hAnsi="宋体" w:cs="宋体" w:eastAsia="宋体" w:hint="default"/>
          <w:spacing w:val="-46"/>
        </w:rPr>
        <w:t> </w:t>
      </w:r>
      <w:r>
        <w:rPr/>
        <w:t>基于该融资性保函向纽约分行申请融资贷款，</w:t>
      </w:r>
      <w:r>
        <w:rPr>
          <w:rFonts w:ascii="宋体" w:hAnsi="宋体" w:cs="宋体" w:eastAsia="宋体" w:hint="default"/>
        </w:rPr>
        <w:t>Spigot Inc.</w:t>
      </w:r>
      <w:r>
        <w:rPr/>
        <w:t>承担连带责任担保。该笔贷款已于</w:t>
      </w:r>
      <w:r>
        <w:rPr>
          <w:spacing w:val="-46"/>
        </w:rPr>
        <w:t> </w:t>
      </w:r>
      <w:r>
        <w:rPr>
          <w:rFonts w:ascii="宋体" w:hAnsi="宋体" w:cs="宋体" w:eastAsia="宋体" w:hint="default"/>
        </w:rPr>
        <w:t>2018 </w:t>
      </w:r>
      <w:r>
        <w:rPr/>
        <w:t>年</w:t>
      </w:r>
      <w:r>
        <w:rPr>
          <w:spacing w:val="-46"/>
        </w:rPr>
        <w:t> </w:t>
      </w:r>
      <w:r>
        <w:rPr>
          <w:rFonts w:ascii="宋体" w:hAnsi="宋体" w:cs="宋体" w:eastAsia="宋体" w:hint="default"/>
        </w:rPr>
        <w:t>1</w:t>
      </w:r>
      <w:r>
        <w:rPr>
          <w:rFonts w:ascii="宋体" w:hAnsi="宋体" w:cs="宋体" w:eastAsia="宋体" w:hint="default"/>
          <w:spacing w:val="-46"/>
        </w:rPr>
        <w:t> </w:t>
      </w:r>
      <w:r>
        <w:rPr/>
        <w:t>月</w:t>
      </w:r>
      <w:r>
        <w:rPr>
          <w:spacing w:val="-46"/>
        </w:rPr>
        <w:t> </w:t>
      </w:r>
      <w:r>
        <w:rPr>
          <w:rFonts w:ascii="宋体" w:hAnsi="宋体" w:cs="宋体" w:eastAsia="宋体" w:hint="default"/>
        </w:rPr>
        <w:t>30</w:t>
      </w:r>
      <w:r>
        <w:rPr>
          <w:rFonts w:ascii="宋体" w:hAnsi="宋体" w:cs="宋体" w:eastAsia="宋体" w:hint="default"/>
          <w:spacing w:val="-46"/>
        </w:rPr>
        <w:t> </w:t>
      </w:r>
      <w:r>
        <w:rPr/>
        <w:t>日偿还完毕，相关保函已于</w:t>
      </w:r>
      <w:r>
        <w:rPr>
          <w:spacing w:val="-46"/>
        </w:rPr>
        <w:t> </w:t>
      </w:r>
      <w:r>
        <w:rPr>
          <w:rFonts w:ascii="宋体" w:hAnsi="宋体" w:cs="宋体" w:eastAsia="宋体" w:hint="default"/>
        </w:rPr>
        <w:t>2018</w:t>
      </w:r>
      <w:r>
        <w:rPr>
          <w:rFonts w:ascii="宋体" w:hAnsi="宋体" w:cs="宋体" w:eastAsia="宋体" w:hint="default"/>
          <w:spacing w:val="-45"/>
        </w:rPr>
        <w:t> </w:t>
      </w:r>
      <w:r>
        <w:rPr/>
        <w:t>年</w:t>
      </w:r>
      <w:r>
        <w:rPr>
          <w:spacing w:val="-46"/>
        </w:rPr>
        <w:t> </w:t>
      </w:r>
      <w:r>
        <w:rPr>
          <w:rFonts w:ascii="宋体" w:hAnsi="宋体" w:cs="宋体" w:eastAsia="宋体" w:hint="default"/>
        </w:rPr>
        <w:t>3</w:t>
      </w:r>
      <w:r>
        <w:rPr>
          <w:rFonts w:ascii="宋体" w:hAnsi="宋体" w:cs="宋体" w:eastAsia="宋体" w:hint="default"/>
          <w:spacing w:val="-46"/>
        </w:rPr>
        <w:t> </w:t>
      </w:r>
      <w:r>
        <w:rPr/>
        <w:t>月</w:t>
      </w:r>
      <w:r>
        <w:rPr>
          <w:spacing w:val="-45"/>
        </w:rPr>
        <w:t> </w:t>
      </w:r>
      <w:r>
        <w:rPr>
          <w:rFonts w:ascii="宋体" w:hAnsi="宋体" w:cs="宋体" w:eastAsia="宋体" w:hint="default"/>
        </w:rPr>
        <w:t>7</w:t>
      </w:r>
      <w:r>
        <w:rPr>
          <w:rFonts w:ascii="宋体" w:hAnsi="宋体" w:cs="宋体" w:eastAsia="宋体" w:hint="default"/>
          <w:spacing w:val="-46"/>
        </w:rPr>
        <w:t> </w:t>
      </w:r>
      <w:r>
        <w:rPr/>
        <w:t>日解除质押。截止报告披露日，该事项已经完结。</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2）违规对外担保情况" w:id="95"/>
      <w:bookmarkEnd w:id="95"/>
      <w:r>
        <w:rPr>
          <w:b w:val="0"/>
          <w:bCs w:val="0"/>
        </w:rPr>
      </w:r>
      <w:r>
        <w:rPr/>
        <w:t>（</w:t>
      </w:r>
      <w:r>
        <w:rPr>
          <w:rFonts w:ascii="宋体" w:hAnsi="宋体" w:cs="宋体" w:eastAsia="宋体" w:hint="default"/>
        </w:rPr>
        <w:t>2</w:t>
      </w:r>
      <w:r>
        <w:rPr/>
        <w:t>）违规对外担保情况</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right="8052"/>
        <w:jc w:val="left"/>
      </w:pPr>
      <w:r>
        <w:rPr/>
        <w:t>□ 适用 √ 不适用 公司报告期无违规对外担保情况。</w:t>
      </w:r>
    </w:p>
    <w:p>
      <w:pPr>
        <w:spacing w:after="0" w:line="357" w:lineRule="auto"/>
        <w:jc w:val="left"/>
        <w:sectPr>
          <w:pgSz w:w="11910" w:h="16840"/>
          <w:pgMar w:header="877" w:footer="1187" w:top="1100" w:bottom="1380" w:left="980" w:right="0"/>
        </w:sectPr>
      </w:pPr>
    </w:p>
    <w:p>
      <w:pPr>
        <w:spacing w:line="240" w:lineRule="auto" w:before="12"/>
        <w:rPr>
          <w:rFonts w:ascii="宋体" w:hAnsi="宋体" w:cs="宋体" w:eastAsia="宋体" w:hint="default"/>
          <w:sz w:val="2"/>
          <w:szCs w:val="2"/>
        </w:rPr>
      </w:pPr>
    </w:p>
    <w:p>
      <w:pPr>
        <w:spacing w:line="20" w:lineRule="exact"/>
        <w:ind w:left="22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260" w:right="0"/>
        <w:jc w:val="left"/>
        <w:rPr>
          <w:b w:val="0"/>
          <w:bCs w:val="0"/>
        </w:rPr>
      </w:pPr>
      <w:bookmarkStart w:name="3、委托他人进行现金资产管理情况" w:id="96"/>
      <w:bookmarkEnd w:id="96"/>
      <w:r>
        <w:rPr>
          <w:b w:val="0"/>
          <w:bCs w:val="0"/>
        </w:rPr>
      </w:r>
      <w:r>
        <w:rPr>
          <w:rFonts w:ascii="宋体" w:hAnsi="宋体" w:cs="宋体" w:eastAsia="宋体" w:hint="default"/>
        </w:rPr>
        <w:t>3</w:t>
      </w:r>
      <w:r>
        <w:rPr/>
        <w:t>、委托他人进行现金资产管理情况</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260" w:right="0"/>
        <w:jc w:val="left"/>
        <w:rPr>
          <w:b w:val="0"/>
          <w:bCs w:val="0"/>
        </w:rPr>
      </w:pPr>
      <w:bookmarkStart w:name="（1）委托理财情况" w:id="97"/>
      <w:bookmarkEnd w:id="97"/>
      <w:r>
        <w:rPr>
          <w:b w:val="0"/>
          <w:bCs w:val="0"/>
        </w:rPr>
      </w:r>
      <w:r>
        <w:rPr/>
        <w:t>（</w:t>
      </w:r>
      <w:r>
        <w:rPr>
          <w:rFonts w:ascii="宋体" w:hAnsi="宋体" w:cs="宋体" w:eastAsia="宋体" w:hint="default"/>
        </w:rPr>
        <w:t>1</w:t>
      </w:r>
      <w:r>
        <w:rPr/>
        <w:t>）委托理财情况</w:t>
      </w:r>
      <w:r>
        <w:rPr>
          <w:b w:val="0"/>
          <w:bCs w:val="0"/>
        </w:rPr>
      </w:r>
    </w:p>
    <w:p>
      <w:pPr>
        <w:spacing w:line="240" w:lineRule="auto" w:before="5"/>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headerReference w:type="default" r:id="rId32"/>
          <w:footerReference w:type="default" r:id="rId33"/>
          <w:pgSz w:w="16840" w:h="11910" w:orient="landscape"/>
          <w:pgMar w:header="867" w:footer="1187" w:top="1060" w:bottom="1380" w:left="1180" w:right="0"/>
          <w:pgNumType w:start="62"/>
        </w:sectPr>
      </w:pPr>
    </w:p>
    <w:p>
      <w:pPr>
        <w:pStyle w:val="BodyText"/>
        <w:spacing w:line="357" w:lineRule="auto" w:before="44"/>
        <w:ind w:left="260" w:right="-20"/>
        <w:jc w:val="left"/>
      </w:pPr>
      <w:r>
        <w:rPr/>
        <w:t>√ 适用 □ 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260" w:right="0"/>
        <w:jc w:val="left"/>
      </w:pPr>
      <w:r>
        <w:rPr/>
        <w:t>单位：万元</w:t>
      </w:r>
    </w:p>
    <w:p>
      <w:pPr>
        <w:spacing w:after="0" w:line="240" w:lineRule="auto"/>
        <w:jc w:val="left"/>
        <w:sectPr>
          <w:type w:val="continuous"/>
          <w:pgSz w:w="16840" w:h="11910" w:orient="landscape"/>
          <w:pgMar w:top="1060" w:bottom="1380" w:left="1180" w:right="0"/>
          <w:cols w:num="2" w:equalWidth="0">
            <w:col w:w="2061" w:space="10999"/>
            <w:col w:w="2600"/>
          </w:cols>
        </w:sectPr>
      </w:pPr>
    </w:p>
    <w:p>
      <w:pPr>
        <w:spacing w:line="240" w:lineRule="auto" w:before="13"/>
        <w:rPr>
          <w:rFonts w:ascii="宋体" w:hAnsi="宋体" w:cs="宋体" w:eastAsia="宋体" w:hint="default"/>
          <w:sz w:val="7"/>
          <w:szCs w:val="7"/>
        </w:rPr>
      </w:pPr>
    </w:p>
    <w:tbl>
      <w:tblPr>
        <w:tblW w:w="0" w:type="auto"/>
        <w:jc w:val="left"/>
        <w:tblInd w:w="255" w:type="dxa"/>
        <w:tblLayout w:type="fixed"/>
        <w:tblCellMar>
          <w:top w:w="0" w:type="dxa"/>
          <w:left w:w="0" w:type="dxa"/>
          <w:bottom w:w="0" w:type="dxa"/>
          <w:right w:w="0" w:type="dxa"/>
        </w:tblCellMar>
        <w:tblLook w:val="01E0"/>
      </w:tblPr>
      <w:tblGrid>
        <w:gridCol w:w="2740"/>
        <w:gridCol w:w="2875"/>
        <w:gridCol w:w="2907"/>
        <w:gridCol w:w="2801"/>
        <w:gridCol w:w="2715"/>
      </w:tblGrid>
      <w:tr>
        <w:trPr>
          <w:trHeight w:val="402"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具体类型</w:t>
            </w:r>
          </w:p>
        </w:tc>
        <w:tc>
          <w:tcPr>
            <w:tcW w:w="2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2"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2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7"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未到期余额</w:t>
            </w:r>
          </w:p>
        </w:tc>
        <w:tc>
          <w:tcPr>
            <w:tcW w:w="2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2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暂时闲置的募集资金</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140,000</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75,000</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402" w:hRule="exact"/>
        </w:trPr>
        <w:tc>
          <w:tcPr>
            <w:tcW w:w="2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45,000</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43,000</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402" w:hRule="exact"/>
        </w:trPr>
        <w:tc>
          <w:tcPr>
            <w:tcW w:w="56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185,000</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118,000</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type w:val="continuous"/>
          <w:pgSz w:w="16840" w:h="11910" w:orient="landscape"/>
          <w:pgMar w:top="1060" w:bottom="1380" w:left="1180" w:right="0"/>
        </w:sectPr>
      </w:pPr>
    </w:p>
    <w:p>
      <w:pPr>
        <w:pStyle w:val="BodyText"/>
        <w:spacing w:line="240" w:lineRule="auto" w:before="51"/>
        <w:ind w:left="260" w:right="-20"/>
        <w:jc w:val="left"/>
      </w:pPr>
      <w:r>
        <w:rPr/>
        <w:t>单项金额重大或安全性较低、流动性较差、不保本的高风险委托理财具体情况</w:t>
      </w:r>
    </w:p>
    <w:p>
      <w:pPr>
        <w:pStyle w:val="BodyText"/>
        <w:spacing w:line="240" w:lineRule="auto" w:before="117"/>
        <w:ind w:left="260"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260" w:right="0"/>
        <w:jc w:val="left"/>
      </w:pPr>
      <w:r>
        <w:rPr/>
        <w:t>单位：万元</w:t>
      </w:r>
    </w:p>
    <w:p>
      <w:pPr>
        <w:spacing w:after="0" w:line="240" w:lineRule="auto"/>
        <w:jc w:val="left"/>
        <w:sectPr>
          <w:type w:val="continuous"/>
          <w:pgSz w:w="16840" w:h="11910" w:orient="landscape"/>
          <w:pgMar w:top="1060" w:bottom="1380" w:left="1180" w:right="0"/>
          <w:cols w:num="2" w:equalWidth="0">
            <w:col w:w="6381" w:space="6679"/>
            <w:col w:w="2600"/>
          </w:cols>
        </w:sectPr>
      </w:pPr>
    </w:p>
    <w:p>
      <w:pPr>
        <w:spacing w:line="240" w:lineRule="auto" w:before="1"/>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992"/>
        <w:gridCol w:w="708"/>
        <w:gridCol w:w="607"/>
        <w:gridCol w:w="670"/>
        <w:gridCol w:w="708"/>
        <w:gridCol w:w="708"/>
        <w:gridCol w:w="709"/>
        <w:gridCol w:w="2693"/>
        <w:gridCol w:w="562"/>
        <w:gridCol w:w="560"/>
        <w:gridCol w:w="562"/>
        <w:gridCol w:w="727"/>
        <w:gridCol w:w="709"/>
        <w:gridCol w:w="708"/>
        <w:gridCol w:w="547"/>
        <w:gridCol w:w="730"/>
        <w:gridCol w:w="1646"/>
      </w:tblGrid>
      <w:tr>
        <w:trPr>
          <w:trHeight w:val="1338" w:hRule="exact"/>
        </w:trPr>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0" w:right="41"/>
              <w:jc w:val="both"/>
              <w:rPr>
                <w:rFonts w:ascii="宋体" w:hAnsi="宋体" w:cs="宋体" w:eastAsia="宋体" w:hint="default"/>
                <w:sz w:val="18"/>
                <w:szCs w:val="18"/>
              </w:rPr>
            </w:pPr>
            <w:r>
              <w:rPr>
                <w:rFonts w:ascii="宋体" w:hAnsi="宋体" w:cs="宋体" w:eastAsia="宋体" w:hint="default"/>
                <w:sz w:val="18"/>
                <w:szCs w:val="18"/>
              </w:rPr>
              <w:t>受托机构名 称（或受托 人姓名）</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hanging="2"/>
              <w:jc w:val="center"/>
              <w:rPr>
                <w:rFonts w:ascii="宋体" w:hAnsi="宋体" w:cs="宋体" w:eastAsia="宋体" w:hint="default"/>
                <w:sz w:val="18"/>
                <w:szCs w:val="18"/>
              </w:rPr>
            </w:pPr>
            <w:r>
              <w:rPr>
                <w:rFonts w:ascii="宋体" w:hAnsi="宋体" w:cs="宋体" w:eastAsia="宋体" w:hint="default"/>
                <w:sz w:val="18"/>
                <w:szCs w:val="18"/>
              </w:rPr>
              <w:t>受托机 </w:t>
            </w:r>
            <w:r>
              <w:rPr>
                <w:rFonts w:ascii="宋体" w:hAnsi="宋体" w:cs="宋体" w:eastAsia="宋体" w:hint="default"/>
                <w:spacing w:val="-18"/>
                <w:sz w:val="18"/>
                <w:szCs w:val="18"/>
              </w:rPr>
              <w:t>构（或受</w:t>
            </w:r>
            <w:r>
              <w:rPr>
                <w:rFonts w:ascii="宋体" w:hAnsi="宋体" w:cs="宋体" w:eastAsia="宋体" w:hint="default"/>
                <w:sz w:val="18"/>
                <w:szCs w:val="18"/>
              </w:rPr>
              <w:t> </w:t>
            </w:r>
            <w:r>
              <w:rPr>
                <w:rFonts w:ascii="宋体" w:hAnsi="宋体" w:cs="宋体" w:eastAsia="宋体" w:hint="default"/>
                <w:spacing w:val="-18"/>
                <w:sz w:val="18"/>
                <w:szCs w:val="18"/>
              </w:rPr>
              <w:t>托人）类</w:t>
            </w:r>
            <w:r>
              <w:rPr>
                <w:rFonts w:ascii="宋体" w:hAnsi="宋体" w:cs="宋体" w:eastAsia="宋体" w:hint="default"/>
                <w:sz w:val="18"/>
                <w:szCs w:val="18"/>
              </w:rPr>
              <w:t> 型</w:t>
            </w:r>
          </w:p>
        </w:tc>
        <w:tc>
          <w:tcPr>
            <w:tcW w:w="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7" w:right="29"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7" w:right="78"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9" w:right="77" w:hanging="180"/>
              <w:jc w:val="left"/>
              <w:rPr>
                <w:rFonts w:ascii="宋体" w:hAnsi="宋体" w:cs="宋体" w:eastAsia="宋体" w:hint="default"/>
                <w:sz w:val="18"/>
                <w:szCs w:val="18"/>
              </w:rPr>
            </w:pPr>
            <w:r>
              <w:rPr>
                <w:rFonts w:ascii="宋体" w:hAnsi="宋体" w:cs="宋体" w:eastAsia="宋体" w:hint="default"/>
                <w:sz w:val="18"/>
                <w:szCs w:val="18"/>
              </w:rPr>
              <w:t>起始日 期</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0" w:right="77" w:hanging="180"/>
              <w:jc w:val="left"/>
              <w:rPr>
                <w:rFonts w:ascii="宋体" w:hAnsi="宋体" w:cs="宋体" w:eastAsia="宋体" w:hint="default"/>
                <w:sz w:val="18"/>
                <w:szCs w:val="18"/>
              </w:rPr>
            </w:pPr>
            <w:r>
              <w:rPr>
                <w:rFonts w:ascii="宋体" w:hAnsi="宋体" w:cs="宋体" w:eastAsia="宋体" w:hint="default"/>
                <w:sz w:val="18"/>
                <w:szCs w:val="18"/>
              </w:rPr>
              <w:t>终止日 期</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资金投向</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5"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4" w:right="95"/>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6"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9" w:lineRule="auto" w:before="19"/>
              <w:ind w:left="186" w:right="95" w:hanging="90"/>
              <w:jc w:val="left"/>
              <w:rPr>
                <w:rFonts w:ascii="宋体" w:hAnsi="宋体" w:cs="宋体" w:eastAsia="宋体" w:hint="default"/>
                <w:sz w:val="18"/>
                <w:szCs w:val="18"/>
              </w:rPr>
            </w:pPr>
            <w:r>
              <w:rPr>
                <w:rFonts w:ascii="宋体" w:hAnsi="宋体" w:cs="宋体" w:eastAsia="宋体" w:hint="default"/>
                <w:sz w:val="18"/>
                <w:szCs w:val="18"/>
              </w:rPr>
              <w:t>（如 有</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7" w:right="89"/>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8"/>
              <w:jc w:val="both"/>
              <w:rPr>
                <w:rFonts w:ascii="宋体" w:hAnsi="宋体" w:cs="宋体" w:eastAsia="宋体" w:hint="default"/>
                <w:sz w:val="18"/>
                <w:szCs w:val="18"/>
              </w:rPr>
            </w:pPr>
            <w:r>
              <w:rPr>
                <w:rFonts w:ascii="宋体" w:hAnsi="宋体" w:cs="宋体" w:eastAsia="宋体" w:hint="default"/>
                <w:sz w:val="18"/>
                <w:szCs w:val="18"/>
              </w:rPr>
              <w:t>报告期 损益实 际收回 情况</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hanging="1"/>
              <w:jc w:val="center"/>
              <w:rPr>
                <w:rFonts w:ascii="宋体" w:hAnsi="宋体" w:cs="宋体" w:eastAsia="宋体" w:hint="default"/>
                <w:sz w:val="18"/>
                <w:szCs w:val="18"/>
              </w:rPr>
            </w:pPr>
            <w:r>
              <w:rPr>
                <w:rFonts w:ascii="宋体" w:hAnsi="宋体" w:cs="宋体" w:eastAsia="宋体" w:hint="default"/>
                <w:sz w:val="18"/>
                <w:szCs w:val="18"/>
              </w:rPr>
              <w:t>计提减 值准备 </w:t>
            </w:r>
            <w:r>
              <w:rPr>
                <w:rFonts w:ascii="宋体" w:hAnsi="宋体" w:cs="宋体" w:eastAsia="宋体" w:hint="default"/>
                <w:spacing w:val="-17"/>
                <w:sz w:val="18"/>
                <w:szCs w:val="18"/>
              </w:rPr>
              <w:t>金额（如</w:t>
            </w:r>
            <w:r>
              <w:rPr>
                <w:rFonts w:ascii="宋体" w:hAnsi="宋体" w:cs="宋体" w:eastAsia="宋体" w:hint="default"/>
                <w:sz w:val="18"/>
                <w:szCs w:val="18"/>
              </w:rPr>
              <w:t>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8" w:right="86"/>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8" w:right="89"/>
              <w:jc w:val="both"/>
              <w:rPr>
                <w:rFonts w:ascii="宋体" w:hAnsi="宋体" w:cs="宋体" w:eastAsia="宋体" w:hint="default"/>
                <w:sz w:val="18"/>
                <w:szCs w:val="18"/>
              </w:rPr>
            </w:pPr>
            <w:r>
              <w:rPr>
                <w:rFonts w:ascii="宋体" w:hAnsi="宋体" w:cs="宋体" w:eastAsia="宋体" w:hint="default"/>
                <w:sz w:val="18"/>
                <w:szCs w:val="18"/>
              </w:rPr>
              <w:t>未来是 否还有 委托理 财计划</w:t>
            </w:r>
          </w:p>
        </w:tc>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88" w:right="96" w:hanging="90"/>
              <w:jc w:val="left"/>
              <w:rPr>
                <w:rFonts w:ascii="宋体" w:hAnsi="宋体" w:cs="宋体" w:eastAsia="宋体" w:hint="default"/>
                <w:sz w:val="18"/>
                <w:szCs w:val="18"/>
              </w:rPr>
            </w:pPr>
            <w:r>
              <w:rPr>
                <w:rFonts w:ascii="宋体" w:hAnsi="宋体" w:cs="宋体" w:eastAsia="宋体" w:hint="default"/>
                <w:sz w:val="18"/>
                <w:szCs w:val="18"/>
              </w:rPr>
              <w:t>事项概述及相关查 询索引（如有）</w:t>
            </w:r>
          </w:p>
        </w:tc>
      </w:tr>
      <w:tr>
        <w:trPr>
          <w:trHeight w:val="2274"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59"/>
              <w:jc w:val="both"/>
              <w:rPr>
                <w:rFonts w:ascii="宋体" w:hAnsi="宋体" w:cs="宋体" w:eastAsia="宋体" w:hint="default"/>
                <w:sz w:val="18"/>
                <w:szCs w:val="18"/>
              </w:rPr>
            </w:pPr>
            <w:r>
              <w:rPr>
                <w:rFonts w:ascii="宋体" w:hAnsi="宋体" w:cs="宋体" w:eastAsia="宋体" w:hint="default"/>
                <w:sz w:val="18"/>
                <w:szCs w:val="18"/>
              </w:rPr>
              <w:t>上海浦东发 展银行股份 有限公司北 京分行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32"/>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72" w:right="0"/>
              <w:jc w:val="center"/>
              <w:rPr>
                <w:rFonts w:ascii="宋体" w:hAnsi="宋体" w:cs="宋体" w:eastAsia="宋体" w:hint="default"/>
                <w:sz w:val="18"/>
                <w:szCs w:val="18"/>
              </w:rPr>
            </w:pPr>
            <w:r>
              <w:rPr>
                <w:rFonts w:ascii="宋体"/>
                <w:sz w:val="18"/>
              </w:rPr>
              <w:t>80,000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133"/>
              <w:jc w:val="left"/>
              <w:rPr>
                <w:rFonts w:ascii="宋体" w:hAnsi="宋体" w:cs="宋体" w:eastAsia="宋体" w:hint="default"/>
                <w:sz w:val="18"/>
                <w:szCs w:val="18"/>
              </w:rPr>
            </w:pPr>
            <w:r>
              <w:rPr>
                <w:rFonts w:ascii="宋体" w:hAnsi="宋体" w:cs="宋体" w:eastAsia="宋体" w:hint="default"/>
                <w:sz w:val="18"/>
                <w:szCs w:val="18"/>
              </w:rPr>
              <w:t>闲置募 集资金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主要投资于银行间市场央票、国债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金融债、企业债、短融、 中期票 </w:t>
            </w:r>
            <w:r>
              <w:rPr>
                <w:rFonts w:ascii="宋体" w:hAnsi="宋体" w:cs="宋体" w:eastAsia="宋体" w:hint="default"/>
                <w:spacing w:val="-5"/>
                <w:sz w:val="18"/>
                <w:szCs w:val="18"/>
              </w:rPr>
              <w:t>据、同业拆借、同业存款、债券或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票据回购等，同时银行通过主动性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管理 和运用结构简单、风险较低 的相关金融工具来提高该产品的 收益率。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保证 收益 型</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55" w:right="0"/>
              <w:jc w:val="center"/>
              <w:rPr>
                <w:rFonts w:ascii="宋体" w:hAnsi="宋体" w:cs="宋体" w:eastAsia="宋体" w:hint="default"/>
                <w:sz w:val="18"/>
                <w:szCs w:val="18"/>
              </w:rPr>
            </w:pPr>
            <w:r>
              <w:rPr>
                <w:rFonts w:ascii="宋体"/>
                <w:sz w:val="18"/>
              </w:rPr>
              <w:t>2.60%</w:t>
            </w:r>
          </w:p>
        </w:tc>
        <w:tc>
          <w:tcPr>
            <w:tcW w:w="56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347.62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sz w:val="18"/>
              </w:rPr>
              <w:t>347.62</w:t>
            </w:r>
          </w:p>
        </w:tc>
        <w:tc>
          <w:tcPr>
            <w:tcW w:w="70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深交所巨潮资讯网</w:t>
            </w:r>
          </w:p>
          <w:p>
            <w:pPr>
              <w:pStyle w:val="TableParagraph"/>
              <w:spacing w:line="319" w:lineRule="auto" w:before="75"/>
              <w:ind w:left="22" w:right="2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http://www.cnin </w:t>
            </w:r>
            <w:r>
              <w:rPr>
                <w:rFonts w:ascii="宋体" w:hAnsi="宋体" w:cs="宋体" w:eastAsia="宋体" w:hint="default"/>
                <w:spacing w:val="-9"/>
                <w:sz w:val="18"/>
                <w:szCs w:val="18"/>
              </w:rPr>
              <w:t>fo.com.cn</w:t>
            </w:r>
            <w:r>
              <w:rPr>
                <w:rFonts w:ascii="宋体" w:hAnsi="宋体" w:cs="宋体" w:eastAsia="宋体" w:hint="default"/>
                <w:spacing w:val="-9"/>
                <w:sz w:val="18"/>
                <w:szCs w:val="18"/>
              </w:rPr>
              <w:t>）《关于理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财产品到期赎回及 继续使用部分闲置 募集资金购买理财 产品的公告》</w:t>
            </w:r>
          </w:p>
        </w:tc>
      </w:tr>
      <w:tr>
        <w:trPr>
          <w:trHeight w:val="714"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59"/>
              <w:jc w:val="left"/>
              <w:rPr>
                <w:rFonts w:ascii="宋体" w:hAnsi="宋体" w:cs="宋体" w:eastAsia="宋体" w:hint="default"/>
                <w:sz w:val="18"/>
                <w:szCs w:val="18"/>
              </w:rPr>
            </w:pPr>
            <w:r>
              <w:rPr>
                <w:rFonts w:ascii="宋体" w:hAnsi="宋体" w:cs="宋体" w:eastAsia="宋体" w:hint="default"/>
                <w:sz w:val="18"/>
                <w:szCs w:val="18"/>
              </w:rPr>
              <w:t>上海浦东发 展银行股份</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2" w:right="0"/>
              <w:jc w:val="center"/>
              <w:rPr>
                <w:rFonts w:ascii="宋体" w:hAnsi="宋体" w:cs="宋体" w:eastAsia="宋体" w:hint="default"/>
                <w:sz w:val="18"/>
                <w:szCs w:val="18"/>
              </w:rPr>
            </w:pPr>
            <w:r>
              <w:rPr>
                <w:rFonts w:ascii="宋体"/>
                <w:sz w:val="18"/>
              </w:rPr>
              <w:t>50,000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闲置募 集资金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2"/>
              <w:jc w:val="left"/>
              <w:rPr>
                <w:rFonts w:ascii="宋体" w:hAnsi="宋体" w:cs="宋体" w:eastAsia="宋体" w:hint="default"/>
                <w:sz w:val="18"/>
                <w:szCs w:val="18"/>
              </w:rPr>
            </w:pPr>
            <w:r>
              <w:rPr>
                <w:rFonts w:ascii="宋体" w:hAnsi="宋体" w:cs="宋体" w:eastAsia="宋体" w:hint="default"/>
                <w:spacing w:val="-5"/>
                <w:sz w:val="18"/>
                <w:szCs w:val="18"/>
              </w:rPr>
              <w:t>主要投资于银行间市场央票、国债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金融债、企业债、短融、 中期票</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167"/>
              <w:jc w:val="left"/>
              <w:rPr>
                <w:rFonts w:ascii="宋体" w:hAnsi="宋体" w:cs="宋体" w:eastAsia="宋体" w:hint="default"/>
                <w:sz w:val="18"/>
                <w:szCs w:val="18"/>
              </w:rPr>
            </w:pPr>
            <w:r>
              <w:rPr>
                <w:rFonts w:ascii="宋体" w:hAnsi="宋体" w:cs="宋体" w:eastAsia="宋体" w:hint="default"/>
                <w:sz w:val="18"/>
                <w:szCs w:val="18"/>
              </w:rPr>
              <w:t>保证 收益</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center"/>
              <w:rPr>
                <w:rFonts w:ascii="宋体" w:hAnsi="宋体" w:cs="宋体" w:eastAsia="宋体" w:hint="default"/>
                <w:sz w:val="18"/>
                <w:szCs w:val="18"/>
              </w:rPr>
            </w:pPr>
            <w:r>
              <w:rPr>
                <w:rFonts w:ascii="宋体"/>
                <w:sz w:val="18"/>
              </w:rPr>
              <w:t>3.10%</w:t>
            </w:r>
          </w:p>
        </w:tc>
        <w:tc>
          <w:tcPr>
            <w:tcW w:w="56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146.39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146.39</w:t>
            </w:r>
          </w:p>
        </w:tc>
        <w:tc>
          <w:tcPr>
            <w:tcW w:w="70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深交所巨潮资讯网</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http://www.cnin</w:t>
            </w:r>
          </w:p>
        </w:tc>
      </w:tr>
    </w:tbl>
    <w:p>
      <w:pPr>
        <w:spacing w:after="0" w:line="240" w:lineRule="auto"/>
        <w:jc w:val="left"/>
        <w:rPr>
          <w:rFonts w:ascii="宋体" w:hAnsi="宋体" w:cs="宋体" w:eastAsia="宋体" w:hint="default"/>
          <w:sz w:val="18"/>
          <w:szCs w:val="18"/>
        </w:rPr>
        <w:sectPr>
          <w:type w:val="continuous"/>
          <w:pgSz w:w="16840" w:h="11910" w:orient="landscape"/>
          <w:pgMar w:top="1060" w:bottom="1380" w:left="1180" w:right="0"/>
        </w:sectPr>
      </w:pPr>
    </w:p>
    <w:p>
      <w:pPr>
        <w:spacing w:line="240" w:lineRule="auto" w:before="4"/>
        <w:rPr>
          <w:rFonts w:ascii="Times New Roman" w:hAnsi="Times New Roman" w:cs="Times New Roman" w:eastAsia="Times New Roman" w:hint="default"/>
          <w:sz w:val="3"/>
          <w:szCs w:val="3"/>
        </w:rPr>
      </w:pPr>
      <w:r>
        <w:rPr/>
        <w:pict>
          <v:group style="position:absolute;margin-left:454.959991pt;margin-top:219.740005pt;width:27.6pt;height:31.25pt;mso-position-horizontal-relative:page;mso-position-vertical-relative:page;z-index:-1181608" coordorigin="9099,4395" coordsize="552,625">
            <v:shape style="position:absolute;left:9099;top:4395;width:552;height:625" coordorigin="9099,4395" coordsize="552,625" path="m9099,5019l9651,5019,9651,4395,9099,4395,9099,5019xe" filled="true" fillcolor="#ffffff" stroked="false">
              <v:path arrowok="t"/>
              <v:fill type="solid"/>
            </v:shape>
            <w10:wrap type="none"/>
          </v:group>
        </w:pict>
      </w:r>
    </w:p>
    <w:tbl>
      <w:tblPr>
        <w:tblW w:w="0" w:type="auto"/>
        <w:jc w:val="left"/>
        <w:tblInd w:w="113" w:type="dxa"/>
        <w:tblLayout w:type="fixed"/>
        <w:tblCellMar>
          <w:top w:w="0" w:type="dxa"/>
          <w:left w:w="0" w:type="dxa"/>
          <w:bottom w:w="0" w:type="dxa"/>
          <w:right w:w="0" w:type="dxa"/>
        </w:tblCellMar>
        <w:tblLook w:val="01E0"/>
      </w:tblPr>
      <w:tblGrid>
        <w:gridCol w:w="992"/>
        <w:gridCol w:w="708"/>
        <w:gridCol w:w="607"/>
        <w:gridCol w:w="670"/>
        <w:gridCol w:w="708"/>
        <w:gridCol w:w="708"/>
        <w:gridCol w:w="709"/>
        <w:gridCol w:w="2693"/>
        <w:gridCol w:w="562"/>
        <w:gridCol w:w="560"/>
        <w:gridCol w:w="562"/>
        <w:gridCol w:w="727"/>
        <w:gridCol w:w="709"/>
        <w:gridCol w:w="708"/>
        <w:gridCol w:w="547"/>
        <w:gridCol w:w="730"/>
        <w:gridCol w:w="1646"/>
      </w:tblGrid>
      <w:tr>
        <w:trPr>
          <w:trHeight w:val="1625" w:hRule="exact"/>
        </w:trPr>
        <w:tc>
          <w:tcPr>
            <w:tcW w:w="992"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59"/>
              <w:jc w:val="left"/>
              <w:rPr>
                <w:rFonts w:ascii="宋体" w:hAnsi="宋体" w:cs="宋体" w:eastAsia="宋体" w:hint="default"/>
                <w:sz w:val="18"/>
                <w:szCs w:val="18"/>
              </w:rPr>
            </w:pPr>
            <w:r>
              <w:rPr>
                <w:rFonts w:ascii="宋体" w:hAnsi="宋体" w:cs="宋体" w:eastAsia="宋体" w:hint="default"/>
                <w:sz w:val="18"/>
                <w:szCs w:val="18"/>
              </w:rPr>
              <w:t>有限公司北 京分行</w:t>
            </w:r>
          </w:p>
        </w:tc>
        <w:tc>
          <w:tcPr>
            <w:tcW w:w="708" w:type="dxa"/>
            <w:tcBorders>
              <w:top w:val="single" w:sz="15" w:space="0" w:color="000000"/>
              <w:left w:val="single" w:sz="4" w:space="0" w:color="000000"/>
              <w:bottom w:val="single" w:sz="4" w:space="0" w:color="000000"/>
              <w:right w:val="single" w:sz="4" w:space="0" w:color="000000"/>
            </w:tcBorders>
          </w:tcPr>
          <w:p>
            <w:pPr/>
          </w:p>
        </w:tc>
        <w:tc>
          <w:tcPr>
            <w:tcW w:w="607" w:type="dxa"/>
            <w:tcBorders>
              <w:top w:val="single" w:sz="15" w:space="0" w:color="000000"/>
              <w:left w:val="single" w:sz="4" w:space="0" w:color="000000"/>
              <w:bottom w:val="single" w:sz="4" w:space="0" w:color="000000"/>
              <w:right w:val="single" w:sz="4" w:space="0" w:color="000000"/>
            </w:tcBorders>
          </w:tcPr>
          <w:p>
            <w:pPr/>
          </w:p>
        </w:tc>
        <w:tc>
          <w:tcPr>
            <w:tcW w:w="670"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693"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5"/>
                <w:sz w:val="18"/>
                <w:szCs w:val="18"/>
              </w:rPr>
              <w:t>据、同业拆借、同业存款、债券或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票据回购等，同时银行通过主动性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管理 和运用结构简单、风险较低 的相关金融工具来提高该产品的 收益率。</w:t>
            </w:r>
          </w:p>
        </w:tc>
        <w:tc>
          <w:tcPr>
            <w:tcW w:w="56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型</w:t>
            </w:r>
          </w:p>
        </w:tc>
        <w:tc>
          <w:tcPr>
            <w:tcW w:w="560" w:type="dxa"/>
            <w:tcBorders>
              <w:top w:val="single" w:sz="15" w:space="0" w:color="000000"/>
              <w:left w:val="single" w:sz="4" w:space="0" w:color="000000"/>
              <w:bottom w:val="single" w:sz="4" w:space="0" w:color="000000"/>
              <w:right w:val="single" w:sz="4" w:space="0" w:color="000000"/>
            </w:tcBorders>
          </w:tcPr>
          <w:p>
            <w:pPr/>
          </w:p>
        </w:tc>
        <w:tc>
          <w:tcPr>
            <w:tcW w:w="562" w:type="dxa"/>
            <w:tcBorders>
              <w:top w:val="single" w:sz="15" w:space="0" w:color="000000"/>
              <w:left w:val="single" w:sz="4" w:space="0" w:color="000000"/>
              <w:bottom w:val="single" w:sz="4" w:space="0" w:color="000000"/>
              <w:right w:val="single" w:sz="4" w:space="0" w:color="000000"/>
            </w:tcBorders>
          </w:tcPr>
          <w:p>
            <w:pPr/>
          </w:p>
        </w:tc>
        <w:tc>
          <w:tcPr>
            <w:tcW w:w="727"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547" w:type="dxa"/>
            <w:tcBorders>
              <w:top w:val="single" w:sz="15" w:space="0" w:color="000000"/>
              <w:left w:val="single" w:sz="4" w:space="0" w:color="000000"/>
              <w:bottom w:val="single" w:sz="4" w:space="0" w:color="000000"/>
              <w:right w:val="single" w:sz="4" w:space="0" w:color="000000"/>
            </w:tcBorders>
          </w:tcPr>
          <w:p>
            <w:pPr/>
          </w:p>
        </w:tc>
        <w:tc>
          <w:tcPr>
            <w:tcW w:w="730" w:type="dxa"/>
            <w:tcBorders>
              <w:top w:val="single" w:sz="15" w:space="0" w:color="000000"/>
              <w:left w:val="single" w:sz="4" w:space="0" w:color="000000"/>
              <w:bottom w:val="single" w:sz="4" w:space="0" w:color="000000"/>
              <w:right w:val="single" w:sz="4" w:space="0" w:color="000000"/>
            </w:tcBorders>
          </w:tcPr>
          <w:p>
            <w:pPr/>
          </w:p>
        </w:tc>
        <w:tc>
          <w:tcPr>
            <w:tcW w:w="1646"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pacing w:val="-9"/>
                <w:sz w:val="18"/>
                <w:szCs w:val="18"/>
              </w:rPr>
              <w:t>fo.com.cn</w:t>
            </w:r>
            <w:r>
              <w:rPr>
                <w:rFonts w:ascii="宋体" w:hAnsi="宋体" w:cs="宋体" w:eastAsia="宋体" w:hint="default"/>
                <w:spacing w:val="-9"/>
                <w:sz w:val="18"/>
                <w:szCs w:val="18"/>
              </w:rPr>
              <w:t>）《关于理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财产品到期赎回及 继续使用部分闲置 募集资金购买理财 产品的公告》</w:t>
            </w:r>
          </w:p>
        </w:tc>
      </w:tr>
      <w:tr>
        <w:trPr>
          <w:trHeight w:val="2274"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59"/>
              <w:jc w:val="both"/>
              <w:rPr>
                <w:rFonts w:ascii="宋体" w:hAnsi="宋体" w:cs="宋体" w:eastAsia="宋体" w:hint="default"/>
                <w:sz w:val="18"/>
                <w:szCs w:val="18"/>
              </w:rPr>
            </w:pPr>
            <w:r>
              <w:rPr>
                <w:rFonts w:ascii="宋体" w:hAnsi="宋体" w:cs="宋体" w:eastAsia="宋体" w:hint="default"/>
                <w:sz w:val="18"/>
                <w:szCs w:val="18"/>
              </w:rPr>
              <w:t>上海浦东发 展银行股份 有限公司北 京分行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32"/>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23"/>
              <w:jc w:val="right"/>
              <w:rPr>
                <w:rFonts w:ascii="宋体" w:hAnsi="宋体" w:cs="宋体" w:eastAsia="宋体" w:hint="default"/>
                <w:sz w:val="18"/>
                <w:szCs w:val="18"/>
              </w:rPr>
            </w:pPr>
            <w:r>
              <w:rPr>
                <w:rFonts w:ascii="宋体"/>
                <w:sz w:val="18"/>
              </w:rPr>
              <w:t>80,000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3"/>
              <w:jc w:val="left"/>
              <w:rPr>
                <w:rFonts w:ascii="宋体" w:hAnsi="宋体" w:cs="宋体" w:eastAsia="宋体" w:hint="default"/>
                <w:sz w:val="18"/>
                <w:szCs w:val="18"/>
              </w:rPr>
            </w:pPr>
            <w:r>
              <w:rPr>
                <w:rFonts w:ascii="宋体" w:hAnsi="宋体" w:cs="宋体" w:eastAsia="宋体" w:hint="default"/>
                <w:sz w:val="18"/>
                <w:szCs w:val="18"/>
              </w:rPr>
              <w:t>闲置募 集资金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主要投资于银行间央票、国债金 融债、企业债、短融、中期票据、 </w:t>
            </w:r>
            <w:r>
              <w:rPr>
                <w:rFonts w:ascii="宋体" w:hAnsi="宋体" w:cs="宋体" w:eastAsia="宋体" w:hint="default"/>
                <w:spacing w:val="-5"/>
                <w:sz w:val="18"/>
                <w:szCs w:val="18"/>
              </w:rPr>
              <w:t>同业拆借、同业存款、债券或票据</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回购等，同时银行通过主动性管理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和运用结构简单、风险较低的相关</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金融工具来提高该产品的收益率。 </w:t>
            </w:r>
            <w:r>
              <w:rPr>
                <w:rFonts w:ascii="宋体" w:hAnsi="宋体" w:cs="宋体" w:eastAsia="宋体" w:hint="default"/>
                <w:sz w:val="18"/>
                <w:szCs w:val="18"/>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27.6pt;height:31.2pt;mso-position-horizontal-relative:char;mso-position-vertical-relative:line" coordorigin="0,0" coordsize="552,624">
                  <v:group style="position:absolute;left:0;top:0;width:552;height:624" coordorigin="0,0" coordsize="552,624">
                    <v:shape style="position:absolute;left:0;top:0;width:552;height:624" coordorigin="0,0" coordsize="552,624" path="m0,624l552,624,552,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316" w:lineRule="auto" w:before="51"/>
              <w:ind w:left="23" w:right="167"/>
              <w:jc w:val="both"/>
              <w:rPr>
                <w:rFonts w:ascii="宋体" w:hAnsi="宋体" w:cs="宋体" w:eastAsia="宋体" w:hint="default"/>
                <w:sz w:val="18"/>
                <w:szCs w:val="18"/>
              </w:rPr>
            </w:pPr>
            <w:r>
              <w:rPr>
                <w:rFonts w:ascii="宋体" w:hAnsi="宋体" w:cs="宋体" w:eastAsia="宋体" w:hint="default"/>
                <w:sz w:val="18"/>
                <w:szCs w:val="18"/>
              </w:rPr>
              <w:t>保证 收益 型</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55" w:right="0"/>
              <w:jc w:val="center"/>
              <w:rPr>
                <w:rFonts w:ascii="宋体" w:hAnsi="宋体" w:cs="宋体" w:eastAsia="宋体" w:hint="default"/>
                <w:sz w:val="18"/>
                <w:szCs w:val="18"/>
              </w:rPr>
            </w:pPr>
            <w:r>
              <w:rPr>
                <w:rFonts w:ascii="宋体"/>
                <w:sz w:val="18"/>
              </w:rPr>
              <w:t>3.60%</w:t>
            </w:r>
          </w:p>
        </w:tc>
        <w:tc>
          <w:tcPr>
            <w:tcW w:w="56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23"/>
              <w:jc w:val="right"/>
              <w:rPr>
                <w:rFonts w:ascii="宋体" w:hAnsi="宋体" w:cs="宋体" w:eastAsia="宋体" w:hint="default"/>
                <w:sz w:val="18"/>
                <w:szCs w:val="18"/>
              </w:rPr>
            </w:pPr>
            <w:r>
              <w:rPr>
                <w:rFonts w:ascii="宋体"/>
                <w:sz w:val="18"/>
              </w:rPr>
              <w:t>720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sz w:val="18"/>
              </w:rPr>
              <w:t>720</w:t>
            </w:r>
          </w:p>
        </w:tc>
        <w:tc>
          <w:tcPr>
            <w:tcW w:w="70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深交所巨潮资讯网</w:t>
            </w:r>
          </w:p>
          <w:p>
            <w:pPr>
              <w:pStyle w:val="TableParagraph"/>
              <w:spacing w:line="319" w:lineRule="auto" w:before="75"/>
              <w:ind w:left="22" w:right="2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http://www.cnin </w:t>
            </w:r>
            <w:r>
              <w:rPr>
                <w:rFonts w:ascii="宋体" w:hAnsi="宋体" w:cs="宋体" w:eastAsia="宋体" w:hint="default"/>
                <w:spacing w:val="-9"/>
                <w:sz w:val="18"/>
                <w:szCs w:val="18"/>
              </w:rPr>
              <w:t>fo.com.cn</w:t>
            </w:r>
            <w:r>
              <w:rPr>
                <w:rFonts w:ascii="宋体" w:hAnsi="宋体" w:cs="宋体" w:eastAsia="宋体" w:hint="default"/>
                <w:spacing w:val="-9"/>
                <w:sz w:val="18"/>
                <w:szCs w:val="18"/>
              </w:rPr>
              <w:t>）《关于理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财产品到期赎回及 继续使用部分闲置 募集资金购买理财 产品的公告》</w:t>
            </w:r>
          </w:p>
        </w:tc>
      </w:tr>
      <w:tr>
        <w:trPr>
          <w:trHeight w:val="2274"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59"/>
              <w:jc w:val="both"/>
              <w:rPr>
                <w:rFonts w:ascii="宋体" w:hAnsi="宋体" w:cs="宋体" w:eastAsia="宋体" w:hint="default"/>
                <w:sz w:val="18"/>
                <w:szCs w:val="18"/>
              </w:rPr>
            </w:pPr>
            <w:r>
              <w:rPr>
                <w:rFonts w:ascii="宋体" w:hAnsi="宋体" w:cs="宋体" w:eastAsia="宋体" w:hint="default"/>
                <w:sz w:val="18"/>
                <w:szCs w:val="18"/>
              </w:rPr>
              <w:t>上海浦东发 展银行股份 有限公司北 京分行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32"/>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23"/>
              <w:jc w:val="right"/>
              <w:rPr>
                <w:rFonts w:ascii="宋体" w:hAnsi="宋体" w:cs="宋体" w:eastAsia="宋体" w:hint="default"/>
                <w:sz w:val="18"/>
                <w:szCs w:val="18"/>
              </w:rPr>
            </w:pPr>
            <w:r>
              <w:rPr>
                <w:rFonts w:ascii="宋体"/>
                <w:sz w:val="18"/>
              </w:rPr>
              <w:t>50,800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闲置募 集资金</w:t>
            </w: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主要投资于银行间市场央票、国债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金融债、企业债、短融、 中期票 </w:t>
            </w:r>
            <w:r>
              <w:rPr>
                <w:rFonts w:ascii="宋体" w:hAnsi="宋体" w:cs="宋体" w:eastAsia="宋体" w:hint="default"/>
                <w:spacing w:val="-5"/>
                <w:sz w:val="18"/>
                <w:szCs w:val="18"/>
              </w:rPr>
              <w:t>据、同业拆借、同业存款、债券或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票据回购等，同时银行通过主动性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管理 和运用结构简单、风险较低 的相关金融工具来提高该产品的 收益率。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保证 收益 型</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55" w:right="0"/>
              <w:jc w:val="center"/>
              <w:rPr>
                <w:rFonts w:ascii="宋体" w:hAnsi="宋体" w:cs="宋体" w:eastAsia="宋体" w:hint="default"/>
                <w:sz w:val="18"/>
                <w:szCs w:val="18"/>
              </w:rPr>
            </w:pPr>
            <w:r>
              <w:rPr>
                <w:rFonts w:ascii="宋体"/>
                <w:sz w:val="18"/>
              </w:rPr>
              <w:t>3.30%</w:t>
            </w:r>
          </w:p>
        </w:tc>
        <w:tc>
          <w:tcPr>
            <w:tcW w:w="56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23"/>
              <w:jc w:val="right"/>
              <w:rPr>
                <w:rFonts w:ascii="宋体" w:hAnsi="宋体" w:cs="宋体" w:eastAsia="宋体" w:hint="default"/>
                <w:sz w:val="18"/>
                <w:szCs w:val="18"/>
              </w:rPr>
            </w:pPr>
            <w:r>
              <w:rPr>
                <w:rFonts w:ascii="宋体"/>
                <w:sz w:val="18"/>
              </w:rPr>
              <w:t>158.33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sz w:val="18"/>
              </w:rPr>
              <w:t>158.33</w:t>
            </w:r>
          </w:p>
        </w:tc>
        <w:tc>
          <w:tcPr>
            <w:tcW w:w="70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深交所巨潮资讯网</w:t>
            </w:r>
          </w:p>
          <w:p>
            <w:pPr>
              <w:pStyle w:val="TableParagraph"/>
              <w:spacing w:line="319" w:lineRule="auto" w:before="75"/>
              <w:ind w:left="22" w:right="2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http://www.cnin </w:t>
            </w:r>
            <w:r>
              <w:rPr>
                <w:rFonts w:ascii="宋体" w:hAnsi="宋体" w:cs="宋体" w:eastAsia="宋体" w:hint="default"/>
                <w:spacing w:val="-9"/>
                <w:sz w:val="18"/>
                <w:szCs w:val="18"/>
              </w:rPr>
              <w:t>fo.com.cn</w:t>
            </w:r>
            <w:r>
              <w:rPr>
                <w:rFonts w:ascii="宋体" w:hAnsi="宋体" w:cs="宋体" w:eastAsia="宋体" w:hint="default"/>
                <w:spacing w:val="-9"/>
                <w:sz w:val="18"/>
                <w:szCs w:val="18"/>
              </w:rPr>
              <w:t>）《关于理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财产品到期赎回及 继续使用部分闲置 募集资金购买理财 产品的公告》</w:t>
            </w:r>
          </w:p>
        </w:tc>
      </w:tr>
      <w:tr>
        <w:trPr>
          <w:trHeight w:val="2274"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59"/>
              <w:jc w:val="both"/>
              <w:rPr>
                <w:rFonts w:ascii="宋体" w:hAnsi="宋体" w:cs="宋体" w:eastAsia="宋体" w:hint="default"/>
                <w:sz w:val="18"/>
                <w:szCs w:val="18"/>
              </w:rPr>
            </w:pPr>
            <w:r>
              <w:rPr>
                <w:rFonts w:ascii="宋体" w:hAnsi="宋体" w:cs="宋体" w:eastAsia="宋体" w:hint="default"/>
                <w:sz w:val="18"/>
                <w:szCs w:val="18"/>
              </w:rPr>
              <w:t>上海浦东发 展银行股份 有限公司北 京分行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32"/>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131,60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闲置募 集资金</w:t>
            </w: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主要投资于银行间市场央票、国债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金融债、企业债、短融、 中期票 </w:t>
            </w:r>
            <w:r>
              <w:rPr>
                <w:rFonts w:ascii="宋体" w:hAnsi="宋体" w:cs="宋体" w:eastAsia="宋体" w:hint="default"/>
                <w:spacing w:val="-5"/>
                <w:sz w:val="18"/>
                <w:szCs w:val="18"/>
              </w:rPr>
              <w:t>据、同业拆借、同业存款、债券或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票据回购等，同时银行通过主动性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管理 和运用结构简单、风险较低 的相关金融工具来提高该产品的 收益率。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保证 收益 型</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55" w:right="0"/>
              <w:jc w:val="center"/>
              <w:rPr>
                <w:rFonts w:ascii="宋体" w:hAnsi="宋体" w:cs="宋体" w:eastAsia="宋体" w:hint="default"/>
                <w:sz w:val="18"/>
                <w:szCs w:val="18"/>
              </w:rPr>
            </w:pPr>
            <w:r>
              <w:rPr>
                <w:rFonts w:ascii="宋体"/>
                <w:sz w:val="18"/>
              </w:rPr>
              <w:t>3.60%</w:t>
            </w:r>
          </w:p>
        </w:tc>
        <w:tc>
          <w:tcPr>
            <w:tcW w:w="56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3"/>
              <w:jc w:val="right"/>
              <w:rPr>
                <w:rFonts w:ascii="宋体" w:hAnsi="宋体" w:cs="宋体" w:eastAsia="宋体" w:hint="default"/>
                <w:sz w:val="18"/>
                <w:szCs w:val="18"/>
              </w:rPr>
            </w:pPr>
            <w:r>
              <w:rPr>
                <w:rFonts w:ascii="宋体"/>
                <w:sz w:val="18"/>
              </w:rPr>
              <w:t>789.6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sz w:val="18"/>
              </w:rPr>
              <w:t>789.6</w:t>
            </w:r>
          </w:p>
        </w:tc>
        <w:tc>
          <w:tcPr>
            <w:tcW w:w="70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深交所巨潮资讯网</w:t>
            </w:r>
          </w:p>
          <w:p>
            <w:pPr>
              <w:pStyle w:val="TableParagraph"/>
              <w:spacing w:line="319" w:lineRule="auto" w:before="75"/>
              <w:ind w:left="22" w:right="2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http://www.cnin </w:t>
            </w:r>
            <w:r>
              <w:rPr>
                <w:rFonts w:ascii="宋体" w:hAnsi="宋体" w:cs="宋体" w:eastAsia="宋体" w:hint="default"/>
                <w:spacing w:val="-9"/>
                <w:sz w:val="18"/>
                <w:szCs w:val="18"/>
              </w:rPr>
              <w:t>fo.com.cn</w:t>
            </w:r>
            <w:r>
              <w:rPr>
                <w:rFonts w:ascii="宋体" w:hAnsi="宋体" w:cs="宋体" w:eastAsia="宋体" w:hint="default"/>
                <w:spacing w:val="-9"/>
                <w:sz w:val="18"/>
                <w:szCs w:val="18"/>
              </w:rPr>
              <w:t>）《关于理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财产品到期赎回及 继续使用部分闲置 募集资金购买理财 产品的公告》</w:t>
            </w:r>
          </w:p>
        </w:tc>
      </w:tr>
      <w:tr>
        <w:trPr>
          <w:trHeight w:val="714"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59"/>
              <w:jc w:val="left"/>
              <w:rPr>
                <w:rFonts w:ascii="宋体" w:hAnsi="宋体" w:cs="宋体" w:eastAsia="宋体" w:hint="default"/>
                <w:sz w:val="18"/>
                <w:szCs w:val="18"/>
              </w:rPr>
            </w:pPr>
            <w:r>
              <w:rPr>
                <w:rFonts w:ascii="宋体" w:hAnsi="宋体" w:cs="宋体" w:eastAsia="宋体" w:hint="default"/>
                <w:sz w:val="18"/>
                <w:szCs w:val="18"/>
              </w:rPr>
              <w:t>上海浦东发 展银行股份</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闲置募 集资金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2"/>
              <w:jc w:val="left"/>
              <w:rPr>
                <w:rFonts w:ascii="宋体" w:hAnsi="宋体" w:cs="宋体" w:eastAsia="宋体" w:hint="default"/>
                <w:sz w:val="18"/>
                <w:szCs w:val="18"/>
              </w:rPr>
            </w:pPr>
            <w:r>
              <w:rPr>
                <w:rFonts w:ascii="宋体" w:hAnsi="宋体" w:cs="宋体" w:eastAsia="宋体" w:hint="default"/>
                <w:spacing w:val="-5"/>
                <w:sz w:val="18"/>
                <w:szCs w:val="18"/>
              </w:rPr>
              <w:t>主要投资于国债、金融债、央行票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据、企业短期融资券、 超短期融</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167"/>
              <w:jc w:val="left"/>
              <w:rPr>
                <w:rFonts w:ascii="宋体" w:hAnsi="宋体" w:cs="宋体" w:eastAsia="宋体" w:hint="default"/>
                <w:sz w:val="18"/>
                <w:szCs w:val="18"/>
              </w:rPr>
            </w:pPr>
            <w:r>
              <w:rPr>
                <w:rFonts w:ascii="宋体" w:hAnsi="宋体" w:cs="宋体" w:eastAsia="宋体" w:hint="default"/>
                <w:sz w:val="18"/>
                <w:szCs w:val="18"/>
              </w:rPr>
              <w:t>保证 收益</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5" w:right="0"/>
              <w:jc w:val="center"/>
              <w:rPr>
                <w:rFonts w:ascii="宋体" w:hAnsi="宋体" w:cs="宋体" w:eastAsia="宋体" w:hint="default"/>
                <w:sz w:val="18"/>
                <w:szCs w:val="18"/>
              </w:rPr>
            </w:pPr>
            <w:r>
              <w:rPr>
                <w:rFonts w:ascii="宋体"/>
                <w:sz w:val="18"/>
              </w:rPr>
              <w:t>3.75%</w:t>
            </w:r>
          </w:p>
        </w:tc>
        <w:tc>
          <w:tcPr>
            <w:tcW w:w="56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177.08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sz w:val="18"/>
              </w:rPr>
              <w:t>177.08</w:t>
            </w:r>
          </w:p>
        </w:tc>
        <w:tc>
          <w:tcPr>
            <w:tcW w:w="70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深交所巨潮资讯网</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http://www.cnin</w:t>
            </w:r>
          </w:p>
        </w:tc>
      </w:tr>
    </w:tbl>
    <w:p>
      <w:pPr>
        <w:spacing w:after="0" w:line="240" w:lineRule="auto"/>
        <w:jc w:val="left"/>
        <w:rPr>
          <w:rFonts w:ascii="宋体" w:hAnsi="宋体" w:cs="宋体" w:eastAsia="宋体" w:hint="default"/>
          <w:sz w:val="18"/>
          <w:szCs w:val="18"/>
        </w:rPr>
        <w:sectPr>
          <w:pgSz w:w="16840" w:h="11910" w:orient="landscape"/>
          <w:pgMar w:header="867" w:footer="1187" w:top="1060" w:bottom="1380" w:left="118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992"/>
        <w:gridCol w:w="708"/>
        <w:gridCol w:w="607"/>
        <w:gridCol w:w="670"/>
        <w:gridCol w:w="708"/>
        <w:gridCol w:w="708"/>
        <w:gridCol w:w="709"/>
        <w:gridCol w:w="2693"/>
        <w:gridCol w:w="562"/>
        <w:gridCol w:w="560"/>
        <w:gridCol w:w="562"/>
        <w:gridCol w:w="727"/>
        <w:gridCol w:w="709"/>
        <w:gridCol w:w="708"/>
        <w:gridCol w:w="547"/>
        <w:gridCol w:w="730"/>
        <w:gridCol w:w="1646"/>
      </w:tblGrid>
      <w:tr>
        <w:trPr>
          <w:trHeight w:val="1625" w:hRule="exact"/>
        </w:trPr>
        <w:tc>
          <w:tcPr>
            <w:tcW w:w="992"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59"/>
              <w:jc w:val="left"/>
              <w:rPr>
                <w:rFonts w:ascii="宋体" w:hAnsi="宋体" w:cs="宋体" w:eastAsia="宋体" w:hint="default"/>
                <w:sz w:val="18"/>
                <w:szCs w:val="18"/>
              </w:rPr>
            </w:pPr>
            <w:r>
              <w:rPr>
                <w:rFonts w:ascii="宋体" w:hAnsi="宋体" w:cs="宋体" w:eastAsia="宋体" w:hint="default"/>
                <w:sz w:val="18"/>
                <w:szCs w:val="18"/>
              </w:rPr>
              <w:t>有限公司北 京分行</w:t>
            </w:r>
          </w:p>
        </w:tc>
        <w:tc>
          <w:tcPr>
            <w:tcW w:w="708" w:type="dxa"/>
            <w:tcBorders>
              <w:top w:val="single" w:sz="15" w:space="0" w:color="000000"/>
              <w:left w:val="single" w:sz="4" w:space="0" w:color="000000"/>
              <w:bottom w:val="single" w:sz="4" w:space="0" w:color="000000"/>
              <w:right w:val="single" w:sz="4" w:space="0" w:color="000000"/>
            </w:tcBorders>
          </w:tcPr>
          <w:p>
            <w:pPr/>
          </w:p>
        </w:tc>
        <w:tc>
          <w:tcPr>
            <w:tcW w:w="607" w:type="dxa"/>
            <w:tcBorders>
              <w:top w:val="single" w:sz="15" w:space="0" w:color="000000"/>
              <w:left w:val="single" w:sz="4" w:space="0" w:color="000000"/>
              <w:bottom w:val="single" w:sz="4" w:space="0" w:color="000000"/>
              <w:right w:val="single" w:sz="4" w:space="0" w:color="000000"/>
            </w:tcBorders>
          </w:tcPr>
          <w:p>
            <w:pPr/>
          </w:p>
        </w:tc>
        <w:tc>
          <w:tcPr>
            <w:tcW w:w="670"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693"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40"/>
              <w:jc w:val="left"/>
              <w:rPr>
                <w:rFonts w:ascii="宋体" w:hAnsi="宋体" w:cs="宋体" w:eastAsia="宋体" w:hint="default"/>
                <w:sz w:val="18"/>
                <w:szCs w:val="18"/>
              </w:rPr>
            </w:pPr>
            <w:r>
              <w:rPr>
                <w:rFonts w:ascii="宋体" w:hAnsi="宋体" w:cs="宋体" w:eastAsia="宋体" w:hint="default"/>
                <w:spacing w:val="-12"/>
                <w:sz w:val="18"/>
                <w:szCs w:val="18"/>
              </w:rPr>
              <w:t>资券、中期票据、企业债、公司债、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私募债、债券逆回购、资金拆借、</w:t>
            </w:r>
            <w:r>
              <w:rPr>
                <w:rFonts w:ascii="宋体" w:hAnsi="宋体" w:cs="宋体" w:eastAsia="宋体" w:hint="default"/>
                <w:sz w:val="18"/>
                <w:szCs w:val="18"/>
              </w:rPr>
              <w:t> 存放同业等债券和货币市场工具 </w:t>
            </w:r>
            <w:r>
              <w:rPr>
                <w:rFonts w:ascii="宋体" w:hAnsi="宋体" w:cs="宋体" w:eastAsia="宋体" w:hint="default"/>
                <w:spacing w:val="-5"/>
                <w:sz w:val="18"/>
                <w:szCs w:val="18"/>
              </w:rPr>
              <w:t>类资产，债权类资产，以及其他监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管机构允许交 易的金融工具。</w:t>
            </w:r>
          </w:p>
        </w:tc>
        <w:tc>
          <w:tcPr>
            <w:tcW w:w="56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型</w:t>
            </w:r>
          </w:p>
          <w:p>
            <w:pPr>
              <w:pStyle w:val="TableParagraph"/>
              <w:spacing w:line="1613" w:lineRule="exact"/>
              <w:ind w:right="-3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1"/>
                <w:sz w:val="20"/>
                <w:szCs w:val="20"/>
              </w:rPr>
              <w:pict>
                <v:group style="width:27.6pt;height:80.7pt;mso-position-horizontal-relative:char;mso-position-vertical-relative:line" coordorigin="0,0" coordsize="552,1614">
                  <v:group style="position:absolute;left:12;top:12;width:2;height:353" coordorigin="12,12" coordsize="2,353">
                    <v:shape style="position:absolute;left:12;top:12;width:2;height:353" coordorigin="12,12" coordsize="0,353" path="m12,12l12,365e" filled="false" stroked="true" strokeweight="1.2pt" strokecolor="#ffffff">
                      <v:path arrowok="t"/>
                    </v:shape>
                  </v:group>
                  <v:group style="position:absolute;left:0;top:365;width:552;height:1249" coordorigin="0,365" coordsize="552,1249">
                    <v:shape style="position:absolute;left:0;top:365;width:552;height:1249" coordorigin="0,365" coordsize="552,1249" path="m0,1613l552,1613,552,365,0,365,0,1613xe" filled="true" fillcolor="#ffffff" stroked="false">
                      <v:path arrowok="t"/>
                      <v:fill type="solid"/>
                    </v:shape>
                  </v:group>
                  <v:group style="position:absolute;left:24;top:12;width:504;height:353" coordorigin="24,12" coordsize="504,353">
                    <v:shape style="position:absolute;left:24;top:12;width:504;height:353" coordorigin="24,12" coordsize="504,353" path="m24,365l528,365,528,12,24,12,24,365xe" filled="true" fillcolor="#ffffff" stroked="false">
                      <v:path arrowok="t"/>
                      <v:fill type="solid"/>
                    </v:shape>
                  </v:group>
                </v:group>
              </w:pict>
            </w:r>
            <w:r>
              <w:rPr>
                <w:rFonts w:ascii="Times New Roman" w:hAnsi="Times New Roman" w:cs="Times New Roman" w:eastAsia="Times New Roman" w:hint="default"/>
                <w:position w:val="-31"/>
                <w:sz w:val="20"/>
                <w:szCs w:val="20"/>
              </w:rPr>
            </w:r>
          </w:p>
        </w:tc>
        <w:tc>
          <w:tcPr>
            <w:tcW w:w="560" w:type="dxa"/>
            <w:tcBorders>
              <w:top w:val="single" w:sz="15" w:space="0" w:color="000000"/>
              <w:left w:val="single" w:sz="4" w:space="0" w:color="000000"/>
              <w:bottom w:val="single" w:sz="4" w:space="0" w:color="000000"/>
              <w:right w:val="single" w:sz="4" w:space="0" w:color="000000"/>
            </w:tcBorders>
          </w:tcPr>
          <w:p>
            <w:pPr/>
          </w:p>
        </w:tc>
        <w:tc>
          <w:tcPr>
            <w:tcW w:w="562" w:type="dxa"/>
            <w:tcBorders>
              <w:top w:val="single" w:sz="15" w:space="0" w:color="000000"/>
              <w:left w:val="single" w:sz="4" w:space="0" w:color="000000"/>
              <w:bottom w:val="single" w:sz="4" w:space="0" w:color="000000"/>
              <w:right w:val="single" w:sz="4" w:space="0" w:color="000000"/>
            </w:tcBorders>
          </w:tcPr>
          <w:p>
            <w:pPr/>
          </w:p>
        </w:tc>
        <w:tc>
          <w:tcPr>
            <w:tcW w:w="727"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547" w:type="dxa"/>
            <w:tcBorders>
              <w:top w:val="single" w:sz="15" w:space="0" w:color="000000"/>
              <w:left w:val="single" w:sz="4" w:space="0" w:color="000000"/>
              <w:bottom w:val="single" w:sz="4" w:space="0" w:color="000000"/>
              <w:right w:val="single" w:sz="4" w:space="0" w:color="000000"/>
            </w:tcBorders>
          </w:tcPr>
          <w:p>
            <w:pPr/>
          </w:p>
        </w:tc>
        <w:tc>
          <w:tcPr>
            <w:tcW w:w="730" w:type="dxa"/>
            <w:tcBorders>
              <w:top w:val="single" w:sz="15" w:space="0" w:color="000000"/>
              <w:left w:val="single" w:sz="4" w:space="0" w:color="000000"/>
              <w:bottom w:val="single" w:sz="4" w:space="0" w:color="000000"/>
              <w:right w:val="single" w:sz="4" w:space="0" w:color="000000"/>
            </w:tcBorders>
          </w:tcPr>
          <w:p>
            <w:pPr/>
          </w:p>
        </w:tc>
        <w:tc>
          <w:tcPr>
            <w:tcW w:w="1646"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pacing w:val="-9"/>
                <w:sz w:val="18"/>
                <w:szCs w:val="18"/>
              </w:rPr>
              <w:t>fo.com.cn</w:t>
            </w:r>
            <w:r>
              <w:rPr>
                <w:rFonts w:ascii="宋体" w:hAnsi="宋体" w:cs="宋体" w:eastAsia="宋体" w:hint="default"/>
                <w:spacing w:val="-9"/>
                <w:sz w:val="18"/>
                <w:szCs w:val="18"/>
              </w:rPr>
              <w:t>）《使用部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分闲置募集资金购 买理财产品的进展 公告》</w:t>
            </w:r>
          </w:p>
        </w:tc>
      </w:tr>
      <w:tr>
        <w:trPr>
          <w:trHeight w:val="2274"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59"/>
              <w:jc w:val="both"/>
              <w:rPr>
                <w:rFonts w:ascii="宋体" w:hAnsi="宋体" w:cs="宋体" w:eastAsia="宋体" w:hint="default"/>
                <w:sz w:val="18"/>
                <w:szCs w:val="18"/>
              </w:rPr>
            </w:pPr>
            <w:r>
              <w:rPr>
                <w:rFonts w:ascii="宋体" w:hAnsi="宋体" w:cs="宋体" w:eastAsia="宋体" w:hint="default"/>
                <w:sz w:val="18"/>
                <w:szCs w:val="18"/>
              </w:rPr>
              <w:t>上海浦东发 展银行股份 有限公司北 京分行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32"/>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23"/>
              <w:jc w:val="right"/>
              <w:rPr>
                <w:rFonts w:ascii="宋体" w:hAnsi="宋体" w:cs="宋体" w:eastAsia="宋体" w:hint="default"/>
                <w:sz w:val="18"/>
                <w:szCs w:val="18"/>
              </w:rPr>
            </w:pPr>
            <w:r>
              <w:rPr>
                <w:rFonts w:ascii="宋体"/>
                <w:sz w:val="18"/>
              </w:rPr>
              <w:t>50,000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3"/>
              <w:jc w:val="left"/>
              <w:rPr>
                <w:rFonts w:ascii="宋体" w:hAnsi="宋体" w:cs="宋体" w:eastAsia="宋体" w:hint="default"/>
                <w:sz w:val="18"/>
                <w:szCs w:val="18"/>
              </w:rPr>
            </w:pPr>
            <w:r>
              <w:rPr>
                <w:rFonts w:ascii="宋体" w:hAnsi="宋体" w:cs="宋体" w:eastAsia="宋体" w:hint="default"/>
                <w:sz w:val="18"/>
                <w:szCs w:val="18"/>
              </w:rPr>
              <w:t>闲置募 集资金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693"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pacing w:val="-5"/>
                <w:sz w:val="18"/>
                <w:szCs w:val="18"/>
              </w:rPr>
              <w:t>主要投资于国债、金融债、央行票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据、企业短期融资券、 超短期融 </w:t>
            </w:r>
            <w:r>
              <w:rPr>
                <w:rFonts w:ascii="宋体" w:hAnsi="宋体" w:cs="宋体" w:eastAsia="宋体" w:hint="default"/>
                <w:spacing w:val="-12"/>
                <w:sz w:val="18"/>
                <w:szCs w:val="18"/>
              </w:rPr>
              <w:t>资券、中期票据、企业债、公司债、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私募债、债券逆回购、资金拆借、</w:t>
            </w:r>
            <w:r>
              <w:rPr>
                <w:rFonts w:ascii="宋体" w:hAnsi="宋体" w:cs="宋体" w:eastAsia="宋体" w:hint="default"/>
                <w:sz w:val="18"/>
                <w:szCs w:val="18"/>
              </w:rPr>
              <w:t> 存放同业等债券和货币市场工具 </w:t>
            </w:r>
            <w:r>
              <w:rPr>
                <w:rFonts w:ascii="宋体" w:hAnsi="宋体" w:cs="宋体" w:eastAsia="宋体" w:hint="default"/>
                <w:spacing w:val="-5"/>
                <w:sz w:val="18"/>
                <w:szCs w:val="18"/>
              </w:rPr>
              <w:t>类资产，债权类资产，以及其他监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管机构允许交 易的金融工具。</w:t>
            </w:r>
          </w:p>
        </w:tc>
        <w:tc>
          <w:tcPr>
            <w:tcW w:w="562"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16" w:right="167"/>
              <w:jc w:val="both"/>
              <w:rPr>
                <w:rFonts w:ascii="宋体" w:hAnsi="宋体" w:cs="宋体" w:eastAsia="宋体" w:hint="default"/>
                <w:sz w:val="18"/>
                <w:szCs w:val="18"/>
              </w:rPr>
            </w:pPr>
            <w:r>
              <w:rPr>
                <w:rFonts w:ascii="宋体" w:hAnsi="宋体" w:cs="宋体" w:eastAsia="宋体" w:hint="default"/>
                <w:sz w:val="18"/>
                <w:szCs w:val="18"/>
              </w:rPr>
              <w:t>保证 收益 型</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51" w:lineRule="exact"/>
              <w:ind w:left="16" w:right="-2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25.2pt;height:17.6pt;mso-position-horizontal-relative:char;mso-position-vertical-relative:line" coordorigin="0,0" coordsize="504,352">
                  <v:group style="position:absolute;left:0;top:0;width:504;height:352" coordorigin="0,0" coordsize="504,352">
                    <v:shape style="position:absolute;left:0;top:0;width:504;height:352" coordorigin="0,0" coordsize="504,352" path="m0,352l504,352,504,0,0,0,0,352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55" w:right="0"/>
              <w:jc w:val="center"/>
              <w:rPr>
                <w:rFonts w:ascii="宋体" w:hAnsi="宋体" w:cs="宋体" w:eastAsia="宋体" w:hint="default"/>
                <w:sz w:val="18"/>
                <w:szCs w:val="18"/>
              </w:rPr>
            </w:pPr>
            <w:r>
              <w:rPr>
                <w:rFonts w:ascii="宋体"/>
                <w:sz w:val="18"/>
              </w:rPr>
              <w:t>4.10%</w:t>
            </w:r>
          </w:p>
        </w:tc>
        <w:tc>
          <w:tcPr>
            <w:tcW w:w="56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23"/>
              <w:jc w:val="right"/>
              <w:rPr>
                <w:rFonts w:ascii="宋体" w:hAnsi="宋体" w:cs="宋体" w:eastAsia="宋体" w:hint="default"/>
                <w:sz w:val="18"/>
                <w:szCs w:val="18"/>
              </w:rPr>
            </w:pPr>
            <w:r>
              <w:rPr>
                <w:rFonts w:ascii="宋体"/>
                <w:sz w:val="18"/>
              </w:rPr>
              <w:t>535.28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13"/>
              <w:jc w:val="center"/>
              <w:rPr>
                <w:rFonts w:ascii="宋体" w:hAnsi="宋体" w:cs="宋体" w:eastAsia="宋体" w:hint="default"/>
                <w:sz w:val="18"/>
                <w:szCs w:val="18"/>
              </w:rPr>
            </w:pPr>
            <w:r>
              <w:rPr>
                <w:rFonts w:ascii="宋体"/>
                <w:sz w:val="18"/>
              </w:rPr>
              <w:t>535.28</w:t>
            </w:r>
          </w:p>
        </w:tc>
        <w:tc>
          <w:tcPr>
            <w:tcW w:w="70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深交所巨潮资讯网</w:t>
            </w:r>
          </w:p>
          <w:p>
            <w:pPr>
              <w:pStyle w:val="TableParagraph"/>
              <w:spacing w:line="319" w:lineRule="auto" w:before="75"/>
              <w:ind w:left="22" w:right="2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http://www.cnin </w:t>
            </w:r>
            <w:r>
              <w:rPr>
                <w:rFonts w:ascii="宋体" w:hAnsi="宋体" w:cs="宋体" w:eastAsia="宋体" w:hint="default"/>
                <w:spacing w:val="-9"/>
                <w:sz w:val="18"/>
                <w:szCs w:val="18"/>
              </w:rPr>
              <w:t>fo.com.cn</w:t>
            </w:r>
            <w:r>
              <w:rPr>
                <w:rFonts w:ascii="宋体" w:hAnsi="宋体" w:cs="宋体" w:eastAsia="宋体" w:hint="default"/>
                <w:spacing w:val="-9"/>
                <w:sz w:val="18"/>
                <w:szCs w:val="18"/>
              </w:rPr>
              <w:t>）《使用部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分闲置募集资金购 买理财产品的进展 公告》</w:t>
            </w:r>
          </w:p>
        </w:tc>
      </w:tr>
      <w:tr>
        <w:trPr>
          <w:trHeight w:val="2274"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59"/>
              <w:jc w:val="both"/>
              <w:rPr>
                <w:rFonts w:ascii="宋体" w:hAnsi="宋体" w:cs="宋体" w:eastAsia="宋体" w:hint="default"/>
                <w:sz w:val="18"/>
                <w:szCs w:val="18"/>
              </w:rPr>
            </w:pPr>
            <w:r>
              <w:rPr>
                <w:rFonts w:ascii="宋体" w:hAnsi="宋体" w:cs="宋体" w:eastAsia="宋体" w:hint="default"/>
                <w:sz w:val="18"/>
                <w:szCs w:val="18"/>
              </w:rPr>
              <w:t>上海浦东发 展银行股份 有限公司北 京分行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32"/>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23"/>
              <w:jc w:val="right"/>
              <w:rPr>
                <w:rFonts w:ascii="宋体" w:hAnsi="宋体" w:cs="宋体" w:eastAsia="宋体" w:hint="default"/>
                <w:sz w:val="18"/>
                <w:szCs w:val="18"/>
              </w:rPr>
            </w:pPr>
            <w:r>
              <w:rPr>
                <w:rFonts w:ascii="宋体"/>
                <w:sz w:val="18"/>
              </w:rPr>
              <w:t>50,000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3"/>
              <w:jc w:val="left"/>
              <w:rPr>
                <w:rFonts w:ascii="宋体" w:hAnsi="宋体" w:cs="宋体" w:eastAsia="宋体" w:hint="default"/>
                <w:sz w:val="18"/>
                <w:szCs w:val="18"/>
              </w:rPr>
            </w:pPr>
            <w:r>
              <w:rPr>
                <w:rFonts w:ascii="宋体" w:hAnsi="宋体" w:cs="宋体" w:eastAsia="宋体" w:hint="default"/>
                <w:sz w:val="18"/>
                <w:szCs w:val="18"/>
              </w:rPr>
              <w:t>闲置募 集资金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693"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pacing w:val="-5"/>
                <w:sz w:val="18"/>
                <w:szCs w:val="18"/>
              </w:rPr>
              <w:t>主要投资于国债、金融债、央行票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据、企业短期融资券、 超短期融 </w:t>
            </w:r>
            <w:r>
              <w:rPr>
                <w:rFonts w:ascii="宋体" w:hAnsi="宋体" w:cs="宋体" w:eastAsia="宋体" w:hint="default"/>
                <w:spacing w:val="-12"/>
                <w:sz w:val="18"/>
                <w:szCs w:val="18"/>
              </w:rPr>
              <w:t>资券、中期票据、企业债、公司债、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私募债、债券逆回购、资金拆借、</w:t>
            </w:r>
            <w:r>
              <w:rPr>
                <w:rFonts w:ascii="宋体" w:hAnsi="宋体" w:cs="宋体" w:eastAsia="宋体" w:hint="default"/>
                <w:sz w:val="18"/>
                <w:szCs w:val="18"/>
              </w:rPr>
              <w:t> 存放同业等债券和货币市场工具 </w:t>
            </w:r>
            <w:r>
              <w:rPr>
                <w:rFonts w:ascii="宋体" w:hAnsi="宋体" w:cs="宋体" w:eastAsia="宋体" w:hint="default"/>
                <w:spacing w:val="-5"/>
                <w:sz w:val="18"/>
                <w:szCs w:val="18"/>
              </w:rPr>
              <w:t>类资产，债权类资产，以及其他监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管机构允许交 易的金融工具。</w:t>
            </w:r>
          </w:p>
        </w:tc>
        <w:tc>
          <w:tcPr>
            <w:tcW w:w="562"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16" w:right="167"/>
              <w:jc w:val="both"/>
              <w:rPr>
                <w:rFonts w:ascii="宋体" w:hAnsi="宋体" w:cs="宋体" w:eastAsia="宋体" w:hint="default"/>
                <w:sz w:val="18"/>
                <w:szCs w:val="18"/>
              </w:rPr>
            </w:pPr>
            <w:r>
              <w:rPr>
                <w:rFonts w:ascii="宋体" w:hAnsi="宋体" w:cs="宋体" w:eastAsia="宋体" w:hint="default"/>
                <w:sz w:val="18"/>
                <w:szCs w:val="18"/>
              </w:rPr>
              <w:t>保证 收益 型</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51" w:lineRule="exact"/>
              <w:ind w:left="16" w:right="-2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25.2pt;height:17.6pt;mso-position-horizontal-relative:char;mso-position-vertical-relative:line" coordorigin="0,0" coordsize="504,352">
                  <v:group style="position:absolute;left:0;top:0;width:504;height:352" coordorigin="0,0" coordsize="504,352">
                    <v:shape style="position:absolute;left:0;top:0;width:504;height:352" coordorigin="0,0" coordsize="504,352" path="m0,352l504,352,504,0,0,0,0,352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55" w:right="0"/>
              <w:jc w:val="center"/>
              <w:rPr>
                <w:rFonts w:ascii="宋体" w:hAnsi="宋体" w:cs="宋体" w:eastAsia="宋体" w:hint="default"/>
                <w:sz w:val="18"/>
                <w:szCs w:val="18"/>
              </w:rPr>
            </w:pPr>
            <w:r>
              <w:rPr>
                <w:rFonts w:ascii="宋体"/>
                <w:sz w:val="18"/>
              </w:rPr>
              <w:t>3.75%</w:t>
            </w:r>
          </w:p>
        </w:tc>
        <w:tc>
          <w:tcPr>
            <w:tcW w:w="56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23"/>
              <w:jc w:val="right"/>
              <w:rPr>
                <w:rFonts w:ascii="宋体" w:hAnsi="宋体" w:cs="宋体" w:eastAsia="宋体" w:hint="default"/>
                <w:sz w:val="18"/>
                <w:szCs w:val="18"/>
              </w:rPr>
            </w:pPr>
            <w:r>
              <w:rPr>
                <w:rFonts w:ascii="宋体"/>
                <w:sz w:val="18"/>
              </w:rPr>
              <w:t>177.08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13"/>
              <w:jc w:val="center"/>
              <w:rPr>
                <w:rFonts w:ascii="宋体" w:hAnsi="宋体" w:cs="宋体" w:eastAsia="宋体" w:hint="default"/>
                <w:sz w:val="18"/>
                <w:szCs w:val="18"/>
              </w:rPr>
            </w:pPr>
            <w:r>
              <w:rPr>
                <w:rFonts w:ascii="宋体"/>
                <w:sz w:val="18"/>
              </w:rPr>
              <w:t>177.08</w:t>
            </w:r>
          </w:p>
        </w:tc>
        <w:tc>
          <w:tcPr>
            <w:tcW w:w="70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深交所巨潮资讯网</w:t>
            </w:r>
          </w:p>
          <w:p>
            <w:pPr>
              <w:pStyle w:val="TableParagraph"/>
              <w:spacing w:line="319" w:lineRule="auto" w:before="75"/>
              <w:ind w:left="22" w:right="2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http://www.cnin </w:t>
            </w:r>
            <w:r>
              <w:rPr>
                <w:rFonts w:ascii="宋体" w:hAnsi="宋体" w:cs="宋体" w:eastAsia="宋体" w:hint="default"/>
                <w:spacing w:val="-9"/>
                <w:sz w:val="18"/>
                <w:szCs w:val="18"/>
              </w:rPr>
              <w:t>fo.com.cn</w:t>
            </w:r>
            <w:r>
              <w:rPr>
                <w:rFonts w:ascii="宋体" w:hAnsi="宋体" w:cs="宋体" w:eastAsia="宋体" w:hint="default"/>
                <w:spacing w:val="-9"/>
                <w:sz w:val="18"/>
                <w:szCs w:val="18"/>
              </w:rPr>
              <w:t>）《关于理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财产品到期赎回及 继续使用部分闲置 募集资金购买理财 产品的公告》</w:t>
            </w:r>
          </w:p>
        </w:tc>
      </w:tr>
      <w:tr>
        <w:trPr>
          <w:trHeight w:val="714" w:hRule="exact"/>
        </w:trPr>
        <w:tc>
          <w:tcPr>
            <w:tcW w:w="230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542,40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3,051.3</w:t>
            </w:r>
          </w:p>
          <w:p>
            <w:pPr>
              <w:pStyle w:val="TableParagraph"/>
              <w:spacing w:line="240" w:lineRule="auto" w:before="76"/>
              <w:ind w:right="23"/>
              <w:jc w:val="right"/>
              <w:rPr>
                <w:rFonts w:ascii="宋体" w:hAnsi="宋体" w:cs="宋体" w:eastAsia="宋体" w:hint="default"/>
                <w:sz w:val="18"/>
                <w:szCs w:val="18"/>
              </w:rPr>
            </w:pPr>
            <w:r>
              <w:rPr>
                <w:rFonts w:ascii="宋体"/>
                <w:sz w:val="18"/>
              </w:rPr>
              <w:t>8</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8" w:right="0"/>
              <w:jc w:val="left"/>
              <w:rPr>
                <w:rFonts w:ascii="宋体" w:hAnsi="宋体" w:cs="宋体" w:eastAsia="宋体" w:hint="default"/>
                <w:sz w:val="18"/>
                <w:szCs w:val="18"/>
              </w:rPr>
            </w:pPr>
            <w:r>
              <w:rPr>
                <w:rFonts w:ascii="宋体"/>
                <w:sz w:val="18"/>
              </w:rPr>
              <w:t>--</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r>
    </w:tbl>
    <w:p>
      <w:pPr>
        <w:pStyle w:val="BodyText"/>
        <w:spacing w:line="240" w:lineRule="auto" w:before="51"/>
        <w:ind w:left="260" w:right="0"/>
        <w:jc w:val="left"/>
      </w:pPr>
      <w:r>
        <w:rPr/>
        <w:t>委托理财出现预期无法收回本金或存在其他可能导致减值的情形</w:t>
      </w:r>
    </w:p>
    <w:p>
      <w:pPr>
        <w:pStyle w:val="BodyText"/>
        <w:spacing w:line="240" w:lineRule="auto" w:before="117"/>
        <w:ind w:left="259" w:right="0"/>
        <w:jc w:val="left"/>
      </w:pPr>
      <w:r>
        <w:rPr/>
        <w:t>□ 适用 √ 不适用</w:t>
      </w:r>
    </w:p>
    <w:p>
      <w:pPr>
        <w:spacing w:after="0" w:line="240" w:lineRule="auto"/>
        <w:jc w:val="left"/>
        <w:sectPr>
          <w:pgSz w:w="16840" w:h="11910" w:orient="landscape"/>
          <w:pgMar w:header="867" w:footer="1187" w:top="1060" w:bottom="1380" w:left="11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both"/>
        <w:rPr>
          <w:b w:val="0"/>
          <w:bCs w:val="0"/>
        </w:rPr>
      </w:pPr>
      <w:bookmarkStart w:name="（2）委托贷款情况" w:id="98"/>
      <w:bookmarkEnd w:id="98"/>
      <w:r>
        <w:rPr>
          <w:b w:val="0"/>
          <w:bCs w:val="0"/>
        </w:rPr>
      </w:r>
      <w:r>
        <w:rPr/>
        <w:t>（</w:t>
      </w:r>
      <w:r>
        <w:rPr>
          <w:rFonts w:ascii="宋体" w:hAnsi="宋体" w:cs="宋体" w:eastAsia="宋体" w:hint="default"/>
        </w:rPr>
        <w:t>2</w:t>
      </w:r>
      <w:r>
        <w:rPr/>
        <w:t>）委托贷款情况</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right="8412"/>
        <w:jc w:val="left"/>
      </w:pPr>
      <w:r>
        <w:rPr/>
        <w:t>□ 适用 √ 不适用 公司报告期不存在委托贷款。</w:t>
      </w:r>
    </w:p>
    <w:p>
      <w:pPr>
        <w:spacing w:line="240" w:lineRule="auto" w:before="1"/>
        <w:rPr>
          <w:rFonts w:ascii="宋体" w:hAnsi="宋体" w:cs="宋体" w:eastAsia="宋体" w:hint="default"/>
          <w:sz w:val="20"/>
          <w:szCs w:val="20"/>
        </w:rPr>
      </w:pPr>
    </w:p>
    <w:p>
      <w:pPr>
        <w:pStyle w:val="Heading3"/>
        <w:spacing w:line="240" w:lineRule="auto"/>
        <w:ind w:right="0"/>
        <w:jc w:val="both"/>
        <w:rPr>
          <w:b w:val="0"/>
          <w:bCs w:val="0"/>
        </w:rPr>
      </w:pPr>
      <w:bookmarkStart w:name="4、其他重大合同" w:id="99"/>
      <w:bookmarkEnd w:id="99"/>
      <w:r>
        <w:rPr>
          <w:b w:val="0"/>
          <w:bCs w:val="0"/>
        </w:rPr>
      </w:r>
      <w:r>
        <w:rPr>
          <w:rFonts w:ascii="宋体" w:hAnsi="宋体" w:cs="宋体" w:eastAsia="宋体" w:hint="default"/>
        </w:rPr>
        <w:t>4</w:t>
      </w:r>
      <w:r>
        <w:rPr/>
        <w:t>、其他重大合同</w:t>
      </w:r>
      <w:r>
        <w:rPr>
          <w:b w:val="0"/>
          <w:bCs w:val="0"/>
        </w:rPr>
      </w:r>
    </w:p>
    <w:p>
      <w:pPr>
        <w:spacing w:line="240" w:lineRule="auto" w:before="11"/>
        <w:rPr>
          <w:rFonts w:ascii="宋体" w:hAnsi="宋体" w:cs="宋体" w:eastAsia="宋体" w:hint="default"/>
          <w:b/>
          <w:bCs/>
          <w:sz w:val="27"/>
          <w:szCs w:val="27"/>
        </w:rPr>
      </w:pPr>
    </w:p>
    <w:p>
      <w:pPr>
        <w:pStyle w:val="BodyText"/>
        <w:spacing w:line="360" w:lineRule="auto"/>
        <w:ind w:right="8052"/>
        <w:jc w:val="left"/>
      </w:pPr>
      <w:r>
        <w:rPr/>
        <w:t>□ 适用 √ 不适用 公司报告期不存在其他重大合同。</w:t>
      </w:r>
    </w:p>
    <w:p>
      <w:pPr>
        <w:spacing w:line="240" w:lineRule="auto" w:before="1"/>
        <w:rPr>
          <w:rFonts w:ascii="宋体" w:hAnsi="宋体" w:cs="宋体" w:eastAsia="宋体" w:hint="default"/>
          <w:sz w:val="18"/>
          <w:szCs w:val="18"/>
        </w:rPr>
      </w:pPr>
    </w:p>
    <w:p>
      <w:pPr>
        <w:pStyle w:val="Heading2"/>
        <w:spacing w:line="240" w:lineRule="auto"/>
        <w:ind w:right="0"/>
        <w:jc w:val="both"/>
        <w:rPr>
          <w:b w:val="0"/>
          <w:bCs w:val="0"/>
        </w:rPr>
      </w:pPr>
      <w:bookmarkStart w:name="十八、社会责任情况" w:id="100"/>
      <w:bookmarkEnd w:id="100"/>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履行社会责任情况" w:id="101"/>
      <w:bookmarkEnd w:id="101"/>
      <w:r>
        <w:rPr>
          <w:b w:val="0"/>
          <w:bCs w:val="0"/>
        </w:rPr>
      </w:r>
      <w:r>
        <w:rPr>
          <w:rFonts w:ascii="宋体" w:hAnsi="宋体" w:cs="宋体" w:eastAsia="宋体" w:hint="default"/>
        </w:rPr>
        <w:t>1</w:t>
      </w:r>
      <w:r>
        <w:rPr/>
        <w:t>、履行社会责任情况</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left="438" w:right="1118"/>
        <w:jc w:val="left"/>
      </w:pPr>
      <w:r>
        <w:rPr/>
        <w:t>（</w:t>
      </w:r>
      <w:r>
        <w:rPr>
          <w:rFonts w:ascii="宋体" w:hAnsi="宋体" w:cs="宋体" w:eastAsia="宋体" w:hint="default"/>
        </w:rPr>
        <w:t>1</w:t>
      </w:r>
      <w:r>
        <w:rPr/>
        <w:t>）股东回报 </w:t>
      </w:r>
      <w:r>
        <w:rPr>
          <w:spacing w:val="-1"/>
        </w:rPr>
        <w:t>公司建立了稳定的利润分配政策，且明确规定优先采取现金分红的利润分配政策，积极回报广大投资者，与投资者共同</w:t>
      </w:r>
    </w:p>
    <w:p>
      <w:pPr>
        <w:pStyle w:val="BodyText"/>
        <w:spacing w:line="316" w:lineRule="auto" w:before="19"/>
        <w:ind w:left="153" w:right="0"/>
        <w:jc w:val="left"/>
      </w:pPr>
      <w:r>
        <w:rPr>
          <w:spacing w:val="-2"/>
        </w:rPr>
        <w:t>分享企业发展成果。</w:t>
      </w:r>
      <w:r>
        <w:rPr>
          <w:rFonts w:ascii="宋体" w:hAnsi="宋体" w:cs="宋体" w:eastAsia="宋体" w:hint="default"/>
          <w:spacing w:val="-2"/>
        </w:rPr>
        <w:t>2017</w:t>
      </w:r>
      <w:r>
        <w:rPr>
          <w:spacing w:val="-2"/>
        </w:rPr>
        <w:t>年，公司结合经营情况及未来发展战略和经营计划，拟定</w:t>
      </w:r>
      <w:r>
        <w:rPr>
          <w:rFonts w:ascii="宋体" w:hAnsi="宋体" w:cs="宋体" w:eastAsia="宋体" w:hint="default"/>
          <w:spacing w:val="-2"/>
        </w:rPr>
        <w:t>2017</w:t>
      </w:r>
      <w:r>
        <w:rPr>
          <w:spacing w:val="-2"/>
        </w:rPr>
        <w:t>年度利润分配预案为：以目前公司总</w:t>
      </w:r>
      <w:r>
        <w:rPr>
          <w:spacing w:val="-57"/>
        </w:rPr>
        <w:t> </w:t>
      </w:r>
      <w:r>
        <w:rPr>
          <w:spacing w:val="-57"/>
        </w:rPr>
      </w:r>
      <w:r>
        <w:rPr/>
        <w:t>股本</w:t>
      </w:r>
      <w:r>
        <w:rPr>
          <w:rFonts w:ascii="宋体" w:hAnsi="宋体" w:cs="宋体" w:eastAsia="宋体" w:hint="default"/>
        </w:rPr>
        <w:t>965,710,782</w:t>
      </w:r>
      <w:r>
        <w:rPr/>
        <w:t>股为基数，向全体股东每</w:t>
      </w:r>
      <w:r>
        <w:rPr>
          <w:rFonts w:ascii="宋体" w:hAnsi="宋体" w:cs="宋体" w:eastAsia="宋体" w:hint="default"/>
        </w:rPr>
        <w:t>10</w:t>
      </w:r>
      <w:r>
        <w:rPr/>
        <w:t>股派发现金红利</w:t>
      </w:r>
      <w:r>
        <w:rPr>
          <w:rFonts w:ascii="宋体" w:hAnsi="宋体" w:cs="宋体" w:eastAsia="宋体" w:hint="default"/>
        </w:rPr>
        <w:t>0.3</w:t>
      </w:r>
      <w:r>
        <w:rPr/>
        <w:t>元（含税），共计派发现金</w:t>
      </w:r>
      <w:r>
        <w:rPr>
          <w:rFonts w:ascii="宋体" w:hAnsi="宋体" w:cs="宋体" w:eastAsia="宋体" w:hint="default"/>
        </w:rPr>
        <w:t>28,971,323.46</w:t>
      </w:r>
      <w:r>
        <w:rPr/>
        <w:t>元（含税）。</w:t>
      </w:r>
    </w:p>
    <w:p>
      <w:pPr>
        <w:pStyle w:val="BodyText"/>
        <w:spacing w:line="316" w:lineRule="auto" w:before="19"/>
        <w:ind w:left="438" w:right="1118"/>
        <w:jc w:val="left"/>
      </w:pPr>
      <w:r>
        <w:rPr/>
        <w:t>（</w:t>
      </w:r>
      <w:r>
        <w:rPr>
          <w:rFonts w:ascii="宋体" w:hAnsi="宋体" w:cs="宋体" w:eastAsia="宋体" w:hint="default"/>
        </w:rPr>
        <w:t>2</w:t>
      </w:r>
      <w:r>
        <w:rPr/>
        <w:t>）诚信合规 </w:t>
      </w:r>
      <w:r>
        <w:rPr>
          <w:spacing w:val="-1"/>
        </w:rPr>
        <w:t>公司自成立以来，始终遵守各监管部门的法律法规，合规经营，诚信守誉。作为上市企业，公司严格按照证监会、深交</w:t>
      </w:r>
    </w:p>
    <w:p>
      <w:pPr>
        <w:pStyle w:val="BodyText"/>
        <w:spacing w:line="316" w:lineRule="auto" w:before="19"/>
        <w:ind w:right="0"/>
        <w:jc w:val="left"/>
      </w:pPr>
      <w:r>
        <w:rPr>
          <w:spacing w:val="-4"/>
        </w:rPr>
        <w:t>所的要求，及时履行信息披露义务，树立了良好的公众形象。公司在已经建立且运行有效的内部控制和风险防范体系基础上，</w:t>
      </w:r>
      <w:r>
        <w:rPr>
          <w:spacing w:val="-44"/>
        </w:rPr>
        <w:t> </w:t>
      </w:r>
      <w:r>
        <w:rPr>
          <w:spacing w:val="-44"/>
        </w:rPr>
      </w:r>
      <w:r>
        <w:rPr/>
        <w:t>不断完善公司内控基础、优化信息沟通、强化内部监督，进一步确保了公司经营管理的诚信合规。</w:t>
      </w:r>
    </w:p>
    <w:p>
      <w:pPr>
        <w:pStyle w:val="BodyText"/>
        <w:spacing w:line="316" w:lineRule="auto" w:before="19"/>
        <w:ind w:left="438" w:right="0"/>
        <w:jc w:val="left"/>
      </w:pPr>
      <w:r>
        <w:rPr/>
        <w:t>（</w:t>
      </w:r>
      <w:r>
        <w:rPr>
          <w:rFonts w:ascii="宋体" w:hAnsi="宋体" w:cs="宋体" w:eastAsia="宋体" w:hint="default"/>
        </w:rPr>
        <w:t>3</w:t>
      </w:r>
      <w:r>
        <w:rPr/>
        <w:t>）投资者关系管理 </w:t>
      </w:r>
      <w:r>
        <w:rPr>
          <w:spacing w:val="-1"/>
        </w:rPr>
        <w:t>公司不断加强投资者关系管理，提高为广大投资者服务的水平。通过深圳证券交易所“互动易”平台、“网上集体接待</w:t>
      </w:r>
    </w:p>
    <w:p>
      <w:pPr>
        <w:pStyle w:val="BodyText"/>
        <w:spacing w:line="316" w:lineRule="auto" w:before="19"/>
        <w:ind w:left="153" w:right="1131"/>
        <w:jc w:val="both"/>
      </w:pPr>
      <w:r>
        <w:rPr>
          <w:spacing w:val="-2"/>
        </w:rPr>
        <w:t>日活动”、现场交流及电话、电子邮件等方式，公司与各类投资者进行了坦诚的沟通与深入的交流。</w:t>
      </w:r>
      <w:r>
        <w:rPr>
          <w:rFonts w:ascii="宋体" w:hAnsi="宋体" w:cs="宋体" w:eastAsia="宋体" w:hint="default"/>
          <w:spacing w:val="-2"/>
        </w:rPr>
        <w:t>2017</w:t>
      </w:r>
      <w:r>
        <w:rPr>
          <w:spacing w:val="-2"/>
        </w:rPr>
        <w:t>年全年，公司在互</w:t>
      </w:r>
      <w:r>
        <w:rPr>
          <w:spacing w:val="-62"/>
        </w:rPr>
        <w:t> </w:t>
      </w:r>
      <w:r>
        <w:rPr>
          <w:spacing w:val="-62"/>
        </w:rPr>
      </w:r>
      <w:r>
        <w:rPr>
          <w:spacing w:val="-2"/>
        </w:rPr>
        <w:t>动易平台收到投资者提问上千条，回复率</w:t>
      </w:r>
      <w:r>
        <w:rPr>
          <w:rFonts w:ascii="宋体" w:hAnsi="宋体" w:cs="宋体" w:eastAsia="宋体" w:hint="default"/>
          <w:spacing w:val="-2"/>
        </w:rPr>
        <w:t>100%</w:t>
      </w:r>
      <w:r>
        <w:rPr>
          <w:spacing w:val="-2"/>
        </w:rPr>
        <w:t>，且多次位居“回复投资者最多的前十名上市公司”前列；接待投资者电话咨</w:t>
      </w:r>
      <w:r>
        <w:rPr>
          <w:spacing w:val="-63"/>
        </w:rPr>
        <w:t> </w:t>
      </w:r>
      <w:r>
        <w:rPr>
          <w:spacing w:val="-63"/>
        </w:rPr>
      </w:r>
      <w:r>
        <w:rPr>
          <w:spacing w:val="-2"/>
        </w:rPr>
        <w:t>询</w:t>
      </w:r>
      <w:r>
        <w:rPr>
          <w:rFonts w:ascii="宋体" w:hAnsi="宋体" w:cs="宋体" w:eastAsia="宋体" w:hint="default"/>
          <w:spacing w:val="-2"/>
        </w:rPr>
        <w:t>300</w:t>
      </w:r>
      <w:r>
        <w:rPr>
          <w:spacing w:val="-2"/>
        </w:rPr>
        <w:t>多人次</w:t>
      </w:r>
      <w:r>
        <w:rPr>
          <w:rFonts w:ascii="宋体" w:hAnsi="宋体" w:cs="宋体" w:eastAsia="宋体" w:hint="default"/>
          <w:spacing w:val="-2"/>
        </w:rPr>
        <w:t>,</w:t>
      </w:r>
      <w:r>
        <w:rPr>
          <w:spacing w:val="-2"/>
        </w:rPr>
        <w:t>电子邮件咨询上百人次。公司认真听取投资者的意见和建议，并及时反馈给公司管理层和董事会，最大程度地</w:t>
      </w:r>
      <w:r>
        <w:rPr>
          <w:spacing w:val="-62"/>
        </w:rPr>
        <w:t> </w:t>
      </w:r>
      <w:r>
        <w:rPr>
          <w:spacing w:val="-62"/>
        </w:rPr>
      </w:r>
      <w:r>
        <w:rPr/>
        <w:t>让投资者参与和影响上市公司的治理，推动、促进上市公司提高治理水平，加强投资者保护。</w:t>
      </w:r>
    </w:p>
    <w:p>
      <w:pPr>
        <w:pStyle w:val="BodyText"/>
        <w:spacing w:line="316" w:lineRule="auto" w:before="19"/>
        <w:ind w:left="438" w:right="1118"/>
        <w:jc w:val="left"/>
      </w:pPr>
      <w:r>
        <w:rPr/>
        <w:t>（</w:t>
      </w:r>
      <w:r>
        <w:rPr>
          <w:rFonts w:ascii="宋体" w:hAnsi="宋体" w:cs="宋体" w:eastAsia="宋体" w:hint="default"/>
        </w:rPr>
        <w:t>4</w:t>
      </w:r>
      <w:r>
        <w:rPr/>
        <w:t>）信息披露 </w:t>
      </w:r>
      <w:r>
        <w:rPr>
          <w:spacing w:val="-1"/>
        </w:rPr>
        <w:t>公司始终坚持信息披露的真实准确完整和及时性，将信息披露工作制度化、专业化，并贯彻实施。公司制定了《信息披</w:t>
      </w:r>
    </w:p>
    <w:p>
      <w:pPr>
        <w:pStyle w:val="BodyText"/>
        <w:spacing w:line="316" w:lineRule="auto" w:before="19"/>
        <w:ind w:left="153" w:right="0"/>
        <w:jc w:val="left"/>
      </w:pPr>
      <w:r>
        <w:rPr>
          <w:spacing w:val="-2"/>
        </w:rPr>
        <w:t>露事务管理制度》、《重大信息内部报告制度》、《年报信息披露重大差错责任追究制度》等一系列制度，确保公司信息披</w:t>
      </w:r>
      <w:r>
        <w:rPr>
          <w:spacing w:val="-67"/>
        </w:rPr>
        <w:t> </w:t>
      </w:r>
      <w:r>
        <w:rPr>
          <w:spacing w:val="-67"/>
        </w:rPr>
      </w:r>
      <w:r>
        <w:rPr>
          <w:spacing w:val="-2"/>
        </w:rPr>
        <w:t>露工作有章可循。公司设置专门部门和人员负责公司的信息披露工作以及官网的维护。公司严格按照监管部门规定和公司制</w:t>
      </w:r>
      <w:r>
        <w:rPr>
          <w:spacing w:val="-64"/>
        </w:rPr>
        <w:t> </w:t>
      </w:r>
      <w:r>
        <w:rPr>
          <w:spacing w:val="-64"/>
        </w:rPr>
      </w:r>
      <w:r>
        <w:rPr>
          <w:spacing w:val="-2"/>
        </w:rPr>
        <w:t>度进行信息披露，仅</w:t>
      </w:r>
      <w:r>
        <w:rPr>
          <w:rFonts w:ascii="宋体" w:hAnsi="宋体" w:cs="宋体" w:eastAsia="宋体" w:hint="default"/>
          <w:spacing w:val="-2"/>
        </w:rPr>
        <w:t>2017</w:t>
      </w:r>
      <w:r>
        <w:rPr>
          <w:spacing w:val="-2"/>
        </w:rPr>
        <w:t>年度就发布公告近</w:t>
      </w:r>
      <w:r>
        <w:rPr>
          <w:rFonts w:ascii="宋体" w:hAnsi="宋体" w:cs="宋体" w:eastAsia="宋体" w:hint="default"/>
          <w:spacing w:val="-2"/>
        </w:rPr>
        <w:t>200</w:t>
      </w:r>
      <w:r>
        <w:rPr>
          <w:spacing w:val="-2"/>
        </w:rPr>
        <w:t>份，独立董事发表独立意见</w:t>
      </w:r>
      <w:r>
        <w:rPr>
          <w:rFonts w:ascii="宋体" w:hAnsi="宋体" w:cs="宋体" w:eastAsia="宋体" w:hint="default"/>
          <w:spacing w:val="-2"/>
        </w:rPr>
        <w:t>10</w:t>
      </w:r>
      <w:r>
        <w:rPr>
          <w:spacing w:val="-2"/>
        </w:rPr>
        <w:t>多次，独立财务顾问发表专项核查意见</w:t>
      </w:r>
      <w:r>
        <w:rPr>
          <w:rFonts w:ascii="宋体" w:hAnsi="宋体" w:cs="宋体" w:eastAsia="宋体" w:hint="default"/>
          <w:spacing w:val="-2"/>
        </w:rPr>
        <w:t>10</w:t>
      </w:r>
      <w:r>
        <w:rPr>
          <w:spacing w:val="-2"/>
        </w:rPr>
        <w:t>多次，</w:t>
      </w:r>
      <w:r>
        <w:rPr>
          <w:spacing w:val="-54"/>
        </w:rPr>
        <w:t> </w:t>
      </w:r>
      <w:r>
        <w:rPr>
          <w:spacing w:val="-2"/>
        </w:rPr>
        <w:t>内容涉及定期报告，关联交易，对外担保，委托理财，对外投资等各方面，充分保证了投资者对公司重大事项和经营情况的</w:t>
      </w:r>
      <w:r>
        <w:rPr>
          <w:spacing w:val="-66"/>
        </w:rPr>
        <w:t> </w:t>
      </w:r>
      <w:r>
        <w:rPr>
          <w:spacing w:val="-66"/>
        </w:rPr>
      </w:r>
      <w:r>
        <w:rPr/>
        <w:t>知情权，为投资者提供了充分的投资依据，树立了投资信心。</w:t>
      </w:r>
    </w:p>
    <w:p>
      <w:pPr>
        <w:pStyle w:val="BodyText"/>
        <w:spacing w:line="316" w:lineRule="auto" w:before="19"/>
        <w:ind w:left="438" w:right="1118"/>
        <w:jc w:val="left"/>
      </w:pPr>
      <w:r>
        <w:rPr/>
        <w:t>（</w:t>
      </w:r>
      <w:r>
        <w:rPr>
          <w:rFonts w:ascii="宋体" w:hAnsi="宋体" w:cs="宋体" w:eastAsia="宋体" w:hint="default"/>
        </w:rPr>
        <w:t>5</w:t>
      </w:r>
      <w:r>
        <w:rPr/>
        <w:t>）经营业绩 </w:t>
      </w:r>
      <w:r>
        <w:rPr>
          <w:spacing w:val="-1"/>
        </w:rPr>
        <w:t>自完成重大资产重组以来，公司已全面转型为互联网广告传媒公司，公司经营环境稳定，经营计划有序开展，公司对资</w:t>
      </w:r>
    </w:p>
    <w:p>
      <w:pPr>
        <w:pStyle w:val="BodyText"/>
        <w:spacing w:line="319" w:lineRule="auto" w:before="19"/>
        <w:ind w:left="153" w:right="1130"/>
        <w:jc w:val="both"/>
      </w:pPr>
      <w:r>
        <w:rPr>
          <w:spacing w:val="-2"/>
        </w:rPr>
        <w:t>产、业务进行了有效整合，近两年，公司互联网相关行业实现了营业收入及利润的大幅增长。</w:t>
      </w:r>
      <w:r>
        <w:rPr>
          <w:rFonts w:ascii="宋体" w:hAnsi="宋体" w:cs="宋体" w:eastAsia="宋体" w:hint="default"/>
          <w:spacing w:val="-2"/>
        </w:rPr>
        <w:t>2017</w:t>
      </w:r>
      <w:r>
        <w:rPr>
          <w:spacing w:val="-2"/>
        </w:rPr>
        <w:t>年度，公司实现主营业务</w:t>
      </w:r>
      <w:r>
        <w:rPr>
          <w:spacing w:val="-62"/>
        </w:rPr>
        <w:t> </w:t>
      </w:r>
      <w:r>
        <w:rPr>
          <w:spacing w:val="-62"/>
        </w:rPr>
      </w:r>
      <w:r>
        <w:rPr>
          <w:spacing w:val="-2"/>
        </w:rPr>
        <w:t>收入</w:t>
      </w:r>
      <w:r>
        <w:rPr>
          <w:rFonts w:ascii="宋体" w:hAnsi="宋体" w:cs="宋体" w:eastAsia="宋体" w:hint="default"/>
          <w:spacing w:val="-2"/>
        </w:rPr>
        <w:t>637379.49</w:t>
      </w:r>
      <w:r>
        <w:rPr>
          <w:spacing w:val="-2"/>
        </w:rPr>
        <w:t>万元，同比增长</w:t>
      </w:r>
      <w:r>
        <w:rPr>
          <w:rFonts w:ascii="宋体" w:hAnsi="宋体" w:cs="宋体" w:eastAsia="宋体" w:hint="default"/>
          <w:spacing w:val="-2"/>
        </w:rPr>
        <w:t>169.62%</w:t>
      </w:r>
      <w:r>
        <w:rPr>
          <w:spacing w:val="-2"/>
        </w:rPr>
        <w:t>，实现归属于上市公司股东的净利润</w:t>
      </w:r>
      <w:r>
        <w:rPr>
          <w:rFonts w:ascii="宋体" w:hAnsi="宋体" w:cs="宋体" w:eastAsia="宋体" w:hint="default"/>
          <w:spacing w:val="-2"/>
        </w:rPr>
        <w:t>52732.54</w:t>
      </w:r>
      <w:r>
        <w:rPr>
          <w:spacing w:val="-2"/>
        </w:rPr>
        <w:t>万元，同比增长</w:t>
      </w:r>
      <w:r>
        <w:rPr>
          <w:rFonts w:ascii="宋体" w:hAnsi="宋体" w:cs="宋体" w:eastAsia="宋体" w:hint="default"/>
          <w:spacing w:val="-2"/>
        </w:rPr>
        <w:t>66.82%</w:t>
      </w:r>
      <w:r>
        <w:rPr>
          <w:spacing w:val="-2"/>
        </w:rPr>
        <w:t>。公司不断深化</w:t>
      </w:r>
      <w:r>
        <w:rPr>
          <w:spacing w:val="-37"/>
        </w:rPr>
        <w:t> </w:t>
      </w:r>
      <w:r>
        <w:rPr>
          <w:spacing w:val="-37"/>
        </w:rPr>
      </w:r>
      <w:r>
        <w:rPr>
          <w:spacing w:val="-2"/>
        </w:rPr>
        <w:t>产融结合的战略，坚持内生发展与外延扩张同步推进。在各项业务进展顺利的基础上，考虑到与产业链上下游客户的良好合</w:t>
      </w:r>
      <w:r>
        <w:rPr>
          <w:spacing w:val="-66"/>
        </w:rPr>
        <w:t> </w:t>
      </w:r>
      <w:r>
        <w:rPr>
          <w:spacing w:val="-66"/>
        </w:rPr>
      </w:r>
      <w:r>
        <w:rPr>
          <w:spacing w:val="-2"/>
        </w:rPr>
        <w:t>作关系，公司通过布局互联网小额贷款公司、保理公司等方式涉足金融领域，助力公司全产业链的优化整合，实现公司的快</w:t>
      </w:r>
      <w:r>
        <w:rPr>
          <w:spacing w:val="-66"/>
        </w:rPr>
        <w:t> </w:t>
      </w:r>
      <w:r>
        <w:rPr>
          <w:spacing w:val="-66"/>
        </w:rPr>
      </w:r>
      <w:r>
        <w:rPr/>
        <w:t>速可持续发展。</w:t>
      </w:r>
    </w:p>
    <w:p>
      <w:pPr>
        <w:pStyle w:val="BodyText"/>
        <w:spacing w:line="316" w:lineRule="auto" w:before="17"/>
        <w:ind w:left="438" w:right="1118"/>
        <w:jc w:val="left"/>
      </w:pPr>
      <w:r>
        <w:rPr/>
        <w:t>（</w:t>
      </w:r>
      <w:r>
        <w:rPr>
          <w:rFonts w:ascii="宋体" w:hAnsi="宋体" w:cs="宋体" w:eastAsia="宋体" w:hint="default"/>
        </w:rPr>
        <w:t>6</w:t>
      </w:r>
      <w:r>
        <w:rPr/>
        <w:t>）公司治理 </w:t>
      </w:r>
      <w:r>
        <w:rPr>
          <w:spacing w:val="-1"/>
        </w:rPr>
        <w:t>根据国家法律法规的要求和公司经营发展的需要，公司制定了《公司章程》、《股东大会议事规则》等一系列规章制度</w:t>
      </w:r>
    </w:p>
    <w:p>
      <w:pPr>
        <w:spacing w:after="0" w:line="316" w:lineRule="auto"/>
        <w:jc w:val="left"/>
        <w:sectPr>
          <w:headerReference w:type="default" r:id="rId34"/>
          <w:footerReference w:type="default" r:id="rId35"/>
          <w:pgSz w:w="11910" w:h="16840"/>
          <w:pgMar w:header="877" w:footer="1187" w:top="1060" w:bottom="1380" w:left="980" w:right="0"/>
          <w:pgNumType w:start="65"/>
        </w:sectPr>
      </w:pPr>
    </w:p>
    <w:p>
      <w:pPr>
        <w:spacing w:line="240" w:lineRule="auto" w:before="12"/>
        <w:rPr>
          <w:rFonts w:ascii="宋体" w:hAnsi="宋体" w:cs="宋体" w:eastAsia="宋体" w:hint="default"/>
          <w:sz w:val="21"/>
          <w:szCs w:val="21"/>
        </w:rPr>
      </w:pPr>
    </w:p>
    <w:p>
      <w:pPr>
        <w:pStyle w:val="BodyText"/>
        <w:spacing w:line="316" w:lineRule="auto" w:before="44"/>
        <w:ind w:left="153" w:right="0"/>
        <w:jc w:val="left"/>
      </w:pPr>
      <w:r>
        <w:rPr>
          <w:spacing w:val="-2"/>
        </w:rPr>
        <w:t>并且贯彻实施，涉及公司股东大会、董事会、监事会和经营管理层的运作等各方面，形成了科学有效、权责明确、相互制衡</w:t>
      </w:r>
      <w:r>
        <w:rPr>
          <w:spacing w:val="-68"/>
        </w:rPr>
        <w:t> </w:t>
      </w:r>
      <w:r>
        <w:rPr>
          <w:spacing w:val="-68"/>
        </w:rPr>
      </w:r>
      <w:r>
        <w:rPr/>
        <w:t>协调的治理结构。公司股东大会、 董事会、监事会和经理层各司其职，确保了公司的规范运作。</w:t>
      </w:r>
    </w:p>
    <w:p>
      <w:pPr>
        <w:pStyle w:val="BodyText"/>
        <w:spacing w:line="316" w:lineRule="auto" w:before="19"/>
        <w:ind w:right="0" w:firstLine="284"/>
        <w:jc w:val="left"/>
      </w:pPr>
      <w:r>
        <w:rPr>
          <w:spacing w:val="-1"/>
        </w:rPr>
        <w:t>公司持续加强内控评价和风险管理工作，公司董事会每年均对公司内部控制进行自我评价并披露相关报告，同时聘请审</w:t>
      </w:r>
      <w:r>
        <w:rPr/>
        <w:t> 计机构对公司内控进行审计，针对提出的问题，公司后期进行认真研究和整改。</w:t>
      </w:r>
    </w:p>
    <w:p>
      <w:pPr>
        <w:pStyle w:val="BodyText"/>
        <w:spacing w:line="316" w:lineRule="auto" w:before="19"/>
        <w:ind w:right="0" w:firstLine="284"/>
        <w:jc w:val="left"/>
      </w:pPr>
      <w:r>
        <w:rPr>
          <w:spacing w:val="-1"/>
        </w:rPr>
        <w:t>关于公司募集资金的管理和使用，公司制订了专门的募集资金管理办法，严格按照监管部门的规定和公司制度对募集资</w:t>
      </w:r>
      <w:r>
        <w:rPr/>
        <w:t> 金进行管理和使用。</w:t>
      </w:r>
    </w:p>
    <w:p>
      <w:pPr>
        <w:pStyle w:val="BodyText"/>
        <w:spacing w:line="316" w:lineRule="auto" w:before="19"/>
        <w:ind w:left="438" w:right="1118"/>
        <w:jc w:val="left"/>
      </w:pPr>
      <w:r>
        <w:rPr/>
        <w:t>（</w:t>
      </w:r>
      <w:r>
        <w:rPr>
          <w:rFonts w:ascii="宋体" w:hAnsi="宋体" w:cs="宋体" w:eastAsia="宋体" w:hint="default"/>
        </w:rPr>
        <w:t>7</w:t>
      </w:r>
      <w:r>
        <w:rPr/>
        <w:t>）社会责任 </w:t>
      </w:r>
      <w:r>
        <w:rPr>
          <w:spacing w:val="-1"/>
        </w:rPr>
        <w:t>公司将企业社会责任切实融入公司的发展战略和经营管理中去，积极承担对投资者、公司员工及社会等各利益相关方的</w:t>
      </w:r>
    </w:p>
    <w:p>
      <w:pPr>
        <w:pStyle w:val="BodyText"/>
        <w:spacing w:line="316" w:lineRule="auto" w:before="19"/>
        <w:ind w:left="153" w:right="0"/>
        <w:jc w:val="left"/>
      </w:pPr>
      <w:r>
        <w:rPr>
          <w:spacing w:val="-4"/>
        </w:rPr>
        <w:t>责任。公司稳健发展、潜心耕耘，不断提升公司综合竞争力和盈利能力，努力为股东创造更大价值。公司严格遵守社会公德、</w:t>
      </w:r>
      <w:r>
        <w:rPr>
          <w:spacing w:val="-44"/>
        </w:rPr>
        <w:t> </w:t>
      </w:r>
      <w:r>
        <w:rPr>
          <w:spacing w:val="-44"/>
        </w:rPr>
      </w:r>
      <w:r>
        <w:rPr>
          <w:spacing w:val="-2"/>
        </w:rPr>
        <w:t>商业道德，接受政府和社会公众的监督，在经营规模不断壮大的同时，认真落实科学发展观，推动经济、社会、环境的可持</w:t>
      </w:r>
      <w:r>
        <w:rPr>
          <w:spacing w:val="-68"/>
        </w:rPr>
        <w:t> </w:t>
      </w:r>
      <w:r>
        <w:rPr>
          <w:spacing w:val="-68"/>
        </w:rPr>
      </w:r>
      <w:r>
        <w:rPr/>
        <w:t>续发展，追求综合价值的最大化。</w:t>
      </w:r>
    </w:p>
    <w:p>
      <w:pPr>
        <w:pStyle w:val="BodyText"/>
        <w:spacing w:line="316" w:lineRule="auto" w:before="19"/>
        <w:ind w:left="153" w:right="0" w:firstLine="284"/>
        <w:jc w:val="left"/>
      </w:pPr>
      <w:r>
        <w:rPr/>
        <w:t>通过内部培养和外部引进，公司不断扩充和培养优秀的人才队伍，切实维护员工合法权益。公司建立了科学、合理的薪 </w:t>
      </w:r>
      <w:r>
        <w:rPr>
          <w:spacing w:val="-2"/>
        </w:rPr>
        <w:t>酬管理体系，为员工提供了有力的薪酬竞争空间和公平环境。公司还不断完善内部的人才激励机制，有效提高了业务团队的</w:t>
      </w:r>
      <w:r>
        <w:rPr>
          <w:spacing w:val="-66"/>
        </w:rPr>
        <w:t> </w:t>
      </w:r>
      <w:r>
        <w:rPr>
          <w:spacing w:val="-66"/>
        </w:rPr>
      </w:r>
      <w:r>
        <w:rPr>
          <w:spacing w:val="-7"/>
        </w:rPr>
        <w:t>稳定性和积极性。值得一提的是，公司十分重视员工的身体素质，鼓励员工坚持身体锻炼，公司成立“跑团”“瑜伽训练营”，</w:t>
      </w:r>
      <w:r>
        <w:rPr>
          <w:spacing w:val="-49"/>
        </w:rPr>
        <w:t> </w:t>
      </w:r>
      <w:r>
        <w:rPr>
          <w:spacing w:val="-49"/>
        </w:rPr>
      </w:r>
      <w:r>
        <w:rPr/>
        <w:t>定期组织公司员工和有兴趣的同仁参加体能训练和慢跑活动，积极响应全民健身号召 携手倡导健康生活理念，为创造良好</w:t>
      </w:r>
      <w:r>
        <w:rPr>
          <w:spacing w:val="-82"/>
        </w:rPr>
        <w:t> </w:t>
      </w:r>
      <w:r>
        <w:rPr>
          <w:spacing w:val="-82"/>
        </w:rPr>
      </w:r>
      <w:r>
        <w:rPr/>
        <w:t>企业文化氛围、促进公司持续稳健发展提供了强有力的支持和动力。</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578" w:lineRule="auto" w:before="135"/>
        <w:ind w:left="154" w:right="5532" w:firstLine="0"/>
        <w:jc w:val="left"/>
        <w:rPr>
          <w:rFonts w:ascii="宋体" w:hAnsi="宋体" w:cs="宋体" w:eastAsia="宋体" w:hint="default"/>
          <w:sz w:val="21"/>
          <w:szCs w:val="21"/>
        </w:rPr>
      </w:pPr>
      <w:bookmarkStart w:name="2、履行精准扶贫社会责任情况" w:id="102"/>
      <w:bookmarkEnd w:id="102"/>
      <w:r>
        <w:rPr/>
      </w:r>
      <w:r>
        <w:rPr>
          <w:rFonts w:ascii="宋体" w:hAnsi="宋体" w:cs="宋体" w:eastAsia="宋体"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b/>
          <w:bCs/>
          <w:w w:val="99"/>
          <w:sz w:val="21"/>
          <w:szCs w:val="21"/>
        </w:rPr>
        <w:t> </w:t>
      </w:r>
      <w:r>
        <w:rPr>
          <w:rFonts w:ascii="宋体" w:hAnsi="宋体" w:cs="宋体" w:eastAsia="宋体" w:hint="default"/>
          <w:sz w:val="18"/>
          <w:szCs w:val="18"/>
        </w:rPr>
        <w:t>公司报告年度暂未开展精准扶贫工作，也暂无后续精准扶贫计划。 </w:t>
      </w:r>
      <w:bookmarkStart w:name="3、环境保护相关的情况" w:id="103"/>
      <w:bookmarkEnd w:id="103"/>
      <w:r>
        <w:rPr>
          <w:rFonts w:ascii="宋体" w:hAnsi="宋体" w:cs="宋体" w:eastAsia="宋体" w:hint="default"/>
          <w:sz w:val="18"/>
          <w:szCs w:val="18"/>
        </w:rPr>
      </w:r>
      <w:r>
        <w:rPr>
          <w:rFonts w:ascii="宋体" w:hAnsi="宋体" w:cs="宋体" w:eastAsia="宋体"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sz w:val="21"/>
          <w:szCs w:val="21"/>
        </w:rPr>
      </w:r>
    </w:p>
    <w:p>
      <w:pPr>
        <w:pStyle w:val="BodyText"/>
        <w:spacing w:line="357" w:lineRule="auto" w:before="67"/>
        <w:ind w:right="5712"/>
        <w:jc w:val="left"/>
      </w:pPr>
      <w:r>
        <w:rPr/>
        <w:t>上市公司及其子公司是否属于环境保护部门公布的重点排污单位 否</w:t>
      </w:r>
    </w:p>
    <w:p>
      <w:pPr>
        <w:pStyle w:val="BodyText"/>
        <w:spacing w:line="316" w:lineRule="auto" w:before="28"/>
        <w:ind w:left="438" w:right="0"/>
        <w:jc w:val="left"/>
      </w:pPr>
      <w:r>
        <w:rPr/>
        <w:t>本公司及子公司不属于环保部门公布的重点排污单位。 </w:t>
      </w:r>
      <w:r>
        <w:rPr>
          <w:spacing w:val="-1"/>
        </w:rPr>
        <w:t>在公司的日常经营中，我们十分重视环境保护工作，推行无纸化办公，不断提高员工的环境保护意识，让每位员工从身</w:t>
      </w:r>
    </w:p>
    <w:p>
      <w:pPr>
        <w:pStyle w:val="BodyText"/>
        <w:spacing w:line="240" w:lineRule="auto" w:before="19"/>
        <w:ind w:left="153" w:right="0"/>
        <w:jc w:val="left"/>
      </w:pPr>
      <w:r>
        <w:rPr/>
        <w:t>边点滴小事做起，节约资源，倡导绿色生活、为生态环境的可持续发展贡献力量。</w:t>
      </w:r>
    </w:p>
    <w:p>
      <w:pPr>
        <w:spacing w:line="240" w:lineRule="auto" w:before="2"/>
        <w:rPr>
          <w:rFonts w:ascii="宋体" w:hAnsi="宋体" w:cs="宋体" w:eastAsia="宋体" w:hint="default"/>
          <w:sz w:val="25"/>
          <w:szCs w:val="25"/>
        </w:rPr>
      </w:pPr>
    </w:p>
    <w:p>
      <w:pPr>
        <w:pStyle w:val="Heading2"/>
        <w:spacing w:line="240" w:lineRule="auto"/>
        <w:ind w:left="153" w:right="0"/>
        <w:jc w:val="left"/>
        <w:rPr>
          <w:b w:val="0"/>
          <w:bCs w:val="0"/>
        </w:rPr>
      </w:pPr>
      <w:bookmarkStart w:name="十九、其他重大事项的说明" w:id="104"/>
      <w:bookmarkEnd w:id="104"/>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438" w:right="1828" w:hanging="285"/>
        <w:jc w:val="left"/>
      </w:pPr>
      <w:r>
        <w:rPr/>
        <w:t>√ 适用 □ 不适用 </w:t>
      </w:r>
      <w:r>
        <w:rPr>
          <w:rFonts w:ascii="宋体" w:hAnsi="宋体" w:cs="宋体" w:eastAsia="宋体" w:hint="default"/>
        </w:rPr>
        <w:t>1</w:t>
      </w:r>
      <w:r>
        <w:rPr/>
        <w:t>、</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18</w:t>
      </w:r>
      <w:r>
        <w:rPr/>
        <w:t>日，公司在拉萨设立全资子公司西藏智媒网络科技有限公司，注册资本人民币</w:t>
      </w:r>
      <w:r>
        <w:rPr>
          <w:rFonts w:ascii="宋体" w:hAnsi="宋体" w:cs="宋体" w:eastAsia="宋体" w:hint="default"/>
        </w:rPr>
        <w:t>3,000.00</w:t>
      </w:r>
      <w:r>
        <w:rPr/>
        <w:t>万元；</w:t>
      </w:r>
    </w:p>
    <w:p>
      <w:pPr>
        <w:pStyle w:val="BodyText"/>
        <w:spacing w:line="224" w:lineRule="exact"/>
        <w:ind w:left="438" w:right="0"/>
        <w:jc w:val="left"/>
      </w:pPr>
      <w:r>
        <w:rPr>
          <w:rFonts w:ascii="宋体" w:hAnsi="宋体" w:cs="宋体" w:eastAsia="宋体" w:hint="default"/>
        </w:rPr>
        <w:t>2</w:t>
      </w:r>
      <w:r>
        <w:rPr/>
        <w:t>、</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27</w:t>
      </w:r>
      <w:r>
        <w:rPr/>
        <w:t>日，公司全资子公司上海猎鹰网络有限公司在上海设立全资子公司上海宴杰网络科技有限公司，注册资</w:t>
      </w:r>
    </w:p>
    <w:p>
      <w:pPr>
        <w:pStyle w:val="BodyText"/>
        <w:spacing w:line="316" w:lineRule="auto" w:before="76"/>
        <w:ind w:left="438" w:right="0" w:hanging="285"/>
        <w:jc w:val="left"/>
      </w:pPr>
      <w:r>
        <w:rPr/>
        <w:t>本人民币</w:t>
      </w:r>
      <w:r>
        <w:rPr>
          <w:rFonts w:ascii="宋体" w:hAnsi="宋体" w:cs="宋体" w:eastAsia="宋体" w:hint="default"/>
        </w:rPr>
        <w:t>1,000.00</w:t>
      </w:r>
      <w:r>
        <w:rPr/>
        <w:t>万元； </w:t>
      </w:r>
      <w:r>
        <w:rPr>
          <w:rFonts w:ascii="宋体" w:hAnsi="宋体" w:cs="宋体" w:eastAsia="宋体" w:hint="default"/>
          <w:spacing w:val="-1"/>
        </w:rPr>
        <w:t>3</w:t>
      </w:r>
      <w:r>
        <w:rPr>
          <w:spacing w:val="-1"/>
        </w:rPr>
        <w:t>、</w:t>
      </w:r>
      <w:r>
        <w:rPr>
          <w:rFonts w:ascii="宋体" w:hAnsi="宋体" w:cs="宋体" w:eastAsia="宋体" w:hint="default"/>
          <w:spacing w:val="-1"/>
        </w:rPr>
        <w:t>2017</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12</w:t>
      </w:r>
      <w:r>
        <w:rPr>
          <w:spacing w:val="-1"/>
        </w:rPr>
        <w:t>日，公司全资子公司上海猎鹰网络有限公司在拉萨设立全资子公司拉萨经济技术开发区猎鹰网络科技有</w:t>
      </w:r>
    </w:p>
    <w:p>
      <w:pPr>
        <w:pStyle w:val="BodyText"/>
        <w:spacing w:line="316" w:lineRule="auto" w:before="19"/>
        <w:ind w:left="438" w:right="1828" w:hanging="285"/>
        <w:jc w:val="left"/>
      </w:pPr>
      <w:r>
        <w:rPr/>
        <w:t>限公司，注册资本人民币</w:t>
      </w:r>
      <w:r>
        <w:rPr>
          <w:rFonts w:ascii="宋体" w:hAnsi="宋体" w:cs="宋体" w:eastAsia="宋体" w:hint="default"/>
        </w:rPr>
        <w:t>1,000.00</w:t>
      </w:r>
      <w:r>
        <w:rPr/>
        <w:t>万元； </w:t>
      </w:r>
      <w:r>
        <w:rPr>
          <w:rFonts w:ascii="宋体" w:hAnsi="宋体" w:cs="宋体" w:eastAsia="宋体" w:hint="default"/>
        </w:rPr>
        <w:t>4</w:t>
      </w:r>
      <w:r>
        <w:rPr/>
        <w:t>、</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26</w:t>
      </w:r>
      <w:r>
        <w:rPr/>
        <w:t>日，公司在深圳设立全资子公司深圳智度信息技术有限公司，注册资本人民币</w:t>
      </w:r>
      <w:r>
        <w:rPr>
          <w:rFonts w:ascii="宋体" w:hAnsi="宋体" w:cs="宋体" w:eastAsia="宋体" w:hint="default"/>
        </w:rPr>
        <w:t>1,000.00</w:t>
      </w:r>
      <w:r>
        <w:rPr/>
        <w:t>万元；</w:t>
      </w:r>
    </w:p>
    <w:p>
      <w:pPr>
        <w:pStyle w:val="BodyText"/>
        <w:spacing w:line="240" w:lineRule="auto" w:before="19"/>
        <w:ind w:left="438" w:right="0"/>
        <w:jc w:val="left"/>
      </w:pPr>
      <w:r>
        <w:rPr>
          <w:rFonts w:ascii="宋体" w:hAnsi="宋体" w:cs="宋体" w:eastAsia="宋体" w:hint="default"/>
        </w:rPr>
        <w:t>5</w:t>
      </w:r>
      <w:r>
        <w:rPr/>
        <w:t>、</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22</w:t>
      </w:r>
      <w:r>
        <w:rPr/>
        <w:t>日，公司在广州设立全资子公司广州市智度互联网小额贷款有限公司，注册资本人民币</w:t>
      </w:r>
      <w:r>
        <w:rPr>
          <w:rFonts w:ascii="宋体" w:hAnsi="宋体" w:cs="宋体" w:eastAsia="宋体" w:hint="default"/>
        </w:rPr>
        <w:t>50,000.00</w:t>
      </w:r>
      <w:r>
        <w:rPr/>
        <w:t>万元；</w:t>
      </w:r>
    </w:p>
    <w:p>
      <w:pPr>
        <w:pStyle w:val="BodyText"/>
        <w:spacing w:line="316" w:lineRule="auto" w:before="77"/>
        <w:ind w:left="153" w:right="1109" w:firstLine="284"/>
        <w:jc w:val="left"/>
      </w:pPr>
      <w:r>
        <w:rPr>
          <w:rFonts w:ascii="宋体" w:hAnsi="宋体" w:cs="宋体" w:eastAsia="宋体" w:hint="default"/>
        </w:rPr>
        <w:t>6</w:t>
      </w:r>
      <w:r>
        <w:rPr/>
        <w:t>、</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29</w:t>
      </w:r>
      <w:r>
        <w:rPr/>
        <w:t>日，公司与智度集团共同出资设立广州市智度商业保理有限公司，注册资本人民币</w:t>
      </w:r>
      <w:r>
        <w:rPr>
          <w:rFonts w:ascii="宋体" w:hAnsi="宋体" w:cs="宋体" w:eastAsia="宋体" w:hint="default"/>
        </w:rPr>
        <w:t>5,000.00</w:t>
      </w:r>
      <w:r>
        <w:rPr/>
        <w:t>万元，公司 持股</w:t>
      </w:r>
      <w:r>
        <w:rPr>
          <w:rFonts w:ascii="宋体" w:hAnsi="宋体" w:cs="宋体" w:eastAsia="宋体" w:hint="default"/>
        </w:rPr>
        <w:t>60%</w:t>
      </w:r>
      <w:r>
        <w:rPr/>
        <w:t>；</w:t>
      </w:r>
    </w:p>
    <w:p>
      <w:pPr>
        <w:pStyle w:val="BodyText"/>
        <w:spacing w:line="240" w:lineRule="auto" w:before="19"/>
        <w:ind w:left="438" w:right="0"/>
        <w:jc w:val="left"/>
      </w:pPr>
      <w:r>
        <w:rPr>
          <w:rFonts w:ascii="宋体" w:hAnsi="宋体" w:cs="宋体" w:eastAsia="宋体" w:hint="default"/>
        </w:rPr>
        <w:t>7</w:t>
      </w:r>
      <w:r>
        <w:rPr/>
        <w:t>、</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30</w:t>
      </w:r>
      <w:r>
        <w:rPr/>
        <w:t>日，公司在上海设立全资子公司上海智度网络科技有限公司，注册资本人民币</w:t>
      </w:r>
      <w:r>
        <w:rPr>
          <w:rFonts w:ascii="宋体" w:hAnsi="宋体" w:cs="宋体" w:eastAsia="宋体" w:hint="default"/>
        </w:rPr>
        <w:t>1,000.00</w:t>
      </w:r>
      <w:r>
        <w:rPr/>
        <w:t>万元；</w:t>
      </w:r>
    </w:p>
    <w:p>
      <w:pPr>
        <w:pStyle w:val="BodyText"/>
        <w:spacing w:line="240" w:lineRule="auto" w:before="76"/>
        <w:ind w:left="438" w:right="0"/>
        <w:jc w:val="left"/>
      </w:pPr>
      <w:r>
        <w:rPr>
          <w:rFonts w:ascii="宋体" w:hAnsi="宋体" w:cs="宋体" w:eastAsia="宋体" w:hint="default"/>
        </w:rPr>
        <w:t>8</w:t>
      </w:r>
      <w:r>
        <w:rPr/>
        <w:t>、</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6</w:t>
      </w:r>
      <w:r>
        <w:rPr/>
        <w:t>日，公司在霍尔果斯设立全资子公司霍尔果斯白猫科技有限公司，注册资本人民币</w:t>
      </w:r>
      <w:r>
        <w:rPr>
          <w:rFonts w:ascii="宋体" w:hAnsi="宋体" w:cs="宋体" w:eastAsia="宋体" w:hint="default"/>
        </w:rPr>
        <w:t>1,000.00</w:t>
      </w:r>
      <w:r>
        <w:rPr/>
        <w:t>万元；</w:t>
      </w:r>
    </w:p>
    <w:p>
      <w:pPr>
        <w:spacing w:after="0" w:line="240" w:lineRule="auto"/>
        <w:jc w:val="left"/>
        <w:sectPr>
          <w:pgSz w:w="11910" w:h="16840"/>
          <w:pgMar w:header="877" w:footer="1187" w:top="1100" w:bottom="1380" w:left="980" w:right="0"/>
        </w:sectPr>
      </w:pPr>
    </w:p>
    <w:p>
      <w:pPr>
        <w:spacing w:line="240" w:lineRule="auto" w:before="12"/>
        <w:rPr>
          <w:rFonts w:ascii="宋体" w:hAnsi="宋体" w:cs="宋体" w:eastAsia="宋体" w:hint="default"/>
          <w:sz w:val="21"/>
          <w:szCs w:val="21"/>
        </w:rPr>
      </w:pPr>
    </w:p>
    <w:p>
      <w:pPr>
        <w:pStyle w:val="BodyText"/>
        <w:spacing w:line="316" w:lineRule="auto" w:before="44"/>
        <w:ind w:left="438" w:right="1108"/>
        <w:jc w:val="left"/>
        <w:rPr>
          <w:rFonts w:ascii="宋体" w:hAnsi="宋体" w:cs="宋体" w:eastAsia="宋体" w:hint="default"/>
        </w:rPr>
      </w:pPr>
      <w:r>
        <w:rPr>
          <w:rFonts w:ascii="宋体" w:hAnsi="宋体" w:cs="宋体" w:eastAsia="宋体" w:hint="default"/>
        </w:rPr>
        <w:t>9</w:t>
      </w:r>
      <w:r>
        <w:rPr/>
        <w:t>、</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5</w:t>
      </w:r>
      <w:r>
        <w:rPr/>
        <w:t>日，公司在厦门设立全资子公司厦门智得天下金融信息服务有限公司，注册资本人民币</w:t>
      </w:r>
      <w:r>
        <w:rPr>
          <w:rFonts w:ascii="宋体" w:hAnsi="宋体" w:cs="宋体" w:eastAsia="宋体" w:hint="default"/>
        </w:rPr>
        <w:t>1,000.00</w:t>
      </w:r>
      <w:r>
        <w:rPr/>
        <w:t>万元； </w:t>
      </w:r>
      <w:r>
        <w:rPr>
          <w:rFonts w:ascii="宋体" w:hAnsi="宋体" w:cs="宋体" w:eastAsia="宋体" w:hint="default"/>
        </w:rPr>
        <w:t>10</w:t>
      </w:r>
      <w:r>
        <w:rPr/>
        <w:t>、</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18</w:t>
      </w:r>
      <w:r>
        <w:rPr/>
        <w:t>日，公司二级全资子公司塞浦路斯公司在罗马尼亚设立全资子公司</w:t>
      </w:r>
      <w:r>
        <w:rPr>
          <w:rFonts w:ascii="宋体" w:hAnsi="宋体" w:cs="宋体" w:eastAsia="宋体" w:hint="default"/>
        </w:rPr>
        <w:t>Polarity Internet</w:t>
      </w:r>
      <w:r>
        <w:rPr>
          <w:rFonts w:ascii="宋体" w:hAnsi="宋体" w:cs="宋体" w:eastAsia="宋体" w:hint="default"/>
          <w:spacing w:val="74"/>
        </w:rPr>
        <w:t> </w:t>
      </w:r>
      <w:r>
        <w:rPr>
          <w:rFonts w:ascii="宋体" w:hAnsi="宋体" w:cs="宋体" w:eastAsia="宋体" w:hint="default"/>
        </w:rPr>
        <w:t>Technologies</w:t>
      </w:r>
    </w:p>
    <w:p>
      <w:pPr>
        <w:pStyle w:val="BodyText"/>
        <w:spacing w:line="316" w:lineRule="auto" w:before="19"/>
        <w:ind w:left="438" w:right="0" w:hanging="285"/>
        <w:jc w:val="left"/>
      </w:pPr>
      <w:r>
        <w:rPr>
          <w:rFonts w:ascii="宋体" w:hAnsi="宋体" w:cs="宋体" w:eastAsia="宋体" w:hint="default"/>
        </w:rPr>
        <w:t>SRL</w:t>
      </w:r>
      <w:r>
        <w:rPr/>
        <w:t>，注册资本罗马尼亚列伊</w:t>
      </w:r>
      <w:r>
        <w:rPr>
          <w:rFonts w:ascii="宋体" w:hAnsi="宋体" w:cs="宋体" w:eastAsia="宋体" w:hint="default"/>
        </w:rPr>
        <w:t>200.00</w:t>
      </w:r>
      <w:r>
        <w:rPr/>
        <w:t>； </w:t>
      </w:r>
      <w:r>
        <w:rPr>
          <w:rFonts w:ascii="宋体" w:hAnsi="宋体" w:cs="宋体" w:eastAsia="宋体" w:hint="default"/>
          <w:spacing w:val="-1"/>
        </w:rPr>
        <w:t>11</w:t>
      </w:r>
      <w:r>
        <w:rPr>
          <w:spacing w:val="-1"/>
        </w:rPr>
        <w:t>、</w:t>
      </w:r>
      <w:r>
        <w:rPr>
          <w:rFonts w:ascii="宋体" w:hAnsi="宋体" w:cs="宋体" w:eastAsia="宋体" w:hint="default"/>
          <w:spacing w:val="-1"/>
        </w:rPr>
        <w:t>2017</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22</w:t>
      </w:r>
      <w:r>
        <w:rPr>
          <w:spacing w:val="-1"/>
        </w:rPr>
        <w:t>日，公司二级全资子公司塞浦路斯公司在塞浦路斯共和国设立全资子公司</w:t>
      </w:r>
      <w:r>
        <w:rPr>
          <w:rFonts w:ascii="宋体" w:hAnsi="宋体" w:cs="宋体" w:eastAsia="宋体" w:hint="default"/>
          <w:spacing w:val="-1"/>
        </w:rPr>
        <w:t>Springtech,Ltd.</w:t>
      </w:r>
      <w:r>
        <w:rPr>
          <w:spacing w:val="-1"/>
        </w:rPr>
        <w:t>，注册资本</w:t>
      </w:r>
    </w:p>
    <w:p>
      <w:pPr>
        <w:pStyle w:val="BodyText"/>
        <w:spacing w:line="240" w:lineRule="auto" w:before="19"/>
        <w:ind w:left="153" w:right="0"/>
        <w:jc w:val="left"/>
      </w:pPr>
      <w:r>
        <w:rPr>
          <w:rFonts w:ascii="宋体" w:hAnsi="宋体" w:cs="宋体" w:eastAsia="宋体" w:hint="default"/>
        </w:rPr>
        <w:t>1.00</w:t>
      </w:r>
      <w:r>
        <w:rPr/>
        <w:t>欧元；</w:t>
      </w:r>
    </w:p>
    <w:p>
      <w:pPr>
        <w:pStyle w:val="BodyText"/>
        <w:spacing w:line="316" w:lineRule="auto" w:before="76"/>
        <w:ind w:left="153" w:right="1031" w:firstLine="284"/>
        <w:jc w:val="left"/>
      </w:pPr>
      <w:r>
        <w:rPr>
          <w:rFonts w:ascii="宋体" w:hAnsi="宋体" w:cs="宋体" w:eastAsia="宋体" w:hint="default"/>
          <w:spacing w:val="-3"/>
        </w:rPr>
        <w:t>12</w:t>
      </w:r>
      <w:r>
        <w:rPr>
          <w:spacing w:val="-3"/>
        </w:rPr>
        <w:t>、</w:t>
      </w:r>
      <w:r>
        <w:rPr>
          <w:rFonts w:ascii="宋体" w:hAnsi="宋体" w:cs="宋体" w:eastAsia="宋体" w:hint="default"/>
          <w:spacing w:val="-3"/>
        </w:rPr>
        <w:t>2017</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14</w:t>
      </w:r>
      <w:r>
        <w:rPr>
          <w:spacing w:val="-3"/>
        </w:rPr>
        <w:t>日，公司二级全资子公司塞浦路斯公司在塞浦路斯共和国设立全资子公司</w:t>
      </w:r>
      <w:r>
        <w:rPr>
          <w:rFonts w:ascii="宋体" w:hAnsi="宋体" w:cs="宋体" w:eastAsia="宋体" w:hint="default"/>
          <w:spacing w:val="-3"/>
        </w:rPr>
        <w:t>Better</w:t>
      </w:r>
      <w:r>
        <w:rPr>
          <w:rFonts w:ascii="宋体" w:hAnsi="宋体" w:cs="宋体" w:eastAsia="宋体" w:hint="default"/>
          <w:spacing w:val="-44"/>
        </w:rPr>
        <w:t> </w:t>
      </w:r>
      <w:r>
        <w:rPr>
          <w:rFonts w:ascii="宋体" w:hAnsi="宋体" w:cs="宋体" w:eastAsia="宋体" w:hint="default"/>
        </w:rPr>
        <w:t>Cloud</w:t>
      </w:r>
      <w:r>
        <w:rPr>
          <w:rFonts w:ascii="宋体" w:hAnsi="宋体" w:cs="宋体" w:eastAsia="宋体" w:hint="default"/>
          <w:spacing w:val="-44"/>
        </w:rPr>
        <w:t> </w:t>
      </w:r>
      <w:r>
        <w:rPr>
          <w:rFonts w:ascii="宋体" w:hAnsi="宋体" w:cs="宋体" w:eastAsia="宋体" w:hint="default"/>
        </w:rPr>
        <w:t>Solutions</w:t>
      </w:r>
      <w:r>
        <w:rPr>
          <w:rFonts w:ascii="宋体" w:hAnsi="宋体" w:cs="宋体" w:eastAsia="宋体" w:hint="default"/>
          <w:spacing w:val="-44"/>
        </w:rPr>
        <w:t> </w:t>
      </w:r>
      <w:r>
        <w:rPr>
          <w:rFonts w:ascii="宋体" w:hAnsi="宋体" w:cs="宋体" w:eastAsia="宋体" w:hint="default"/>
        </w:rPr>
        <w:t>Ltd.</w:t>
      </w:r>
      <w:r>
        <w:rPr/>
        <w:t>， 注册资本</w:t>
      </w:r>
      <w:r>
        <w:rPr>
          <w:rFonts w:ascii="宋体" w:hAnsi="宋体" w:cs="宋体" w:eastAsia="宋体" w:hint="default"/>
        </w:rPr>
        <w:t>1.00</w:t>
      </w:r>
      <w:r>
        <w:rPr/>
        <w:t>欧元；</w:t>
      </w:r>
    </w:p>
    <w:p>
      <w:pPr>
        <w:pStyle w:val="BodyText"/>
        <w:spacing w:line="316" w:lineRule="auto" w:before="19"/>
        <w:ind w:left="153" w:right="0" w:firstLine="284"/>
        <w:jc w:val="left"/>
      </w:pPr>
      <w:r>
        <w:rPr>
          <w:rFonts w:ascii="宋体" w:hAnsi="宋体" w:cs="宋体" w:eastAsia="宋体" w:hint="default"/>
        </w:rPr>
        <w:t>13</w:t>
      </w:r>
      <w:r>
        <w:rPr/>
        <w:t>、公司是腾讯广点通、百度、阿里神马、</w:t>
      </w:r>
      <w:r>
        <w:rPr>
          <w:rFonts w:ascii="宋体" w:hAnsi="宋体" w:cs="宋体" w:eastAsia="宋体" w:hint="default"/>
        </w:rPr>
        <w:t>360</w:t>
      </w:r>
      <w:r>
        <w:rPr/>
        <w:t>和搜狗搜索的核心代理商，并取得了</w:t>
      </w:r>
      <w:r>
        <w:rPr>
          <w:rFonts w:ascii="宋体" w:hAnsi="宋体" w:cs="宋体" w:eastAsia="宋体" w:hint="default"/>
        </w:rPr>
        <w:t>VIVO</w:t>
      </w:r>
      <w:r>
        <w:rPr/>
        <w:t>、小米、一点资讯等硬核媒体 厂商的核心代理资质。</w:t>
      </w:r>
    </w:p>
    <w:p>
      <w:pPr>
        <w:pStyle w:val="BodyText"/>
        <w:spacing w:line="240" w:lineRule="auto" w:before="19"/>
        <w:ind w:left="438" w:right="0"/>
        <w:jc w:val="left"/>
      </w:pPr>
      <w:r>
        <w:rPr>
          <w:rFonts w:ascii="宋体" w:hAnsi="宋体" w:cs="宋体" w:eastAsia="宋体" w:hint="default"/>
        </w:rPr>
        <w:t>14</w:t>
      </w:r>
      <w:r>
        <w:rPr/>
        <w:t>、报告期内，其他重要事项：</w:t>
      </w:r>
    </w:p>
    <w:p>
      <w:pPr>
        <w:spacing w:line="240" w:lineRule="auto" w:before="0"/>
        <w:rPr>
          <w:rFonts w:ascii="宋体" w:hAnsi="宋体" w:cs="宋体" w:eastAsia="宋体" w:hint="default"/>
          <w:sz w:val="5"/>
          <w:szCs w:val="5"/>
        </w:rPr>
      </w:pPr>
    </w:p>
    <w:tbl>
      <w:tblPr>
        <w:tblW w:w="0" w:type="auto"/>
        <w:jc w:val="left"/>
        <w:tblInd w:w="153" w:type="dxa"/>
        <w:tblLayout w:type="fixed"/>
        <w:tblCellMar>
          <w:top w:w="0" w:type="dxa"/>
          <w:left w:w="0" w:type="dxa"/>
          <w:bottom w:w="0" w:type="dxa"/>
          <w:right w:w="0" w:type="dxa"/>
        </w:tblCellMar>
        <w:tblLook w:val="01E0"/>
      </w:tblPr>
      <w:tblGrid>
        <w:gridCol w:w="6018"/>
        <w:gridCol w:w="1242"/>
        <w:gridCol w:w="2376"/>
      </w:tblGrid>
      <w:tr>
        <w:trPr>
          <w:trHeight w:val="322" w:hRule="exact"/>
        </w:trPr>
        <w:tc>
          <w:tcPr>
            <w:tcW w:w="60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公告标题</w:t>
            </w:r>
          </w:p>
        </w:tc>
        <w:tc>
          <w:tcPr>
            <w:tcW w:w="124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披露时间</w:t>
            </w:r>
          </w:p>
        </w:tc>
        <w:tc>
          <w:tcPr>
            <w:tcW w:w="23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23"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hyperlink r:id="rId36">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关于控股股东协议转让部分股份过户完成的公告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sz w:val="18"/>
              </w:rPr>
              <w:t>2018/1/3</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37">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关于使用部分闲置募集资金购买理财产品赎回的公告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2017/12/30</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38">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关于股东办理股票质押式回购交易补充质押的公告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2017/12/28</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635"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42"/>
              <w:jc w:val="left"/>
              <w:rPr>
                <w:rFonts w:ascii="宋体" w:hAnsi="宋体" w:cs="宋体" w:eastAsia="宋体" w:hint="default"/>
                <w:sz w:val="18"/>
                <w:szCs w:val="18"/>
              </w:rPr>
            </w:pPr>
            <w:hyperlink r:id="rId39">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关于全资美国子公司</w:t>
              </w:r>
              <w:r>
                <w:rPr>
                  <w:rFonts w:ascii="宋体" w:hAnsi="宋体" w:cs="宋体" w:eastAsia="宋体" w:hint="default"/>
                  <w:sz w:val="18"/>
                  <w:szCs w:val="18"/>
                </w:rPr>
                <w:t>GenimousInteractiveInvestmentCo.,Ltd.</w:t>
              </w:r>
            </w:hyperlink>
            <w:r>
              <w:rPr>
                <w:rFonts w:ascii="宋体" w:hAnsi="宋体" w:cs="宋体" w:eastAsia="宋体" w:hint="default"/>
                <w:sz w:val="18"/>
                <w:szCs w:val="18"/>
              </w:rPr>
              <w:t> </w:t>
            </w:r>
            <w:hyperlink r:id="rId39">
              <w:r>
                <w:rPr>
                  <w:rFonts w:ascii="宋体" w:hAnsi="宋体" w:cs="宋体" w:eastAsia="宋体" w:hint="default"/>
                  <w:sz w:val="18"/>
                  <w:szCs w:val="18"/>
                </w:rPr>
                <w:t>对外担保的公告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sz w:val="18"/>
              </w:rPr>
              <w:t>2017/12/22</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40">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第七届董事会第三十八次会议决议公告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2017/12/22</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41">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关于聘任公司董事会秘书的公告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2017/12/22</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3"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hyperlink r:id="rId42">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董事会关于召开</w:t>
              </w:r>
              <w:r>
                <w:rPr>
                  <w:rFonts w:ascii="宋体" w:hAnsi="宋体" w:cs="宋体" w:eastAsia="宋体" w:hint="default"/>
                  <w:sz w:val="18"/>
                  <w:szCs w:val="18"/>
                </w:rPr>
                <w:t>2018</w:t>
              </w:r>
              <w:r>
                <w:rPr>
                  <w:rFonts w:ascii="宋体" w:hAnsi="宋体" w:cs="宋体" w:eastAsia="宋体" w:hint="default"/>
                  <w:sz w:val="18"/>
                  <w:szCs w:val="18"/>
                </w:rPr>
                <w:t>年第一次临时股东大会的通知</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sz w:val="18"/>
              </w:rPr>
              <w:t>2017/12/22</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43">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关于使用部分闲置募集资金购买理财产品的进展公告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2017/12/21</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44">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关于暂时补充流动资金的募集资金归还完毕的公告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2017/12/20</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3"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hyperlink r:id="rId45">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关于股东办理股票质押式回购交易补充质押的公告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sz w:val="18"/>
              </w:rPr>
              <w:t>2017/12/12</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46">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关于使用部分闲置募集资金购买理财产品的进展公告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2017/12/9</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47">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简式权益变动报告书</w:t>
              </w: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2017/12/8</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3"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hyperlink r:id="rId48">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简式权益变动报告书</w:t>
              </w: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sz w:val="18"/>
              </w:rPr>
              <w:t>2017/12/8</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49">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关于归还部分暂时补充流动资金的募集资金的公告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2017/12/8</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50">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关于公司副总经理计宏铭终止原减持计划的公告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2017/12/6</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3"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hyperlink r:id="rId51">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关于闲置募集资金购买理财产品赎回的公告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sz w:val="18"/>
              </w:rPr>
              <w:t>2017/11/30</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52">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关于广州市智度互联网小额贷款有限公司获得开业批复的公告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2017/11/24</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53">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关于闲置募集资金购买理财产品赎回的公告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2017/11/17</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3"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hyperlink r:id="rId54">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高级管理人员减持股份预披露公告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sz w:val="18"/>
              </w:rPr>
              <w:t>2017/11/17</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55">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关于募集资金购买理财产品赎回的公告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2017/11/3</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56">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第七届董事会第三十七次会议决议公告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2017/10/31</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3"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hyperlink r:id="rId57">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第七届监事会第二十六次会议决议公告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sz w:val="18"/>
              </w:rPr>
              <w:t>2017/10/31</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58">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关于变更证券事务代表的公告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2017/10/31</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59">
              <w:r>
                <w:rPr>
                  <w:rFonts w:ascii="宋体" w:hAnsi="宋体" w:cs="宋体" w:eastAsia="宋体" w:hint="default"/>
                  <w:sz w:val="18"/>
                  <w:szCs w:val="18"/>
                </w:rPr>
                <w:t>智度股份</w:t>
              </w:r>
              <w:r>
                <w:rPr>
                  <w:rFonts w:ascii="宋体" w:hAnsi="宋体" w:cs="宋体" w:eastAsia="宋体" w:hint="default"/>
                  <w:sz w:val="18"/>
                  <w:szCs w:val="18"/>
                </w:rPr>
                <w:t>:2017</w:t>
              </w:r>
              <w:r>
                <w:rPr>
                  <w:rFonts w:ascii="宋体" w:hAnsi="宋体" w:cs="宋体" w:eastAsia="宋体" w:hint="default"/>
                  <w:sz w:val="18"/>
                  <w:szCs w:val="18"/>
                </w:rPr>
                <w:t>年第三季度报告全文</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2017/10/31</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3"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hyperlink r:id="rId60">
              <w:r>
                <w:rPr>
                  <w:rFonts w:ascii="宋体" w:hAnsi="宋体" w:cs="宋体" w:eastAsia="宋体" w:hint="default"/>
                  <w:sz w:val="18"/>
                  <w:szCs w:val="18"/>
                </w:rPr>
                <w:t>智度股份</w:t>
              </w:r>
              <w:r>
                <w:rPr>
                  <w:rFonts w:ascii="宋体" w:hAnsi="宋体" w:cs="宋体" w:eastAsia="宋体" w:hint="default"/>
                  <w:sz w:val="18"/>
                  <w:szCs w:val="18"/>
                </w:rPr>
                <w:t>:2017</w:t>
              </w:r>
              <w:r>
                <w:rPr>
                  <w:rFonts w:ascii="宋体" w:hAnsi="宋体" w:cs="宋体" w:eastAsia="宋体" w:hint="default"/>
                  <w:sz w:val="18"/>
                  <w:szCs w:val="18"/>
                </w:rPr>
                <w:t>年第三季度报告摘要</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sz w:val="18"/>
              </w:rPr>
              <w:t>2017/10/31</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61">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关于为全资子公司向银行申请授信提供担保的公告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2017/10/31</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62">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关于使用部分闲置募集资金购买理财产品的进展公告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2017/10/24</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3"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hyperlink r:id="rId63">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关于董事会秘书辞职的公告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sz w:val="18"/>
              </w:rPr>
              <w:t>2017/10/24</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64">
              <w:r>
                <w:rPr>
                  <w:rFonts w:ascii="宋体" w:hAnsi="宋体" w:cs="宋体" w:eastAsia="宋体" w:hint="default"/>
                  <w:sz w:val="18"/>
                  <w:szCs w:val="18"/>
                </w:rPr>
                <w:t>智度股份</w:t>
              </w:r>
              <w:r>
                <w:rPr>
                  <w:rFonts w:ascii="宋体" w:hAnsi="宋体" w:cs="宋体" w:eastAsia="宋体" w:hint="default"/>
                  <w:sz w:val="18"/>
                  <w:szCs w:val="18"/>
                </w:rPr>
                <w:t>:2017</w:t>
              </w:r>
              <w:r>
                <w:rPr>
                  <w:rFonts w:ascii="宋体" w:hAnsi="宋体" w:cs="宋体" w:eastAsia="宋体" w:hint="default"/>
                  <w:sz w:val="18"/>
                  <w:szCs w:val="18"/>
                </w:rPr>
                <w:t>年前三季度业绩预告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2017/10/14</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635"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33"/>
              <w:jc w:val="left"/>
              <w:rPr>
                <w:rFonts w:ascii="宋体" w:hAnsi="宋体" w:cs="宋体" w:eastAsia="宋体" w:hint="default"/>
                <w:sz w:val="18"/>
                <w:szCs w:val="18"/>
              </w:rPr>
            </w:pPr>
            <w:hyperlink r:id="rId65">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关于重新签署募集资金监管协议及注销部分募集资金专户的公</w:t>
              </w:r>
            </w:hyperlink>
            <w:r>
              <w:rPr>
                <w:rFonts w:ascii="宋体" w:hAnsi="宋体" w:cs="宋体" w:eastAsia="宋体" w:hint="default"/>
                <w:sz w:val="18"/>
                <w:szCs w:val="18"/>
              </w:rPr>
              <w:t> </w:t>
            </w:r>
            <w:hyperlink r:id="rId65">
              <w:r>
                <w:rPr>
                  <w:rFonts w:ascii="宋体" w:hAnsi="宋体" w:cs="宋体" w:eastAsia="宋体" w:hint="default"/>
                  <w:sz w:val="18"/>
                  <w:szCs w:val="18"/>
                </w:rPr>
                <w:t>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sz w:val="18"/>
              </w:rPr>
              <w:t>2017/10/14</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hyperlink r:id="rId12">
              <w:r>
                <w:rPr>
                  <w:rFonts w:ascii="宋体"/>
                  <w:sz w:val="18"/>
                </w:rPr>
                <w:t>http://www.cninfo.com.cn</w:t>
              </w:r>
            </w:hyperlink>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53" w:type="dxa"/>
        <w:tblLayout w:type="fixed"/>
        <w:tblCellMar>
          <w:top w:w="0" w:type="dxa"/>
          <w:left w:w="0" w:type="dxa"/>
          <w:bottom w:w="0" w:type="dxa"/>
          <w:right w:w="0" w:type="dxa"/>
        </w:tblCellMar>
        <w:tblLook w:val="01E0"/>
      </w:tblPr>
      <w:tblGrid>
        <w:gridCol w:w="6018"/>
        <w:gridCol w:w="1242"/>
        <w:gridCol w:w="2376"/>
      </w:tblGrid>
      <w:tr>
        <w:trPr>
          <w:trHeight w:val="317" w:hRule="exact"/>
        </w:trPr>
        <w:tc>
          <w:tcPr>
            <w:tcW w:w="60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66">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关于募集资金购买理财产品赎回的公告</w:t>
              </w:r>
            </w:hyperlink>
          </w:p>
        </w:tc>
        <w:tc>
          <w:tcPr>
            <w:tcW w:w="12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2017/10/14</w:t>
            </w:r>
          </w:p>
        </w:tc>
        <w:tc>
          <w:tcPr>
            <w:tcW w:w="23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67">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关于使用部分闲置募集资金购买理财产品的进展公告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2017/10/12</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3"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hyperlink r:id="rId68">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关于募集资金购买理财产品到期赎回的公告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sz w:val="18"/>
              </w:rPr>
              <w:t>2017/10/10</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69">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关于广州市智度商业保理有限公司完成工商注册登记的公告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2017/9/30</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hyperlink r:id="rId70">
              <w:r>
                <w:rPr>
                  <w:rFonts w:ascii="宋体" w:hAnsi="宋体" w:cs="宋体" w:eastAsia="宋体" w:hint="default"/>
                  <w:sz w:val="18"/>
                  <w:szCs w:val="18"/>
                </w:rPr>
                <w:t>智度股份</w:t>
              </w:r>
              <w:r>
                <w:rPr>
                  <w:rFonts w:ascii="宋体" w:hAnsi="宋体" w:cs="宋体" w:eastAsia="宋体" w:hint="default"/>
                  <w:sz w:val="18"/>
                  <w:szCs w:val="18"/>
                </w:rPr>
                <w:t>:2017</w:t>
              </w:r>
              <w:r>
                <w:rPr>
                  <w:rFonts w:ascii="宋体" w:hAnsi="宋体" w:cs="宋体" w:eastAsia="宋体" w:hint="default"/>
                  <w:sz w:val="18"/>
                  <w:szCs w:val="18"/>
                </w:rPr>
                <w:t>年第二次临时股东大会决议公告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sz w:val="18"/>
              </w:rPr>
              <w:t>2017/9/28</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635"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32"/>
              <w:jc w:val="left"/>
              <w:rPr>
                <w:rFonts w:ascii="宋体" w:hAnsi="宋体" w:cs="宋体" w:eastAsia="宋体" w:hint="default"/>
                <w:sz w:val="18"/>
                <w:szCs w:val="18"/>
              </w:rPr>
            </w:pPr>
            <w:hyperlink r:id="rId71">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关于广州市智度互联网小额贷款有限公司获得设立批复并完成</w:t>
              </w:r>
            </w:hyperlink>
            <w:r>
              <w:rPr>
                <w:rFonts w:ascii="宋体" w:hAnsi="宋体" w:cs="宋体" w:eastAsia="宋体" w:hint="default"/>
                <w:sz w:val="18"/>
                <w:szCs w:val="18"/>
              </w:rPr>
              <w:t> </w:t>
            </w:r>
            <w:hyperlink r:id="rId71">
              <w:r>
                <w:rPr>
                  <w:rFonts w:ascii="宋体" w:hAnsi="宋体" w:cs="宋体" w:eastAsia="宋体" w:hint="default"/>
                  <w:sz w:val="18"/>
                  <w:szCs w:val="18"/>
                </w:rPr>
                <w:t>工商注册登记的公告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sz w:val="18"/>
              </w:rPr>
              <w:t>2017/9/23</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72">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关于募集资金购买理财产品赎回的公告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2017/9/15</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73">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第七届监事会第二十五次会议决议公告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2017/9/12</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3"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hyperlink r:id="rId74">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董事会关于召开</w:t>
              </w:r>
              <w:r>
                <w:rPr>
                  <w:rFonts w:ascii="宋体" w:hAnsi="宋体" w:cs="宋体" w:eastAsia="宋体" w:hint="default"/>
                  <w:sz w:val="18"/>
                  <w:szCs w:val="18"/>
                </w:rPr>
                <w:t>2017</w:t>
              </w:r>
              <w:r>
                <w:rPr>
                  <w:rFonts w:ascii="宋体" w:hAnsi="宋体" w:cs="宋体" w:eastAsia="宋体" w:hint="default"/>
                  <w:sz w:val="18"/>
                  <w:szCs w:val="18"/>
                </w:rPr>
                <w:t>年第二次临时股东大会的通知</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sz w:val="18"/>
              </w:rPr>
              <w:t>2017/9/12</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75">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关于变更部分募集资金用途的公告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2017/9/12</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76">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第七届董事会第三十六次会议决议公告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2017/9/12</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635"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32"/>
              <w:jc w:val="left"/>
              <w:rPr>
                <w:rFonts w:ascii="宋体" w:hAnsi="宋体" w:cs="宋体" w:eastAsia="宋体" w:hint="default"/>
                <w:sz w:val="18"/>
                <w:szCs w:val="18"/>
              </w:rPr>
            </w:pPr>
            <w:hyperlink r:id="rId77">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关于理财产品到期赎回及继续使用部分闲置募集资金购买理财</w:t>
              </w:r>
            </w:hyperlink>
            <w:r>
              <w:rPr>
                <w:rFonts w:ascii="宋体" w:hAnsi="宋体" w:cs="宋体" w:eastAsia="宋体" w:hint="default"/>
                <w:sz w:val="18"/>
                <w:szCs w:val="18"/>
              </w:rPr>
              <w:t> </w:t>
            </w:r>
            <w:hyperlink r:id="rId77">
              <w:r>
                <w:rPr>
                  <w:rFonts w:ascii="宋体" w:hAnsi="宋体" w:cs="宋体" w:eastAsia="宋体" w:hint="default"/>
                  <w:sz w:val="18"/>
                  <w:szCs w:val="18"/>
                </w:rPr>
                <w:t>产品的公告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sz w:val="18"/>
              </w:rPr>
              <w:t>2017/9/12</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78">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关于使用募集资金向全资子公司</w:t>
              </w:r>
              <w:r>
                <w:rPr>
                  <w:rFonts w:ascii="宋体" w:hAnsi="宋体" w:cs="宋体" w:eastAsia="宋体" w:hint="default"/>
                  <w:sz w:val="18"/>
                  <w:szCs w:val="18"/>
                </w:rPr>
                <w:t>,</w:t>
              </w:r>
              <w:r>
                <w:rPr>
                  <w:rFonts w:ascii="宋体" w:hAnsi="宋体" w:cs="宋体" w:eastAsia="宋体" w:hint="default"/>
                  <w:sz w:val="18"/>
                  <w:szCs w:val="18"/>
                </w:rPr>
                <w:t>全资孙公司逐层增资的公告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2017/9/12</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79">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关于子公司对外投资产业投资基金的进展公告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2017/9/5</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3"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hyperlink r:id="rId80">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关于募集资金购买理财产品赎回的公告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sz w:val="18"/>
              </w:rPr>
              <w:t>2017/9/2</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81">
              <w:r>
                <w:rPr>
                  <w:rFonts w:ascii="宋体" w:hAnsi="宋体" w:cs="宋体" w:eastAsia="宋体" w:hint="default"/>
                  <w:sz w:val="18"/>
                  <w:szCs w:val="18"/>
                </w:rPr>
                <w:t>智度股份</w:t>
              </w:r>
              <w:r>
                <w:rPr>
                  <w:rFonts w:ascii="宋体" w:hAnsi="宋体" w:cs="宋体" w:eastAsia="宋体" w:hint="default"/>
                  <w:sz w:val="18"/>
                  <w:szCs w:val="18"/>
                </w:rPr>
                <w:t>:2017</w:t>
              </w:r>
              <w:r>
                <w:rPr>
                  <w:rFonts w:ascii="宋体" w:hAnsi="宋体" w:cs="宋体" w:eastAsia="宋体" w:hint="default"/>
                  <w:sz w:val="18"/>
                  <w:szCs w:val="18"/>
                </w:rPr>
                <w:t>年半年度报告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2017/8/30</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82">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第七届监事会第二十四次会议决议公告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2017/8/30</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3"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hyperlink r:id="rId83">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关于会计政策变更的公告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sz w:val="18"/>
              </w:rPr>
              <w:t>2017/8/30</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84">
              <w:r>
                <w:rPr>
                  <w:rFonts w:ascii="宋体" w:hAnsi="宋体" w:cs="宋体" w:eastAsia="宋体" w:hint="default"/>
                  <w:sz w:val="18"/>
                  <w:szCs w:val="18"/>
                </w:rPr>
                <w:t>智度股份</w:t>
              </w:r>
              <w:r>
                <w:rPr>
                  <w:rFonts w:ascii="宋体" w:hAnsi="宋体" w:cs="宋体" w:eastAsia="宋体" w:hint="default"/>
                  <w:sz w:val="18"/>
                  <w:szCs w:val="18"/>
                </w:rPr>
                <w:t>:2017</w:t>
              </w:r>
              <w:r>
                <w:rPr>
                  <w:rFonts w:ascii="宋体" w:hAnsi="宋体" w:cs="宋体" w:eastAsia="宋体" w:hint="default"/>
                  <w:sz w:val="18"/>
                  <w:szCs w:val="18"/>
                </w:rPr>
                <w:t>年半年度报告摘要</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2017/8/30</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85">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第七届董事会第三十五次会议决议公告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2017/8/30</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3"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hyperlink r:id="rId86">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关于拥有公司实际控制权的股东名称变更的公告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sz w:val="18"/>
              </w:rPr>
              <w:t>2017/8/22</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87">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关于公司股东股票质押式回购解除的公告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2017/8/22</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88">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关于公司股东进行股票质押式回购交易的公告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2017/8/19</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3"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hyperlink r:id="rId89">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关于公司股东股票质押式回购解除的公告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sz w:val="18"/>
              </w:rPr>
              <w:t>2017/8/18</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90">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关于拟对互联网小额贷款公司增加注册资本的公告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2017/8/18</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91">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第七届董事会第三十四次会议决议公告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2017/8/18</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3"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hyperlink r:id="rId92">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关于向控股股东借款暨关联交易的公告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sz w:val="18"/>
              </w:rPr>
              <w:t>2017/8/18</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634"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32"/>
              <w:jc w:val="left"/>
              <w:rPr>
                <w:rFonts w:ascii="宋体" w:hAnsi="宋体" w:cs="宋体" w:eastAsia="宋体" w:hint="default"/>
                <w:sz w:val="18"/>
                <w:szCs w:val="18"/>
              </w:rPr>
            </w:pPr>
            <w:hyperlink r:id="rId93">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关于理财产品到期赎回及继续使用部分闲置募集资金购买理财</w:t>
              </w:r>
            </w:hyperlink>
            <w:r>
              <w:rPr>
                <w:rFonts w:ascii="宋体" w:hAnsi="宋体" w:cs="宋体" w:eastAsia="宋体" w:hint="default"/>
                <w:sz w:val="18"/>
                <w:szCs w:val="18"/>
              </w:rPr>
              <w:t> </w:t>
            </w:r>
            <w:hyperlink r:id="rId93">
              <w:r>
                <w:rPr>
                  <w:rFonts w:ascii="宋体" w:hAnsi="宋体" w:cs="宋体" w:eastAsia="宋体" w:hint="default"/>
                  <w:sz w:val="18"/>
                  <w:szCs w:val="18"/>
                </w:rPr>
                <w:t>产品的公告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sz w:val="18"/>
              </w:rPr>
              <w:t>2017/8/10</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94">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关于公司全资子公司及其子公司取得银行授信的公告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2017/8/8</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635"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32"/>
              <w:jc w:val="left"/>
              <w:rPr>
                <w:rFonts w:ascii="宋体" w:hAnsi="宋体" w:cs="宋体" w:eastAsia="宋体" w:hint="default"/>
                <w:sz w:val="18"/>
                <w:szCs w:val="18"/>
              </w:rPr>
            </w:pPr>
            <w:hyperlink r:id="rId95">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关于理财产品到期赎回及继续使用部分闲置募集资金购买理财</w:t>
              </w:r>
            </w:hyperlink>
            <w:r>
              <w:rPr>
                <w:rFonts w:ascii="宋体" w:hAnsi="宋体" w:cs="宋体" w:eastAsia="宋体" w:hint="default"/>
                <w:sz w:val="18"/>
                <w:szCs w:val="18"/>
              </w:rPr>
              <w:t> </w:t>
            </w:r>
            <w:hyperlink r:id="rId95">
              <w:r>
                <w:rPr>
                  <w:rFonts w:ascii="宋体" w:hAnsi="宋体" w:cs="宋体" w:eastAsia="宋体" w:hint="default"/>
                  <w:sz w:val="18"/>
                  <w:szCs w:val="18"/>
                </w:rPr>
                <w:t>产品的公告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sz w:val="18"/>
              </w:rPr>
              <w:t>2017/8/8</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96">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关于公司股东进行股票质押式回购交易的公告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2017/8/8</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97">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关于公司股东股票质押式回购解除的公告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2017/7/29</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3"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hyperlink r:id="rId98">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关于公司股东进行股票质押式回购交易的公告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sz w:val="18"/>
              </w:rPr>
              <w:t>2017/7/22</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99">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第七届董事会第三十三次会议决议公告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2017/7/21</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100">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关于向控股股东借款暨关联交易的公告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2017/7/21</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3"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hyperlink r:id="rId101">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关于投资设立互联网小额贷款公司的进展公告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sz w:val="18"/>
              </w:rPr>
              <w:t>2017/7/21</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102">
              <w:r>
                <w:rPr>
                  <w:rFonts w:ascii="宋体" w:hAnsi="宋体" w:cs="宋体" w:eastAsia="宋体" w:hint="default"/>
                  <w:sz w:val="18"/>
                  <w:szCs w:val="18"/>
                </w:rPr>
                <w:t>智度股份</w:t>
              </w:r>
              <w:r>
                <w:rPr>
                  <w:rFonts w:ascii="宋体" w:hAnsi="宋体" w:cs="宋体" w:eastAsia="宋体" w:hint="default"/>
                  <w:sz w:val="18"/>
                  <w:szCs w:val="18"/>
                </w:rPr>
                <w:t>:2017</w:t>
              </w:r>
              <w:r>
                <w:rPr>
                  <w:rFonts w:ascii="宋体" w:hAnsi="宋体" w:cs="宋体" w:eastAsia="宋体" w:hint="default"/>
                  <w:sz w:val="18"/>
                  <w:szCs w:val="18"/>
                </w:rPr>
                <w:t>年半年度业绩预告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2017/7/15</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103">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关于使用部分闲置募集资金购买理财产品的进展公告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2017/7/5</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3"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hyperlink r:id="rId104">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第七届董事会第三十二次会议决议公告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sz w:val="18"/>
              </w:rPr>
              <w:t>2017/7/1</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hyperlink r:id="rId12">
              <w:r>
                <w:rPr>
                  <w:rFonts w:ascii="宋体"/>
                  <w:sz w:val="18"/>
                </w:rPr>
                <w:t>http://www.cninfo.com.cn</w:t>
              </w:r>
            </w:hyperlink>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53" w:type="dxa"/>
        <w:tblLayout w:type="fixed"/>
        <w:tblCellMar>
          <w:top w:w="0" w:type="dxa"/>
          <w:left w:w="0" w:type="dxa"/>
          <w:bottom w:w="0" w:type="dxa"/>
          <w:right w:w="0" w:type="dxa"/>
        </w:tblCellMar>
        <w:tblLook w:val="01E0"/>
      </w:tblPr>
      <w:tblGrid>
        <w:gridCol w:w="6018"/>
        <w:gridCol w:w="1242"/>
        <w:gridCol w:w="2376"/>
      </w:tblGrid>
      <w:tr>
        <w:trPr>
          <w:trHeight w:val="317" w:hRule="exact"/>
        </w:trPr>
        <w:tc>
          <w:tcPr>
            <w:tcW w:w="60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105">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关于使用部分闲置募集资金购买理财产品的公告</w:t>
              </w:r>
            </w:hyperlink>
          </w:p>
        </w:tc>
        <w:tc>
          <w:tcPr>
            <w:tcW w:w="12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2017/7/1</w:t>
            </w:r>
          </w:p>
        </w:tc>
        <w:tc>
          <w:tcPr>
            <w:tcW w:w="23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106">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第七届监事会第二十三次会议决议公告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2017/7/1</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3"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hyperlink r:id="rId107">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关于理财产品到期赎回的公告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sz w:val="18"/>
              </w:rPr>
              <w:t>2017/6/27</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108">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关于理财产品到期赎回的公告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2017/6/16</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hyperlink r:id="rId109">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关于投资设立互联网小额贷款公司的公告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sz w:val="18"/>
              </w:rPr>
              <w:t>2017/6/14</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3"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hyperlink r:id="rId110">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第七届董事会第三十一次会议决议公告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sz w:val="18"/>
              </w:rPr>
              <w:t>2017/6/14</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111">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关于公司控股股东股票质押式回购解除的公告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2017/6/3</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112">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关于举办网上集体接待日暨投资者保护工作经验交流会的公告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2017/5/27</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3"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hyperlink r:id="rId113">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第七届董事会第三十次会议决议公告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sz w:val="18"/>
              </w:rPr>
              <w:t>2017/5/24</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114">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关于拟设立广州市智度商业保理有限公司暨关联交易的公告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2017/5/24</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115">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第七届监事会第二十二次会议决议公告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2017/5/24</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635"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42"/>
              <w:jc w:val="left"/>
              <w:rPr>
                <w:rFonts w:ascii="宋体" w:hAnsi="宋体" w:cs="宋体" w:eastAsia="宋体" w:hint="default"/>
                <w:sz w:val="18"/>
                <w:szCs w:val="18"/>
              </w:rPr>
            </w:pPr>
            <w:hyperlink r:id="rId116">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关于全资美国子公司</w:t>
              </w:r>
              <w:r>
                <w:rPr>
                  <w:rFonts w:ascii="宋体" w:hAnsi="宋体" w:cs="宋体" w:eastAsia="宋体" w:hint="default"/>
                  <w:sz w:val="18"/>
                  <w:szCs w:val="18"/>
                </w:rPr>
                <w:t>Spigot,Inc.</w:t>
              </w:r>
              <w:r>
                <w:rPr>
                  <w:rFonts w:ascii="宋体" w:hAnsi="宋体" w:cs="宋体" w:eastAsia="宋体" w:hint="default"/>
                  <w:sz w:val="18"/>
                  <w:szCs w:val="18"/>
                </w:rPr>
                <w:t>为全资开曼子公司</w:t>
              </w:r>
            </w:hyperlink>
            <w:r>
              <w:rPr>
                <w:rFonts w:ascii="宋体" w:hAnsi="宋体" w:cs="宋体" w:eastAsia="宋体" w:hint="default"/>
                <w:sz w:val="18"/>
                <w:szCs w:val="18"/>
              </w:rPr>
              <w:t> </w:t>
            </w:r>
            <w:hyperlink r:id="rId116">
              <w:r>
                <w:rPr>
                  <w:rFonts w:ascii="宋体" w:hAnsi="宋体" w:cs="宋体" w:eastAsia="宋体" w:hint="default"/>
                  <w:sz w:val="18"/>
                  <w:szCs w:val="18"/>
                </w:rPr>
                <w:t>EightpointTechnologiesLtd</w:t>
              </w:r>
              <w:r>
                <w:rPr>
                  <w:rFonts w:ascii="宋体" w:hAnsi="宋体" w:cs="宋体" w:eastAsia="宋体" w:hint="default"/>
                  <w:sz w:val="18"/>
                  <w:szCs w:val="18"/>
                </w:rPr>
                <w:t>融资业务提供担保的公告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sz w:val="18"/>
              </w:rPr>
              <w:t>2017/5/24</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117">
              <w:r>
                <w:rPr>
                  <w:rFonts w:ascii="宋体" w:hAnsi="宋体" w:cs="宋体" w:eastAsia="宋体" w:hint="default"/>
                  <w:sz w:val="18"/>
                  <w:szCs w:val="18"/>
                </w:rPr>
                <w:t>智度股份</w:t>
              </w:r>
              <w:r>
                <w:rPr>
                  <w:rFonts w:ascii="宋体" w:hAnsi="宋体" w:cs="宋体" w:eastAsia="宋体" w:hint="default"/>
                  <w:sz w:val="18"/>
                  <w:szCs w:val="18"/>
                </w:rPr>
                <w:t>:2017</w:t>
              </w:r>
              <w:r>
                <w:rPr>
                  <w:rFonts w:ascii="宋体" w:hAnsi="宋体" w:cs="宋体" w:eastAsia="宋体" w:hint="default"/>
                  <w:sz w:val="18"/>
                  <w:szCs w:val="18"/>
                </w:rPr>
                <w:t>年第一次临时股东大会决议公告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2017/5/24</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118">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关于召开公司</w:t>
              </w:r>
              <w:r>
                <w:rPr>
                  <w:rFonts w:ascii="宋体" w:hAnsi="宋体" w:cs="宋体" w:eastAsia="宋体" w:hint="default"/>
                  <w:sz w:val="18"/>
                  <w:szCs w:val="18"/>
                </w:rPr>
                <w:t>2017</w:t>
              </w:r>
              <w:r>
                <w:rPr>
                  <w:rFonts w:ascii="宋体" w:hAnsi="宋体" w:cs="宋体" w:eastAsia="宋体" w:hint="default"/>
                  <w:sz w:val="18"/>
                  <w:szCs w:val="18"/>
                </w:rPr>
                <w:t>年第一次临时股东大会提示性公告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2017/5/19</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3"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hyperlink r:id="rId119">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关于限售股份解除限售的提示性公告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sz w:val="18"/>
              </w:rPr>
              <w:t>2017/5/19</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634"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32"/>
              <w:jc w:val="left"/>
              <w:rPr>
                <w:rFonts w:ascii="宋体" w:hAnsi="宋体" w:cs="宋体" w:eastAsia="宋体" w:hint="default"/>
                <w:sz w:val="18"/>
                <w:szCs w:val="18"/>
              </w:rPr>
            </w:pPr>
            <w:hyperlink r:id="rId120">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关于增加提案暨召开公司</w:t>
              </w:r>
              <w:r>
                <w:rPr>
                  <w:rFonts w:ascii="宋体" w:hAnsi="宋体" w:cs="宋体" w:eastAsia="宋体" w:hint="default"/>
                  <w:sz w:val="18"/>
                  <w:szCs w:val="18"/>
                </w:rPr>
                <w:t>2017</w:t>
              </w:r>
              <w:r>
                <w:rPr>
                  <w:rFonts w:ascii="宋体" w:hAnsi="宋体" w:cs="宋体" w:eastAsia="宋体" w:hint="default"/>
                  <w:sz w:val="18"/>
                  <w:szCs w:val="18"/>
                </w:rPr>
                <w:t>年第一次临时股东大会补充的通</w:t>
              </w:r>
            </w:hyperlink>
            <w:r>
              <w:rPr>
                <w:rFonts w:ascii="宋体" w:hAnsi="宋体" w:cs="宋体" w:eastAsia="宋体" w:hint="default"/>
                <w:sz w:val="18"/>
                <w:szCs w:val="18"/>
              </w:rPr>
              <w:t> </w:t>
            </w:r>
            <w:hyperlink r:id="rId120">
              <w:r>
                <w:rPr>
                  <w:rFonts w:ascii="宋体" w:hAnsi="宋体" w:cs="宋体" w:eastAsia="宋体" w:hint="default"/>
                  <w:sz w:val="18"/>
                  <w:szCs w:val="18"/>
                </w:rPr>
                <w:t>知公告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sz w:val="18"/>
              </w:rPr>
              <w:t>2017/5/12</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121">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第七届董事会第二十九次会议决议公告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2017/5/12</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3"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hyperlink r:id="rId122">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关于为境外全资子公司融资业务提供担保的公告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sz w:val="18"/>
              </w:rPr>
              <w:t>2017/5/12</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123">
              <w:r>
                <w:rPr>
                  <w:rFonts w:ascii="宋体" w:hAnsi="宋体" w:cs="宋体" w:eastAsia="宋体" w:hint="default"/>
                  <w:sz w:val="18"/>
                  <w:szCs w:val="18"/>
                </w:rPr>
                <w:t>智度股份</w:t>
              </w:r>
              <w:r>
                <w:rPr>
                  <w:rFonts w:ascii="宋体" w:hAnsi="宋体" w:cs="宋体" w:eastAsia="宋体" w:hint="default"/>
                  <w:sz w:val="18"/>
                  <w:szCs w:val="18"/>
                </w:rPr>
                <w:t>:2016</w:t>
              </w:r>
              <w:r>
                <w:rPr>
                  <w:rFonts w:ascii="宋体" w:hAnsi="宋体" w:cs="宋体" w:eastAsia="宋体" w:hint="default"/>
                  <w:sz w:val="18"/>
                  <w:szCs w:val="18"/>
                </w:rPr>
                <w:t>年度股东大会决议公告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2017/5/6</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124">
              <w:r>
                <w:rPr>
                  <w:rFonts w:ascii="宋体" w:hAnsi="宋体" w:cs="宋体" w:eastAsia="宋体" w:hint="default"/>
                  <w:sz w:val="18"/>
                  <w:szCs w:val="18"/>
                </w:rPr>
                <w:t>智度股份</w:t>
              </w:r>
              <w:r>
                <w:rPr>
                  <w:rFonts w:ascii="宋体" w:hAnsi="宋体" w:cs="宋体" w:eastAsia="宋体" w:hint="default"/>
                  <w:sz w:val="18"/>
                  <w:szCs w:val="18"/>
                </w:rPr>
                <w:t>:2017</w:t>
              </w:r>
              <w:r>
                <w:rPr>
                  <w:rFonts w:ascii="宋体" w:hAnsi="宋体" w:cs="宋体" w:eastAsia="宋体" w:hint="default"/>
                  <w:sz w:val="18"/>
                  <w:szCs w:val="18"/>
                </w:rPr>
                <w:t>年第一季度报告全文</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2017/4/27</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3"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hyperlink r:id="rId125">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w:t>
              </w:r>
              <w:r>
                <w:rPr>
                  <w:rFonts w:ascii="宋体" w:hAnsi="宋体" w:cs="宋体" w:eastAsia="宋体" w:hint="default"/>
                  <w:sz w:val="18"/>
                  <w:szCs w:val="18"/>
                </w:rPr>
                <w:t>2017</w:t>
              </w:r>
              <w:r>
                <w:rPr>
                  <w:rFonts w:ascii="宋体" w:hAnsi="宋体" w:cs="宋体" w:eastAsia="宋体" w:hint="default"/>
                  <w:sz w:val="18"/>
                  <w:szCs w:val="18"/>
                </w:rPr>
                <w:t>年度日常经营性关联交易预计的公告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sz w:val="18"/>
              </w:rPr>
              <w:t>2017/4/27</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126">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第七届监事会第二十一次会议决议公告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2017/4/27</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127">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董事会关于召开</w:t>
              </w:r>
              <w:r>
                <w:rPr>
                  <w:rFonts w:ascii="宋体" w:hAnsi="宋体" w:cs="宋体" w:eastAsia="宋体" w:hint="default"/>
                  <w:sz w:val="18"/>
                  <w:szCs w:val="18"/>
                </w:rPr>
                <w:t>2017</w:t>
              </w:r>
              <w:r>
                <w:rPr>
                  <w:rFonts w:ascii="宋体" w:hAnsi="宋体" w:cs="宋体" w:eastAsia="宋体" w:hint="default"/>
                  <w:sz w:val="18"/>
                  <w:szCs w:val="18"/>
                </w:rPr>
                <w:t>年第一次临时股东大会的通知</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2017/4/27</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3"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hyperlink r:id="rId128">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第七届董事会第二十八次会议决议公告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sz w:val="18"/>
              </w:rPr>
              <w:t>2017/4/27</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634"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32"/>
              <w:jc w:val="left"/>
              <w:rPr>
                <w:rFonts w:ascii="宋体" w:hAnsi="宋体" w:cs="宋体" w:eastAsia="宋体" w:hint="default"/>
                <w:sz w:val="18"/>
                <w:szCs w:val="18"/>
              </w:rPr>
            </w:pPr>
            <w:hyperlink r:id="rId129">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关于理财产品到期赎回及继续使用部分闲置募集资金购买理财</w:t>
              </w:r>
            </w:hyperlink>
            <w:r>
              <w:rPr>
                <w:rFonts w:ascii="宋体" w:hAnsi="宋体" w:cs="宋体" w:eastAsia="宋体" w:hint="default"/>
                <w:sz w:val="18"/>
                <w:szCs w:val="18"/>
              </w:rPr>
              <w:t> </w:t>
            </w:r>
            <w:hyperlink r:id="rId129">
              <w:r>
                <w:rPr>
                  <w:rFonts w:ascii="宋体" w:hAnsi="宋体" w:cs="宋体" w:eastAsia="宋体" w:hint="default"/>
                  <w:sz w:val="18"/>
                  <w:szCs w:val="18"/>
                </w:rPr>
                <w:t>产品的公告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sz w:val="18"/>
              </w:rPr>
              <w:t>2017/4/25</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130">
              <w:r>
                <w:rPr>
                  <w:rFonts w:ascii="宋体" w:hAnsi="宋体" w:cs="宋体" w:eastAsia="宋体" w:hint="default"/>
                  <w:sz w:val="18"/>
                  <w:szCs w:val="18"/>
                </w:rPr>
                <w:t>智度股份</w:t>
              </w:r>
              <w:r>
                <w:rPr>
                  <w:rFonts w:ascii="宋体" w:hAnsi="宋体" w:cs="宋体" w:eastAsia="宋体" w:hint="default"/>
                  <w:sz w:val="18"/>
                  <w:szCs w:val="18"/>
                </w:rPr>
                <w:t>:2017</w:t>
              </w:r>
              <w:r>
                <w:rPr>
                  <w:rFonts w:ascii="宋体" w:hAnsi="宋体" w:cs="宋体" w:eastAsia="宋体" w:hint="default"/>
                  <w:sz w:val="18"/>
                  <w:szCs w:val="18"/>
                </w:rPr>
                <w:t>年第一季度业绩预告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2017/4/15</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3"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hyperlink r:id="rId131">
              <w:r>
                <w:rPr>
                  <w:rFonts w:ascii="宋体" w:hAnsi="宋体" w:cs="宋体" w:eastAsia="宋体" w:hint="default"/>
                  <w:sz w:val="18"/>
                  <w:szCs w:val="18"/>
                </w:rPr>
                <w:t>智度股份</w:t>
              </w:r>
              <w:r>
                <w:rPr>
                  <w:rFonts w:ascii="宋体" w:hAnsi="宋体" w:cs="宋体" w:eastAsia="宋体" w:hint="default"/>
                  <w:sz w:val="18"/>
                  <w:szCs w:val="18"/>
                </w:rPr>
                <w:t>:2016</w:t>
              </w:r>
              <w:r>
                <w:rPr>
                  <w:rFonts w:ascii="宋体" w:hAnsi="宋体" w:cs="宋体" w:eastAsia="宋体" w:hint="default"/>
                  <w:sz w:val="18"/>
                  <w:szCs w:val="18"/>
                </w:rPr>
                <w:t>年年度报告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sz w:val="18"/>
              </w:rPr>
              <w:t>2017/4/12</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132">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董事会关于召开</w:t>
              </w:r>
              <w:r>
                <w:rPr>
                  <w:rFonts w:ascii="宋体" w:hAnsi="宋体" w:cs="宋体" w:eastAsia="宋体" w:hint="default"/>
                  <w:sz w:val="18"/>
                  <w:szCs w:val="18"/>
                </w:rPr>
                <w:t>2016</w:t>
              </w:r>
              <w:r>
                <w:rPr>
                  <w:rFonts w:ascii="宋体" w:hAnsi="宋体" w:cs="宋体" w:eastAsia="宋体" w:hint="default"/>
                  <w:sz w:val="18"/>
                  <w:szCs w:val="18"/>
                </w:rPr>
                <w:t>年度股东大会的通知</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2017/4/12</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133">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关于增资全资子公司并对外投资产业投资基金的公告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2017/4/12</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3"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hyperlink r:id="rId134">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第七届监事会第二十次会议决议公告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sz w:val="18"/>
              </w:rPr>
              <w:t>2017/4/12</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135">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第七届董事会第二十七次会议决议公告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2017/4/12</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634"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32"/>
              <w:jc w:val="left"/>
              <w:rPr>
                <w:rFonts w:ascii="宋体" w:hAnsi="宋体" w:cs="宋体" w:eastAsia="宋体" w:hint="default"/>
                <w:sz w:val="18"/>
                <w:szCs w:val="18"/>
              </w:rPr>
            </w:pPr>
            <w:hyperlink r:id="rId136">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关于拥有公司控制权的间接持股股东股权结构变更的提示性公</w:t>
              </w:r>
            </w:hyperlink>
            <w:r>
              <w:rPr>
                <w:rFonts w:ascii="宋体" w:hAnsi="宋体" w:cs="宋体" w:eastAsia="宋体" w:hint="default"/>
                <w:sz w:val="18"/>
                <w:szCs w:val="18"/>
              </w:rPr>
              <w:t> </w:t>
            </w:r>
            <w:hyperlink r:id="rId136">
              <w:r>
                <w:rPr>
                  <w:rFonts w:ascii="宋体" w:hAnsi="宋体" w:cs="宋体" w:eastAsia="宋体" w:hint="default"/>
                  <w:sz w:val="18"/>
                  <w:szCs w:val="18"/>
                </w:rPr>
                <w:t>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sz w:val="18"/>
              </w:rPr>
              <w:t>2017/4/12</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3"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hyperlink r:id="rId137">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关于监事辞职及补选第七届监事会监事的公告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sz w:val="18"/>
              </w:rPr>
              <w:t>2017/4/12</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138">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第七届董事会第二十六次会议决议公告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2017/3/28</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139">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关于日常经营性关联交易事项的公告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2017/3/28</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635"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
              <w:ind w:left="103" w:right="232"/>
              <w:jc w:val="left"/>
              <w:rPr>
                <w:rFonts w:ascii="宋体" w:hAnsi="宋体" w:cs="宋体" w:eastAsia="宋体" w:hint="default"/>
                <w:sz w:val="18"/>
                <w:szCs w:val="18"/>
              </w:rPr>
            </w:pPr>
            <w:hyperlink r:id="rId140">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关于理财产品到期赎回及继续使用部分闲置募集资金购买理财</w:t>
              </w:r>
            </w:hyperlink>
            <w:r>
              <w:rPr>
                <w:rFonts w:ascii="宋体" w:hAnsi="宋体" w:cs="宋体" w:eastAsia="宋体" w:hint="default"/>
                <w:sz w:val="18"/>
                <w:szCs w:val="18"/>
              </w:rPr>
              <w:t> </w:t>
            </w:r>
            <w:hyperlink r:id="rId140">
              <w:r>
                <w:rPr>
                  <w:rFonts w:ascii="宋体" w:hAnsi="宋体" w:cs="宋体" w:eastAsia="宋体" w:hint="default"/>
                  <w:sz w:val="18"/>
                  <w:szCs w:val="18"/>
                </w:rPr>
                <w:t>产品的公告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sz w:val="18"/>
              </w:rPr>
              <w:t>2017/3/17</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141">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关于变更</w:t>
              </w:r>
              <w:r>
                <w:rPr>
                  <w:rFonts w:ascii="宋体" w:hAnsi="宋体" w:cs="宋体" w:eastAsia="宋体" w:hint="default"/>
                  <w:sz w:val="18"/>
                  <w:szCs w:val="18"/>
                </w:rPr>
                <w:t>2016</w:t>
              </w:r>
              <w:r>
                <w:rPr>
                  <w:rFonts w:ascii="宋体" w:hAnsi="宋体" w:cs="宋体" w:eastAsia="宋体" w:hint="default"/>
                  <w:sz w:val="18"/>
                  <w:szCs w:val="18"/>
                </w:rPr>
                <w:t>年度报告预约披露日期的公告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2017/3/3</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3"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142">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关于继续使用部分闲置募集资金购买理财产品的公告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2017/2/7</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53" w:type="dxa"/>
        <w:tblLayout w:type="fixed"/>
        <w:tblCellMar>
          <w:top w:w="0" w:type="dxa"/>
          <w:left w:w="0" w:type="dxa"/>
          <w:bottom w:w="0" w:type="dxa"/>
          <w:right w:w="0" w:type="dxa"/>
        </w:tblCellMar>
        <w:tblLook w:val="01E0"/>
      </w:tblPr>
      <w:tblGrid>
        <w:gridCol w:w="6018"/>
        <w:gridCol w:w="1242"/>
        <w:gridCol w:w="2376"/>
      </w:tblGrid>
      <w:tr>
        <w:trPr>
          <w:trHeight w:val="317" w:hRule="exact"/>
        </w:trPr>
        <w:tc>
          <w:tcPr>
            <w:tcW w:w="60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143">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关于募集资金购买理财产品赎回的公告</w:t>
              </w:r>
            </w:hyperlink>
          </w:p>
        </w:tc>
        <w:tc>
          <w:tcPr>
            <w:tcW w:w="12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2017/2/4</w:t>
            </w:r>
          </w:p>
        </w:tc>
        <w:tc>
          <w:tcPr>
            <w:tcW w:w="23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144">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关于终止重大资产重组暨公司股票复牌的公告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2017/1/24</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635"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32"/>
              <w:jc w:val="left"/>
              <w:rPr>
                <w:rFonts w:ascii="宋体" w:hAnsi="宋体" w:cs="宋体" w:eastAsia="宋体" w:hint="default"/>
                <w:sz w:val="18"/>
                <w:szCs w:val="18"/>
              </w:rPr>
            </w:pPr>
            <w:hyperlink r:id="rId145">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关于理财产品到期赎回及继续使用部分闲置募集资金购买理财</w:t>
              </w:r>
            </w:hyperlink>
            <w:r>
              <w:rPr>
                <w:rFonts w:ascii="宋体" w:hAnsi="宋体" w:cs="宋体" w:eastAsia="宋体" w:hint="default"/>
                <w:sz w:val="18"/>
                <w:szCs w:val="18"/>
              </w:rPr>
              <w:t> </w:t>
            </w:r>
            <w:hyperlink r:id="rId145">
              <w:r>
                <w:rPr>
                  <w:rFonts w:ascii="宋体" w:hAnsi="宋体" w:cs="宋体" w:eastAsia="宋体" w:hint="default"/>
                  <w:sz w:val="18"/>
                  <w:szCs w:val="18"/>
                </w:rPr>
                <w:t>产品的公告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sz w:val="18"/>
              </w:rPr>
              <w:t>2017/1/24</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hyperlink r:id="rId146">
              <w:r>
                <w:rPr>
                  <w:rFonts w:ascii="宋体" w:hAnsi="宋体" w:cs="宋体" w:eastAsia="宋体" w:hint="default"/>
                  <w:sz w:val="18"/>
                  <w:szCs w:val="18"/>
                </w:rPr>
                <w:t>智度股份</w:t>
              </w:r>
              <w:r>
                <w:rPr>
                  <w:rFonts w:ascii="宋体" w:hAnsi="宋体" w:cs="宋体" w:eastAsia="宋体" w:hint="default"/>
                  <w:sz w:val="18"/>
                  <w:szCs w:val="18"/>
                </w:rPr>
                <w:t>:2016</w:t>
              </w:r>
              <w:r>
                <w:rPr>
                  <w:rFonts w:ascii="宋体" w:hAnsi="宋体" w:cs="宋体" w:eastAsia="宋体" w:hint="default"/>
                  <w:sz w:val="18"/>
                  <w:szCs w:val="18"/>
                </w:rPr>
                <w:t>年度业绩预告公告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sz w:val="18"/>
              </w:rPr>
              <w:t>2017/1/24</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634"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43"/>
              <w:jc w:val="left"/>
              <w:rPr>
                <w:rFonts w:ascii="宋体" w:hAnsi="宋体" w:cs="宋体" w:eastAsia="宋体" w:hint="default"/>
                <w:sz w:val="18"/>
                <w:szCs w:val="18"/>
              </w:rPr>
            </w:pPr>
            <w:hyperlink r:id="rId147">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关于购买北京奇酷工场科技有限公司</w:t>
              </w:r>
              <w:r>
                <w:rPr>
                  <w:rFonts w:ascii="宋体" w:hAnsi="宋体" w:cs="宋体" w:eastAsia="宋体" w:hint="default"/>
                  <w:sz w:val="18"/>
                  <w:szCs w:val="18"/>
                </w:rPr>
                <w:t>20%</w:t>
              </w:r>
              <w:r>
                <w:rPr>
                  <w:rFonts w:ascii="宋体" w:hAnsi="宋体" w:cs="宋体" w:eastAsia="宋体" w:hint="default"/>
                  <w:sz w:val="18"/>
                  <w:szCs w:val="18"/>
                </w:rPr>
                <w:t>股权相关交易对方基本</w:t>
              </w:r>
            </w:hyperlink>
            <w:r>
              <w:rPr>
                <w:rFonts w:ascii="宋体" w:hAnsi="宋体" w:cs="宋体" w:eastAsia="宋体" w:hint="default"/>
                <w:sz w:val="18"/>
                <w:szCs w:val="18"/>
              </w:rPr>
              <w:t> </w:t>
            </w:r>
            <w:hyperlink r:id="rId147">
              <w:r>
                <w:rPr>
                  <w:rFonts w:ascii="宋体" w:hAnsi="宋体" w:cs="宋体" w:eastAsia="宋体" w:hint="default"/>
                  <w:sz w:val="18"/>
                  <w:szCs w:val="18"/>
                </w:rPr>
                <w:t>情况的公告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sz w:val="18"/>
              </w:rPr>
              <w:t>2017/1/19</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3"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hyperlink r:id="rId148">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第七届董事会第二十五次会议决议公告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sz w:val="18"/>
              </w:rPr>
              <w:t>2017/1/17</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149">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第七届监事会第十九次会议决议公告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2017/1/17</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150">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关于购买北京奇酷工场科技有限公司</w:t>
              </w:r>
              <w:r>
                <w:rPr>
                  <w:rFonts w:ascii="宋体" w:hAnsi="宋体" w:cs="宋体" w:eastAsia="宋体" w:hint="default"/>
                  <w:sz w:val="18"/>
                  <w:szCs w:val="18"/>
                </w:rPr>
                <w:t>20%</w:t>
              </w:r>
              <w:r>
                <w:rPr>
                  <w:rFonts w:ascii="宋体" w:hAnsi="宋体" w:cs="宋体" w:eastAsia="宋体" w:hint="default"/>
                  <w:sz w:val="18"/>
                  <w:szCs w:val="18"/>
                </w:rPr>
                <w:t>股权的公告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2017/1/17</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3"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hyperlink r:id="rId151">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关于变更办公地址及联系方式的公告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sz w:val="18"/>
              </w:rPr>
              <w:t>2017/1/12</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152">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第七届董事会第二十四次会议决议公告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2017/1/10</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2"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153">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第七届监事会第十八次会议决议公告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2017/1/10</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hyperlink r:id="rId12">
              <w:r>
                <w:rPr>
                  <w:rFonts w:ascii="宋体"/>
                  <w:sz w:val="18"/>
                </w:rPr>
                <w:t>http://www.cninfo.com.cn</w:t>
              </w:r>
            </w:hyperlink>
          </w:p>
        </w:tc>
      </w:tr>
      <w:tr>
        <w:trPr>
          <w:trHeight w:val="323"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hyperlink r:id="rId154">
              <w:r>
                <w:rPr>
                  <w:rFonts w:ascii="宋体" w:hAnsi="宋体" w:cs="宋体" w:eastAsia="宋体" w:hint="default"/>
                  <w:sz w:val="18"/>
                  <w:szCs w:val="18"/>
                </w:rPr>
                <w:t>智度股份</w:t>
              </w:r>
              <w:r>
                <w:rPr>
                  <w:rFonts w:ascii="宋体" w:hAnsi="宋体" w:cs="宋体" w:eastAsia="宋体" w:hint="default"/>
                  <w:sz w:val="18"/>
                  <w:szCs w:val="18"/>
                </w:rPr>
                <w:t>:</w:t>
              </w:r>
              <w:r>
                <w:rPr>
                  <w:rFonts w:ascii="宋体" w:hAnsi="宋体" w:cs="宋体" w:eastAsia="宋体" w:hint="default"/>
                  <w:sz w:val="18"/>
                  <w:szCs w:val="18"/>
                </w:rPr>
                <w:t>关于与关联方签署《房屋租赁合同》的公告</w:t>
              </w:r>
            </w:hyperlink>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sz w:val="18"/>
              </w:rPr>
              <w:t>2017/1/10</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hyperlink r:id="rId12">
              <w:r>
                <w:rPr>
                  <w:rFonts w:ascii="宋体"/>
                  <w:sz w:val="18"/>
                </w:rPr>
                <w:t>http://www.cninfo.com.cn</w:t>
              </w:r>
            </w:hyperlink>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97"/>
        <w:ind w:right="0"/>
        <w:jc w:val="left"/>
        <w:rPr>
          <w:b w:val="0"/>
          <w:bCs w:val="0"/>
        </w:rPr>
      </w:pPr>
      <w:bookmarkStart w:name="二十、公司子公司重大事项" w:id="105"/>
      <w:bookmarkEnd w:id="105"/>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4" w:right="1118" w:hanging="360"/>
        <w:jc w:val="left"/>
      </w:pPr>
      <w:r>
        <w:rPr/>
        <w:t>√ 适用 □ 不适用 </w:t>
      </w:r>
      <w:r>
        <w:rPr>
          <w:spacing w:val="-2"/>
        </w:rPr>
        <w:t>为进一步推动公司海外业务的发展，提升公司游戏发行与开发业务的竞争力，增强公司持续盈利能力。经公司第七届董</w:t>
      </w:r>
    </w:p>
    <w:p>
      <w:pPr>
        <w:pStyle w:val="BodyText"/>
        <w:spacing w:line="224" w:lineRule="exact"/>
        <w:ind w:right="0"/>
        <w:jc w:val="left"/>
      </w:pPr>
      <w:r>
        <w:rPr/>
        <w:t>事会第二十五次会议和第七届监事会第十九次会议审议通过</w:t>
      </w:r>
      <w:r>
        <w:rPr>
          <w:spacing w:val="-82"/>
        </w:rPr>
        <w:t>，</w:t>
      </w:r>
      <w:r>
        <w:rPr/>
        <w:t>公司全资子公司猎鹰网络的全资子公司范特西使用自有资金人</w:t>
      </w:r>
    </w:p>
    <w:p>
      <w:pPr>
        <w:pStyle w:val="BodyText"/>
        <w:spacing w:line="240" w:lineRule="auto" w:before="77"/>
        <w:ind w:right="0"/>
        <w:jc w:val="left"/>
      </w:pPr>
      <w:r>
        <w:rPr/>
        <w:t>民币</w:t>
      </w:r>
      <w:r>
        <w:rPr>
          <w:rFonts w:ascii="宋体" w:hAnsi="宋体" w:cs="宋体" w:eastAsia="宋体" w:hint="default"/>
        </w:rPr>
        <w:t>7000</w:t>
      </w:r>
      <w:r>
        <w:rPr/>
        <w:t>万元以现金方式购买了北京奇酷工场科技有限公司</w:t>
      </w:r>
      <w:r>
        <w:rPr>
          <w:rFonts w:ascii="宋体" w:hAnsi="宋体" w:cs="宋体" w:eastAsia="宋体" w:hint="default"/>
        </w:rPr>
        <w:t>20%</w:t>
      </w:r>
      <w:r>
        <w:rPr/>
        <w:t>的股权。</w:t>
      </w:r>
    </w:p>
    <w:p>
      <w:pPr>
        <w:spacing w:after="0" w:line="240" w:lineRule="auto"/>
        <w:jc w:val="left"/>
        <w:sectPr>
          <w:pgSz w:w="11910" w:h="16840"/>
          <w:pgMar w:header="877" w:footer="1187" w:top="110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2965" w:right="0"/>
        <w:jc w:val="left"/>
        <w:rPr>
          <w:b w:val="0"/>
          <w:bCs w:val="0"/>
        </w:rPr>
      </w:pPr>
      <w:bookmarkStart w:name="第六节 股份变动及股东情况" w:id="106"/>
      <w:bookmarkEnd w:id="106"/>
      <w:r>
        <w:rPr>
          <w:b w:val="0"/>
          <w:bCs w:val="0"/>
        </w:rPr>
      </w:r>
      <w:bookmarkStart w:name="_bookmark4" w:id="107"/>
      <w:bookmarkEnd w:id="107"/>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3" w:right="0"/>
        <w:jc w:val="left"/>
        <w:rPr>
          <w:b w:val="0"/>
          <w:bCs w:val="0"/>
        </w:rPr>
      </w:pPr>
      <w:bookmarkStart w:name="一、股份变动情况" w:id="108"/>
      <w:bookmarkEnd w:id="108"/>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股份变动情况" w:id="109"/>
      <w:bookmarkEnd w:id="109"/>
      <w:r>
        <w:rPr>
          <w:b w:val="0"/>
          <w:bCs w:val="0"/>
        </w:rPr>
      </w:r>
      <w:r>
        <w:rPr>
          <w:rFonts w:ascii="宋体" w:hAnsi="宋体" w:cs="宋体" w:eastAsia="宋体" w:hint="default"/>
        </w:rPr>
        <w:t>1</w:t>
      </w:r>
      <w:r>
        <w:rPr/>
        <w:t>、股份变动情况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4"/>
        <w:gridCol w:w="1066"/>
        <w:gridCol w:w="824"/>
        <w:gridCol w:w="822"/>
        <w:gridCol w:w="822"/>
        <w:gridCol w:w="822"/>
        <w:gridCol w:w="822"/>
        <w:gridCol w:w="822"/>
        <w:gridCol w:w="794"/>
        <w:gridCol w:w="794"/>
      </w:tblGrid>
      <w:tr>
        <w:trPr>
          <w:trHeight w:val="402" w:hRule="exact"/>
        </w:trPr>
        <w:tc>
          <w:tcPr>
            <w:tcW w:w="19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8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974" w:type="dxa"/>
            <w:vMerge w:val="restart"/>
            <w:tcBorders>
              <w:top w:val="nil" w:sz="6" w:space="0" w:color="auto"/>
              <w:left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74" w:type="dxa"/>
            <w:vMerge/>
            <w:tcBorders>
              <w:left w:val="single" w:sz="4" w:space="0" w:color="000000"/>
              <w:bottom w:val="nil" w:sz="6" w:space="0" w:color="auto"/>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974" w:type="dxa"/>
            <w:vMerge w:val="restart"/>
            <w:tcBorders>
              <w:top w:val="nil" w:sz="6" w:space="0" w:color="auto"/>
              <w:left w:val="single" w:sz="4" w:space="0" w:color="000000"/>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74"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9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sz w:val="18"/>
              </w:rPr>
              <w:t>651,755,906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sz w:val="18"/>
              </w:rPr>
              <w:t>67.49%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-2,534,2</w:t>
            </w:r>
          </w:p>
          <w:p>
            <w:pPr>
              <w:pStyle w:val="TableParagraph"/>
              <w:spacing w:line="240" w:lineRule="auto" w:before="77"/>
              <w:ind w:right="21"/>
              <w:jc w:val="right"/>
              <w:rPr>
                <w:rFonts w:ascii="宋体" w:hAnsi="宋体" w:cs="宋体" w:eastAsia="宋体" w:hint="default"/>
                <w:sz w:val="18"/>
                <w:szCs w:val="18"/>
              </w:rPr>
            </w:pPr>
            <w:r>
              <w:rPr>
                <w:rFonts w:ascii="宋体"/>
                <w:sz w:val="18"/>
              </w:rPr>
              <w:t>46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-2,534,2</w:t>
            </w:r>
          </w:p>
          <w:p>
            <w:pPr>
              <w:pStyle w:val="TableParagraph"/>
              <w:spacing w:line="240" w:lineRule="auto" w:before="77"/>
              <w:ind w:right="20"/>
              <w:jc w:val="right"/>
              <w:rPr>
                <w:rFonts w:ascii="宋体" w:hAnsi="宋体" w:cs="宋体" w:eastAsia="宋体" w:hint="default"/>
                <w:sz w:val="18"/>
                <w:szCs w:val="18"/>
              </w:rPr>
            </w:pPr>
            <w:r>
              <w:rPr>
                <w:rFonts w:ascii="宋体"/>
                <w:sz w:val="18"/>
              </w:rPr>
              <w:t>46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51"/>
              <w:ind w:left="41" w:right="0"/>
              <w:jc w:val="left"/>
              <w:rPr>
                <w:rFonts w:ascii="宋体" w:hAnsi="宋体" w:cs="宋体" w:eastAsia="宋体" w:hint="default"/>
                <w:sz w:val="18"/>
                <w:szCs w:val="18"/>
              </w:rPr>
            </w:pPr>
            <w:r>
              <w:rPr>
                <w:rFonts w:ascii="宋体"/>
                <w:sz w:val="18"/>
              </w:rPr>
              <w:t>649,221,</w:t>
            </w:r>
          </w:p>
          <w:p>
            <w:pPr>
              <w:pStyle w:val="TableParagraph"/>
              <w:spacing w:line="240" w:lineRule="auto" w:before="77"/>
              <w:ind w:left="491" w:right="0"/>
              <w:jc w:val="left"/>
              <w:rPr>
                <w:rFonts w:ascii="宋体" w:hAnsi="宋体" w:cs="宋体" w:eastAsia="宋体" w:hint="default"/>
                <w:sz w:val="18"/>
                <w:szCs w:val="18"/>
              </w:rPr>
            </w:pPr>
            <w:r>
              <w:rPr>
                <w:rFonts w:ascii="宋体"/>
                <w:sz w:val="18"/>
              </w:rPr>
              <w:t>660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sz w:val="18"/>
              </w:rPr>
              <w:t>67.23%</w:t>
            </w:r>
          </w:p>
        </w:tc>
      </w:tr>
      <w:tr>
        <w:trPr>
          <w:trHeight w:val="392" w:hRule="exact"/>
        </w:trPr>
        <w:tc>
          <w:tcPr>
            <w:tcW w:w="19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66" w:type="dxa"/>
            <w:vMerge/>
            <w:tcBorders>
              <w:left w:val="single" w:sz="9"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19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9"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0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0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161" w:hRule="exact"/>
        </w:trPr>
        <w:tc>
          <w:tcPr>
            <w:tcW w:w="19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sz w:val="18"/>
              </w:rPr>
              <w:t>651,755,906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sz w:val="18"/>
              </w:rPr>
              <w:t>67.49%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-2,534,2</w:t>
            </w:r>
          </w:p>
          <w:p>
            <w:pPr>
              <w:pStyle w:val="TableParagraph"/>
              <w:spacing w:line="240" w:lineRule="auto" w:before="77"/>
              <w:ind w:right="21"/>
              <w:jc w:val="right"/>
              <w:rPr>
                <w:rFonts w:ascii="宋体" w:hAnsi="宋体" w:cs="宋体" w:eastAsia="宋体" w:hint="default"/>
                <w:sz w:val="18"/>
                <w:szCs w:val="18"/>
              </w:rPr>
            </w:pPr>
            <w:r>
              <w:rPr>
                <w:rFonts w:ascii="宋体"/>
                <w:sz w:val="18"/>
              </w:rPr>
              <w:t>46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-2,534,2</w:t>
            </w:r>
          </w:p>
          <w:p>
            <w:pPr>
              <w:pStyle w:val="TableParagraph"/>
              <w:spacing w:line="240" w:lineRule="auto" w:before="77"/>
              <w:ind w:right="20"/>
              <w:jc w:val="right"/>
              <w:rPr>
                <w:rFonts w:ascii="宋体" w:hAnsi="宋体" w:cs="宋体" w:eastAsia="宋体" w:hint="default"/>
                <w:sz w:val="18"/>
                <w:szCs w:val="18"/>
              </w:rPr>
            </w:pPr>
            <w:r>
              <w:rPr>
                <w:rFonts w:ascii="宋体"/>
                <w:sz w:val="18"/>
              </w:rPr>
              <w:t>46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51"/>
              <w:ind w:left="41" w:right="0"/>
              <w:jc w:val="left"/>
              <w:rPr>
                <w:rFonts w:ascii="宋体" w:hAnsi="宋体" w:cs="宋体" w:eastAsia="宋体" w:hint="default"/>
                <w:sz w:val="18"/>
                <w:szCs w:val="18"/>
              </w:rPr>
            </w:pPr>
            <w:r>
              <w:rPr>
                <w:rFonts w:ascii="宋体"/>
                <w:sz w:val="18"/>
              </w:rPr>
              <w:t>649,221,</w:t>
            </w:r>
          </w:p>
          <w:p>
            <w:pPr>
              <w:pStyle w:val="TableParagraph"/>
              <w:spacing w:line="240" w:lineRule="auto" w:before="77"/>
              <w:ind w:left="491" w:right="0"/>
              <w:jc w:val="left"/>
              <w:rPr>
                <w:rFonts w:ascii="宋体" w:hAnsi="宋体" w:cs="宋体" w:eastAsia="宋体" w:hint="default"/>
                <w:sz w:val="18"/>
                <w:szCs w:val="18"/>
              </w:rPr>
            </w:pPr>
            <w:r>
              <w:rPr>
                <w:rFonts w:ascii="宋体"/>
                <w:sz w:val="18"/>
              </w:rPr>
              <w:t>660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sz w:val="18"/>
              </w:rPr>
              <w:t>67.17%</w:t>
            </w:r>
          </w:p>
        </w:tc>
      </w:tr>
      <w:tr>
        <w:trPr>
          <w:trHeight w:val="392" w:hRule="exact"/>
        </w:trPr>
        <w:tc>
          <w:tcPr>
            <w:tcW w:w="19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066" w:type="dxa"/>
            <w:vMerge/>
            <w:tcBorders>
              <w:left w:val="single" w:sz="9"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19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9"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19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sz w:val="18"/>
              </w:rPr>
              <w:t>596,361,499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sz w:val="18"/>
              </w:rPr>
              <w:t>61.75%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sz w:val="18"/>
              </w:rPr>
              <w:t>-212,401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sz w:val="18"/>
              </w:rPr>
              <w:t>-212,401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51"/>
              <w:ind w:left="41" w:right="0"/>
              <w:jc w:val="left"/>
              <w:rPr>
                <w:rFonts w:ascii="宋体" w:hAnsi="宋体" w:cs="宋体" w:eastAsia="宋体" w:hint="default"/>
                <w:sz w:val="18"/>
                <w:szCs w:val="18"/>
              </w:rPr>
            </w:pPr>
            <w:r>
              <w:rPr>
                <w:rFonts w:ascii="宋体"/>
                <w:sz w:val="18"/>
              </w:rPr>
              <w:t>596,149,</w:t>
            </w:r>
          </w:p>
          <w:p>
            <w:pPr>
              <w:pStyle w:val="TableParagraph"/>
              <w:spacing w:line="240" w:lineRule="auto" w:before="77"/>
              <w:ind w:left="491" w:right="0"/>
              <w:jc w:val="left"/>
              <w:rPr>
                <w:rFonts w:ascii="宋体" w:hAnsi="宋体" w:cs="宋体" w:eastAsia="宋体" w:hint="default"/>
                <w:sz w:val="18"/>
                <w:szCs w:val="18"/>
              </w:rPr>
            </w:pPr>
            <w:r>
              <w:rPr>
                <w:rFonts w:ascii="宋体"/>
                <w:sz w:val="18"/>
              </w:rPr>
              <w:t>098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sz w:val="18"/>
              </w:rPr>
              <w:t>61.67%</w:t>
            </w:r>
          </w:p>
        </w:tc>
      </w:tr>
      <w:tr>
        <w:trPr>
          <w:trHeight w:val="392" w:hRule="exact"/>
        </w:trPr>
        <w:tc>
          <w:tcPr>
            <w:tcW w:w="19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66" w:type="dxa"/>
            <w:vMerge/>
            <w:tcBorders>
              <w:left w:val="single" w:sz="9"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19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9"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19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5" w:right="0"/>
              <w:jc w:val="left"/>
              <w:rPr>
                <w:rFonts w:ascii="宋体" w:hAnsi="宋体" w:cs="宋体" w:eastAsia="宋体" w:hint="default"/>
                <w:sz w:val="18"/>
                <w:szCs w:val="18"/>
              </w:rPr>
            </w:pPr>
            <w:r>
              <w:rPr>
                <w:rFonts w:ascii="宋体"/>
                <w:sz w:val="18"/>
              </w:rPr>
              <w:t>55,340,584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sz w:val="18"/>
              </w:rPr>
              <w:t>5.74%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-2,321,8</w:t>
            </w:r>
          </w:p>
          <w:p>
            <w:pPr>
              <w:pStyle w:val="TableParagraph"/>
              <w:spacing w:line="240" w:lineRule="auto" w:before="77"/>
              <w:ind w:right="21"/>
              <w:jc w:val="right"/>
              <w:rPr>
                <w:rFonts w:ascii="宋体" w:hAnsi="宋体" w:cs="宋体" w:eastAsia="宋体" w:hint="default"/>
                <w:sz w:val="18"/>
                <w:szCs w:val="18"/>
              </w:rPr>
            </w:pPr>
            <w:r>
              <w:rPr>
                <w:rFonts w:ascii="宋体"/>
                <w:sz w:val="18"/>
              </w:rPr>
              <w:t>45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-2,321,8</w:t>
            </w:r>
          </w:p>
          <w:p>
            <w:pPr>
              <w:pStyle w:val="TableParagraph"/>
              <w:spacing w:line="240" w:lineRule="auto" w:before="77"/>
              <w:ind w:right="20"/>
              <w:jc w:val="right"/>
              <w:rPr>
                <w:rFonts w:ascii="宋体" w:hAnsi="宋体" w:cs="宋体" w:eastAsia="宋体" w:hint="default"/>
                <w:sz w:val="18"/>
                <w:szCs w:val="18"/>
              </w:rPr>
            </w:pPr>
            <w:r>
              <w:rPr>
                <w:rFonts w:ascii="宋体"/>
                <w:sz w:val="18"/>
              </w:rPr>
              <w:t>45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53,072,5</w:t>
            </w:r>
          </w:p>
          <w:p>
            <w:pPr>
              <w:pStyle w:val="TableParagraph"/>
              <w:spacing w:line="240" w:lineRule="auto" w:before="77"/>
              <w:ind w:right="20"/>
              <w:jc w:val="right"/>
              <w:rPr>
                <w:rFonts w:ascii="宋体" w:hAnsi="宋体" w:cs="宋体" w:eastAsia="宋体" w:hint="default"/>
                <w:sz w:val="18"/>
                <w:szCs w:val="18"/>
              </w:rPr>
            </w:pPr>
            <w:r>
              <w:rPr>
                <w:rFonts w:ascii="宋体"/>
                <w:sz w:val="18"/>
              </w:rPr>
              <w:t>62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sz w:val="18"/>
              </w:rPr>
              <w:t>5.50%</w:t>
            </w:r>
          </w:p>
        </w:tc>
      </w:tr>
      <w:tr>
        <w:trPr>
          <w:trHeight w:val="392" w:hRule="exact"/>
        </w:trPr>
        <w:tc>
          <w:tcPr>
            <w:tcW w:w="19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50"/>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66" w:type="dxa"/>
            <w:vMerge/>
            <w:tcBorders>
              <w:left w:val="single" w:sz="9"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19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9"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10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0"/>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161" w:hRule="exact"/>
        </w:trPr>
        <w:tc>
          <w:tcPr>
            <w:tcW w:w="19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sz w:val="18"/>
              </w:rPr>
              <w:t>313,954,876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sz w:val="18"/>
              </w:rPr>
              <w:t>32.51%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2,534,24</w:t>
            </w:r>
          </w:p>
          <w:p>
            <w:pPr>
              <w:pStyle w:val="TableParagraph"/>
              <w:spacing w:line="240" w:lineRule="auto" w:before="77"/>
              <w:ind w:right="20"/>
              <w:jc w:val="right"/>
              <w:rPr>
                <w:rFonts w:ascii="宋体" w:hAnsi="宋体" w:cs="宋体" w:eastAsia="宋体" w:hint="default"/>
                <w:sz w:val="18"/>
                <w:szCs w:val="18"/>
              </w:rPr>
            </w:pPr>
            <w:r>
              <w:rPr>
                <w:rFonts w:ascii="宋体"/>
                <w:sz w:val="18"/>
              </w:rPr>
              <w:t>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2,534,24</w:t>
            </w:r>
          </w:p>
          <w:p>
            <w:pPr>
              <w:pStyle w:val="TableParagraph"/>
              <w:spacing w:line="240" w:lineRule="auto" w:before="77"/>
              <w:ind w:right="20"/>
              <w:jc w:val="right"/>
              <w:rPr>
                <w:rFonts w:ascii="宋体" w:hAnsi="宋体" w:cs="宋体" w:eastAsia="宋体" w:hint="default"/>
                <w:sz w:val="18"/>
                <w:szCs w:val="18"/>
              </w:rPr>
            </w:pPr>
            <w:r>
              <w:rPr>
                <w:rFonts w:ascii="宋体"/>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51"/>
              <w:ind w:left="41" w:right="0"/>
              <w:jc w:val="left"/>
              <w:rPr>
                <w:rFonts w:ascii="宋体" w:hAnsi="宋体" w:cs="宋体" w:eastAsia="宋体" w:hint="default"/>
                <w:sz w:val="18"/>
                <w:szCs w:val="18"/>
              </w:rPr>
            </w:pPr>
            <w:r>
              <w:rPr>
                <w:rFonts w:ascii="宋体"/>
                <w:sz w:val="18"/>
              </w:rPr>
              <w:t>316,489,</w:t>
            </w:r>
          </w:p>
          <w:p>
            <w:pPr>
              <w:pStyle w:val="TableParagraph"/>
              <w:spacing w:line="240" w:lineRule="auto" w:before="77"/>
              <w:ind w:left="491" w:right="0"/>
              <w:jc w:val="left"/>
              <w:rPr>
                <w:rFonts w:ascii="宋体" w:hAnsi="宋体" w:cs="宋体" w:eastAsia="宋体" w:hint="default"/>
                <w:sz w:val="18"/>
                <w:szCs w:val="18"/>
              </w:rPr>
            </w:pPr>
            <w:r>
              <w:rPr>
                <w:rFonts w:ascii="宋体"/>
                <w:sz w:val="18"/>
              </w:rPr>
              <w:t>122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sz w:val="18"/>
              </w:rPr>
              <w:t>32.77%</w:t>
            </w:r>
          </w:p>
        </w:tc>
      </w:tr>
      <w:tr>
        <w:trPr>
          <w:trHeight w:val="392" w:hRule="exact"/>
        </w:trPr>
        <w:tc>
          <w:tcPr>
            <w:tcW w:w="19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66" w:type="dxa"/>
            <w:vMerge/>
            <w:tcBorders>
              <w:left w:val="single" w:sz="9"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19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9"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19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sz w:val="18"/>
              </w:rPr>
              <w:t>313,954,876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sz w:val="18"/>
              </w:rPr>
              <w:t>32.51%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2,534,24</w:t>
            </w:r>
          </w:p>
          <w:p>
            <w:pPr>
              <w:pStyle w:val="TableParagraph"/>
              <w:spacing w:line="240" w:lineRule="auto" w:before="77"/>
              <w:ind w:right="20"/>
              <w:jc w:val="right"/>
              <w:rPr>
                <w:rFonts w:ascii="宋体" w:hAnsi="宋体" w:cs="宋体" w:eastAsia="宋体" w:hint="default"/>
                <w:sz w:val="18"/>
                <w:szCs w:val="18"/>
              </w:rPr>
            </w:pPr>
            <w:r>
              <w:rPr>
                <w:rFonts w:ascii="宋体"/>
                <w:sz w:val="18"/>
              </w:rPr>
              <w:t>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2,534,24</w:t>
            </w:r>
          </w:p>
          <w:p>
            <w:pPr>
              <w:pStyle w:val="TableParagraph"/>
              <w:spacing w:line="240" w:lineRule="auto" w:before="77"/>
              <w:ind w:right="20"/>
              <w:jc w:val="right"/>
              <w:rPr>
                <w:rFonts w:ascii="宋体" w:hAnsi="宋体" w:cs="宋体" w:eastAsia="宋体" w:hint="default"/>
                <w:sz w:val="18"/>
                <w:szCs w:val="18"/>
              </w:rPr>
            </w:pPr>
            <w:r>
              <w:rPr>
                <w:rFonts w:ascii="宋体"/>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51"/>
              <w:ind w:left="41" w:right="0"/>
              <w:jc w:val="left"/>
              <w:rPr>
                <w:rFonts w:ascii="宋体" w:hAnsi="宋体" w:cs="宋体" w:eastAsia="宋体" w:hint="default"/>
                <w:sz w:val="18"/>
                <w:szCs w:val="18"/>
              </w:rPr>
            </w:pPr>
            <w:r>
              <w:rPr>
                <w:rFonts w:ascii="宋体"/>
                <w:sz w:val="18"/>
              </w:rPr>
              <w:t>316,489,</w:t>
            </w:r>
          </w:p>
          <w:p>
            <w:pPr>
              <w:pStyle w:val="TableParagraph"/>
              <w:spacing w:line="240" w:lineRule="auto" w:before="77"/>
              <w:ind w:left="491" w:right="0"/>
              <w:jc w:val="left"/>
              <w:rPr>
                <w:rFonts w:ascii="宋体" w:hAnsi="宋体" w:cs="宋体" w:eastAsia="宋体" w:hint="default"/>
                <w:sz w:val="18"/>
                <w:szCs w:val="18"/>
              </w:rPr>
            </w:pPr>
            <w:r>
              <w:rPr>
                <w:rFonts w:ascii="宋体"/>
                <w:sz w:val="18"/>
              </w:rPr>
              <w:t>122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sz w:val="18"/>
              </w:rPr>
              <w:t>32.77%</w:t>
            </w:r>
          </w:p>
        </w:tc>
      </w:tr>
      <w:tr>
        <w:trPr>
          <w:trHeight w:val="392" w:hRule="exact"/>
        </w:trPr>
        <w:tc>
          <w:tcPr>
            <w:tcW w:w="19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066" w:type="dxa"/>
            <w:vMerge/>
            <w:tcBorders>
              <w:left w:val="single" w:sz="9"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19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9"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、境内上市的外资股</w:t>
            </w:r>
          </w:p>
        </w:tc>
        <w:tc>
          <w:tcPr>
            <w:tcW w:w="10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、境外上市的外资股</w:t>
            </w:r>
          </w:p>
        </w:tc>
        <w:tc>
          <w:tcPr>
            <w:tcW w:w="10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161" w:hRule="exact"/>
        </w:trPr>
        <w:tc>
          <w:tcPr>
            <w:tcW w:w="19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sz w:val="18"/>
              </w:rPr>
              <w:t>965,710,782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9" w:right="0"/>
              <w:jc w:val="left"/>
              <w:rPr>
                <w:rFonts w:ascii="宋体" w:hAnsi="宋体" w:cs="宋体" w:eastAsia="宋体" w:hint="default"/>
                <w:sz w:val="18"/>
                <w:szCs w:val="18"/>
              </w:rPr>
            </w:pPr>
            <w:r>
              <w:rPr>
                <w:rFonts w:ascii="宋体"/>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51"/>
              <w:ind w:left="41" w:right="0"/>
              <w:jc w:val="left"/>
              <w:rPr>
                <w:rFonts w:ascii="宋体" w:hAnsi="宋体" w:cs="宋体" w:eastAsia="宋体" w:hint="default"/>
                <w:sz w:val="18"/>
                <w:szCs w:val="18"/>
              </w:rPr>
            </w:pPr>
            <w:r>
              <w:rPr>
                <w:rFonts w:ascii="宋体"/>
                <w:sz w:val="18"/>
              </w:rPr>
              <w:t>965,710,</w:t>
            </w:r>
          </w:p>
          <w:p>
            <w:pPr>
              <w:pStyle w:val="TableParagraph"/>
              <w:spacing w:line="240" w:lineRule="auto" w:before="77"/>
              <w:ind w:left="491" w:right="0"/>
              <w:jc w:val="left"/>
              <w:rPr>
                <w:rFonts w:ascii="宋体" w:hAnsi="宋体" w:cs="宋体" w:eastAsia="宋体" w:hint="default"/>
                <w:sz w:val="18"/>
                <w:szCs w:val="18"/>
              </w:rPr>
            </w:pPr>
            <w:r>
              <w:rPr>
                <w:rFonts w:ascii="宋体"/>
                <w:sz w:val="18"/>
              </w:rPr>
              <w:t>782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sz w:val="18"/>
              </w:rPr>
              <w:t>100.00%</w:t>
            </w:r>
          </w:p>
        </w:tc>
      </w:tr>
      <w:tr>
        <w:trPr>
          <w:trHeight w:val="392" w:hRule="exact"/>
        </w:trPr>
        <w:tc>
          <w:tcPr>
            <w:tcW w:w="19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66" w:type="dxa"/>
            <w:vMerge/>
            <w:tcBorders>
              <w:left w:val="single" w:sz="9"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19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9"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股份变动的原因</w:t>
      </w:r>
    </w:p>
    <w:p>
      <w:pPr>
        <w:pStyle w:val="BodyText"/>
        <w:spacing w:line="357" w:lineRule="auto" w:before="117"/>
        <w:ind w:left="513" w:right="1213" w:hanging="360"/>
        <w:jc w:val="left"/>
      </w:pPr>
      <w:r>
        <w:rPr/>
        <w:t>√ 适用 □ 不适用 公司发行股份购买资产并募集配套资金事项于</w:t>
      </w:r>
      <w:r>
        <w:rPr>
          <w:rFonts w:ascii="宋体" w:hAnsi="宋体" w:cs="宋体" w:eastAsia="宋体" w:hint="default"/>
        </w:rPr>
        <w:t>2016</w:t>
      </w:r>
      <w:r>
        <w:rPr/>
        <w:t>年</w:t>
      </w:r>
      <w:r>
        <w:rPr>
          <w:rFonts w:ascii="宋体" w:hAnsi="宋体" w:cs="宋体" w:eastAsia="宋体" w:hint="default"/>
        </w:rPr>
        <w:t>5</w:t>
      </w:r>
      <w:r>
        <w:rPr/>
        <w:t>月完成，本次发行的股份于</w:t>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18</w:t>
      </w:r>
      <w:r>
        <w:rPr/>
        <w:t>日在深圳证券交易所上</w:t>
      </w:r>
    </w:p>
    <w:p>
      <w:pPr>
        <w:pStyle w:val="BodyText"/>
        <w:spacing w:line="224" w:lineRule="exact"/>
        <w:ind w:left="153" w:right="0"/>
        <w:jc w:val="left"/>
      </w:pPr>
      <w:r>
        <w:rPr/>
        <w:t>市，股份性质为有限售条件流通股。根据限售期安排，本次发行的股份中</w:t>
      </w:r>
      <w:r>
        <w:rPr>
          <w:rFonts w:ascii="宋体" w:hAnsi="宋体" w:cs="宋体" w:eastAsia="宋体" w:hint="default"/>
        </w:rPr>
        <w:t>2,480,423</w:t>
      </w:r>
      <w:r>
        <w:rPr/>
        <w:t>股股份可解除限售上市流通，上市流通</w:t>
      </w:r>
    </w:p>
    <w:p>
      <w:pPr>
        <w:spacing w:after="0" w:line="224" w:lineRule="exact"/>
        <w:jc w:val="left"/>
        <w:sectPr>
          <w:pgSz w:w="11910" w:h="16840"/>
          <w:pgMar w:header="877" w:footer="1187" w:top="1100" w:bottom="1380" w:left="980" w:right="0"/>
        </w:sectPr>
      </w:pPr>
    </w:p>
    <w:p>
      <w:pPr>
        <w:spacing w:line="240" w:lineRule="auto" w:before="12"/>
        <w:rPr>
          <w:rFonts w:ascii="宋体" w:hAnsi="宋体" w:cs="宋体" w:eastAsia="宋体" w:hint="default"/>
          <w:sz w:val="21"/>
          <w:szCs w:val="21"/>
        </w:rPr>
      </w:pPr>
    </w:p>
    <w:p>
      <w:pPr>
        <w:pStyle w:val="BodyText"/>
        <w:spacing w:line="240" w:lineRule="auto" w:before="44"/>
        <w:ind w:left="153" w:right="0"/>
        <w:jc w:val="left"/>
      </w:pPr>
      <w:r>
        <w:rPr/>
        <w:t>日期为</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22</w:t>
      </w:r>
      <w:r>
        <w:rPr/>
        <w:t>日。公司原监事尤笑冰先生和陈莉女士持有的</w:t>
      </w:r>
      <w:r>
        <w:rPr>
          <w:rFonts w:ascii="宋体" w:hAnsi="宋体" w:cs="宋体" w:eastAsia="宋体" w:hint="default"/>
        </w:rPr>
        <w:t>53,823</w:t>
      </w:r>
      <w:r>
        <w:rPr/>
        <w:t>股股份解除锁定。</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left="153" w:right="0"/>
        <w:jc w:val="left"/>
      </w:pPr>
      <w:r>
        <w:rPr/>
        <w:t>股份变动的批准情况</w:t>
      </w:r>
    </w:p>
    <w:p>
      <w:pPr>
        <w:pStyle w:val="BodyText"/>
        <w:spacing w:line="357" w:lineRule="auto" w:before="117"/>
        <w:ind w:right="9132"/>
        <w:jc w:val="left"/>
      </w:pPr>
      <w:r>
        <w:rPr/>
        <w:t>□ 适用 √ 不适用 股份变动的过户情况</w:t>
      </w:r>
    </w:p>
    <w:p>
      <w:pPr>
        <w:pStyle w:val="BodyText"/>
        <w:spacing w:line="360" w:lineRule="auto" w:before="28"/>
        <w:ind w:right="1392"/>
        <w:jc w:val="left"/>
      </w:pPr>
      <w:r>
        <w:rPr/>
        <w:t>□ 适用 √ 不适用 股份变动对最近一年和最近一期基本每股收益和稀释每股收益、归属于公司普通股股东的每股净资产等财务指标的影响</w:t>
      </w:r>
    </w:p>
    <w:p>
      <w:pPr>
        <w:pStyle w:val="BodyText"/>
        <w:spacing w:line="357" w:lineRule="auto" w:before="26"/>
        <w:ind w:right="6792"/>
        <w:jc w:val="left"/>
      </w:pPr>
      <w:r>
        <w:rPr/>
        <w:t>□ 适用 √ 不适用 公司认为必要或证券监管机构要求披露的其他内容</w:t>
      </w:r>
    </w:p>
    <w:p>
      <w:pPr>
        <w:pStyle w:val="BodyText"/>
        <w:spacing w:line="240" w:lineRule="auto" w:before="29"/>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限售股份变动情况" w:id="110"/>
      <w:bookmarkEnd w:id="110"/>
      <w:r>
        <w:rPr>
          <w:b w:val="0"/>
          <w:bCs w:val="0"/>
        </w:rPr>
      </w:r>
      <w:r>
        <w:rPr>
          <w:rFonts w:ascii="宋体" w:hAnsi="宋体" w:cs="宋体" w:eastAsia="宋体" w:hint="default"/>
        </w:rPr>
        <w:t>2</w:t>
      </w:r>
      <w:r>
        <w:rPr/>
        <w:t>、限售股份变动情况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713"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78" w:right="39"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78" w:right="3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北京智度德普股 </w:t>
            </w:r>
            <w:r>
              <w:rPr>
                <w:rFonts w:ascii="宋体" w:hAnsi="宋体" w:cs="宋体" w:eastAsia="宋体" w:hint="default"/>
                <w:spacing w:val="-3"/>
                <w:sz w:val="18"/>
                <w:szCs w:val="18"/>
              </w:rPr>
              <w:t>权投资中心（有限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合伙）</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375,894,873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375,894,873</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54"/>
              <w:jc w:val="left"/>
              <w:rPr>
                <w:rFonts w:ascii="宋体" w:hAnsi="宋体" w:cs="宋体" w:eastAsia="宋体" w:hint="default"/>
                <w:sz w:val="18"/>
                <w:szCs w:val="18"/>
              </w:rPr>
            </w:pPr>
            <w:r>
              <w:rPr>
                <w:rFonts w:ascii="宋体" w:hAnsi="宋体" w:cs="宋体" w:eastAsia="宋体" w:hint="default"/>
                <w:sz w:val="18"/>
                <w:szCs w:val="18"/>
              </w:rPr>
              <w:t>首发后机构类限 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84"/>
              <w:jc w:val="left"/>
              <w:rPr>
                <w:rFonts w:ascii="宋体" w:hAnsi="宋体" w:cs="宋体" w:eastAsia="宋体" w:hint="default"/>
                <w:sz w:val="18"/>
                <w:szCs w:val="18"/>
              </w:rPr>
            </w:pPr>
            <w:r>
              <w:rPr>
                <w:rFonts w:ascii="宋体" w:hAnsi="宋体" w:cs="宋体" w:eastAsia="宋体" w:hint="default"/>
                <w:sz w:val="18"/>
                <w:szCs w:val="18"/>
              </w:rPr>
              <w:t>智度集团有限公 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69,633,187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69,633,187</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54"/>
              <w:jc w:val="left"/>
              <w:rPr>
                <w:rFonts w:ascii="宋体" w:hAnsi="宋体" w:cs="宋体" w:eastAsia="宋体" w:hint="default"/>
                <w:sz w:val="18"/>
                <w:szCs w:val="18"/>
              </w:rPr>
            </w:pPr>
            <w:r>
              <w:rPr>
                <w:rFonts w:ascii="宋体" w:hAnsi="宋体" w:cs="宋体" w:eastAsia="宋体" w:hint="default"/>
                <w:sz w:val="18"/>
                <w:szCs w:val="18"/>
              </w:rPr>
              <w:t>首发后机构类限 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4"/>
              <w:jc w:val="left"/>
              <w:rPr>
                <w:rFonts w:ascii="宋体" w:hAnsi="宋体" w:cs="宋体" w:eastAsia="宋体" w:hint="default"/>
                <w:sz w:val="18"/>
                <w:szCs w:val="18"/>
              </w:rPr>
            </w:pPr>
            <w:r>
              <w:rPr>
                <w:rFonts w:ascii="宋体" w:hAnsi="宋体" w:cs="宋体" w:eastAsia="宋体" w:hint="default"/>
                <w:sz w:val="18"/>
                <w:szCs w:val="18"/>
              </w:rPr>
              <w:t>上海易晋网络科 技有限公司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43,106,117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43,106,117</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4"/>
              <w:jc w:val="left"/>
              <w:rPr>
                <w:rFonts w:ascii="宋体" w:hAnsi="宋体" w:cs="宋体" w:eastAsia="宋体" w:hint="default"/>
                <w:sz w:val="18"/>
                <w:szCs w:val="18"/>
              </w:rPr>
            </w:pPr>
            <w:r>
              <w:rPr>
                <w:rFonts w:ascii="宋体" w:hAnsi="宋体" w:cs="宋体" w:eastAsia="宋体" w:hint="default"/>
                <w:sz w:val="18"/>
                <w:szCs w:val="18"/>
              </w:rPr>
              <w:t>首发后机构类限 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38,233,039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宋体" w:hAnsi="宋体" w:cs="宋体" w:eastAsia="宋体" w:hint="default"/>
                <w:sz w:val="18"/>
                <w:szCs w:val="18"/>
              </w:rPr>
            </w:pPr>
            <w:r>
              <w:rPr>
                <w:rFonts w:ascii="宋体"/>
                <w:sz w:val="18"/>
              </w:rPr>
              <w:t>1,911,651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36,321,388</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54"/>
              <w:jc w:val="left"/>
              <w:rPr>
                <w:rFonts w:ascii="宋体" w:hAnsi="宋体" w:cs="宋体" w:eastAsia="宋体" w:hint="default"/>
                <w:sz w:val="18"/>
                <w:szCs w:val="18"/>
              </w:rPr>
            </w:pPr>
            <w:r>
              <w:rPr>
                <w:rFonts w:ascii="宋体" w:hAnsi="宋体" w:cs="宋体" w:eastAsia="宋体" w:hint="default"/>
                <w:sz w:val="18"/>
                <w:szCs w:val="18"/>
              </w:rPr>
              <w:t>首发后个人类限 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p>
          <w:p>
            <w:pPr>
              <w:pStyle w:val="TableParagraph"/>
              <w:spacing w:line="319" w:lineRule="auto" w:before="75"/>
              <w:ind w:left="22" w:right="96"/>
              <w:jc w:val="left"/>
              <w:rPr>
                <w:rFonts w:ascii="宋体" w:hAnsi="宋体" w:cs="宋体" w:eastAsia="宋体" w:hint="default"/>
                <w:sz w:val="18"/>
                <w:szCs w:val="18"/>
              </w:rPr>
            </w:pPr>
            <w:r>
              <w:rPr>
                <w:rFonts w:ascii="宋体" w:hAnsi="宋体" w:cs="宋体" w:eastAsia="宋体" w:hint="default"/>
                <w:sz w:val="18"/>
                <w:szCs w:val="18"/>
              </w:rPr>
              <w:t>日，解除限售 </w:t>
            </w:r>
            <w:r>
              <w:rPr>
                <w:rFonts w:ascii="宋体" w:hAnsi="宋体" w:cs="宋体" w:eastAsia="宋体" w:hint="default"/>
                <w:sz w:val="18"/>
                <w:szCs w:val="18"/>
              </w:rPr>
              <w:t>1,911,651</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4"/>
              <w:jc w:val="left"/>
              <w:rPr>
                <w:rFonts w:ascii="宋体" w:hAnsi="宋体" w:cs="宋体" w:eastAsia="宋体" w:hint="default"/>
                <w:sz w:val="18"/>
                <w:szCs w:val="18"/>
              </w:rPr>
            </w:pPr>
            <w:r>
              <w:rPr>
                <w:rFonts w:ascii="宋体" w:hAnsi="宋体" w:cs="宋体" w:eastAsia="宋体" w:hint="default"/>
                <w:sz w:val="18"/>
                <w:szCs w:val="18"/>
              </w:rPr>
              <w:t>上海今耀投资控 股有限公司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32,658,882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32,658,882</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4"/>
              <w:jc w:val="left"/>
              <w:rPr>
                <w:rFonts w:ascii="宋体" w:hAnsi="宋体" w:cs="宋体" w:eastAsia="宋体" w:hint="default"/>
                <w:sz w:val="18"/>
                <w:szCs w:val="18"/>
              </w:rPr>
            </w:pPr>
            <w:r>
              <w:rPr>
                <w:rFonts w:ascii="宋体" w:hAnsi="宋体" w:cs="宋体" w:eastAsia="宋体" w:hint="default"/>
                <w:sz w:val="18"/>
                <w:szCs w:val="18"/>
              </w:rPr>
              <w:t>首发后机构类限 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4"/>
              <w:jc w:val="left"/>
              <w:rPr>
                <w:rFonts w:ascii="宋体" w:hAnsi="宋体" w:cs="宋体" w:eastAsia="宋体" w:hint="default"/>
                <w:sz w:val="18"/>
                <w:szCs w:val="18"/>
              </w:rPr>
            </w:pPr>
            <w:r>
              <w:rPr>
                <w:rFonts w:ascii="宋体" w:hAnsi="宋体" w:cs="宋体" w:eastAsia="宋体" w:hint="default"/>
                <w:sz w:val="18"/>
                <w:szCs w:val="18"/>
              </w:rPr>
              <w:t>深圳市隽川科技 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20,688,352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20,688,352</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4"/>
              <w:jc w:val="left"/>
              <w:rPr>
                <w:rFonts w:ascii="宋体" w:hAnsi="宋体" w:cs="宋体" w:eastAsia="宋体" w:hint="default"/>
                <w:sz w:val="18"/>
                <w:szCs w:val="18"/>
              </w:rPr>
            </w:pPr>
            <w:r>
              <w:rPr>
                <w:rFonts w:ascii="宋体" w:hAnsi="宋体" w:cs="宋体" w:eastAsia="宋体" w:hint="default"/>
                <w:sz w:val="18"/>
                <w:szCs w:val="18"/>
              </w:rPr>
              <w:t>首发后机构类限 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4"/>
              <w:jc w:val="both"/>
              <w:rPr>
                <w:rFonts w:ascii="宋体" w:hAnsi="宋体" w:cs="宋体" w:eastAsia="宋体" w:hint="default"/>
                <w:sz w:val="18"/>
                <w:szCs w:val="18"/>
              </w:rPr>
            </w:pPr>
            <w:r>
              <w:rPr>
                <w:rFonts w:ascii="宋体" w:hAnsi="宋体" w:cs="宋体" w:eastAsia="宋体" w:hint="default"/>
                <w:sz w:val="18"/>
                <w:szCs w:val="18"/>
              </w:rPr>
              <w:t>拉萨经济技术开 发区智恒咨询有 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17,112,282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17,112,282</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54"/>
              <w:jc w:val="left"/>
              <w:rPr>
                <w:rFonts w:ascii="宋体" w:hAnsi="宋体" w:cs="宋体" w:eastAsia="宋体" w:hint="default"/>
                <w:sz w:val="18"/>
                <w:szCs w:val="18"/>
              </w:rPr>
            </w:pPr>
            <w:r>
              <w:rPr>
                <w:rFonts w:ascii="宋体" w:hAnsi="宋体" w:cs="宋体" w:eastAsia="宋体" w:hint="default"/>
                <w:sz w:val="18"/>
                <w:szCs w:val="18"/>
              </w:rPr>
              <w:t>首发后机构类限 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5"/>
              <w:jc w:val="left"/>
              <w:rPr>
                <w:rFonts w:ascii="宋体" w:hAnsi="宋体" w:cs="宋体" w:eastAsia="宋体" w:hint="default"/>
                <w:sz w:val="18"/>
                <w:szCs w:val="18"/>
              </w:rPr>
            </w:pPr>
            <w:r>
              <w:rPr>
                <w:rFonts w:ascii="宋体" w:hAnsi="宋体" w:cs="宋体" w:eastAsia="宋体" w:hint="default"/>
                <w:sz w:val="18"/>
                <w:szCs w:val="18"/>
              </w:rPr>
              <w:t>深圳市零零伍科 技有限公司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9,176,117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9,176,117</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4"/>
              <w:jc w:val="left"/>
              <w:rPr>
                <w:rFonts w:ascii="宋体" w:hAnsi="宋体" w:cs="宋体" w:eastAsia="宋体" w:hint="default"/>
                <w:sz w:val="18"/>
                <w:szCs w:val="18"/>
              </w:rPr>
            </w:pPr>
            <w:r>
              <w:rPr>
                <w:rFonts w:ascii="宋体" w:hAnsi="宋体" w:cs="宋体" w:eastAsia="宋体" w:hint="default"/>
                <w:sz w:val="18"/>
                <w:szCs w:val="18"/>
              </w:rPr>
              <w:t>首发后机构类限 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刘伟</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5,882,294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5,882,294</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54"/>
              <w:jc w:val="left"/>
              <w:rPr>
                <w:rFonts w:ascii="宋体" w:hAnsi="宋体" w:cs="宋体" w:eastAsia="宋体" w:hint="default"/>
                <w:sz w:val="18"/>
                <w:szCs w:val="18"/>
              </w:rPr>
            </w:pPr>
            <w:r>
              <w:rPr>
                <w:rFonts w:ascii="宋体" w:hAnsi="宋体" w:cs="宋体" w:eastAsia="宋体" w:hint="default"/>
                <w:sz w:val="18"/>
                <w:szCs w:val="18"/>
              </w:rPr>
              <w:t>首发后个人类限 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4"/>
              <w:jc w:val="left"/>
              <w:rPr>
                <w:rFonts w:ascii="宋体" w:hAnsi="宋体" w:cs="宋体" w:eastAsia="宋体" w:hint="default"/>
                <w:sz w:val="18"/>
                <w:szCs w:val="18"/>
              </w:rPr>
            </w:pPr>
            <w:r>
              <w:rPr>
                <w:rFonts w:ascii="宋体" w:hAnsi="宋体" w:cs="宋体" w:eastAsia="宋体" w:hint="default"/>
                <w:sz w:val="18"/>
                <w:szCs w:val="18"/>
              </w:rPr>
              <w:t>深圳市来玩科技 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5,803,941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5,803,941</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4"/>
              <w:jc w:val="left"/>
              <w:rPr>
                <w:rFonts w:ascii="宋体" w:hAnsi="宋体" w:cs="宋体" w:eastAsia="宋体" w:hint="default"/>
                <w:sz w:val="18"/>
                <w:szCs w:val="18"/>
              </w:rPr>
            </w:pPr>
            <w:r>
              <w:rPr>
                <w:rFonts w:ascii="宋体" w:hAnsi="宋体" w:cs="宋体" w:eastAsia="宋体" w:hint="default"/>
                <w:sz w:val="18"/>
                <w:szCs w:val="18"/>
              </w:rPr>
              <w:t>首发后机构类限 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其他限售股东</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32,934,999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568,772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32,366,227</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54"/>
              <w:jc w:val="left"/>
              <w:rPr>
                <w:rFonts w:ascii="宋体" w:hAnsi="宋体" w:cs="宋体" w:eastAsia="宋体" w:hint="default"/>
                <w:sz w:val="18"/>
                <w:szCs w:val="18"/>
              </w:rPr>
            </w:pPr>
            <w:r>
              <w:rPr>
                <w:rFonts w:ascii="宋体" w:hAnsi="宋体" w:cs="宋体" w:eastAsia="宋体" w:hint="default"/>
                <w:sz w:val="18"/>
                <w:szCs w:val="18"/>
              </w:rPr>
              <w:t>首发后机构、个 人类限售股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p>
          <w:p>
            <w:pPr>
              <w:pStyle w:val="TableParagraph"/>
              <w:spacing w:line="319" w:lineRule="auto" w:before="76"/>
              <w:ind w:left="22" w:right="230"/>
              <w:jc w:val="left"/>
              <w:rPr>
                <w:rFonts w:ascii="宋体" w:hAnsi="宋体" w:cs="宋体" w:eastAsia="宋体" w:hint="default"/>
                <w:sz w:val="18"/>
                <w:szCs w:val="18"/>
              </w:rPr>
            </w:pPr>
            <w:r>
              <w:rPr>
                <w:rFonts w:ascii="宋体" w:hAnsi="宋体" w:cs="宋体" w:eastAsia="宋体" w:hint="default"/>
                <w:sz w:val="18"/>
                <w:szCs w:val="18"/>
              </w:rPr>
              <w:t>日，解除限售 </w:t>
            </w:r>
            <w:r>
              <w:rPr>
                <w:rFonts w:ascii="宋体" w:hAnsi="宋体" w:cs="宋体" w:eastAsia="宋体" w:hint="default"/>
                <w:sz w:val="18"/>
                <w:szCs w:val="18"/>
              </w:rPr>
              <w:t>568772</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河南隆达通讯有 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578,000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578,000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首发前机构类限 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陈莉</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尤笑冰</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53,523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53,523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651,755,906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2,534,246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649,221,660</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二、证券发行与上市情况" w:id="111"/>
      <w:bookmarkEnd w:id="111"/>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报告期内证券发行（不含优先股）情况" w:id="112"/>
      <w:bookmarkEnd w:id="112"/>
      <w:r>
        <w:rPr>
          <w:b w:val="0"/>
          <w:bCs w:val="0"/>
        </w:rPr>
      </w:r>
      <w:r>
        <w:rPr>
          <w:rFonts w:ascii="宋体" w:hAnsi="宋体" w:cs="宋体" w:eastAsia="宋体" w:hint="default"/>
        </w:rPr>
        <w:t>1</w:t>
      </w:r>
      <w:r>
        <w:rPr/>
        <w:t>、报告期内证券发行（不含优先股）情况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53"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公司股份总数及股东结构的变动、公司资产和负债结构的变动情况说明" w:id="113"/>
      <w:bookmarkEnd w:id="113"/>
      <w:r>
        <w:rPr>
          <w:b w:val="0"/>
          <w:bCs w:val="0"/>
        </w:rPr>
      </w:r>
      <w:r>
        <w:rPr>
          <w:rFonts w:ascii="宋体" w:hAnsi="宋体" w:cs="宋体" w:eastAsia="宋体" w:hint="default"/>
        </w:rPr>
        <w:t>2</w:t>
      </w:r>
      <w:r>
        <w:rPr/>
        <w:t>、公司股份总数及股东结构的变动、公司资产和负债结构的变动情况说明</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现存的内部职工股情况" w:id="114"/>
      <w:bookmarkEnd w:id="114"/>
      <w:r>
        <w:rPr>
          <w:b w:val="0"/>
          <w:bCs w:val="0"/>
        </w:rPr>
      </w:r>
      <w:r>
        <w:rPr>
          <w:rFonts w:ascii="宋体" w:hAnsi="宋体" w:cs="宋体" w:eastAsia="宋体" w:hint="default"/>
        </w:rPr>
        <w:t>3</w:t>
      </w:r>
      <w:r>
        <w:rPr/>
        <w:t>、现存的内部职工股情况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15"/>
      <w:bookmarkEnd w:id="115"/>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公司股东数量及持股情况" w:id="116"/>
      <w:bookmarkEnd w:id="116"/>
      <w:r>
        <w:rPr>
          <w:b w:val="0"/>
          <w:bCs w:val="0"/>
        </w:rPr>
      </w:r>
      <w:r>
        <w:rPr>
          <w:rFonts w:ascii="宋体" w:hAnsi="宋体" w:cs="宋体" w:eastAsia="宋体" w:hint="default"/>
        </w:rPr>
        <w:t>1</w:t>
      </w:r>
      <w:r>
        <w:rPr/>
        <w:t>、公司股东数量及持股情况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pict>
          <v:shape style="position:absolute;margin-left:455.937012pt;margin-top:70.491714pt;width:79pt;height:31.2pt;mso-position-horizontal-relative:page;mso-position-vertical-relative:paragraph;z-index:-1181512" type="#_x0000_t202" filled="false" stroked="false">
            <v:textbox inset="0,0,0,0">
              <w:txbxContent>
                <w:p>
                  <w:pPr>
                    <w:pStyle w:val="BodyText"/>
                    <w:spacing w:line="207" w:lineRule="exact"/>
                    <w:ind w:left="0" w:right="0"/>
                    <w:jc w:val="left"/>
                  </w:pPr>
                  <w:r>
                    <w:rPr/>
                    <w:t>（如有）</w:t>
                  </w:r>
                </w:p>
              </w:txbxContent>
            </v:textbox>
            <w10:wrap type="none"/>
          </v:shape>
        </w:pict>
      </w:r>
      <w:r>
        <w:rPr/>
        <w:pict>
          <v:group style="position:absolute;margin-left:489.119995pt;margin-top:70.491714pt;width:45.8pt;height:31.2pt;mso-position-horizontal-relative:page;mso-position-vertical-relative:paragraph;z-index:-1181488" coordorigin="9782,1410" coordsize="916,624">
            <v:shape style="position:absolute;left:9782;top:1410;width:916;height:624" coordorigin="9782,1410" coordsize="916,624" path="m9782,2034l10698,2034,10698,1410,9782,1410,9782,2034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268"/>
        <w:gridCol w:w="940"/>
        <w:gridCol w:w="472"/>
        <w:gridCol w:w="810"/>
        <w:gridCol w:w="764"/>
        <w:gridCol w:w="344"/>
        <w:gridCol w:w="445"/>
        <w:gridCol w:w="786"/>
        <w:gridCol w:w="208"/>
        <w:gridCol w:w="632"/>
        <w:gridCol w:w="455"/>
        <w:gridCol w:w="895"/>
        <w:gridCol w:w="412"/>
        <w:gridCol w:w="446"/>
        <w:gridCol w:w="491"/>
      </w:tblGrid>
      <w:tr>
        <w:trPr>
          <w:trHeight w:val="161" w:hRule="exact"/>
        </w:trPr>
        <w:tc>
          <w:tcPr>
            <w:tcW w:w="1202"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15" w:right="0"/>
              <w:jc w:val="left"/>
              <w:rPr>
                <w:rFonts w:ascii="宋体" w:hAnsi="宋体" w:cs="宋体" w:eastAsia="宋体" w:hint="default"/>
                <w:sz w:val="18"/>
                <w:szCs w:val="18"/>
              </w:rPr>
            </w:pPr>
            <w:r>
              <w:rPr>
                <w:rFonts w:ascii="宋体"/>
                <w:sz w:val="18"/>
              </w:rPr>
              <w:t>38,926</w:t>
            </w:r>
          </w:p>
        </w:tc>
        <w:tc>
          <w:tcPr>
            <w:tcW w:w="1282" w:type="dxa"/>
            <w:gridSpan w:val="2"/>
            <w:vMerge w:val="restart"/>
            <w:tcBorders>
              <w:top w:val="single" w:sz="4" w:space="0" w:color="000000"/>
              <w:left w:val="single" w:sz="4" w:space="0" w:color="000000"/>
              <w:right w:val="single" w:sz="4" w:space="0" w:color="000000"/>
            </w:tcBorders>
            <w:shd w:val="clear" w:color="auto" w:fill="D2D2D2"/>
          </w:tcPr>
          <w:p>
            <w:pPr/>
          </w:p>
        </w:tc>
        <w:tc>
          <w:tcPr>
            <w:tcW w:w="110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16" w:right="0"/>
              <w:jc w:val="left"/>
              <w:rPr>
                <w:rFonts w:ascii="宋体" w:hAnsi="宋体" w:cs="宋体" w:eastAsia="宋体" w:hint="default"/>
                <w:sz w:val="18"/>
                <w:szCs w:val="18"/>
              </w:rPr>
            </w:pPr>
            <w:r>
              <w:rPr>
                <w:rFonts w:ascii="宋体"/>
                <w:sz w:val="18"/>
              </w:rPr>
              <w:t>36,319</w:t>
            </w:r>
          </w:p>
        </w:tc>
        <w:tc>
          <w:tcPr>
            <w:tcW w:w="1439"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086"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z w:val="18"/>
                <w:szCs w:val="18"/>
              </w:rPr>
              <w:t>）</w:t>
            </w:r>
          </w:p>
        </w:tc>
        <w:tc>
          <w:tcPr>
            <w:tcW w:w="446" w:type="dxa"/>
            <w:tcBorders>
              <w:top w:val="single" w:sz="4" w:space="0" w:color="000000"/>
              <w:left w:val="single" w:sz="13" w:space="0" w:color="D2D2D2"/>
              <w:bottom w:val="nil" w:sz="6" w:space="0" w:color="auto"/>
              <w:right w:val="nil" w:sz="6" w:space="0" w:color="auto"/>
            </w:tcBorders>
          </w:tcPr>
          <w:p>
            <w:pPr/>
          </w:p>
        </w:tc>
        <w:tc>
          <w:tcPr>
            <w:tcW w:w="491"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202"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282" w:type="dxa"/>
            <w:gridSpan w:val="2"/>
            <w:vMerge/>
            <w:tcBorders>
              <w:left w:val="single" w:sz="4" w:space="0" w:color="000000"/>
              <w:bottom w:val="nil" w:sz="6" w:space="0" w:color="auto"/>
              <w:right w:val="single" w:sz="4" w:space="0" w:color="000000"/>
            </w:tcBorders>
            <w:shd w:val="clear" w:color="auto" w:fill="D2D2D2"/>
          </w:tcPr>
          <w:p>
            <w:pPr/>
          </w:p>
        </w:tc>
        <w:tc>
          <w:tcPr>
            <w:tcW w:w="1108" w:type="dxa"/>
            <w:gridSpan w:val="2"/>
            <w:vMerge/>
            <w:tcBorders>
              <w:left w:val="single" w:sz="9" w:space="0" w:color="D2D2D2"/>
              <w:right w:val="single" w:sz="9" w:space="0" w:color="D2D2D2"/>
            </w:tcBorders>
          </w:tcPr>
          <w:p>
            <w:pPr/>
          </w:p>
        </w:tc>
        <w:tc>
          <w:tcPr>
            <w:tcW w:w="1439"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报告期末表决权 恢复的优先股股 </w:t>
            </w:r>
            <w:r>
              <w:rPr>
                <w:rFonts w:ascii="宋体" w:hAnsi="宋体" w:cs="宋体" w:eastAsia="宋体" w:hint="default"/>
                <w:spacing w:val="-24"/>
                <w:sz w:val="18"/>
                <w:szCs w:val="18"/>
              </w:rPr>
              <w:t>东总数（如有）（参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z w:val="18"/>
                <w:szCs w:val="18"/>
              </w:rPr>
              <w:t>）</w:t>
            </w:r>
          </w:p>
        </w:tc>
        <w:tc>
          <w:tcPr>
            <w:tcW w:w="1086"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446" w:type="dxa"/>
            <w:vMerge w:val="restart"/>
            <w:tcBorders>
              <w:top w:val="nil" w:sz="6" w:space="0" w:color="auto"/>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202"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2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08" w:type="dxa"/>
            <w:gridSpan w:val="2"/>
            <w:vMerge/>
            <w:tcBorders>
              <w:left w:val="single" w:sz="9" w:space="0" w:color="D2D2D2"/>
              <w:right w:val="single" w:sz="9" w:space="0" w:color="D2D2D2"/>
            </w:tcBorders>
          </w:tcPr>
          <w:p>
            <w:pPr/>
          </w:p>
        </w:tc>
        <w:tc>
          <w:tcPr>
            <w:tcW w:w="1439" w:type="dxa"/>
            <w:gridSpan w:val="3"/>
            <w:vMerge/>
            <w:tcBorders>
              <w:left w:val="single" w:sz="4" w:space="0" w:color="000000"/>
              <w:right w:val="single" w:sz="4" w:space="0" w:color="000000"/>
            </w:tcBorders>
            <w:shd w:val="clear" w:color="auto" w:fill="D2D2D2"/>
          </w:tcPr>
          <w:p>
            <w:pPr/>
          </w:p>
        </w:tc>
        <w:tc>
          <w:tcPr>
            <w:tcW w:w="1086"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446" w:type="dxa"/>
            <w:vMerge/>
            <w:tcBorders>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2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282" w:type="dxa"/>
            <w:gridSpan w:val="2"/>
            <w:vMerge/>
            <w:tcBorders>
              <w:left w:val="single" w:sz="4" w:space="0" w:color="000000"/>
              <w:right w:val="single" w:sz="4" w:space="0" w:color="000000"/>
            </w:tcBorders>
            <w:shd w:val="clear" w:color="auto" w:fill="D2D2D2"/>
          </w:tcPr>
          <w:p>
            <w:pPr/>
          </w:p>
        </w:tc>
        <w:tc>
          <w:tcPr>
            <w:tcW w:w="1108" w:type="dxa"/>
            <w:gridSpan w:val="2"/>
            <w:vMerge/>
            <w:tcBorders>
              <w:left w:val="single" w:sz="9" w:space="0" w:color="D2D2D2"/>
              <w:right w:val="single" w:sz="9" w:space="0" w:color="D2D2D2"/>
            </w:tcBorders>
          </w:tcPr>
          <w:p>
            <w:pPr/>
          </w:p>
        </w:tc>
        <w:tc>
          <w:tcPr>
            <w:tcW w:w="1439" w:type="dxa"/>
            <w:gridSpan w:val="3"/>
            <w:vMerge/>
            <w:tcBorders>
              <w:left w:val="single" w:sz="4" w:space="0" w:color="000000"/>
              <w:right w:val="single" w:sz="4" w:space="0" w:color="000000"/>
            </w:tcBorders>
            <w:shd w:val="clear" w:color="auto" w:fill="D2D2D2"/>
          </w:tcPr>
          <w:p>
            <w:pPr/>
          </w:p>
        </w:tc>
        <w:tc>
          <w:tcPr>
            <w:tcW w:w="1086"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446" w:type="dxa"/>
            <w:vMerge/>
            <w:tcBorders>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156" w:hRule="exact"/>
        </w:trPr>
        <w:tc>
          <w:tcPr>
            <w:tcW w:w="1202"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282" w:type="dxa"/>
            <w:gridSpan w:val="2"/>
            <w:vMerge/>
            <w:tcBorders>
              <w:left w:val="single" w:sz="4" w:space="0" w:color="000000"/>
              <w:bottom w:val="nil" w:sz="6" w:space="0" w:color="auto"/>
              <w:right w:val="single" w:sz="4" w:space="0" w:color="000000"/>
            </w:tcBorders>
            <w:shd w:val="clear" w:color="auto" w:fill="D2D2D2"/>
          </w:tcPr>
          <w:p>
            <w:pPr/>
          </w:p>
        </w:tc>
        <w:tc>
          <w:tcPr>
            <w:tcW w:w="1108" w:type="dxa"/>
            <w:gridSpan w:val="2"/>
            <w:vMerge/>
            <w:tcBorders>
              <w:left w:val="single" w:sz="9" w:space="0" w:color="D2D2D2"/>
              <w:right w:val="single" w:sz="9" w:space="0" w:color="D2D2D2"/>
            </w:tcBorders>
          </w:tcPr>
          <w:p>
            <w:pPr/>
          </w:p>
        </w:tc>
        <w:tc>
          <w:tcPr>
            <w:tcW w:w="1439" w:type="dxa"/>
            <w:gridSpan w:val="3"/>
            <w:vMerge/>
            <w:tcBorders>
              <w:left w:val="single" w:sz="4" w:space="0" w:color="000000"/>
              <w:right w:val="single" w:sz="4" w:space="0" w:color="000000"/>
            </w:tcBorders>
            <w:shd w:val="clear" w:color="auto" w:fill="D2D2D2"/>
          </w:tcPr>
          <w:p>
            <w:pPr/>
          </w:p>
        </w:tc>
        <w:tc>
          <w:tcPr>
            <w:tcW w:w="1086"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446" w:type="dxa"/>
            <w:vMerge/>
            <w:tcBorders>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202"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282" w:type="dxa"/>
            <w:gridSpan w:val="2"/>
            <w:vMerge w:val="restart"/>
            <w:tcBorders>
              <w:top w:val="nil" w:sz="6" w:space="0" w:color="auto"/>
              <w:left w:val="single" w:sz="4" w:space="0" w:color="000000"/>
              <w:right w:val="single" w:sz="4" w:space="0" w:color="000000"/>
            </w:tcBorders>
            <w:shd w:val="clear" w:color="auto" w:fill="D2D2D2"/>
          </w:tcPr>
          <w:p>
            <w:pPr/>
          </w:p>
        </w:tc>
        <w:tc>
          <w:tcPr>
            <w:tcW w:w="1108" w:type="dxa"/>
            <w:gridSpan w:val="2"/>
            <w:vMerge/>
            <w:tcBorders>
              <w:left w:val="single" w:sz="9" w:space="0" w:color="D2D2D2"/>
              <w:right w:val="single" w:sz="9" w:space="0" w:color="D2D2D2"/>
            </w:tcBorders>
          </w:tcPr>
          <w:p>
            <w:pPr/>
          </w:p>
        </w:tc>
        <w:tc>
          <w:tcPr>
            <w:tcW w:w="1439" w:type="dxa"/>
            <w:gridSpan w:val="3"/>
            <w:vMerge/>
            <w:tcBorders>
              <w:left w:val="single" w:sz="4" w:space="0" w:color="000000"/>
              <w:bottom w:val="nil" w:sz="6" w:space="0" w:color="auto"/>
              <w:right w:val="single" w:sz="4" w:space="0" w:color="000000"/>
            </w:tcBorders>
            <w:shd w:val="clear" w:color="auto" w:fill="D2D2D2"/>
          </w:tcPr>
          <w:p>
            <w:pPr/>
          </w:p>
        </w:tc>
        <w:tc>
          <w:tcPr>
            <w:tcW w:w="1086"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446" w:type="dxa"/>
            <w:vMerge/>
            <w:tcBorders>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202"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282" w:type="dxa"/>
            <w:gridSpan w:val="2"/>
            <w:vMerge/>
            <w:tcBorders>
              <w:left w:val="single" w:sz="4" w:space="0" w:color="000000"/>
              <w:bottom w:val="single" w:sz="4" w:space="0" w:color="000000"/>
              <w:right w:val="single" w:sz="4" w:space="0" w:color="000000"/>
            </w:tcBorders>
            <w:shd w:val="clear" w:color="auto" w:fill="D2D2D2"/>
          </w:tcPr>
          <w:p>
            <w:pPr/>
          </w:p>
        </w:tc>
        <w:tc>
          <w:tcPr>
            <w:tcW w:w="1108" w:type="dxa"/>
            <w:gridSpan w:val="2"/>
            <w:vMerge/>
            <w:tcBorders>
              <w:left w:val="single" w:sz="9" w:space="0" w:color="D2D2D2"/>
              <w:bottom w:val="single" w:sz="4" w:space="0" w:color="000000"/>
              <w:right w:val="single" w:sz="9" w:space="0" w:color="D2D2D2"/>
            </w:tcBorders>
          </w:tcPr>
          <w:p>
            <w:pPr/>
          </w:p>
        </w:tc>
        <w:tc>
          <w:tcPr>
            <w:tcW w:w="1439"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086" w:type="dxa"/>
            <w:gridSpan w:val="2"/>
            <w:vMerge/>
            <w:tcBorders>
              <w:left w:val="single" w:sz="9" w:space="0" w:color="D2D2D2"/>
              <w:bottom w:val="single" w:sz="4" w:space="0" w:color="000000"/>
              <w:right w:val="single" w:sz="9"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446" w:type="dxa"/>
            <w:vMerge/>
            <w:tcBorders>
              <w:left w:val="single" w:sz="13" w:space="0" w:color="D2D2D2"/>
              <w:bottom w:val="single" w:sz="4" w:space="0" w:color="000000"/>
              <w:right w:val="nil" w:sz="6" w:space="0" w:color="auto"/>
            </w:tcBorders>
          </w:tcPr>
          <w:p>
            <w:pPr/>
          </w:p>
        </w:tc>
        <w:tc>
          <w:tcPr>
            <w:tcW w:w="491"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69"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9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810" w:type="dxa"/>
            <w:vMerge w:val="restart"/>
            <w:tcBorders>
              <w:top w:val="single" w:sz="4" w:space="0" w:color="000000"/>
              <w:left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8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7" w:right="26"/>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4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53"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810" w:type="dxa"/>
            <w:vMerge/>
            <w:tcBorders>
              <w:left w:val="single" w:sz="4" w:space="0" w:color="000000"/>
              <w:bottom w:val="nil" w:sz="6" w:space="0" w:color="auto"/>
              <w:right w:val="single" w:sz="4" w:space="0" w:color="000000"/>
            </w:tcBorders>
            <w:shd w:val="clear" w:color="auto" w:fill="D2D2D2"/>
          </w:tcPr>
          <w:p>
            <w:pPr/>
          </w:p>
        </w:tc>
        <w:tc>
          <w:tcPr>
            <w:tcW w:w="76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840" w:type="dxa"/>
            <w:gridSpan w:val="2"/>
            <w:vMerge/>
            <w:tcBorders>
              <w:left w:val="single" w:sz="4" w:space="0" w:color="000000"/>
              <w:right w:val="single" w:sz="4" w:space="0" w:color="000000"/>
            </w:tcBorders>
            <w:shd w:val="clear" w:color="auto" w:fill="D2D2D2"/>
          </w:tcPr>
          <w:p>
            <w:pPr/>
          </w:p>
        </w:tc>
        <w:tc>
          <w:tcPr>
            <w:tcW w:w="2698" w:type="dxa"/>
            <w:gridSpan w:val="5"/>
            <w:vMerge/>
            <w:tcBorders>
              <w:left w:val="single" w:sz="4" w:space="0" w:color="000000"/>
              <w:right w:val="single" w:sz="4" w:space="0" w:color="000000"/>
            </w:tcBorders>
            <w:shd w:val="clear" w:color="auto" w:fill="D2D2D2"/>
          </w:tcPr>
          <w:p>
            <w:pPr/>
          </w:p>
        </w:tc>
      </w:tr>
      <w:tr>
        <w:trPr>
          <w:trHeight w:val="14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64"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840" w:type="dxa"/>
            <w:gridSpan w:val="2"/>
            <w:vMerge/>
            <w:tcBorders>
              <w:left w:val="single" w:sz="4" w:space="0" w:color="000000"/>
              <w:right w:val="single" w:sz="4" w:space="0" w:color="000000"/>
            </w:tcBorders>
            <w:shd w:val="clear" w:color="auto" w:fill="D2D2D2"/>
          </w:tcPr>
          <w:p>
            <w:pPr/>
          </w:p>
        </w:tc>
        <w:tc>
          <w:tcPr>
            <w:tcW w:w="2698" w:type="dxa"/>
            <w:gridSpan w:val="5"/>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810"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840" w:type="dxa"/>
            <w:gridSpan w:val="2"/>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810" w:type="dxa"/>
            <w:vMerge w:val="restart"/>
            <w:tcBorders>
              <w:top w:val="nil" w:sz="6" w:space="0" w:color="auto"/>
              <w:left w:val="single" w:sz="4" w:space="0" w:color="000000"/>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840" w:type="dxa"/>
            <w:gridSpan w:val="2"/>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9"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810"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86" w:type="dxa"/>
            <w:vMerge/>
            <w:tcBorders>
              <w:left w:val="single" w:sz="4" w:space="0" w:color="000000"/>
              <w:bottom w:val="single" w:sz="4" w:space="0" w:color="000000"/>
              <w:right w:val="single" w:sz="4" w:space="0" w:color="000000"/>
            </w:tcBorders>
            <w:shd w:val="clear" w:color="auto" w:fill="D2D2D2"/>
          </w:tcPr>
          <w:p>
            <w:pPr/>
          </w:p>
        </w:tc>
        <w:tc>
          <w:tcPr>
            <w:tcW w:w="840"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3"/>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北京智度德普股 </w:t>
            </w:r>
            <w:r>
              <w:rPr>
                <w:rFonts w:ascii="宋体" w:hAnsi="宋体" w:cs="宋体" w:eastAsia="宋体" w:hint="default"/>
                <w:spacing w:val="-4"/>
                <w:sz w:val="18"/>
                <w:szCs w:val="18"/>
              </w:rPr>
              <w:t>权投资中心（有限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3"/>
              <w:jc w:val="right"/>
              <w:rPr>
                <w:rFonts w:ascii="宋体" w:hAnsi="宋体" w:cs="宋体" w:eastAsia="宋体" w:hint="default"/>
                <w:sz w:val="18"/>
                <w:szCs w:val="18"/>
              </w:rPr>
            </w:pPr>
            <w:r>
              <w:rPr>
                <w:rFonts w:ascii="宋体"/>
                <w:sz w:val="18"/>
              </w:rPr>
              <w:t>39.25%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sz w:val="18"/>
              </w:rPr>
              <w:t>379,074,</w:t>
            </w:r>
          </w:p>
          <w:p>
            <w:pPr>
              <w:pStyle w:val="TableParagraph"/>
              <w:spacing w:line="240" w:lineRule="auto" w:before="77"/>
              <w:ind w:left="460" w:right="0"/>
              <w:jc w:val="left"/>
              <w:rPr>
                <w:rFonts w:ascii="宋体" w:hAnsi="宋体" w:cs="宋体" w:eastAsia="宋体" w:hint="default"/>
                <w:sz w:val="18"/>
                <w:szCs w:val="18"/>
              </w:rPr>
            </w:pPr>
            <w:r>
              <w:rPr>
                <w:rFonts w:ascii="宋体"/>
                <w:sz w:val="18"/>
              </w:rPr>
              <w:t>873</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-6300000</w:t>
            </w:r>
          </w:p>
          <w:p>
            <w:pPr>
              <w:pStyle w:val="TableParagraph"/>
              <w:spacing w:line="240" w:lineRule="auto" w:before="77"/>
              <w:ind w:left="22" w:right="0"/>
              <w:jc w:val="left"/>
              <w:rPr>
                <w:rFonts w:ascii="宋体" w:hAnsi="宋体" w:cs="宋体" w:eastAsia="宋体" w:hint="default"/>
                <w:sz w:val="18"/>
                <w:szCs w:val="18"/>
              </w:rPr>
            </w:pPr>
            <w:r>
              <w:rPr>
                <w:rFonts w:ascii="宋体"/>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sz w:val="18"/>
              </w:rPr>
              <w:t>375,894,</w:t>
            </w:r>
          </w:p>
          <w:p>
            <w:pPr>
              <w:pStyle w:val="TableParagraph"/>
              <w:spacing w:line="240" w:lineRule="auto" w:before="77"/>
              <w:ind w:left="482" w:right="0"/>
              <w:jc w:val="left"/>
              <w:rPr>
                <w:rFonts w:ascii="宋体" w:hAnsi="宋体" w:cs="宋体" w:eastAsia="宋体" w:hint="default"/>
                <w:sz w:val="18"/>
                <w:szCs w:val="18"/>
              </w:rPr>
            </w:pPr>
            <w:r>
              <w:rPr>
                <w:rFonts w:ascii="宋体"/>
                <w:sz w:val="18"/>
              </w:rPr>
              <w:t>873</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3,180,00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1349" w:type="dxa"/>
            <w:gridSpan w:val="2"/>
            <w:tcBorders>
              <w:top w:val="single" w:sz="48" w:space="0" w:color="D2D2D2"/>
              <w:left w:val="single" w:sz="4" w:space="0" w:color="000000"/>
              <w:bottom w:val="single" w:sz="4" w:space="0" w:color="000000"/>
              <w:right w:val="single" w:sz="4" w:space="0" w:color="000000"/>
            </w:tcBorders>
          </w:tcPr>
          <w:p>
            <w:pPr/>
          </w:p>
        </w:tc>
        <w:tc>
          <w:tcPr>
            <w:tcW w:w="1349" w:type="dxa"/>
            <w:gridSpan w:val="3"/>
            <w:tcBorders>
              <w:top w:val="single" w:sz="48" w:space="0" w:color="D2D2D2"/>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智度集团有限公 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
              <w:jc w:val="right"/>
              <w:rPr>
                <w:rFonts w:ascii="宋体" w:hAnsi="宋体" w:cs="宋体" w:eastAsia="宋体" w:hint="default"/>
                <w:sz w:val="18"/>
                <w:szCs w:val="18"/>
              </w:rPr>
            </w:pPr>
            <w:r>
              <w:rPr>
                <w:rFonts w:ascii="宋体"/>
                <w:sz w:val="18"/>
              </w:rPr>
              <w:t>7.21%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69,633,1</w:t>
            </w:r>
          </w:p>
          <w:p>
            <w:pPr>
              <w:pStyle w:val="TableParagraph"/>
              <w:spacing w:line="240" w:lineRule="auto" w:before="77"/>
              <w:ind w:right="23"/>
              <w:jc w:val="right"/>
              <w:rPr>
                <w:rFonts w:ascii="宋体" w:hAnsi="宋体" w:cs="宋体" w:eastAsia="宋体" w:hint="default"/>
                <w:sz w:val="18"/>
                <w:szCs w:val="18"/>
              </w:rPr>
            </w:pPr>
            <w:r>
              <w:rPr>
                <w:rFonts w:ascii="宋体"/>
                <w:sz w:val="18"/>
              </w:rPr>
              <w:t>87</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69,633,1</w:t>
            </w:r>
          </w:p>
          <w:p>
            <w:pPr>
              <w:pStyle w:val="TableParagraph"/>
              <w:spacing w:line="240" w:lineRule="auto" w:before="77"/>
              <w:ind w:right="23"/>
              <w:jc w:val="right"/>
              <w:rPr>
                <w:rFonts w:ascii="宋体" w:hAnsi="宋体" w:cs="宋体" w:eastAsia="宋体" w:hint="default"/>
                <w:sz w:val="18"/>
                <w:szCs w:val="18"/>
              </w:rPr>
            </w:pPr>
            <w:r>
              <w:rPr>
                <w:rFonts w:ascii="宋体"/>
                <w:sz w:val="18"/>
              </w:rPr>
              <w:t>87</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sz w:val="18"/>
              </w:rPr>
              <w:t>69,630,300</w:t>
            </w:r>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69"/>
        <w:gridCol w:w="1412"/>
        <w:gridCol w:w="788"/>
        <w:gridCol w:w="786"/>
        <w:gridCol w:w="788"/>
        <w:gridCol w:w="786"/>
        <w:gridCol w:w="840"/>
        <w:gridCol w:w="1349"/>
        <w:gridCol w:w="1349"/>
      </w:tblGrid>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西藏旭赢百年投 资有限公司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6.52%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63,000,0</w:t>
            </w:r>
          </w:p>
          <w:p>
            <w:pPr>
              <w:pStyle w:val="TableParagraph"/>
              <w:spacing w:line="240" w:lineRule="auto" w:before="77"/>
              <w:ind w:right="23"/>
              <w:jc w:val="right"/>
              <w:rPr>
                <w:rFonts w:ascii="宋体" w:hAnsi="宋体" w:cs="宋体" w:eastAsia="宋体" w:hint="default"/>
                <w:sz w:val="18"/>
                <w:szCs w:val="18"/>
              </w:rPr>
            </w:pPr>
            <w:r>
              <w:rPr>
                <w:rFonts w:ascii="宋体"/>
                <w:sz w:val="18"/>
              </w:rPr>
              <w:t>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sz w:val="18"/>
              </w:rPr>
              <w:t>63000000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63,000,0</w:t>
            </w:r>
          </w:p>
          <w:p>
            <w:pPr>
              <w:pStyle w:val="TableParagraph"/>
              <w:spacing w:line="240" w:lineRule="auto" w:before="77"/>
              <w:ind w:right="23"/>
              <w:jc w:val="right"/>
              <w:rPr>
                <w:rFonts w:ascii="宋体" w:hAnsi="宋体" w:cs="宋体" w:eastAsia="宋体" w:hint="default"/>
                <w:sz w:val="18"/>
                <w:szCs w:val="18"/>
              </w:rPr>
            </w:pPr>
            <w:r>
              <w:rPr>
                <w:rFonts w:ascii="宋体"/>
                <w:sz w:val="18"/>
              </w:rPr>
              <w:t>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上海易晋网络科 技有限公司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4.46%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43,106,1</w:t>
            </w:r>
          </w:p>
          <w:p>
            <w:pPr>
              <w:pStyle w:val="TableParagraph"/>
              <w:spacing w:line="240" w:lineRule="auto" w:before="77"/>
              <w:ind w:right="23"/>
              <w:jc w:val="right"/>
              <w:rPr>
                <w:rFonts w:ascii="宋体" w:hAnsi="宋体" w:cs="宋体" w:eastAsia="宋体" w:hint="default"/>
                <w:sz w:val="18"/>
                <w:szCs w:val="18"/>
              </w:rPr>
            </w:pPr>
            <w:r>
              <w:rPr>
                <w:rFonts w:ascii="宋体"/>
                <w:sz w:val="18"/>
              </w:rPr>
              <w:t>17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43,106,1</w:t>
            </w:r>
          </w:p>
          <w:p>
            <w:pPr>
              <w:pStyle w:val="TableParagraph"/>
              <w:spacing w:line="240" w:lineRule="auto" w:before="77"/>
              <w:ind w:right="23"/>
              <w:jc w:val="right"/>
              <w:rPr>
                <w:rFonts w:ascii="宋体" w:hAnsi="宋体" w:cs="宋体" w:eastAsia="宋体" w:hint="default"/>
                <w:sz w:val="18"/>
                <w:szCs w:val="18"/>
              </w:rPr>
            </w:pPr>
            <w:r>
              <w:rPr>
                <w:rFonts w:ascii="宋体"/>
                <w:sz w:val="18"/>
              </w:rPr>
              <w:t>17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34,480,000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3.96%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38,233,0</w:t>
            </w:r>
          </w:p>
          <w:p>
            <w:pPr>
              <w:pStyle w:val="TableParagraph"/>
              <w:spacing w:line="240" w:lineRule="auto" w:before="77"/>
              <w:ind w:right="23"/>
              <w:jc w:val="right"/>
              <w:rPr>
                <w:rFonts w:ascii="宋体" w:hAnsi="宋体" w:cs="宋体" w:eastAsia="宋体" w:hint="default"/>
                <w:sz w:val="18"/>
                <w:szCs w:val="18"/>
              </w:rPr>
            </w:pPr>
            <w:r>
              <w:rPr>
                <w:rFonts w:ascii="宋体"/>
                <w:sz w:val="18"/>
              </w:rPr>
              <w:t>39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36,321,3</w:t>
            </w:r>
          </w:p>
          <w:p>
            <w:pPr>
              <w:pStyle w:val="TableParagraph"/>
              <w:spacing w:line="240" w:lineRule="auto" w:before="77"/>
              <w:ind w:right="23"/>
              <w:jc w:val="right"/>
              <w:rPr>
                <w:rFonts w:ascii="宋体" w:hAnsi="宋体" w:cs="宋体" w:eastAsia="宋体" w:hint="default"/>
                <w:sz w:val="18"/>
                <w:szCs w:val="18"/>
              </w:rPr>
            </w:pPr>
            <w:r>
              <w:rPr>
                <w:rFonts w:ascii="宋体"/>
                <w:sz w:val="18"/>
              </w:rPr>
              <w:t>88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1,911,65</w:t>
            </w:r>
          </w:p>
          <w:p>
            <w:pPr>
              <w:pStyle w:val="TableParagraph"/>
              <w:spacing w:line="240" w:lineRule="auto" w:before="77"/>
              <w:ind w:right="23"/>
              <w:jc w:val="right"/>
              <w:rPr>
                <w:rFonts w:ascii="宋体" w:hAnsi="宋体" w:cs="宋体" w:eastAsia="宋体" w:hint="default"/>
                <w:sz w:val="18"/>
                <w:szCs w:val="18"/>
              </w:rPr>
            </w:pPr>
            <w:r>
              <w:rPr>
                <w:rFonts w:ascii="宋体"/>
                <w:sz w:val="18"/>
              </w:rPr>
              <w:t>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22,000,000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上海今耀投资控 股有限公司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3.38%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32,658,8</w:t>
            </w:r>
          </w:p>
          <w:p>
            <w:pPr>
              <w:pStyle w:val="TableParagraph"/>
              <w:spacing w:line="240" w:lineRule="auto" w:before="77"/>
              <w:ind w:right="23"/>
              <w:jc w:val="right"/>
              <w:rPr>
                <w:rFonts w:ascii="宋体" w:hAnsi="宋体" w:cs="宋体" w:eastAsia="宋体" w:hint="default"/>
                <w:sz w:val="18"/>
                <w:szCs w:val="18"/>
              </w:rPr>
            </w:pPr>
            <w:r>
              <w:rPr>
                <w:rFonts w:ascii="宋体"/>
                <w:sz w:val="18"/>
              </w:rPr>
              <w:t>82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32,658,8</w:t>
            </w:r>
          </w:p>
          <w:p>
            <w:pPr>
              <w:pStyle w:val="TableParagraph"/>
              <w:spacing w:line="240" w:lineRule="auto" w:before="77"/>
              <w:ind w:left="22" w:right="0"/>
              <w:jc w:val="left"/>
              <w:rPr>
                <w:rFonts w:ascii="宋体" w:hAnsi="宋体" w:cs="宋体" w:eastAsia="宋体" w:hint="default"/>
                <w:sz w:val="18"/>
                <w:szCs w:val="18"/>
              </w:rPr>
            </w:pPr>
            <w:r>
              <w:rPr>
                <w:rFonts w:ascii="宋体"/>
                <w:sz w:val="18"/>
              </w:rPr>
              <w:t>82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32,658,8</w:t>
            </w:r>
          </w:p>
          <w:p>
            <w:pPr>
              <w:pStyle w:val="TableParagraph"/>
              <w:spacing w:line="240" w:lineRule="auto" w:before="77"/>
              <w:ind w:right="23"/>
              <w:jc w:val="right"/>
              <w:rPr>
                <w:rFonts w:ascii="宋体" w:hAnsi="宋体" w:cs="宋体" w:eastAsia="宋体" w:hint="default"/>
                <w:sz w:val="18"/>
                <w:szCs w:val="18"/>
              </w:rPr>
            </w:pPr>
            <w:r>
              <w:rPr>
                <w:rFonts w:ascii="宋体"/>
                <w:sz w:val="18"/>
              </w:rPr>
              <w:t>82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26,080,000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李向清</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2.49%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24,000,0</w:t>
            </w:r>
          </w:p>
          <w:p>
            <w:pPr>
              <w:pStyle w:val="TableParagraph"/>
              <w:spacing w:line="240" w:lineRule="auto" w:before="77"/>
              <w:ind w:right="23"/>
              <w:jc w:val="right"/>
              <w:rPr>
                <w:rFonts w:ascii="宋体" w:hAnsi="宋体" w:cs="宋体" w:eastAsia="宋体" w:hint="default"/>
                <w:sz w:val="18"/>
                <w:szCs w:val="18"/>
              </w:rPr>
            </w:pPr>
            <w:r>
              <w:rPr>
                <w:rFonts w:ascii="宋体"/>
                <w:sz w:val="18"/>
              </w:rPr>
              <w:t>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24,000,0</w:t>
            </w:r>
          </w:p>
          <w:p>
            <w:pPr>
              <w:pStyle w:val="TableParagraph"/>
              <w:spacing w:line="240" w:lineRule="auto" w:before="77"/>
              <w:ind w:right="23"/>
              <w:jc w:val="right"/>
              <w:rPr>
                <w:rFonts w:ascii="宋体" w:hAnsi="宋体" w:cs="宋体" w:eastAsia="宋体" w:hint="default"/>
                <w:sz w:val="18"/>
                <w:szCs w:val="18"/>
              </w:rPr>
            </w:pPr>
            <w:r>
              <w:rPr>
                <w:rFonts w:ascii="宋体"/>
                <w:sz w:val="18"/>
              </w:rPr>
              <w:t>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22,499,998</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深圳市隽川科技 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2.14%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20,688,3</w:t>
            </w:r>
          </w:p>
          <w:p>
            <w:pPr>
              <w:pStyle w:val="TableParagraph"/>
              <w:spacing w:line="240" w:lineRule="auto" w:before="77"/>
              <w:ind w:right="23"/>
              <w:jc w:val="right"/>
              <w:rPr>
                <w:rFonts w:ascii="宋体" w:hAnsi="宋体" w:cs="宋体" w:eastAsia="宋体" w:hint="default"/>
                <w:sz w:val="18"/>
                <w:szCs w:val="18"/>
              </w:rPr>
            </w:pPr>
            <w:r>
              <w:rPr>
                <w:rFonts w:ascii="宋体"/>
                <w:sz w:val="18"/>
              </w:rPr>
              <w:t>52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20,688,3</w:t>
            </w:r>
          </w:p>
          <w:p>
            <w:pPr>
              <w:pStyle w:val="TableParagraph"/>
              <w:spacing w:line="240" w:lineRule="auto" w:before="77"/>
              <w:ind w:right="23"/>
              <w:jc w:val="right"/>
              <w:rPr>
                <w:rFonts w:ascii="宋体" w:hAnsi="宋体" w:cs="宋体" w:eastAsia="宋体" w:hint="default"/>
                <w:sz w:val="18"/>
                <w:szCs w:val="18"/>
              </w:rPr>
            </w:pPr>
            <w:r>
              <w:rPr>
                <w:rFonts w:ascii="宋体"/>
                <w:sz w:val="18"/>
              </w:rPr>
              <w:t>52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15,213,000</w:t>
            </w: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拉萨经济技术开 发区智恒咨询有 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1.77%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17,112,2</w:t>
            </w:r>
          </w:p>
          <w:p>
            <w:pPr>
              <w:pStyle w:val="TableParagraph"/>
              <w:spacing w:line="240" w:lineRule="auto" w:before="77"/>
              <w:ind w:right="23"/>
              <w:jc w:val="right"/>
              <w:rPr>
                <w:rFonts w:ascii="宋体" w:hAnsi="宋体" w:cs="宋体" w:eastAsia="宋体" w:hint="default"/>
                <w:sz w:val="18"/>
                <w:szCs w:val="18"/>
              </w:rPr>
            </w:pPr>
            <w:r>
              <w:rPr>
                <w:rFonts w:ascii="宋体"/>
                <w:sz w:val="18"/>
              </w:rPr>
              <w:t>82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17,112,2</w:t>
            </w:r>
          </w:p>
          <w:p>
            <w:pPr>
              <w:pStyle w:val="TableParagraph"/>
              <w:spacing w:line="240" w:lineRule="auto" w:before="77"/>
              <w:ind w:right="23"/>
              <w:jc w:val="right"/>
              <w:rPr>
                <w:rFonts w:ascii="宋体" w:hAnsi="宋体" w:cs="宋体" w:eastAsia="宋体" w:hint="default"/>
                <w:sz w:val="18"/>
                <w:szCs w:val="18"/>
              </w:rPr>
            </w:pPr>
            <w:r>
              <w:rPr>
                <w:rFonts w:ascii="宋体"/>
                <w:sz w:val="18"/>
              </w:rPr>
              <w:t>82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17,110,000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深圳市零零伍科 技有限公司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0.95%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9,176,11</w:t>
            </w:r>
          </w:p>
          <w:p>
            <w:pPr>
              <w:pStyle w:val="TableParagraph"/>
              <w:spacing w:line="240" w:lineRule="auto" w:before="77"/>
              <w:ind w:right="23"/>
              <w:jc w:val="right"/>
              <w:rPr>
                <w:rFonts w:ascii="宋体" w:hAnsi="宋体" w:cs="宋体" w:eastAsia="宋体" w:hint="default"/>
                <w:sz w:val="18"/>
                <w:szCs w:val="18"/>
              </w:rPr>
            </w:pPr>
            <w:r>
              <w:rPr>
                <w:rFonts w:ascii="宋体"/>
                <w:sz w:val="18"/>
              </w:rPr>
              <w:t>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9,176,11</w:t>
            </w:r>
          </w:p>
          <w:p>
            <w:pPr>
              <w:pStyle w:val="TableParagraph"/>
              <w:spacing w:line="240" w:lineRule="auto" w:before="77"/>
              <w:ind w:right="23"/>
              <w:jc w:val="right"/>
              <w:rPr>
                <w:rFonts w:ascii="宋体" w:hAnsi="宋体" w:cs="宋体" w:eastAsia="宋体" w:hint="default"/>
                <w:sz w:val="18"/>
                <w:szCs w:val="18"/>
              </w:rPr>
            </w:pPr>
            <w:r>
              <w:rPr>
                <w:rFonts w:ascii="宋体"/>
                <w:sz w:val="18"/>
              </w:rPr>
              <w:t>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9,000,000</w:t>
            </w: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宋体" w:hAnsi="宋体" w:cs="宋体" w:eastAsia="宋体" w:hint="default"/>
                <w:sz w:val="18"/>
                <w:szCs w:val="18"/>
              </w:rPr>
              <w:t>10</w:t>
            </w:r>
            <w:r>
              <w:rPr>
                <w:rFonts w:ascii="宋体" w:hAnsi="宋体" w:cs="宋体" w:eastAsia="宋体" w:hint="default"/>
                <w:spacing w:val="-42"/>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70"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7"/>
            <w:vMerge w:val="restart"/>
            <w:tcBorders>
              <w:top w:val="single" w:sz="4" w:space="0" w:color="000000"/>
              <w:left w:val="single" w:sz="10" w:space="0" w:color="D2D2D2"/>
              <w:right w:val="single" w:sz="4" w:space="0" w:color="000000"/>
            </w:tcBorders>
          </w:tcPr>
          <w:p>
            <w:pPr>
              <w:pStyle w:val="TableParagraph"/>
              <w:spacing w:line="338" w:lineRule="auto" w:before="51"/>
              <w:ind w:left="15" w:right="82"/>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、智度集团有限公司、拉萨经济技术开发区智恒咨询有限公司是公司控股股东北京 智度德普股权投资中心（有限合伙）的一致行动人； </w:t>
            </w:r>
            <w:r>
              <w:rPr>
                <w:rFonts w:ascii="宋体" w:hAnsi="宋体" w:cs="宋体" w:eastAsia="宋体" w:hint="default"/>
                <w:sz w:val="18"/>
                <w:szCs w:val="18"/>
              </w:rPr>
              <w:t>2</w:t>
            </w:r>
            <w:r>
              <w:rPr>
                <w:rFonts w:ascii="宋体" w:hAnsi="宋体" w:cs="宋体" w:eastAsia="宋体" w:hint="default"/>
                <w:sz w:val="18"/>
                <w:szCs w:val="18"/>
              </w:rPr>
              <w:t>、上海易晋网络科技有限公司和上海今耀投资控股有限公司为肖燕女士同一控制下</w:t>
            </w:r>
          </w:p>
          <w:p>
            <w:pPr>
              <w:pStyle w:val="TableParagraph"/>
              <w:spacing w:line="240" w:lineRule="auto" w:before="4"/>
              <w:ind w:left="15" w:right="0"/>
              <w:jc w:val="left"/>
              <w:rPr>
                <w:rFonts w:ascii="宋体" w:hAnsi="宋体" w:cs="宋体" w:eastAsia="宋体" w:hint="default"/>
                <w:sz w:val="18"/>
                <w:szCs w:val="18"/>
              </w:rPr>
            </w:pPr>
            <w:r>
              <w:rPr>
                <w:rFonts w:ascii="宋体" w:hAnsi="宋体" w:cs="宋体" w:eastAsia="宋体" w:hint="default"/>
                <w:sz w:val="18"/>
                <w:szCs w:val="18"/>
              </w:rPr>
              <w:t>的一致行动人。</w:t>
            </w:r>
          </w:p>
          <w:p>
            <w:pPr>
              <w:pStyle w:val="TableParagraph"/>
              <w:spacing w:line="319" w:lineRule="auto" w:before="115"/>
              <w:ind w:left="15" w:right="21"/>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、除此之外，未知其他前</w:t>
            </w:r>
            <w:r>
              <w:rPr>
                <w:rFonts w:ascii="宋体" w:hAnsi="宋体" w:cs="宋体" w:eastAsia="宋体" w:hint="default"/>
                <w:spacing w:val="-58"/>
                <w:sz w:val="18"/>
                <w:szCs w:val="18"/>
              </w:rPr>
              <w:t> </w:t>
            </w:r>
            <w:r>
              <w:rPr>
                <w:rFonts w:ascii="宋体" w:hAnsi="宋体" w:cs="宋体" w:eastAsia="宋体" w:hint="default"/>
                <w:sz w:val="18"/>
                <w:szCs w:val="18"/>
              </w:rPr>
              <w:t>10</w:t>
            </w:r>
            <w:r>
              <w:rPr>
                <w:rFonts w:ascii="宋体" w:hAnsi="宋体" w:cs="宋体" w:eastAsia="宋体" w:hint="default"/>
                <w:spacing w:val="-58"/>
                <w:sz w:val="18"/>
                <w:szCs w:val="18"/>
              </w:rPr>
              <w:t> </w:t>
            </w:r>
            <w:r>
              <w:rPr>
                <w:rFonts w:ascii="宋体" w:hAnsi="宋体" w:cs="宋体" w:eastAsia="宋体" w:hint="default"/>
                <w:sz w:val="18"/>
                <w:szCs w:val="18"/>
              </w:rPr>
              <w:t>名股东之间是否存在关联关系或属于《上市公司收购管 理办法》规定的一致行动人。</w:t>
            </w:r>
          </w:p>
        </w:tc>
      </w:tr>
      <w:tr>
        <w:trPr>
          <w:trHeight w:val="703" w:hRule="exact"/>
        </w:trPr>
        <w:tc>
          <w:tcPr>
            <w:tcW w:w="288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vMerge/>
            <w:tcBorders>
              <w:left w:val="single" w:sz="10" w:space="0" w:color="D2D2D2"/>
              <w:right w:val="single" w:sz="4" w:space="0" w:color="000000"/>
            </w:tcBorders>
          </w:tcPr>
          <w:p>
            <w:pPr/>
          </w:p>
        </w:tc>
      </w:tr>
      <w:tr>
        <w:trPr>
          <w:trHeight w:val="670"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7"/>
            <w:vMerge/>
            <w:tcBorders>
              <w:left w:val="single" w:sz="10" w:space="0" w:color="D2D2D2"/>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名无限售条件股东持股情况</w:t>
            </w:r>
          </w:p>
        </w:tc>
      </w:tr>
      <w:tr>
        <w:trPr>
          <w:trHeight w:val="205"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西藏旭赢百年投资有限公司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63,000,000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李向清</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24,000,000</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北京智度德普股权投资中心（有限合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伙）</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3,180,000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3,180,000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3,088,614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3,088,614</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赵兴宝</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2,480,290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2,480,290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郭旭</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2,380,409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2,380,409</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王钧</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2,180,655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2,180,655</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唐梦华</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2,049,950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2,049,950</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82"/>
        <w:gridCol w:w="3989"/>
        <w:gridCol w:w="1349"/>
        <w:gridCol w:w="1349"/>
      </w:tblGrid>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1,911,651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1,911,651</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李国辉</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1,190,600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1,190,600</w:t>
            </w:r>
          </w:p>
        </w:tc>
      </w:tr>
      <w:tr>
        <w:trPr>
          <w:trHeight w:val="1691"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名无限售流通股股东之间，以</w:t>
            </w:r>
          </w:p>
          <w:p>
            <w:pPr>
              <w:pStyle w:val="TableParagraph"/>
              <w:spacing w:line="319" w:lineRule="auto" w:before="75"/>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9"/>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宋体" w:hAnsi="宋体" w:cs="宋体" w:eastAsia="宋体" w:hint="default"/>
                <w:sz w:val="18"/>
                <w:szCs w:val="18"/>
              </w:rPr>
              <w:t>10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、北京智度德普股权投资中心（有限合伙）与公司股东智度集团有限公司、拉萨经 济技术开发区智恒咨询有限公司互为一致行动人；</w:t>
            </w:r>
          </w:p>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、除此之外，未知前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名无限售流通股股东</w:t>
            </w:r>
          </w:p>
          <w:p>
            <w:pPr>
              <w:pStyle w:val="TableParagraph"/>
              <w:spacing w:line="319" w:lineRule="auto" w:before="76"/>
              <w:ind w:left="22" w:right="82"/>
              <w:jc w:val="left"/>
              <w:rPr>
                <w:rFonts w:ascii="宋体" w:hAnsi="宋体" w:cs="宋体" w:eastAsia="宋体" w:hint="default"/>
                <w:sz w:val="18"/>
                <w:szCs w:val="18"/>
              </w:rPr>
            </w:pPr>
            <w:r>
              <w:rPr>
                <w:rFonts w:ascii="宋体" w:hAnsi="宋体" w:cs="宋体" w:eastAsia="宋体" w:hint="default"/>
                <w:sz w:val="18"/>
                <w:szCs w:val="18"/>
              </w:rPr>
              <w:t>和前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名股东之间是否存在关联关系或属于《上市公司收购管理办法》规定的一致 行动人。</w:t>
            </w:r>
          </w:p>
        </w:tc>
      </w:tr>
    </w:tbl>
    <w:p>
      <w:pPr>
        <w:pStyle w:val="BodyText"/>
        <w:spacing w:line="240" w:lineRule="auto" w:before="51"/>
        <w:ind w:right="0"/>
        <w:jc w:val="left"/>
      </w:pPr>
      <w:r>
        <w:rPr/>
        <w:t>公司前</w:t>
      </w:r>
      <w:r>
        <w:rPr>
          <w:spacing w:val="-46"/>
        </w:rPr>
        <w:t> </w:t>
      </w:r>
      <w:r>
        <w:rPr>
          <w:rFonts w:ascii="宋体" w:hAnsi="宋体" w:cs="宋体" w:eastAsia="宋体" w:hint="default"/>
        </w:rPr>
        <w:t>10</w:t>
      </w:r>
      <w:r>
        <w:rPr>
          <w:rFonts w:ascii="宋体" w:hAnsi="宋体" w:cs="宋体" w:eastAsia="宋体" w:hint="default"/>
          <w:spacing w:val="-46"/>
        </w:rPr>
        <w:t> </w:t>
      </w:r>
      <w:r>
        <w:rPr/>
        <w:t>名普通股股东、前</w:t>
      </w:r>
      <w:r>
        <w:rPr>
          <w:spacing w:val="-46"/>
        </w:rPr>
        <w:t> </w:t>
      </w:r>
      <w:r>
        <w:rPr>
          <w:rFonts w:ascii="宋体" w:hAnsi="宋体" w:cs="宋体" w:eastAsia="宋体" w:hint="default"/>
        </w:rPr>
        <w:t>10</w:t>
      </w:r>
      <w:r>
        <w:rPr>
          <w:rFonts w:ascii="宋体" w:hAnsi="宋体" w:cs="宋体" w:eastAsia="宋体" w:hint="default"/>
          <w:spacing w:val="-46"/>
        </w:rPr>
        <w:t> </w:t>
      </w:r>
      <w:r>
        <w:rPr/>
        <w:t>名无限售条件普通股股东在报告期内是否进行约定购回交易</w:t>
      </w:r>
    </w:p>
    <w:p>
      <w:pPr>
        <w:pStyle w:val="BodyText"/>
        <w:spacing w:line="240" w:lineRule="auto" w:before="116"/>
        <w:ind w:left="153" w:right="0"/>
        <w:jc w:val="left"/>
      </w:pPr>
      <w:r>
        <w:rPr/>
        <w:t>□ 是 √ 否</w:t>
      </w:r>
    </w:p>
    <w:p>
      <w:pPr>
        <w:pStyle w:val="BodyText"/>
        <w:spacing w:line="240" w:lineRule="auto" w:before="117"/>
        <w:ind w:left="153" w:right="0"/>
        <w:jc w:val="left"/>
      </w:pPr>
      <w:r>
        <w:rPr/>
        <w:t>公司前</w:t>
      </w:r>
      <w:r>
        <w:rPr>
          <w:spacing w:val="-46"/>
        </w:rPr>
        <w:t> </w:t>
      </w:r>
      <w:r>
        <w:rPr>
          <w:rFonts w:ascii="宋体" w:hAnsi="宋体" w:cs="宋体" w:eastAsia="宋体" w:hint="default"/>
        </w:rPr>
        <w:t>10</w:t>
      </w:r>
      <w:r>
        <w:rPr>
          <w:rFonts w:ascii="宋体" w:hAnsi="宋体" w:cs="宋体" w:eastAsia="宋体" w:hint="default"/>
          <w:spacing w:val="-46"/>
        </w:rPr>
        <w:t> </w:t>
      </w:r>
      <w:r>
        <w:rPr/>
        <w:t>名普通股股东、前</w:t>
      </w:r>
      <w:r>
        <w:rPr>
          <w:spacing w:val="-46"/>
        </w:rPr>
        <w:t> </w:t>
      </w:r>
      <w:r>
        <w:rPr>
          <w:rFonts w:ascii="宋体" w:hAnsi="宋体" w:cs="宋体" w:eastAsia="宋体" w:hint="default"/>
        </w:rPr>
        <w:t>10</w:t>
      </w:r>
      <w:r>
        <w:rPr>
          <w:rFonts w:ascii="宋体" w:hAnsi="宋体" w:cs="宋体" w:eastAsia="宋体" w:hint="default"/>
          <w:spacing w:val="-46"/>
        </w:rPr>
        <w:t> </w:t>
      </w:r>
      <w:r>
        <w:rPr/>
        <w:t>名无限售条件普通股股东在报告期内未进行约定购回交易。</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2、公司控股股东情况" w:id="117"/>
      <w:bookmarkEnd w:id="117"/>
      <w:r>
        <w:rPr>
          <w:b w:val="0"/>
          <w:bCs w:val="0"/>
        </w:rPr>
      </w:r>
      <w:r>
        <w:rPr>
          <w:rFonts w:ascii="宋体" w:hAnsi="宋体" w:cs="宋体" w:eastAsia="宋体" w:hint="default"/>
        </w:rPr>
        <w:t>2</w:t>
      </w:r>
      <w:r>
        <w:rPr/>
        <w:t>、公司控股股东情况</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153" w:right="8593"/>
        <w:jc w:val="left"/>
      </w:pPr>
      <w:r>
        <w:rPr/>
        <w:t>控股股东性质：自然人控股 控股股东类型：法人</w:t>
      </w:r>
    </w:p>
    <w:tbl>
      <w:tblPr>
        <w:tblW w:w="0" w:type="auto"/>
        <w:jc w:val="left"/>
        <w:tblInd w:w="149" w:type="dxa"/>
        <w:tblLayout w:type="fixed"/>
        <w:tblCellMar>
          <w:top w:w="0" w:type="dxa"/>
          <w:left w:w="0" w:type="dxa"/>
          <w:bottom w:w="0" w:type="dxa"/>
          <w:right w:w="0" w:type="dxa"/>
        </w:tblCellMar>
        <w:tblLook w:val="01E0"/>
      </w:tblPr>
      <w:tblGrid>
        <w:gridCol w:w="2265"/>
        <w:gridCol w:w="1616"/>
        <w:gridCol w:w="1722"/>
        <w:gridCol w:w="1880"/>
        <w:gridCol w:w="2087"/>
      </w:tblGrid>
      <w:tr>
        <w:trPr>
          <w:trHeight w:val="713"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21" w:right="36" w:hanging="585"/>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w:t>
            </w:r>
            <w:r>
              <w:rPr>
                <w:rFonts w:ascii="宋体" w:hAnsi="宋体" w:cs="宋体" w:eastAsia="宋体" w:hint="default"/>
                <w:sz w:val="18"/>
                <w:szCs w:val="18"/>
              </w:rPr>
              <w:t>单位负 责人</w:t>
            </w:r>
          </w:p>
        </w:tc>
        <w:tc>
          <w:tcPr>
            <w:tcW w:w="1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5"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北京智度德普股权投资中心</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智度集团有限公司</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91110113318376753K</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投资管理、资产管理、投 资咨询、项目投资。</w:t>
            </w:r>
          </w:p>
        </w:tc>
      </w:tr>
    </w:tbl>
    <w:p>
      <w:pPr>
        <w:pStyle w:val="BodyText"/>
        <w:spacing w:line="240" w:lineRule="auto" w:before="68"/>
        <w:ind w:right="0"/>
        <w:jc w:val="left"/>
      </w:pPr>
      <w:r>
        <w:rPr/>
        <w:t>控股股东报告期内变更</w:t>
      </w:r>
    </w:p>
    <w:p>
      <w:pPr>
        <w:pStyle w:val="BodyText"/>
        <w:spacing w:line="360" w:lineRule="auto" w:before="116"/>
        <w:ind w:right="8052"/>
        <w:jc w:val="left"/>
      </w:pPr>
      <w:r>
        <w:rPr/>
        <w:t>□ 适用 √ 不适用 公司报告期控股股东未发生变更。</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公司实际控制人情况" w:id="118"/>
      <w:bookmarkEnd w:id="118"/>
      <w:r>
        <w:rPr>
          <w:b w:val="0"/>
          <w:bCs w:val="0"/>
        </w:rPr>
      </w:r>
      <w:r>
        <w:rPr>
          <w:rFonts w:ascii="宋体" w:hAnsi="宋体" w:cs="宋体" w:eastAsia="宋体" w:hint="default"/>
        </w:rPr>
        <w:t>3</w:t>
      </w:r>
      <w:r>
        <w:rPr/>
        <w:t>、公司实际控制人情况</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right="8412"/>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328"/>
        <w:gridCol w:w="1994"/>
        <w:gridCol w:w="4247"/>
      </w:tblGrid>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2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57"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吴红心</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84"/>
              <w:jc w:val="both"/>
              <w:rPr>
                <w:rFonts w:ascii="宋体" w:hAnsi="宋体" w:cs="宋体" w:eastAsia="宋体" w:hint="default"/>
                <w:sz w:val="18"/>
                <w:szCs w:val="18"/>
              </w:rPr>
            </w:pPr>
            <w:r>
              <w:rPr>
                <w:rFonts w:ascii="宋体" w:hAnsi="宋体" w:cs="宋体" w:eastAsia="宋体" w:hint="default"/>
                <w:sz w:val="18"/>
                <w:szCs w:val="18"/>
              </w:rPr>
              <w:t>任浙江中胜实业集团有限公司、浙江星联合能源技术有限公司、杭州中胜智能 科技有限公司杭州中胜燃料有限公司执行董事，上海胜福威热投资中心（有限 合伙）执行事务合伙人，浙江浙大网新联合技术发展有限公司、杭州路招网络 科技有限公司董事长，四川华都置业有限公司、山西保利裕丰煤业有限公司、 蚌埠农村商业银行股份有限公司、贵州航宇科技发展股份有限公司董事等职。</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年曾控股的境内外上市公司情况</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0"/>
        <w:jc w:val="left"/>
      </w:pPr>
      <w:r>
        <w:rPr/>
        <w:t>实际控制人报告期内变更</w:t>
      </w:r>
    </w:p>
    <w:p>
      <w:pPr>
        <w:pStyle w:val="BodyText"/>
        <w:spacing w:line="360" w:lineRule="auto" w:before="116"/>
        <w:ind w:right="6792"/>
        <w:jc w:val="left"/>
      </w:pPr>
      <w:r>
        <w:rPr/>
        <w:t>□ 适用 √ 不适用 公司报告期实际控制人未发生变更。 公司与实际控制人之间的产权及控制关系的方框图</w:t>
      </w:r>
    </w:p>
    <w:p>
      <w:pPr>
        <w:spacing w:after="0" w:line="360" w:lineRule="auto"/>
        <w:jc w:val="left"/>
        <w:sectPr>
          <w:pgSz w:w="11910" w:h="16840"/>
          <w:pgMar w:header="877" w:footer="1187" w:top="1100" w:bottom="1380" w:left="980" w:right="0"/>
        </w:sectPr>
      </w:pPr>
    </w:p>
    <w:p>
      <w:pPr>
        <w:spacing w:line="240" w:lineRule="auto" w:before="4"/>
        <w:rPr>
          <w:rFonts w:ascii="宋体" w:hAnsi="宋体" w:cs="宋体" w:eastAsia="宋体" w:hint="default"/>
          <w:sz w:val="27"/>
          <w:szCs w:val="27"/>
        </w:rPr>
      </w:pPr>
    </w:p>
    <w:p>
      <w:pPr>
        <w:spacing w:line="3684" w:lineRule="exact"/>
        <w:ind w:left="2562" w:right="0" w:firstLine="0"/>
        <w:rPr>
          <w:rFonts w:ascii="宋体" w:hAnsi="宋体" w:cs="宋体" w:eastAsia="宋体" w:hint="default"/>
          <w:sz w:val="20"/>
          <w:szCs w:val="20"/>
        </w:rPr>
      </w:pPr>
      <w:r>
        <w:rPr>
          <w:rFonts w:ascii="宋体" w:hAnsi="宋体" w:cs="宋体" w:eastAsia="宋体" w:hint="default"/>
          <w:position w:val="-73"/>
          <w:sz w:val="20"/>
          <w:szCs w:val="20"/>
        </w:rPr>
        <w:drawing>
          <wp:inline distT="0" distB="0" distL="0" distR="0">
            <wp:extent cx="3074226" cy="2339625"/>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55" cstate="print"/>
                    <a:stretch>
                      <a:fillRect/>
                    </a:stretch>
                  </pic:blipFill>
                  <pic:spPr>
                    <a:xfrm>
                      <a:off x="0" y="0"/>
                      <a:ext cx="3074226" cy="2339625"/>
                    </a:xfrm>
                    <a:prstGeom prst="rect">
                      <a:avLst/>
                    </a:prstGeom>
                  </pic:spPr>
                </pic:pic>
              </a:graphicData>
            </a:graphic>
          </wp:inline>
        </w:drawing>
      </w:r>
      <w:r>
        <w:rPr>
          <w:rFonts w:ascii="宋体" w:hAnsi="宋体" w:cs="宋体" w:eastAsia="宋体" w:hint="default"/>
          <w:position w:val="-73"/>
          <w:sz w:val="20"/>
          <w:szCs w:val="20"/>
        </w:rPr>
      </w:r>
    </w:p>
    <w:p>
      <w:pPr>
        <w:spacing w:line="240" w:lineRule="auto" w:before="7"/>
        <w:rPr>
          <w:rFonts w:ascii="宋体" w:hAnsi="宋体" w:cs="宋体" w:eastAsia="宋体" w:hint="default"/>
          <w:sz w:val="14"/>
          <w:szCs w:val="14"/>
        </w:rPr>
      </w:pPr>
    </w:p>
    <w:p>
      <w:pPr>
        <w:pStyle w:val="BodyText"/>
        <w:spacing w:line="240" w:lineRule="auto" w:before="44"/>
        <w:ind w:left="153" w:right="0"/>
        <w:jc w:val="left"/>
      </w:pPr>
      <w:r>
        <w:rPr/>
        <w:t>实际控制人通过信托或其他资产管理方式控制公司</w:t>
      </w:r>
    </w:p>
    <w:p>
      <w:pPr>
        <w:pStyle w:val="BodyText"/>
        <w:spacing w:line="240" w:lineRule="auto" w:before="117"/>
        <w:ind w:left="153"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其他持股在10%以上的法人股东" w:id="119"/>
      <w:bookmarkEnd w:id="119"/>
      <w:r>
        <w:rPr>
          <w:b w:val="0"/>
          <w:bCs w:val="0"/>
        </w:rPr>
      </w:r>
      <w:r>
        <w:rPr>
          <w:rFonts w:ascii="宋体" w:hAnsi="宋体" w:cs="宋体" w:eastAsia="宋体" w:hint="default"/>
        </w:rPr>
        <w:t>4</w:t>
      </w:r>
      <w:r>
        <w:rPr/>
        <w:t>、其他持股在</w:t>
      </w:r>
      <w:r>
        <w:rPr>
          <w:spacing w:val="-56"/>
        </w:rPr>
        <w:t> </w:t>
      </w:r>
      <w:r>
        <w:rPr>
          <w:rFonts w:ascii="宋体" w:hAnsi="宋体" w:cs="宋体" w:eastAsia="宋体" w:hint="default"/>
        </w:rPr>
        <w:t>10%</w:t>
      </w:r>
      <w:r>
        <w:rPr/>
        <w:t>以上的法人股东</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153"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控股股东、实际控制人、重组方及其他承诺主体股份限制减持情况" w:id="120"/>
      <w:bookmarkEnd w:id="120"/>
      <w:r>
        <w:rPr>
          <w:b w:val="0"/>
          <w:bCs w:val="0"/>
        </w:rPr>
      </w:r>
      <w:r>
        <w:rPr>
          <w:rFonts w:ascii="宋体" w:hAnsi="宋体" w:cs="宋体" w:eastAsia="宋体" w:hint="default"/>
        </w:rPr>
        <w:t>5</w:t>
      </w:r>
      <w:r>
        <w:rPr/>
        <w:t>、控股股东、实际控制人、重组方及其他承诺主体股份限制减持情况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after="0" w:line="240" w:lineRule="auto"/>
        <w:jc w:val="left"/>
        <w:sectPr>
          <w:pgSz w:w="11910" w:h="16840"/>
          <w:pgMar w:header="877" w:footer="1187" w:top="110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0"/>
        <w:jc w:val="left"/>
        <w:rPr>
          <w:b w:val="0"/>
          <w:bCs w:val="0"/>
        </w:rPr>
      </w:pPr>
      <w:bookmarkStart w:name="第七节 优先股相关情况" w:id="121"/>
      <w:bookmarkEnd w:id="121"/>
      <w:r>
        <w:rPr>
          <w:b w:val="0"/>
          <w:bCs w:val="0"/>
        </w:rPr>
      </w:r>
      <w:bookmarkStart w:name="_bookmark5" w:id="122"/>
      <w:bookmarkEnd w:id="122"/>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57" w:lineRule="auto" w:before="44"/>
        <w:ind w:right="8592"/>
        <w:jc w:val="left"/>
      </w:pPr>
      <w:r>
        <w:rPr/>
        <w:t>□ 适用 √ 不适用 报告期公司不存在优先股。</w:t>
      </w:r>
    </w:p>
    <w:p>
      <w:pPr>
        <w:spacing w:after="0" w:line="357" w:lineRule="auto"/>
        <w:jc w:val="left"/>
        <w:sectPr>
          <w:pgSz w:w="11910" w:h="16840"/>
          <w:pgMar w:header="877" w:footer="1187" w:top="110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1680" w:right="0"/>
        <w:jc w:val="left"/>
        <w:rPr>
          <w:b w:val="0"/>
          <w:bCs w:val="0"/>
        </w:rPr>
      </w:pPr>
      <w:bookmarkStart w:name="第八节 董事、监事、高级管理人员和员工情况" w:id="123"/>
      <w:bookmarkEnd w:id="123"/>
      <w:r>
        <w:rPr>
          <w:b w:val="0"/>
          <w:bCs w:val="0"/>
        </w:rPr>
      </w:r>
      <w:bookmarkStart w:name="_bookmark6" w:id="124"/>
      <w:bookmarkEnd w:id="124"/>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53" w:right="0"/>
        <w:jc w:val="left"/>
        <w:rPr>
          <w:b w:val="0"/>
          <w:bCs w:val="0"/>
        </w:rPr>
      </w:pPr>
      <w:bookmarkStart w:name="一、董事、监事和高级管理人员持股变动" w:id="125"/>
      <w:bookmarkEnd w:id="125"/>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586"/>
        <w:gridCol w:w="566"/>
        <w:gridCol w:w="993"/>
        <w:gridCol w:w="1046"/>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02" w:right="39" w:hanging="361"/>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27" w:right="67"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赵立仁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01</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熊贵成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2"/>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w:t>
            </w:r>
            <w:r>
              <w:rPr>
                <w:rFonts w:ascii="宋体" w:hAnsi="宋体" w:cs="宋体" w:eastAsia="宋体" w:hint="default"/>
                <w:sz w:val="18"/>
                <w:szCs w:val="18"/>
              </w:rPr>
              <w:t>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01</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01</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段东辉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01</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余应敏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01</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01</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38,233,0</w:t>
            </w:r>
          </w:p>
          <w:p>
            <w:pPr>
              <w:pStyle w:val="TableParagraph"/>
              <w:spacing w:line="240" w:lineRule="auto" w:before="77"/>
              <w:ind w:right="23"/>
              <w:jc w:val="right"/>
              <w:rPr>
                <w:rFonts w:ascii="宋体" w:hAnsi="宋体" w:cs="宋体" w:eastAsia="宋体" w:hint="default"/>
                <w:sz w:val="18"/>
                <w:szCs w:val="18"/>
              </w:rPr>
            </w:pPr>
            <w:r>
              <w:rPr>
                <w:rFonts w:ascii="宋体"/>
                <w:sz w:val="18"/>
              </w:rPr>
              <w:t>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38,233,0</w:t>
            </w:r>
          </w:p>
          <w:p>
            <w:pPr>
              <w:pStyle w:val="TableParagraph"/>
              <w:spacing w:line="240" w:lineRule="auto" w:before="77"/>
              <w:ind w:right="23"/>
              <w:jc w:val="right"/>
              <w:rPr>
                <w:rFonts w:ascii="宋体" w:hAnsi="宋体" w:cs="宋体" w:eastAsia="宋体" w:hint="default"/>
                <w:sz w:val="18"/>
                <w:szCs w:val="18"/>
              </w:rPr>
            </w:pPr>
            <w:r>
              <w:rPr>
                <w:rFonts w:ascii="宋体"/>
                <w:sz w:val="18"/>
              </w:rPr>
              <w:t>39</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汤政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01</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01</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1,983,06</w:t>
            </w:r>
          </w:p>
          <w:p>
            <w:pPr>
              <w:pStyle w:val="TableParagraph"/>
              <w:spacing w:line="240" w:lineRule="auto" w:before="76"/>
              <w:ind w:right="23"/>
              <w:jc w:val="right"/>
              <w:rPr>
                <w:rFonts w:ascii="宋体" w:hAnsi="宋体" w:cs="宋体" w:eastAsia="宋体" w:hint="default"/>
                <w:sz w:val="18"/>
                <w:szCs w:val="18"/>
              </w:rPr>
            </w:pPr>
            <w:r>
              <w:rPr>
                <w:rFonts w:ascii="宋体"/>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1,983,06</w:t>
            </w:r>
          </w:p>
          <w:p>
            <w:pPr>
              <w:pStyle w:val="TableParagraph"/>
              <w:spacing w:line="240" w:lineRule="auto" w:before="76"/>
              <w:ind w:right="23"/>
              <w:jc w:val="right"/>
              <w:rPr>
                <w:rFonts w:ascii="宋体" w:hAnsi="宋体" w:cs="宋体" w:eastAsia="宋体" w:hint="default"/>
                <w:sz w:val="18"/>
                <w:szCs w:val="18"/>
              </w:rPr>
            </w:pPr>
            <w:r>
              <w:rPr>
                <w:rFonts w:ascii="宋体"/>
                <w:sz w:val="18"/>
              </w:rPr>
              <w:t>5</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01</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李凌霄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01</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r>
              <w:rPr>
                <w:rFonts w:ascii="宋体" w:hAnsi="宋体" w:cs="宋体" w:eastAsia="宋体" w:hint="default"/>
                <w:sz w:val="18"/>
                <w:szCs w:val="18"/>
              </w:rPr>
              <w:t>/</w:t>
            </w:r>
            <w:r>
              <w:rPr>
                <w:rFonts w:ascii="宋体" w:hAnsi="宋体" w:cs="宋体" w:eastAsia="宋体" w:hint="default"/>
                <w:sz w:val="18"/>
                <w:szCs w:val="18"/>
              </w:rPr>
              <w:t>职工 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39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01</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01</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01</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王科芳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10</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05</w:t>
            </w:r>
            <w:r>
              <w:rPr>
                <w:rFonts w:ascii="宋体" w:hAnsi="宋体" w:cs="宋体" w:eastAsia="宋体" w:hint="default"/>
                <w:spacing w:val="-60"/>
                <w:sz w:val="18"/>
                <w:szCs w:val="18"/>
              </w:rPr>
              <w:t> </w:t>
            </w:r>
            <w:r>
              <w:rPr>
                <w:rFonts w:ascii="宋体" w:hAnsi="宋体" w:cs="宋体" w:eastAsia="宋体" w:hint="default"/>
                <w:sz w:val="18"/>
                <w:szCs w:val="18"/>
              </w:rPr>
              <w:t>月</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586"/>
        <w:gridCol w:w="566"/>
        <w:gridCol w:w="993"/>
        <w:gridCol w:w="1046"/>
        <w:gridCol w:w="798"/>
        <w:gridCol w:w="798"/>
        <w:gridCol w:w="798"/>
        <w:gridCol w:w="798"/>
        <w:gridCol w:w="798"/>
      </w:tblGrid>
      <w:tr>
        <w:trPr>
          <w:trHeight w:val="362"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40,216,5</w:t>
            </w:r>
          </w:p>
          <w:p>
            <w:pPr>
              <w:pStyle w:val="TableParagraph"/>
              <w:spacing w:line="240" w:lineRule="auto" w:before="76"/>
              <w:ind w:right="23"/>
              <w:jc w:val="right"/>
              <w:rPr>
                <w:rFonts w:ascii="宋体" w:hAnsi="宋体" w:cs="宋体" w:eastAsia="宋体" w:hint="default"/>
                <w:sz w:val="18"/>
                <w:szCs w:val="18"/>
              </w:rPr>
            </w:pPr>
            <w:r>
              <w:rPr>
                <w:rFonts w:ascii="宋体"/>
                <w:sz w:val="18"/>
              </w:rPr>
              <w:t>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94" w:right="0"/>
              <w:jc w:val="left"/>
              <w:rPr>
                <w:rFonts w:ascii="宋体" w:hAnsi="宋体" w:cs="宋体" w:eastAsia="宋体" w:hint="default"/>
                <w:sz w:val="18"/>
                <w:szCs w:val="18"/>
              </w:rPr>
            </w:pPr>
            <w:r>
              <w:rPr>
                <w:rFonts w:ascii="宋体"/>
                <w:sz w:val="18"/>
              </w:rPr>
              <w:t>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40,216,1</w:t>
            </w:r>
          </w:p>
          <w:p>
            <w:pPr>
              <w:pStyle w:val="TableParagraph"/>
              <w:spacing w:line="240" w:lineRule="auto" w:before="76"/>
              <w:ind w:right="23"/>
              <w:jc w:val="right"/>
              <w:rPr>
                <w:rFonts w:ascii="宋体" w:hAnsi="宋体" w:cs="宋体" w:eastAsia="宋体" w:hint="default"/>
                <w:sz w:val="18"/>
                <w:szCs w:val="18"/>
              </w:rPr>
            </w:pPr>
            <w:r>
              <w:rPr>
                <w:rFonts w:ascii="宋体"/>
                <w:sz w:val="18"/>
              </w:rPr>
              <w:t>04</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26"/>
      <w:bookmarkEnd w:id="126"/>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680"/>
        <w:gridCol w:w="389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王科芳</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主动离职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李凌霄</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公司董事会聘任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陈莉</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主动离职</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石睿</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任职情况" w:id="127"/>
      <w:bookmarkEnd w:id="127"/>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3" w:right="1169" w:hanging="360"/>
        <w:jc w:val="left"/>
      </w:pPr>
      <w:r>
        <w:rPr/>
        <w:t>公司现任董事、监事、高级管理人员专业背景、主要工作经历以及目前在公司的主要职责 赵立仁先生，男，中国国籍，</w:t>
      </w:r>
      <w:r>
        <w:rPr>
          <w:rFonts w:ascii="宋体" w:hAnsi="宋体" w:cs="宋体" w:eastAsia="宋体" w:hint="default"/>
        </w:rPr>
        <w:t>1972</w:t>
      </w:r>
      <w:r>
        <w:rPr>
          <w:rFonts w:ascii="宋体" w:hAnsi="宋体" w:cs="宋体" w:eastAsia="宋体" w:hint="default"/>
          <w:spacing w:val="-46"/>
        </w:rPr>
        <w:t> </w:t>
      </w:r>
      <w:r>
        <w:rPr/>
        <w:t>年生，本科学历，无境外永久居留权。历任国信联合律师事务所、广东创基律师事</w:t>
      </w:r>
    </w:p>
    <w:p>
      <w:pPr>
        <w:pStyle w:val="BodyText"/>
        <w:spacing w:line="224" w:lineRule="exact"/>
        <w:ind w:left="153" w:right="0"/>
        <w:jc w:val="left"/>
      </w:pPr>
      <w:r>
        <w:rPr/>
        <w:t>务所、国浩律师（深圳）事务所律师、合伙人，智度集团有限公司合伙人，智度科技股份有限公司总经理等职；现任智度科</w:t>
      </w:r>
    </w:p>
    <w:p>
      <w:pPr>
        <w:pStyle w:val="BodyText"/>
        <w:spacing w:line="357" w:lineRule="auto" w:before="77"/>
        <w:ind w:left="513" w:right="0" w:hanging="360"/>
        <w:jc w:val="left"/>
      </w:pPr>
      <w:r>
        <w:rPr/>
        <w:t>技股份有限公司董事长。 </w:t>
      </w:r>
      <w:r>
        <w:rPr>
          <w:spacing w:val="-2"/>
        </w:rPr>
        <w:t>截至目前，赵立仁先生未持有本公司股票，为公司控股股东北京智度德普股权投资中心（有限合伙）的执行事务合伙人</w:t>
      </w:r>
    </w:p>
    <w:p>
      <w:pPr>
        <w:pStyle w:val="BodyText"/>
        <w:spacing w:line="224" w:lineRule="exact"/>
        <w:ind w:right="0"/>
        <w:jc w:val="left"/>
      </w:pPr>
      <w:r>
        <w:rPr/>
        <w:t>智度集团有限公司的控股股东北京智度德正投资有限公司的股东，持有北京智度德正投资有限公司的</w:t>
      </w:r>
      <w:r>
        <w:rPr>
          <w:spacing w:val="-46"/>
        </w:rPr>
        <w:t> </w:t>
      </w:r>
      <w:r>
        <w:rPr>
          <w:rFonts w:ascii="宋体" w:hAnsi="宋体" w:cs="宋体" w:eastAsia="宋体" w:hint="default"/>
        </w:rPr>
        <w:t>21.43%</w:t>
      </w:r>
      <w:r>
        <w:rPr/>
        <w:t>股权，除此以</w:t>
      </w:r>
    </w:p>
    <w:p>
      <w:pPr>
        <w:pStyle w:val="BodyText"/>
        <w:spacing w:line="319" w:lineRule="auto" w:before="76"/>
        <w:ind w:right="1132"/>
        <w:jc w:val="both"/>
      </w:pPr>
      <w:r>
        <w:rPr>
          <w:spacing w:val="-2"/>
        </w:rPr>
        <w:t>外，与其它持有公司百分之五以上股份的股东、实际控制人、公司其他董事、监事和高级管理人员之间不存在关联关系；不</w:t>
      </w:r>
      <w:r>
        <w:rPr>
          <w:spacing w:val="-66"/>
        </w:rPr>
        <w:t> </w:t>
      </w:r>
      <w:r>
        <w:rPr>
          <w:spacing w:val="-66"/>
        </w:rPr>
      </w:r>
      <w:r>
        <w:rPr>
          <w:spacing w:val="-2"/>
        </w:rPr>
        <w:t>存在不得提名为董事的情形；未受到过中国证监会及其他有关部门的处罚和证券交易所纪律处分；不存在因涉嫌犯罪被司法</w:t>
      </w:r>
      <w:r>
        <w:rPr>
          <w:spacing w:val="-64"/>
        </w:rPr>
        <w:t> </w:t>
      </w:r>
      <w:r>
        <w:rPr>
          <w:spacing w:val="-64"/>
        </w:rPr>
      </w:r>
      <w:r>
        <w:rPr>
          <w:spacing w:val="-2"/>
        </w:rPr>
        <w:t>机关立案侦查或涉嫌违法违规被中国证监会立案稽查的情形；不是失信被执行人，也不是失信责任主体或失信惩戒对象；符</w:t>
      </w:r>
      <w:r>
        <w:rPr>
          <w:spacing w:val="-66"/>
        </w:rPr>
        <w:t> </w:t>
      </w:r>
      <w:r>
        <w:rPr>
          <w:spacing w:val="-66"/>
        </w:rPr>
      </w:r>
      <w:r>
        <w:rPr>
          <w:spacing w:val="-2"/>
        </w:rPr>
        <w:t>合有关法律、行政法规、部门规章、规范性文件、《股票上市规则》及交易所其他相关规定等要求的任职资格。</w:t>
      </w:r>
    </w:p>
    <w:p>
      <w:pPr>
        <w:pStyle w:val="BodyText"/>
        <w:spacing w:line="319" w:lineRule="auto" w:before="56"/>
        <w:ind w:left="153" w:right="1185" w:firstLine="360"/>
        <w:jc w:val="both"/>
      </w:pPr>
      <w:r>
        <w:rPr/>
        <w:t>熊贵成先生，男，中国国籍，</w:t>
      </w:r>
      <w:r>
        <w:rPr>
          <w:rFonts w:ascii="宋体" w:hAnsi="宋体" w:cs="宋体" w:eastAsia="宋体" w:hint="default"/>
        </w:rPr>
        <w:t>1974</w:t>
      </w:r>
      <w:r>
        <w:rPr>
          <w:rFonts w:ascii="宋体" w:hAnsi="宋体" w:cs="宋体" w:eastAsia="宋体" w:hint="default"/>
          <w:spacing w:val="-46"/>
        </w:rPr>
        <w:t> </w:t>
      </w:r>
      <w:r>
        <w:rPr/>
        <w:t>年生，本科学历，无境外永久居留权。历任网龙网络股份有限公司上海分公司副总 经理；</w:t>
      </w:r>
      <w:r>
        <w:rPr>
          <w:rFonts w:ascii="宋体" w:hAnsi="宋体" w:cs="宋体" w:eastAsia="宋体" w:hint="default"/>
        </w:rPr>
        <w:t>91</w:t>
      </w:r>
      <w:r>
        <w:rPr>
          <w:rFonts w:ascii="宋体" w:hAnsi="宋体" w:cs="宋体" w:eastAsia="宋体" w:hint="default"/>
          <w:spacing w:val="-46"/>
        </w:rPr>
        <w:t> </w:t>
      </w:r>
      <w:r>
        <w:rPr/>
        <w:t>无线网络有限公司高级副总裁；百度移动分发事业部总经理等职。现任智度科技股份有限公司董事、总经理。</w:t>
      </w:r>
    </w:p>
    <w:p>
      <w:pPr>
        <w:pStyle w:val="BodyText"/>
        <w:spacing w:line="319" w:lineRule="auto" w:before="55"/>
        <w:ind w:left="153" w:right="1132" w:firstLine="360"/>
        <w:jc w:val="both"/>
      </w:pPr>
      <w:r>
        <w:rPr>
          <w:spacing w:val="-2"/>
        </w:rPr>
        <w:t>截至目前，熊贵成先生未持有公司股份，熊贵成先生之妻肖燕女士通过上海今耀投资控股有限公司和上海易晋网络信息</w:t>
      </w:r>
      <w:r>
        <w:rPr/>
        <w:t> 技术有限公司间接持有公司</w:t>
      </w:r>
      <w:r>
        <w:rPr>
          <w:spacing w:val="-42"/>
        </w:rPr>
        <w:t> </w:t>
      </w:r>
      <w:r>
        <w:rPr>
          <w:rFonts w:ascii="宋体" w:hAnsi="宋体" w:cs="宋体" w:eastAsia="宋体" w:hint="default"/>
          <w:spacing w:val="-1"/>
        </w:rPr>
        <w:t>7.85%</w:t>
      </w:r>
      <w:r>
        <w:rPr>
          <w:spacing w:val="-1"/>
        </w:rPr>
        <w:t>的股份，除此以外，与其他持有公司百分之五以上股份的股东、实际控制人、公司其他董</w:t>
      </w:r>
      <w:r>
        <w:rPr/>
        <w:t> </w:t>
      </w:r>
      <w:r>
        <w:rPr>
          <w:spacing w:val="-2"/>
        </w:rPr>
        <w:t>事、监事和高级管理人员之间不存在关联关系；不存在不得提名为董事的情形；未受到过中国证监会及其他有关部门的处罚</w:t>
      </w:r>
      <w:r>
        <w:rPr>
          <w:spacing w:val="-66"/>
        </w:rPr>
        <w:t> </w:t>
      </w:r>
      <w:r>
        <w:rPr>
          <w:spacing w:val="-66"/>
        </w:rPr>
      </w:r>
      <w:r>
        <w:rPr>
          <w:spacing w:val="-2"/>
        </w:rPr>
        <w:t>和证券交易所纪律处分；不存在因涉嫌犯罪被司法机关立案侦查或涉嫌违法违规被中国证监会立案稽查的情形；不是失信被</w:t>
      </w:r>
      <w:r>
        <w:rPr>
          <w:spacing w:val="-64"/>
        </w:rPr>
        <w:t> </w:t>
      </w:r>
      <w:r>
        <w:rPr>
          <w:spacing w:val="-64"/>
        </w:rPr>
      </w:r>
      <w:r>
        <w:rPr>
          <w:spacing w:val="-2"/>
        </w:rPr>
        <w:t>执行人，也不是失信责任主体或失信惩戒对象；符合有关法律、行政法规、部门规章、规范性文件、《股票上市规则》及交</w:t>
      </w:r>
      <w:r>
        <w:rPr>
          <w:spacing w:val="-72"/>
        </w:rPr>
        <w:t> </w:t>
      </w:r>
      <w:r>
        <w:rPr>
          <w:spacing w:val="-72"/>
        </w:rPr>
      </w:r>
      <w:r>
        <w:rPr/>
        <w:t>易所其他相关规定等要求的任职资格。</w:t>
      </w:r>
    </w:p>
    <w:p>
      <w:pPr>
        <w:pStyle w:val="BodyText"/>
        <w:spacing w:line="319" w:lineRule="auto" w:before="55"/>
        <w:ind w:right="1133" w:firstLine="360"/>
        <w:jc w:val="both"/>
      </w:pPr>
      <w:r>
        <w:rPr/>
        <w:t>孙静女士，女，中国国籍，</w:t>
      </w:r>
      <w:r>
        <w:rPr>
          <w:rFonts w:ascii="宋体" w:hAnsi="宋体" w:cs="宋体" w:eastAsia="宋体" w:hint="default"/>
        </w:rPr>
        <w:t>1981</w:t>
      </w:r>
      <w:r>
        <w:rPr>
          <w:rFonts w:ascii="宋体" w:hAnsi="宋体" w:cs="宋体" w:eastAsia="宋体" w:hint="default"/>
          <w:spacing w:val="-46"/>
        </w:rPr>
        <w:t> </w:t>
      </w:r>
      <w:r>
        <w:rPr/>
        <w:t>年生，硕士研究生学历，无境外永久居留权。历任北京市德恒律师事务所、北京市中 </w:t>
      </w:r>
      <w:r>
        <w:rPr>
          <w:spacing w:val="-2"/>
        </w:rPr>
        <w:t>伦律师事务所律师，北汽福田汽车股份有限公司法律部部长，国经发展投资管理有限公司风险控制部总经理，智度集团有限</w:t>
      </w:r>
      <w:r>
        <w:rPr>
          <w:spacing w:val="-66"/>
        </w:rPr>
        <w:t> </w:t>
      </w:r>
      <w:r>
        <w:rPr>
          <w:spacing w:val="-66"/>
        </w:rPr>
      </w:r>
      <w:r>
        <w:rPr/>
        <w:t>公司投资总监、合规风控负责人等职；现任智度集团有限公司合伙人，智度科技股份有限公司董事。</w:t>
      </w:r>
    </w:p>
    <w:p>
      <w:pPr>
        <w:pStyle w:val="BodyText"/>
        <w:spacing w:line="316" w:lineRule="auto" w:before="56"/>
        <w:ind w:left="153" w:right="0" w:firstLine="360"/>
        <w:jc w:val="left"/>
      </w:pPr>
      <w:r>
        <w:rPr>
          <w:spacing w:val="-2"/>
        </w:rPr>
        <w:t>截至目前，孙静女士未持有公司股份，为公司控股股东北京智度德普股权投资中心（有限合伙）的委派代表及其执行事</w:t>
      </w:r>
      <w:r>
        <w:rPr/>
        <w:t> 务合伙人智度集团有限公司的控股股东北京智度德正投资有限公司的法定代表人、股东，持有北京智度德正投资有限公司 </w:t>
      </w:r>
      <w:r>
        <w:rPr>
          <w:rFonts w:ascii="宋体" w:hAnsi="宋体" w:cs="宋体" w:eastAsia="宋体" w:hint="default"/>
          <w:spacing w:val="-2"/>
        </w:rPr>
        <w:t>7%</w:t>
      </w:r>
      <w:r>
        <w:rPr>
          <w:spacing w:val="-2"/>
        </w:rPr>
        <w:t>的股权，除此以外，与其他持有公司百分之五以上股份的股东、实际控制人、公司其他董事、监事和高级管理人员之间不</w:t>
      </w:r>
      <w:r>
        <w:rPr>
          <w:spacing w:val="-64"/>
        </w:rPr>
        <w:t> </w:t>
      </w:r>
      <w:r>
        <w:rPr>
          <w:spacing w:val="-64"/>
        </w:rPr>
      </w:r>
      <w:r>
        <w:rPr>
          <w:spacing w:val="-2"/>
        </w:rPr>
        <w:t>存在关联关系；不存在不得提名为董事的情形；未受到过中国证监会及其他有关部门的处罚和证券交易所纪律处分；不存在</w:t>
      </w:r>
      <w:r>
        <w:rPr>
          <w:spacing w:val="-66"/>
        </w:rPr>
        <w:t> </w:t>
      </w:r>
      <w:r>
        <w:rPr>
          <w:spacing w:val="-66"/>
        </w:rPr>
      </w:r>
      <w:r>
        <w:rPr>
          <w:spacing w:val="-2"/>
        </w:rPr>
        <w:t>因涉嫌犯罪被司法机关立案侦查或涉嫌违法违规被中国证监会立案稽查的情形；不是失信被执行人，也不是失信责任主体或</w:t>
      </w:r>
      <w:r>
        <w:rPr>
          <w:spacing w:val="-64"/>
        </w:rPr>
        <w:t> </w:t>
      </w:r>
      <w:r>
        <w:rPr>
          <w:spacing w:val="-64"/>
        </w:rPr>
      </w:r>
      <w:r>
        <w:rPr>
          <w:spacing w:val="-2"/>
        </w:rPr>
        <w:t>失信惩戒对象；符合有关法律、行政法规、部门规章、规范性文件、《股票上市规则》及交易所其他相关规定等要求的任职</w:t>
      </w:r>
    </w:p>
    <w:p>
      <w:pPr>
        <w:spacing w:after="0" w:line="316" w:lineRule="auto"/>
        <w:jc w:val="left"/>
        <w:sectPr>
          <w:pgSz w:w="11910" w:h="16840"/>
          <w:pgMar w:header="877" w:footer="1187" w:top="1100" w:bottom="1380" w:left="980" w:right="0"/>
        </w:sectPr>
      </w:pPr>
    </w:p>
    <w:p>
      <w:pPr>
        <w:spacing w:line="240" w:lineRule="auto" w:before="13"/>
        <w:rPr>
          <w:rFonts w:ascii="宋体" w:hAnsi="宋体" w:cs="宋体" w:eastAsia="宋体" w:hint="default"/>
          <w:sz w:val="21"/>
          <w:szCs w:val="21"/>
        </w:rPr>
      </w:pPr>
    </w:p>
    <w:p>
      <w:pPr>
        <w:pStyle w:val="BodyText"/>
        <w:spacing w:line="240" w:lineRule="auto" w:before="44"/>
        <w:ind w:left="153" w:right="0"/>
        <w:jc w:val="left"/>
      </w:pPr>
      <w:r>
        <w:rPr/>
        <w:t>资格。</w:t>
      </w:r>
    </w:p>
    <w:p>
      <w:pPr>
        <w:pStyle w:val="BodyText"/>
        <w:spacing w:line="319" w:lineRule="auto" w:before="115"/>
        <w:ind w:left="153" w:right="1130" w:firstLine="360"/>
        <w:jc w:val="both"/>
      </w:pPr>
      <w:r>
        <w:rPr/>
        <w:t>段东辉女士，女，中国国籍，</w:t>
      </w:r>
      <w:r>
        <w:rPr>
          <w:rFonts w:ascii="宋体" w:hAnsi="宋体" w:cs="宋体" w:eastAsia="宋体" w:hint="default"/>
        </w:rPr>
        <w:t>1971</w:t>
      </w:r>
      <w:r>
        <w:rPr>
          <w:rFonts w:ascii="宋体" w:hAnsi="宋体" w:cs="宋体" w:eastAsia="宋体" w:hint="default"/>
          <w:spacing w:val="-46"/>
        </w:rPr>
        <w:t> </w:t>
      </w:r>
      <w:r>
        <w:rPr/>
        <w:t>年生，博士研究生学历，无境外永久居留权。曾作为高级访问学者于意大利罗马国 际统一私法学会（</w:t>
      </w:r>
      <w:r>
        <w:rPr>
          <w:rFonts w:ascii="宋体" w:hAnsi="宋体" w:cs="宋体" w:eastAsia="宋体" w:hint="default"/>
        </w:rPr>
        <w:t>UNIDROIT</w:t>
      </w:r>
      <w:r>
        <w:rPr/>
        <w:t>）从事法律研究工作，曾获</w:t>
      </w:r>
      <w:r>
        <w:rPr>
          <w:spacing w:val="-46"/>
        </w:rPr>
        <w:t> </w:t>
      </w:r>
      <w:r>
        <w:rPr>
          <w:rFonts w:ascii="宋体" w:hAnsi="宋体" w:cs="宋体" w:eastAsia="宋体" w:hint="default"/>
        </w:rPr>
        <w:t>2001</w:t>
      </w:r>
      <w:r>
        <w:rPr>
          <w:rFonts w:ascii="宋体" w:hAnsi="宋体" w:cs="宋体" w:eastAsia="宋体" w:hint="default"/>
          <w:spacing w:val="-46"/>
        </w:rPr>
        <w:t> </w:t>
      </w:r>
      <w:r>
        <w:rPr/>
        <w:t>年度全国金融系统青年岗位能手称号。历任中国建设银行股份 </w:t>
      </w:r>
      <w:r>
        <w:rPr>
          <w:spacing w:val="-2"/>
        </w:rPr>
        <w:t>有限公司总行高级经济师；中国政法大学副教授、硕士生导师；泰康人寿保险股份有限公司董事会办公室主任。曾兼任国际</w:t>
      </w:r>
      <w:r>
        <w:rPr>
          <w:spacing w:val="-66"/>
        </w:rPr>
        <w:t> </w:t>
      </w:r>
      <w:r>
        <w:rPr>
          <w:spacing w:val="-66"/>
        </w:rPr>
      </w:r>
      <w:r>
        <w:rPr>
          <w:spacing w:val="-2"/>
        </w:rPr>
        <w:t>商会中国国家委员会（</w:t>
      </w:r>
      <w:r>
        <w:rPr>
          <w:rFonts w:ascii="宋体" w:hAnsi="宋体" w:cs="宋体" w:eastAsia="宋体" w:hint="default"/>
          <w:spacing w:val="-2"/>
        </w:rPr>
        <w:t>ICCCHINA</w:t>
      </w:r>
      <w:r>
        <w:rPr>
          <w:spacing w:val="-2"/>
        </w:rPr>
        <w:t>）信用证专家小组成员；北京市德恒律师事务所兼职律师；国际商会中国国家委员会保函专</w:t>
      </w:r>
      <w:r>
        <w:rPr>
          <w:spacing w:val="-58"/>
        </w:rPr>
        <w:t> </w:t>
      </w:r>
      <w:r>
        <w:rPr>
          <w:spacing w:val="-58"/>
        </w:rPr>
      </w:r>
      <w:r>
        <w:rPr>
          <w:spacing w:val="-2"/>
        </w:rPr>
        <w:t>家小组成员；中国国际私法学会常务理事。现兼任北京仲裁委员会委员。现任泰康资产管理有限责任公司董事会秘书；泰康</w:t>
      </w:r>
      <w:r>
        <w:rPr>
          <w:spacing w:val="-66"/>
        </w:rPr>
        <w:t> </w:t>
      </w:r>
      <w:r>
        <w:rPr>
          <w:spacing w:val="-66"/>
        </w:rPr>
      </w:r>
      <w:r>
        <w:rPr/>
        <w:t>养老保险股份有限公司董事会秘书；智度科技股份有限公司独立董事。</w:t>
      </w:r>
    </w:p>
    <w:p>
      <w:pPr>
        <w:pStyle w:val="BodyText"/>
        <w:spacing w:line="319" w:lineRule="auto" w:before="56"/>
        <w:ind w:left="153" w:right="1132" w:firstLine="360"/>
        <w:jc w:val="both"/>
      </w:pPr>
      <w:r>
        <w:rPr>
          <w:spacing w:val="-2"/>
        </w:rPr>
        <w:t>截至目前，段东辉女士未持有公司股份，与持有公司百分之五以上股份的股东、实际控制人、公司其他董事、监事和高</w:t>
      </w:r>
      <w:r>
        <w:rPr/>
        <w:t> </w:t>
      </w:r>
      <w:r>
        <w:rPr>
          <w:spacing w:val="-2"/>
        </w:rPr>
        <w:t>级管理人员之间不存在关联关系；不存在不得提名为董事的情形；未受到过中国证监会及其他有关部门的处罚和证券交易所</w:t>
      </w:r>
      <w:r>
        <w:rPr>
          <w:spacing w:val="-64"/>
        </w:rPr>
        <w:t> </w:t>
      </w:r>
      <w:r>
        <w:rPr>
          <w:spacing w:val="-64"/>
        </w:rPr>
      </w:r>
      <w:r>
        <w:rPr>
          <w:spacing w:val="-2"/>
        </w:rPr>
        <w:t>纪律处分；不存在因涉嫌犯罪被司法机关立案侦查或涉嫌违法违规被中国证监会立案稽查的情形；不是失信被执行人，也不</w:t>
      </w:r>
      <w:r>
        <w:rPr>
          <w:spacing w:val="-66"/>
        </w:rPr>
        <w:t> </w:t>
      </w:r>
      <w:r>
        <w:rPr>
          <w:spacing w:val="-66"/>
        </w:rPr>
      </w:r>
      <w:r>
        <w:rPr>
          <w:spacing w:val="-2"/>
        </w:rPr>
        <w:t>是失信责任主体或失信惩戒对象；符合有关法律、行政法规、部门规章、规范性文件、《股票上市规则》及交易所其他相关</w:t>
      </w:r>
      <w:r>
        <w:rPr>
          <w:spacing w:val="-72"/>
        </w:rPr>
        <w:t> </w:t>
      </w:r>
      <w:r>
        <w:rPr>
          <w:spacing w:val="-72"/>
        </w:rPr>
      </w:r>
      <w:r>
        <w:rPr/>
        <w:t>规定和公司章程等要求的任职资格。</w:t>
      </w:r>
    </w:p>
    <w:p>
      <w:pPr>
        <w:pStyle w:val="BodyText"/>
        <w:spacing w:line="319" w:lineRule="auto" w:before="55"/>
        <w:ind w:left="153" w:right="0" w:firstLine="360"/>
        <w:jc w:val="left"/>
      </w:pPr>
      <w:r>
        <w:rPr/>
        <w:t>余应敏先生，男，中国国籍，</w:t>
      </w:r>
      <w:r>
        <w:rPr>
          <w:rFonts w:ascii="宋体" w:hAnsi="宋体" w:cs="宋体" w:eastAsia="宋体" w:hint="default"/>
        </w:rPr>
        <w:t>1966</w:t>
      </w:r>
      <w:r>
        <w:rPr>
          <w:rFonts w:ascii="宋体" w:hAnsi="宋体" w:cs="宋体" w:eastAsia="宋体" w:hint="default"/>
          <w:spacing w:val="-46"/>
        </w:rPr>
        <w:t> </w:t>
      </w:r>
      <w:r>
        <w:rPr/>
        <w:t>年生，博士研究生学历，无境外永久居留权，会计学教授，中国注册会计师协会会 员、持有注册税务师和房地产评估师资格。先后在专业期刊杂志上发表学术论文</w:t>
      </w:r>
      <w:r>
        <w:rPr>
          <w:spacing w:val="-45"/>
        </w:rPr>
        <w:t> </w:t>
      </w:r>
      <w:r>
        <w:rPr>
          <w:rFonts w:ascii="宋体" w:hAnsi="宋体" w:cs="宋体" w:eastAsia="宋体" w:hint="default"/>
        </w:rPr>
        <w:t>90</w:t>
      </w:r>
      <w:r>
        <w:rPr>
          <w:rFonts w:ascii="宋体" w:hAnsi="宋体" w:cs="宋体" w:eastAsia="宋体" w:hint="default"/>
          <w:spacing w:val="-45"/>
        </w:rPr>
        <w:t> </w:t>
      </w:r>
      <w:r>
        <w:rPr/>
        <w:t>余篇；出版《中小企业财务报告行为： </w:t>
      </w:r>
      <w:r>
        <w:rPr>
          <w:spacing w:val="-4"/>
        </w:rPr>
        <w:t>理论与实证》、《基于财政透明导向的我国政府财务报告模式研究》等专著。现任中央财经大学会计学院教授、博士生导师。</w:t>
      </w:r>
      <w:r>
        <w:rPr>
          <w:spacing w:val="-50"/>
        </w:rPr>
        <w:t> </w:t>
      </w:r>
      <w:r>
        <w:rPr>
          <w:spacing w:val="-50"/>
        </w:rPr>
      </w:r>
      <w:r>
        <w:rPr>
          <w:spacing w:val="-2"/>
        </w:rPr>
        <w:t>兼任广东潮宏基实业股份有限公司、中外运空运发展股份有限公司、四川双马水泥股份有限公司独立董事、智度科技股份有</w:t>
      </w:r>
      <w:r>
        <w:rPr>
          <w:spacing w:val="-66"/>
        </w:rPr>
        <w:t> </w:t>
      </w:r>
      <w:r>
        <w:rPr>
          <w:spacing w:val="-66"/>
        </w:rPr>
      </w:r>
      <w:r>
        <w:rPr/>
        <w:t>限公司独立董事。</w:t>
      </w:r>
    </w:p>
    <w:p>
      <w:pPr>
        <w:pStyle w:val="BodyText"/>
        <w:spacing w:line="319" w:lineRule="auto" w:before="55"/>
        <w:ind w:left="153" w:right="1132" w:firstLine="360"/>
        <w:jc w:val="both"/>
      </w:pPr>
      <w:r>
        <w:rPr>
          <w:spacing w:val="-2"/>
        </w:rPr>
        <w:t>截至目前，余应敏先生未持有公司股份，与持有公司百分之五以上股份的股东、实际控制人、公司其他董事、监事和高</w:t>
      </w:r>
      <w:r>
        <w:rPr/>
        <w:t> </w:t>
      </w:r>
      <w:r>
        <w:rPr>
          <w:spacing w:val="-2"/>
        </w:rPr>
        <w:t>级管理人员之间不存在关联关系；不存在不得提名为董事的情形；未受到过中国证监会及其他有关部门的处罚和证券交易所</w:t>
      </w:r>
      <w:r>
        <w:rPr>
          <w:spacing w:val="-64"/>
        </w:rPr>
        <w:t> </w:t>
      </w:r>
      <w:r>
        <w:rPr>
          <w:spacing w:val="-64"/>
        </w:rPr>
      </w:r>
      <w:r>
        <w:rPr>
          <w:spacing w:val="-2"/>
        </w:rPr>
        <w:t>纪律处分；不存在因涉嫌犯罪被司法机关立案侦查或涉嫌违法违规被中国证监会立案稽查的情形；不是失信被执行人，也不</w:t>
      </w:r>
      <w:r>
        <w:rPr>
          <w:spacing w:val="-66"/>
        </w:rPr>
        <w:t> </w:t>
      </w:r>
      <w:r>
        <w:rPr>
          <w:spacing w:val="-66"/>
        </w:rPr>
      </w:r>
      <w:r>
        <w:rPr>
          <w:spacing w:val="-2"/>
        </w:rPr>
        <w:t>是失信责任主体或失信惩戒对象；符合有关法律、行政法规、部门规章、规范性文件、《股票上市规则》及交易所其他相关</w:t>
      </w:r>
      <w:r>
        <w:rPr>
          <w:spacing w:val="-72"/>
        </w:rPr>
        <w:t> </w:t>
      </w:r>
      <w:r>
        <w:rPr>
          <w:spacing w:val="-72"/>
        </w:rPr>
      </w:r>
      <w:r>
        <w:rPr/>
        <w:t>规定和公司章程等要求的任职资格。</w:t>
      </w:r>
    </w:p>
    <w:p>
      <w:pPr>
        <w:pStyle w:val="BodyText"/>
        <w:spacing w:line="319" w:lineRule="auto" w:before="57"/>
        <w:ind w:left="153" w:right="1130" w:firstLine="360"/>
        <w:jc w:val="both"/>
      </w:pPr>
      <w:r>
        <w:rPr/>
        <w:t>计宏铭先生，男，中国国籍，</w:t>
      </w:r>
      <w:r>
        <w:rPr>
          <w:rFonts w:ascii="宋体" w:hAnsi="宋体" w:cs="宋体" w:eastAsia="宋体" w:hint="default"/>
        </w:rPr>
        <w:t>1976</w:t>
      </w:r>
      <w:r>
        <w:rPr>
          <w:rFonts w:ascii="宋体" w:hAnsi="宋体" w:cs="宋体" w:eastAsia="宋体" w:hint="default"/>
          <w:spacing w:val="-46"/>
        </w:rPr>
        <w:t> </w:t>
      </w:r>
      <w:r>
        <w:rPr/>
        <w:t>年生，本科，无境外永久居留权。历任大智慧市场营销中心副总经理、运营维护部 </w:t>
      </w:r>
      <w:r>
        <w:rPr>
          <w:spacing w:val="-2"/>
        </w:rPr>
        <w:t>副总经理；恒泰证券研究咨询部总监；金融界、证券之星上市公司财经公关业务总监、广告营销总监；好耶集团副总裁、平</w:t>
      </w:r>
      <w:r>
        <w:rPr>
          <w:spacing w:val="-67"/>
        </w:rPr>
        <w:t> </w:t>
      </w:r>
      <w:r>
        <w:rPr>
          <w:spacing w:val="-67"/>
        </w:rPr>
      </w:r>
      <w:r>
        <w:rPr/>
        <w:t>台产品总经理、好耶宽通总经理。现任智度科技股份有限公司副总经理；上海智度亦复信息技术有限公司</w:t>
      </w:r>
      <w:r>
        <w:rPr>
          <w:spacing w:val="-45"/>
        </w:rPr>
        <w:t> </w:t>
      </w:r>
      <w:r>
        <w:rPr>
          <w:rFonts w:ascii="宋体" w:hAnsi="宋体" w:cs="宋体" w:eastAsia="宋体" w:hint="default"/>
        </w:rPr>
        <w:t>CEO</w:t>
      </w:r>
      <w:r>
        <w:rPr/>
        <w:t>。</w:t>
      </w:r>
    </w:p>
    <w:p>
      <w:pPr>
        <w:pStyle w:val="BodyText"/>
        <w:spacing w:line="319" w:lineRule="auto" w:before="55"/>
        <w:ind w:left="153" w:right="1033" w:firstLine="360"/>
        <w:jc w:val="left"/>
      </w:pPr>
      <w:r>
        <w:rPr/>
        <w:t>截至目前，计宏铭先生持有公司</w:t>
      </w:r>
      <w:r>
        <w:rPr>
          <w:spacing w:val="-59"/>
        </w:rPr>
        <w:t> </w:t>
      </w:r>
      <w:r>
        <w:rPr>
          <w:rFonts w:ascii="宋体" w:hAnsi="宋体" w:cs="宋体" w:eastAsia="宋体" w:hint="default"/>
        </w:rPr>
        <w:t>3.96%</w:t>
      </w:r>
      <w:r>
        <w:rPr/>
        <w:t>的股份，除此之外，与持有公司百分之五以上股份的股东、实际控制人之间不存 在关联关系；与公司其他董事、监事、高级管理人员之间不存在关联关系；不存在《公司法》第一百四十六条规定的情形； </w:t>
      </w:r>
      <w:r>
        <w:rPr>
          <w:spacing w:val="-2"/>
        </w:rPr>
        <w:t>不存在因涉嫌犯罪被司法机关立案侦查或者涉嫌违法违规被中国证监会立案调查的情况，亦不存在被中国证监会采取证券市</w:t>
      </w:r>
      <w:r>
        <w:rPr>
          <w:spacing w:val="-64"/>
        </w:rPr>
        <w:t> </w:t>
      </w:r>
      <w:r>
        <w:rPr>
          <w:spacing w:val="-64"/>
        </w:rPr>
      </w:r>
      <w:r>
        <w:rPr>
          <w:spacing w:val="-2"/>
        </w:rPr>
        <w:t>场禁入措施或被证券交易所公开认定为不适合担任上市公司董事、监事和高级管理人员的情况；最近三年内未受到中国证监</w:t>
      </w:r>
      <w:r>
        <w:rPr>
          <w:spacing w:val="-64"/>
        </w:rPr>
        <w:t> </w:t>
      </w:r>
      <w:r>
        <w:rPr>
          <w:spacing w:val="-64"/>
        </w:rPr>
      </w:r>
      <w:r>
        <w:rPr>
          <w:spacing w:val="-2"/>
        </w:rPr>
        <w:t>会行政处罚，未受到证券交易所公开谴责或者通报批评。公司在最高人民法院网查询确认，其不属于“失信被执行人”。计</w:t>
      </w:r>
      <w:r>
        <w:rPr>
          <w:spacing w:val="-86"/>
        </w:rPr>
        <w:t> </w:t>
      </w:r>
      <w:r>
        <w:rPr>
          <w:spacing w:val="-86"/>
        </w:rPr>
      </w:r>
      <w:r>
        <w:rPr>
          <w:spacing w:val="-2"/>
        </w:rPr>
        <w:t>宏铭先生符合有关法律、行政法规、部门规章、规范性文件、《深圳证券交易所股票上市规则》及其他相关规定等要求的任</w:t>
      </w:r>
      <w:r>
        <w:rPr>
          <w:spacing w:val="-72"/>
        </w:rPr>
        <w:t> </w:t>
      </w:r>
      <w:r>
        <w:rPr>
          <w:spacing w:val="-72"/>
        </w:rPr>
      </w:r>
      <w:r>
        <w:rPr/>
        <w:t>职资格。</w:t>
      </w:r>
    </w:p>
    <w:p>
      <w:pPr>
        <w:pStyle w:val="BodyText"/>
        <w:spacing w:line="319" w:lineRule="auto" w:before="55"/>
        <w:ind w:right="1185" w:firstLine="360"/>
        <w:jc w:val="both"/>
      </w:pPr>
      <w:r>
        <w:rPr/>
        <w:t>汤政先生，男，美国国籍，</w:t>
      </w:r>
      <w:r>
        <w:rPr>
          <w:rFonts w:ascii="宋体" w:hAnsi="宋体" w:cs="宋体" w:eastAsia="宋体" w:hint="default"/>
        </w:rPr>
        <w:t>1979</w:t>
      </w:r>
      <w:r>
        <w:rPr>
          <w:rFonts w:ascii="宋体" w:hAnsi="宋体" w:cs="宋体" w:eastAsia="宋体" w:hint="default"/>
          <w:spacing w:val="-46"/>
        </w:rPr>
        <w:t> </w:t>
      </w:r>
      <w:r>
        <w:rPr/>
        <w:t>年生，本科双学士，已取得中国深圳市外国专家局颁发的外国专家证。深圳市范特西 科技有限公司创始人之一。现任智度科技股份有限公司副总经理；深圳市范特西科技有限公司总经理。</w:t>
      </w:r>
    </w:p>
    <w:p>
      <w:pPr>
        <w:pStyle w:val="BodyText"/>
        <w:spacing w:line="319" w:lineRule="auto" w:before="56"/>
        <w:ind w:left="153" w:right="0" w:firstLine="360"/>
        <w:jc w:val="left"/>
      </w:pPr>
      <w:r>
        <w:rPr>
          <w:spacing w:val="-2"/>
        </w:rPr>
        <w:t>截至目前，汤政先生未持有公司股份，与持有公司百分之五以上股份的股东、实际控制人之间不存在关联关系；与公司</w:t>
      </w:r>
      <w:r>
        <w:rPr/>
        <w:t> </w:t>
      </w:r>
      <w:r>
        <w:rPr>
          <w:spacing w:val="-2"/>
        </w:rPr>
        <w:t>其他董事、监事、高级管理人员之间不存在关联关系；不存在《公司法》第一百四十六条规定的情形；不存在因涉嫌犯罪被</w:t>
      </w:r>
      <w:r>
        <w:rPr>
          <w:spacing w:val="-68"/>
        </w:rPr>
        <w:t> </w:t>
      </w:r>
      <w:r>
        <w:rPr>
          <w:spacing w:val="-68"/>
        </w:rPr>
      </w:r>
      <w:r>
        <w:rPr>
          <w:spacing w:val="-2"/>
        </w:rPr>
        <w:t>司法机关立案侦查或者涉嫌违法违规被中国证监会立案调查的情况，亦不存在被中国证监会采取证券市场禁入措施或被证券</w:t>
      </w:r>
      <w:r>
        <w:rPr>
          <w:spacing w:val="-64"/>
        </w:rPr>
        <w:t> </w:t>
      </w:r>
      <w:r>
        <w:rPr>
          <w:spacing w:val="-64"/>
        </w:rPr>
      </w:r>
      <w:r>
        <w:rPr>
          <w:spacing w:val="-2"/>
        </w:rPr>
        <w:t>交易所公开认定为不适合担任上市公司董事、监事和高级管理人员的情况；最近三年内未受到中国证监会行政处罚，未受到</w:t>
      </w:r>
      <w:r>
        <w:rPr>
          <w:spacing w:val="-66"/>
        </w:rPr>
        <w:t> </w:t>
      </w:r>
      <w:r>
        <w:rPr>
          <w:spacing w:val="-66"/>
        </w:rPr>
      </w:r>
      <w:r>
        <w:rPr>
          <w:spacing w:val="-4"/>
        </w:rPr>
        <w:t>证券交易所公开谴责或者通报批评。公司在最高人民法院网查询确认，其不属于“失信被执行人”。汤政先生符合有关法律、</w:t>
      </w:r>
      <w:r>
        <w:rPr>
          <w:spacing w:val="-44"/>
        </w:rPr>
        <w:t> </w:t>
      </w:r>
      <w:r>
        <w:rPr>
          <w:spacing w:val="-44"/>
        </w:rPr>
      </w:r>
      <w:r>
        <w:rPr>
          <w:spacing w:val="-2"/>
        </w:rPr>
        <w:t>行政法规、部门规章、规范性文件、《深圳证券交易所股票上市规则》及其他相关规定等要求的任职资格。</w:t>
      </w:r>
    </w:p>
    <w:p>
      <w:pPr>
        <w:pStyle w:val="BodyText"/>
        <w:spacing w:line="319" w:lineRule="auto" w:before="55"/>
        <w:ind w:left="153" w:right="1185" w:firstLine="360"/>
        <w:jc w:val="both"/>
      </w:pPr>
      <w:r>
        <w:rPr/>
        <w:t>袁聪先生，男，中国国籍，</w:t>
      </w:r>
      <w:r>
        <w:rPr>
          <w:rFonts w:ascii="宋体" w:hAnsi="宋体" w:cs="宋体" w:eastAsia="宋体" w:hint="default"/>
        </w:rPr>
        <w:t>1979</w:t>
      </w:r>
      <w:r>
        <w:rPr>
          <w:rFonts w:ascii="宋体" w:hAnsi="宋体" w:cs="宋体" w:eastAsia="宋体" w:hint="default"/>
          <w:spacing w:val="-46"/>
        </w:rPr>
        <w:t> </w:t>
      </w:r>
      <w:r>
        <w:rPr/>
        <w:t>年生，硕士研究生，无境外永久居留权。历任中国民航信息网络股份有限公司（中航 信）技术经理；创新工场应用汇创始人之一；应用汇</w:t>
      </w:r>
      <w:r>
        <w:rPr>
          <w:spacing w:val="-46"/>
        </w:rPr>
        <w:t> </w:t>
      </w:r>
      <w:r>
        <w:rPr>
          <w:rFonts w:ascii="宋体" w:hAnsi="宋体" w:cs="宋体" w:eastAsia="宋体" w:hint="default"/>
        </w:rPr>
        <w:t>COO</w:t>
      </w:r>
      <w:r>
        <w:rPr/>
        <w:t>，</w:t>
      </w:r>
      <w:r>
        <w:rPr>
          <w:rFonts w:ascii="宋体" w:hAnsi="宋体" w:cs="宋体" w:eastAsia="宋体" w:hint="default"/>
        </w:rPr>
        <w:t>CEO</w:t>
      </w:r>
      <w:r>
        <w:rPr/>
        <w:t>。现任智度科技股份有限公司副总经理；北京掌汇天下科技 有限公司董事长；厦门智得天下金融信息服务有限公司总经理，霍尔果斯白猫科技有限公司执行董事兼总经理。</w:t>
      </w:r>
    </w:p>
    <w:p>
      <w:pPr>
        <w:spacing w:after="0" w:line="319" w:lineRule="auto"/>
        <w:jc w:val="both"/>
        <w:sectPr>
          <w:pgSz w:w="11910" w:h="16840"/>
          <w:pgMar w:header="877" w:footer="1187" w:top="1100" w:bottom="1380" w:left="980" w:right="0"/>
        </w:sectPr>
      </w:pPr>
    </w:p>
    <w:p>
      <w:pPr>
        <w:spacing w:line="240" w:lineRule="auto" w:before="12"/>
        <w:rPr>
          <w:rFonts w:ascii="宋体" w:hAnsi="宋体" w:cs="宋体" w:eastAsia="宋体" w:hint="default"/>
          <w:sz w:val="21"/>
          <w:szCs w:val="21"/>
        </w:rPr>
      </w:pPr>
    </w:p>
    <w:p>
      <w:pPr>
        <w:pStyle w:val="BodyText"/>
        <w:spacing w:line="319" w:lineRule="auto" w:before="44"/>
        <w:ind w:right="1032" w:firstLine="360"/>
        <w:jc w:val="left"/>
      </w:pPr>
      <w:r>
        <w:rPr/>
        <w:t>截至目前，袁聪先生持有公司</w:t>
      </w:r>
      <w:r>
        <w:rPr>
          <w:spacing w:val="-59"/>
        </w:rPr>
        <w:t> </w:t>
      </w:r>
      <w:r>
        <w:rPr>
          <w:rFonts w:ascii="宋体" w:hAnsi="宋体" w:cs="宋体" w:eastAsia="宋体" w:hint="default"/>
        </w:rPr>
        <w:t>0.2053%</w:t>
      </w:r>
      <w:r>
        <w:rPr/>
        <w:t>的股份，除此之外，与持有公司百分之五以上股份的股东、实际控制人之间不存 在关联关系；与公司其他董事、监事、高级管理人员之间不存在关联关系；不存在《公司法》第一百四十六条规定的情形； </w:t>
      </w:r>
      <w:r>
        <w:rPr>
          <w:spacing w:val="-2"/>
        </w:rPr>
        <w:t>不存在因涉嫌犯罪被司法机关立案侦查或者涉嫌违法违规被中国证监会立案调查的情况，亦不存在被中国证监会采取证券市</w:t>
      </w:r>
      <w:r>
        <w:rPr>
          <w:spacing w:val="-63"/>
        </w:rPr>
        <w:t> </w:t>
      </w:r>
      <w:r>
        <w:rPr>
          <w:spacing w:val="-63"/>
        </w:rPr>
      </w:r>
      <w:r>
        <w:rPr>
          <w:spacing w:val="-2"/>
        </w:rPr>
        <w:t>场禁入措施或被证券交易所公开认定为不适合担任上市公司董事、监事和高级管理人员的情况；最近三年内未受到中国证监</w:t>
      </w:r>
      <w:r>
        <w:rPr>
          <w:spacing w:val="-64"/>
        </w:rPr>
        <w:t> </w:t>
      </w:r>
      <w:r>
        <w:rPr>
          <w:spacing w:val="-64"/>
        </w:rPr>
      </w:r>
      <w:r>
        <w:rPr>
          <w:spacing w:val="-2"/>
        </w:rPr>
        <w:t>会行政处罚，未受到证券交易所公开谴责或者通报批评。公司在最高人民法院网查询确认，其不属于“失信被执行人”。袁</w:t>
      </w:r>
      <w:r>
        <w:rPr>
          <w:spacing w:val="-86"/>
        </w:rPr>
        <w:t> </w:t>
      </w:r>
      <w:r>
        <w:rPr>
          <w:spacing w:val="-86"/>
        </w:rPr>
      </w:r>
      <w:r>
        <w:rPr>
          <w:spacing w:val="-2"/>
        </w:rPr>
        <w:t>聪先生符合有关法律、行政法规、部门规章、规范性文件、《深圳证券交易所股票上市规则》及其他相关规定等要求的任职</w:t>
      </w:r>
      <w:r>
        <w:rPr>
          <w:spacing w:val="-72"/>
        </w:rPr>
        <w:t> </w:t>
      </w:r>
      <w:r>
        <w:rPr>
          <w:spacing w:val="-72"/>
        </w:rPr>
      </w:r>
      <w:r>
        <w:rPr/>
        <w:t>资格。</w:t>
      </w:r>
    </w:p>
    <w:p>
      <w:pPr>
        <w:pStyle w:val="BodyText"/>
        <w:spacing w:line="319" w:lineRule="auto" w:before="55"/>
        <w:ind w:right="1131" w:firstLine="360"/>
        <w:jc w:val="both"/>
      </w:pPr>
      <w:r>
        <w:rPr/>
        <w:t>刘韡先生，男，中国国籍，</w:t>
      </w:r>
      <w:r>
        <w:rPr>
          <w:rFonts w:ascii="宋体" w:hAnsi="宋体" w:cs="宋体" w:eastAsia="宋体" w:hint="default"/>
        </w:rPr>
        <w:t>1981</w:t>
      </w:r>
      <w:r>
        <w:rPr>
          <w:rFonts w:ascii="宋体" w:hAnsi="宋体" w:cs="宋体" w:eastAsia="宋体" w:hint="default"/>
          <w:spacing w:val="-46"/>
        </w:rPr>
        <w:t> </w:t>
      </w:r>
      <w:r>
        <w:rPr/>
        <w:t>年生，本科，注册会计师，无境外永久居留权。历任瑞华会计师事务所（特殊普通合 </w:t>
      </w:r>
      <w:r>
        <w:rPr>
          <w:spacing w:val="-2"/>
        </w:rPr>
        <w:t>伙）审计经理；北京宇信易诚科技有限公司财务经理；智度科技股份有限公司董事会秘书。现任智度科技股份有限公司财务</w:t>
      </w:r>
      <w:r>
        <w:rPr>
          <w:spacing w:val="-66"/>
        </w:rPr>
        <w:t> </w:t>
      </w:r>
      <w:r>
        <w:rPr>
          <w:spacing w:val="-66"/>
        </w:rPr>
      </w:r>
      <w:r>
        <w:rPr/>
        <w:t>总监。</w:t>
      </w:r>
    </w:p>
    <w:p>
      <w:pPr>
        <w:pStyle w:val="BodyText"/>
        <w:spacing w:line="319" w:lineRule="auto" w:before="56"/>
        <w:ind w:left="153" w:right="0" w:firstLine="360"/>
        <w:jc w:val="left"/>
      </w:pPr>
      <w:r>
        <w:rPr>
          <w:spacing w:val="-2"/>
        </w:rPr>
        <w:t>截至目前，刘韡先生未持有公司股份，与持有公司百分之五以上股份的股东、实际控制人之间不存在关联关系；与公司</w:t>
      </w:r>
      <w:r>
        <w:rPr/>
        <w:t> </w:t>
      </w:r>
      <w:r>
        <w:rPr>
          <w:spacing w:val="-2"/>
        </w:rPr>
        <w:t>其他董事、监事、高级管理人员之间不存在关联关系；不存在《公司法》第一百四十六条规定的情形；不存在因涉嫌犯罪被</w:t>
      </w:r>
      <w:r>
        <w:rPr>
          <w:spacing w:val="-68"/>
        </w:rPr>
        <w:t> </w:t>
      </w:r>
      <w:r>
        <w:rPr>
          <w:spacing w:val="-68"/>
        </w:rPr>
      </w:r>
      <w:r>
        <w:rPr>
          <w:spacing w:val="-2"/>
        </w:rPr>
        <w:t>司法机关立案侦查或者涉嫌违法违规被中国证监会立案调查的情况，亦不存在被中国证监会采取证券市场禁入措施或被证券</w:t>
      </w:r>
      <w:r>
        <w:rPr>
          <w:spacing w:val="-64"/>
        </w:rPr>
        <w:t> </w:t>
      </w:r>
      <w:r>
        <w:rPr>
          <w:spacing w:val="-64"/>
        </w:rPr>
      </w:r>
      <w:r>
        <w:rPr>
          <w:spacing w:val="-2"/>
        </w:rPr>
        <w:t>交易所公开认定为不适合担任上市公司董事、监事和高级管理人员的情况；最近三年内未受到中国证监会行政处罚，未受到</w:t>
      </w:r>
      <w:r>
        <w:rPr>
          <w:spacing w:val="-66"/>
        </w:rPr>
        <w:t> </w:t>
      </w:r>
      <w:r>
        <w:rPr>
          <w:spacing w:val="-66"/>
        </w:rPr>
      </w:r>
      <w:r>
        <w:rPr>
          <w:spacing w:val="-4"/>
        </w:rPr>
        <w:t>证券交易所公开谴责或者通报批评。公司在最高人民法院网查询确认，其不属于“失信被执行人”。刘韡先生符合有关法律、</w:t>
      </w:r>
      <w:r>
        <w:rPr>
          <w:spacing w:val="-44"/>
        </w:rPr>
        <w:t> </w:t>
      </w:r>
      <w:r>
        <w:rPr>
          <w:spacing w:val="-44"/>
        </w:rPr>
      </w:r>
      <w:r>
        <w:rPr>
          <w:spacing w:val="-2"/>
        </w:rPr>
        <w:t>行政法规、部门规章、规范性文件、《深圳证券交易所股票上市规则》及其他相关规定等要求的任职资格。</w:t>
      </w:r>
    </w:p>
    <w:p>
      <w:pPr>
        <w:pStyle w:val="BodyText"/>
        <w:spacing w:line="319" w:lineRule="auto" w:before="55"/>
        <w:ind w:right="1130" w:firstLine="360"/>
        <w:jc w:val="both"/>
      </w:pPr>
      <w:r>
        <w:rPr/>
        <w:t>李凌霄女士，</w:t>
      </w:r>
      <w:r>
        <w:rPr>
          <w:rFonts w:ascii="宋体" w:hAnsi="宋体" w:cs="宋体" w:eastAsia="宋体" w:hint="default"/>
        </w:rPr>
        <w:t>1982</w:t>
      </w:r>
      <w:r>
        <w:rPr>
          <w:rFonts w:ascii="宋体" w:hAnsi="宋体" w:cs="宋体" w:eastAsia="宋体" w:hint="default"/>
          <w:spacing w:val="-46"/>
        </w:rPr>
        <w:t> </w:t>
      </w:r>
      <w:r>
        <w:rPr/>
        <w:t>年生，中国国籍，研究生学历，法学硕士，法律职业资格。历任金杜律师事务所律师，中伦律师事 </w:t>
      </w:r>
      <w:r>
        <w:rPr>
          <w:spacing w:val="-2"/>
        </w:rPr>
        <w:t>务所律师，英国品诚梅森律师事务所顾问，普信恒业科技发展（北京）有限公司海外法律事务负责人、高级法务经理；现任</w:t>
      </w:r>
      <w:r>
        <w:rPr>
          <w:spacing w:val="-68"/>
        </w:rPr>
        <w:t> </w:t>
      </w:r>
      <w:r>
        <w:rPr>
          <w:spacing w:val="-68"/>
        </w:rPr>
      </w:r>
      <w:r>
        <w:rPr/>
        <w:t>智度科技股份有限公司法务总监。</w:t>
      </w:r>
    </w:p>
    <w:p>
      <w:pPr>
        <w:pStyle w:val="BodyText"/>
        <w:spacing w:line="319" w:lineRule="auto" w:before="55"/>
        <w:ind w:left="153" w:right="1130" w:firstLine="360"/>
        <w:jc w:val="both"/>
      </w:pPr>
      <w:r>
        <w:rPr>
          <w:spacing w:val="-2"/>
        </w:rPr>
        <w:t>截至目前，李凌霄女士未持有公司股份；与持有公司百分之五以上股份的股东、实际控制人之间不存在关联关系；与公</w:t>
      </w:r>
      <w:r>
        <w:rPr/>
        <w:t> </w:t>
      </w:r>
      <w:r>
        <w:rPr>
          <w:spacing w:val="-2"/>
        </w:rPr>
        <w:t>司其他董事、监事、高级管理人员之间不存在关联关系；不存在《公司法》第一百四十六条规定的情形；不存在因涉嫌犯罪</w:t>
      </w:r>
      <w:r>
        <w:rPr>
          <w:spacing w:val="-68"/>
        </w:rPr>
        <w:t> </w:t>
      </w:r>
      <w:r>
        <w:rPr>
          <w:spacing w:val="-68"/>
        </w:rPr>
      </w:r>
      <w:r>
        <w:rPr>
          <w:spacing w:val="-2"/>
        </w:rPr>
        <w:t>被司法机关立案侦查或者涉嫌违法违规被中国证监会立案调查的情况，亦不存在被中国证监会采取证券市场禁入措施或被证</w:t>
      </w:r>
      <w:r>
        <w:rPr>
          <w:spacing w:val="-64"/>
        </w:rPr>
        <w:t> </w:t>
      </w:r>
      <w:r>
        <w:rPr>
          <w:spacing w:val="-64"/>
        </w:rPr>
      </w:r>
      <w:r>
        <w:rPr>
          <w:spacing w:val="-2"/>
        </w:rPr>
        <w:t>券交易所公开认定为不适合担任上市公司董事、监事和高级管理人员的情况；最近三年内未受到中国证监会行政处罚，未受</w:t>
      </w:r>
      <w:r>
        <w:rPr>
          <w:spacing w:val="-66"/>
        </w:rPr>
        <w:t> </w:t>
      </w:r>
      <w:r>
        <w:rPr>
          <w:spacing w:val="-66"/>
        </w:rPr>
      </w:r>
      <w:r>
        <w:rPr>
          <w:spacing w:val="-2"/>
        </w:rPr>
        <w:t>到证券交易所公开谴责或者通报批评。公司在最高人民法院网查询确认，其不属于“失信被执行人”。李凌霄女士符合有关</w:t>
      </w:r>
      <w:r>
        <w:rPr>
          <w:spacing w:val="-66"/>
        </w:rPr>
        <w:t> </w:t>
      </w:r>
      <w:r>
        <w:rPr>
          <w:spacing w:val="-66"/>
        </w:rPr>
      </w:r>
      <w:r>
        <w:rPr>
          <w:spacing w:val="-2"/>
        </w:rPr>
        <w:t>法律、行政法规、部门规章、规范性文件、《深圳证券交易所股票上市规则》及其他相关规定等要求的任职资格。</w:t>
      </w:r>
    </w:p>
    <w:p>
      <w:pPr>
        <w:pStyle w:val="BodyText"/>
        <w:spacing w:line="319" w:lineRule="auto" w:before="56"/>
        <w:ind w:left="153" w:right="1185" w:firstLine="360"/>
        <w:jc w:val="both"/>
      </w:pPr>
      <w:r>
        <w:rPr/>
        <w:t>张婷女士，女，中国国籍，</w:t>
      </w:r>
      <w:r>
        <w:rPr>
          <w:rFonts w:ascii="宋体" w:hAnsi="宋体" w:cs="宋体" w:eastAsia="宋体" w:hint="default"/>
        </w:rPr>
        <w:t>1979</w:t>
      </w:r>
      <w:r>
        <w:rPr>
          <w:rFonts w:ascii="宋体" w:hAnsi="宋体" w:cs="宋体" w:eastAsia="宋体" w:hint="default"/>
          <w:spacing w:val="-46"/>
        </w:rPr>
        <w:t> </w:t>
      </w:r>
      <w:r>
        <w:rPr/>
        <w:t>年生，本科学历。历任北京宝鼎律师事务所律师助理，北京市中伦律师事务所行政人 力副主管。现任公司人力资源总监。</w:t>
      </w:r>
    </w:p>
    <w:p>
      <w:pPr>
        <w:pStyle w:val="BodyText"/>
        <w:spacing w:line="319" w:lineRule="auto" w:before="55"/>
        <w:ind w:left="153" w:right="1132" w:firstLine="360"/>
        <w:jc w:val="both"/>
      </w:pPr>
      <w:r>
        <w:rPr>
          <w:spacing w:val="-2"/>
        </w:rPr>
        <w:t>截至目前，张婷女士未持有公司股份，与持有公司百分之五以上股份的股东、实际控制人、公司其他董事、监事和高级</w:t>
      </w:r>
      <w:r>
        <w:rPr/>
        <w:t> </w:t>
      </w:r>
      <w:r>
        <w:rPr>
          <w:spacing w:val="-2"/>
        </w:rPr>
        <w:t>管理人员之间不存在关联关系；不存在不得提名为监事的情形；未受到过中国证监会及其他有关部门的处罚和证券交易所纪</w:t>
      </w:r>
      <w:r>
        <w:rPr>
          <w:spacing w:val="-64"/>
        </w:rPr>
        <w:t> </w:t>
      </w:r>
      <w:r>
        <w:rPr>
          <w:spacing w:val="-64"/>
        </w:rPr>
      </w:r>
      <w:r>
        <w:rPr>
          <w:spacing w:val="-2"/>
        </w:rPr>
        <w:t>律处分；不存在因涉嫌犯罪被司法机关立案侦查或涉嫌违法违规被中国证监会立案稽查的情形；不是失信被执行人，也不是</w:t>
      </w:r>
      <w:r>
        <w:rPr>
          <w:spacing w:val="-66"/>
        </w:rPr>
        <w:t> </w:t>
      </w:r>
      <w:r>
        <w:rPr>
          <w:spacing w:val="-66"/>
        </w:rPr>
      </w:r>
      <w:r>
        <w:rPr>
          <w:spacing w:val="-2"/>
        </w:rPr>
        <w:t>失信责任主体或失信惩戒对象；符合有关法律、行政法规、部门规章、规范性文件、《股票上市规则》及交易所其他相关规</w:t>
      </w:r>
      <w:r>
        <w:rPr>
          <w:spacing w:val="-72"/>
        </w:rPr>
        <w:t> </w:t>
      </w:r>
      <w:r>
        <w:rPr>
          <w:spacing w:val="-72"/>
        </w:rPr>
      </w:r>
      <w:r>
        <w:rPr/>
        <w:t>定和公司章程等要求的任职资格。</w:t>
      </w:r>
    </w:p>
    <w:p>
      <w:pPr>
        <w:pStyle w:val="BodyText"/>
        <w:spacing w:line="319" w:lineRule="auto" w:before="55"/>
        <w:ind w:right="1185" w:firstLine="360"/>
        <w:jc w:val="both"/>
      </w:pPr>
      <w:r>
        <w:rPr/>
        <w:t>肖欢先生，男，中国国籍，</w:t>
      </w:r>
      <w:r>
        <w:rPr>
          <w:rFonts w:ascii="宋体" w:hAnsi="宋体" w:cs="宋体" w:eastAsia="宋体" w:hint="default"/>
        </w:rPr>
        <w:t>1988</w:t>
      </w:r>
      <w:r>
        <w:rPr>
          <w:rFonts w:ascii="宋体" w:hAnsi="宋体" w:cs="宋体" w:eastAsia="宋体" w:hint="default"/>
          <w:spacing w:val="-46"/>
        </w:rPr>
        <w:t> </w:t>
      </w:r>
      <w:r>
        <w:rPr/>
        <w:t>年生，硕士在读。历任北京德恒律师事务所律师，北京汽车集团产业投资有限公司风 </w:t>
      </w:r>
      <w:r>
        <w:rPr>
          <w:spacing w:val="-2"/>
        </w:rPr>
        <w:t>控经理、投资经理（新三板领域），智度集团有限公司投资总监；现任智度科技股份有限公司监事、投资总监。</w:t>
      </w:r>
    </w:p>
    <w:p>
      <w:pPr>
        <w:pStyle w:val="BodyText"/>
        <w:spacing w:line="319" w:lineRule="auto" w:before="56"/>
        <w:ind w:left="153" w:right="1131" w:firstLine="360"/>
        <w:jc w:val="both"/>
      </w:pPr>
      <w:r>
        <w:rPr>
          <w:spacing w:val="-2"/>
        </w:rPr>
        <w:t>截至目前，肖欢先生未持有公司股份，与持有公司百分之五以上股份的股东、实际控制人、公司其他董事、监事和高级</w:t>
      </w:r>
      <w:r>
        <w:rPr/>
        <w:t> </w:t>
      </w:r>
      <w:r>
        <w:rPr>
          <w:spacing w:val="-2"/>
        </w:rPr>
        <w:t>管理人员之间不存在关联关系；不存在不得提名为监事的情形；未受到过中国证监会及其他有关部门的处罚和证券交易所纪</w:t>
      </w:r>
      <w:r>
        <w:rPr>
          <w:spacing w:val="-64"/>
        </w:rPr>
        <w:t> </w:t>
      </w:r>
      <w:r>
        <w:rPr>
          <w:spacing w:val="-64"/>
        </w:rPr>
      </w:r>
      <w:r>
        <w:rPr>
          <w:spacing w:val="-2"/>
        </w:rPr>
        <w:t>律处分；不存在因涉嫌犯罪被司法机关立案侦查或涉嫌违法违规被中国证监会立案稽查的情形；不是失信被执行人，也不是</w:t>
      </w:r>
      <w:r>
        <w:rPr>
          <w:spacing w:val="-66"/>
        </w:rPr>
        <w:t> </w:t>
      </w:r>
      <w:r>
        <w:rPr>
          <w:spacing w:val="-66"/>
        </w:rPr>
      </w:r>
      <w:r>
        <w:rPr>
          <w:spacing w:val="-2"/>
        </w:rPr>
        <w:t>失信责任主体或失信惩戒对象；符合有关法律、行政法规、部门规章、规范性文件、《股票上市规则》及交易所其他相关规</w:t>
      </w:r>
      <w:r>
        <w:rPr>
          <w:spacing w:val="-72"/>
        </w:rPr>
        <w:t> </w:t>
      </w:r>
      <w:r>
        <w:rPr>
          <w:spacing w:val="-72"/>
        </w:rPr>
      </w:r>
      <w:r>
        <w:rPr/>
        <w:t>定和公司章程等要求的任职资格。</w:t>
      </w:r>
    </w:p>
    <w:p>
      <w:pPr>
        <w:pStyle w:val="BodyText"/>
        <w:spacing w:line="319" w:lineRule="auto" w:before="56"/>
        <w:ind w:left="153" w:right="1185" w:firstLine="360"/>
        <w:jc w:val="both"/>
      </w:pPr>
      <w:r>
        <w:rPr/>
        <w:t>石睿女士，女，中国国籍，</w:t>
      </w:r>
      <w:r>
        <w:rPr>
          <w:rFonts w:ascii="宋体" w:hAnsi="宋体" w:cs="宋体" w:eastAsia="宋体" w:hint="default"/>
        </w:rPr>
        <w:t>1990</w:t>
      </w:r>
      <w:r>
        <w:rPr>
          <w:rFonts w:ascii="宋体" w:hAnsi="宋体" w:cs="宋体" w:eastAsia="宋体" w:hint="default"/>
          <w:spacing w:val="-46"/>
        </w:rPr>
        <w:t> </w:t>
      </w:r>
      <w:r>
        <w:rPr/>
        <w:t>年生，硕士在读。历任北京市龙腾谦瑞投资咨询有限公司项目经理；现任智度科技股 份有限公司监事、证券事务经理。</w:t>
      </w:r>
    </w:p>
    <w:p>
      <w:pPr>
        <w:pStyle w:val="BodyText"/>
        <w:spacing w:line="316" w:lineRule="auto" w:before="55"/>
        <w:ind w:right="1132" w:firstLine="360"/>
        <w:jc w:val="both"/>
      </w:pPr>
      <w:r>
        <w:rPr>
          <w:spacing w:val="-2"/>
        </w:rPr>
        <w:t>截至目前，石睿女士未持有公司股份，与持有公司百分之五以上股份的股东、实际控制人、公司其他董事、监事和高级</w:t>
      </w:r>
      <w:r>
        <w:rPr/>
        <w:t> </w:t>
      </w:r>
      <w:r>
        <w:rPr>
          <w:spacing w:val="-2"/>
        </w:rPr>
        <w:t>管理人员之间不存在关联关系；不存在不得提名为监事的情形；未受到过中国证监会及其他有关部门的处罚和证券交易所纪</w:t>
      </w:r>
    </w:p>
    <w:p>
      <w:pPr>
        <w:spacing w:after="0" w:line="316" w:lineRule="auto"/>
        <w:jc w:val="both"/>
        <w:sectPr>
          <w:pgSz w:w="11910" w:h="16840"/>
          <w:pgMar w:header="877" w:footer="1187" w:top="1100" w:bottom="1380" w:left="980" w:right="0"/>
        </w:sectPr>
      </w:pPr>
    </w:p>
    <w:p>
      <w:pPr>
        <w:spacing w:line="240" w:lineRule="auto" w:before="12"/>
        <w:rPr>
          <w:rFonts w:ascii="宋体" w:hAnsi="宋体" w:cs="宋体" w:eastAsia="宋体" w:hint="default"/>
          <w:sz w:val="21"/>
          <w:szCs w:val="21"/>
        </w:rPr>
      </w:pPr>
    </w:p>
    <w:p>
      <w:pPr>
        <w:pStyle w:val="BodyText"/>
        <w:spacing w:line="319" w:lineRule="auto" w:before="44"/>
        <w:ind w:left="153" w:right="1133"/>
        <w:jc w:val="both"/>
      </w:pPr>
      <w:r>
        <w:rPr>
          <w:spacing w:val="-2"/>
        </w:rPr>
        <w:t>律处分；不存在因涉嫌犯罪被司法机关立案侦查或涉嫌违法违规被中国证监会立案稽查的情形；不是失信被执行人，也不是</w:t>
      </w:r>
      <w:r>
        <w:rPr>
          <w:spacing w:val="-66"/>
        </w:rPr>
        <w:t> </w:t>
      </w:r>
      <w:r>
        <w:rPr>
          <w:spacing w:val="-66"/>
        </w:rPr>
      </w:r>
      <w:r>
        <w:rPr>
          <w:spacing w:val="-2"/>
        </w:rPr>
        <w:t>失信责任主体或失信惩戒对象；符合有关法律、行政法规、部门规章、规范性文件、《股票上市规则》及交易所其他相关规</w:t>
      </w:r>
      <w:r>
        <w:rPr>
          <w:spacing w:val="-72"/>
        </w:rPr>
        <w:t> </w:t>
      </w:r>
      <w:r>
        <w:rPr>
          <w:spacing w:val="-72"/>
        </w:rPr>
      </w:r>
      <w:r>
        <w:rPr/>
        <w:t>定和公司章程等要求的任职资格。</w:t>
      </w:r>
    </w:p>
    <w:p>
      <w:pPr>
        <w:pStyle w:val="BodyText"/>
        <w:spacing w:line="240" w:lineRule="auto" w:before="56"/>
        <w:ind w:left="153" w:right="0"/>
        <w:jc w:val="both"/>
      </w:pPr>
      <w:r>
        <w:rPr/>
        <w:t>在股东单位任职情况</w:t>
      </w:r>
    </w:p>
    <w:p>
      <w:pPr>
        <w:pStyle w:val="BodyText"/>
        <w:spacing w:line="240" w:lineRule="auto" w:before="117"/>
        <w:ind w:left="153" w:right="0"/>
        <w:jc w:val="both"/>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565"/>
        <w:gridCol w:w="995"/>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1" w:right="41"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智度集团有限公司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5"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0"/>
        <w:jc w:val="left"/>
      </w:pPr>
      <w:r>
        <w:rPr/>
        <w:t>在其他单位任职情况</w:t>
      </w:r>
    </w:p>
    <w:p>
      <w:pPr>
        <w:pStyle w:val="BodyText"/>
        <w:spacing w:line="240" w:lineRule="auto" w:before="117"/>
        <w:ind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34"/>
        <w:gridCol w:w="3162"/>
        <w:gridCol w:w="1206"/>
        <w:gridCol w:w="1487"/>
        <w:gridCol w:w="1559"/>
        <w:gridCol w:w="992"/>
      </w:tblGrid>
      <w:tr>
        <w:trPr>
          <w:trHeight w:val="102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5"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7" w:right="56"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 w:right="41"/>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赵立仁</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上海智度亦复信息技术有限公司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07</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14</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赵立仁</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西藏智媒网络科技有限公司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1"/>
              <w:jc w:val="left"/>
              <w:rPr>
                <w:rFonts w:ascii="宋体" w:hAnsi="宋体" w:cs="宋体" w:eastAsia="宋体" w:hint="default"/>
                <w:sz w:val="18"/>
                <w:szCs w:val="18"/>
              </w:rPr>
            </w:pPr>
            <w:r>
              <w:rPr>
                <w:rFonts w:ascii="宋体" w:hAnsi="宋体" w:cs="宋体" w:eastAsia="宋体" w:hint="default"/>
                <w:sz w:val="18"/>
                <w:szCs w:val="18"/>
              </w:rPr>
              <w:t>董事长兼总经 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18</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赵立仁</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广州市智度互联网小额贷款有限公司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09</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22</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赵立仁</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深圳智度信息技术有限公司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1"/>
              <w:jc w:val="left"/>
              <w:rPr>
                <w:rFonts w:ascii="宋体" w:hAnsi="宋体" w:cs="宋体" w:eastAsia="宋体" w:hint="default"/>
                <w:sz w:val="18"/>
                <w:szCs w:val="18"/>
              </w:rPr>
            </w:pPr>
            <w:r>
              <w:rPr>
                <w:rFonts w:ascii="宋体" w:hAnsi="宋体" w:cs="宋体" w:eastAsia="宋体" w:hint="default"/>
                <w:sz w:val="18"/>
                <w:szCs w:val="18"/>
              </w:rPr>
              <w:t>执行董事兼总 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07</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26</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赵立仁</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上海智度网络科技有限公司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91"/>
              <w:jc w:val="left"/>
              <w:rPr>
                <w:rFonts w:ascii="宋体" w:hAnsi="宋体" w:cs="宋体" w:eastAsia="宋体" w:hint="default"/>
                <w:sz w:val="18"/>
                <w:szCs w:val="18"/>
              </w:rPr>
            </w:pPr>
            <w:r>
              <w:rPr>
                <w:rFonts w:ascii="宋体" w:hAnsi="宋体" w:cs="宋体" w:eastAsia="宋体" w:hint="default"/>
                <w:sz w:val="18"/>
                <w:szCs w:val="18"/>
              </w:rPr>
              <w:t>执行董事兼总 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10</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30</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熊贵成</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上海猎鹰网络有限公司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07</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05</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熊贵成</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北京掌汇天下科技有限公司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07</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19</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熊贵成</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北京风灵创景科技有限公司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09</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01</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熊贵成</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福建风灵创景科技有限公司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12</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04</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熊贵成</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上海智度亦复信息技术有限公司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07</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14</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熊贵成</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西藏智媒网络科技有限公司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18</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熊贵成</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9"/>
              <w:jc w:val="left"/>
              <w:rPr>
                <w:rFonts w:ascii="宋体" w:hAnsi="宋体" w:cs="宋体" w:eastAsia="宋体" w:hint="default"/>
                <w:sz w:val="18"/>
                <w:szCs w:val="18"/>
              </w:rPr>
            </w:pPr>
            <w:r>
              <w:rPr>
                <w:rFonts w:ascii="宋体" w:hAnsi="宋体" w:cs="宋体" w:eastAsia="宋体" w:hint="default"/>
                <w:sz w:val="18"/>
                <w:szCs w:val="18"/>
              </w:rPr>
              <w:t>拉萨经济技术开发区猎鹰网络科技有限 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05</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12</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北京智度德正投资有限公司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1"/>
              <w:jc w:val="left"/>
              <w:rPr>
                <w:rFonts w:ascii="宋体" w:hAnsi="宋体" w:cs="宋体" w:eastAsia="宋体" w:hint="default"/>
                <w:sz w:val="18"/>
                <w:szCs w:val="18"/>
              </w:rPr>
            </w:pPr>
            <w:r>
              <w:rPr>
                <w:rFonts w:ascii="宋体" w:hAnsi="宋体" w:cs="宋体" w:eastAsia="宋体" w:hint="default"/>
                <w:sz w:val="18"/>
                <w:szCs w:val="18"/>
              </w:rPr>
              <w:t>执行董事兼经 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06</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18</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北京风灵创景科技有限公司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09</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01</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北京智度体育旅游有限公司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1"/>
              <w:jc w:val="left"/>
              <w:rPr>
                <w:rFonts w:ascii="宋体" w:hAnsi="宋体" w:cs="宋体" w:eastAsia="宋体" w:hint="default"/>
                <w:sz w:val="18"/>
                <w:szCs w:val="18"/>
              </w:rPr>
            </w:pPr>
            <w:r>
              <w:rPr>
                <w:rFonts w:ascii="宋体" w:hAnsi="宋体" w:cs="宋体" w:eastAsia="宋体" w:hint="default"/>
                <w:sz w:val="18"/>
                <w:szCs w:val="18"/>
              </w:rPr>
              <w:t>执行董事兼总 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20</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福建风灵创景科技有限公司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12</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04</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福建智度科技有限公司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1"/>
              <w:jc w:val="left"/>
              <w:rPr>
                <w:rFonts w:ascii="宋体" w:hAnsi="宋体" w:cs="宋体" w:eastAsia="宋体" w:hint="default"/>
                <w:sz w:val="18"/>
                <w:szCs w:val="18"/>
              </w:rPr>
            </w:pPr>
            <w:r>
              <w:rPr>
                <w:rFonts w:ascii="宋体" w:hAnsi="宋体" w:cs="宋体" w:eastAsia="宋体" w:hint="default"/>
                <w:sz w:val="18"/>
                <w:szCs w:val="18"/>
              </w:rPr>
              <w:t>执行董事兼总 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03</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31</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234"/>
        <w:gridCol w:w="3162"/>
        <w:gridCol w:w="1206"/>
        <w:gridCol w:w="1487"/>
        <w:gridCol w:w="1559"/>
        <w:gridCol w:w="992"/>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上海猎鹰网络有限公司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19</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上海智度亦复信息技术有限公司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07</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14</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北京掌汇天下科技有限公司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07</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19</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西藏智度九一信息科技有限公司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执行董事兼总 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10</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31</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西藏智媒网络科技有限公司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18</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苏州工业园区智度德众投资有限公司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执行董事兼总 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07</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29</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上海智度亦复信息技术有限公司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董事长兼总经 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12</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02</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西藏亦复广告有限公司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06</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11</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上海菲索广告有限公司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07</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04</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上海谛视文化传媒有限公司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15</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上海佑迎广告有限公司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09</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15</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袁聪</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北京掌汇天下科技有限公司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04</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袁聪</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霍尔果斯白猫科技有限公司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执行董事兼总 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06</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袁聪</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厦门智得天下金融信息服务有限公司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执行董事兼总 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12</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05</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段东辉</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天壕环境股份有限公司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02</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27</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段东辉</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泰康资产管理有限责任公司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08</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01</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段东辉</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泰康养老保险股份有限公司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08</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01</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余应敏</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外运发展股份有限公司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08</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01</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余应敏</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四川双马水泥股份有限公司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08</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11</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余应敏</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广东潮宏基实业股份有限公司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09</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06</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余应敏</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中央财经大学</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教授、博士生 导师</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07</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01</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余应敏</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华宝香精股份有限公司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09</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left="153"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四、董事、监事、高级管理人员报酬情况" w:id="128"/>
      <w:bookmarkEnd w:id="128"/>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0"/>
        <w:jc w:val="left"/>
      </w:pPr>
      <w:r>
        <w:rPr/>
        <w:t>董事、监事、高级管理人员报酬的决策程序、确定依据、实际支付情况</w:t>
      </w:r>
    </w:p>
    <w:p>
      <w:pPr>
        <w:pStyle w:val="BodyText"/>
        <w:spacing w:line="316" w:lineRule="auto" w:before="115"/>
        <w:ind w:left="513" w:right="0"/>
        <w:jc w:val="left"/>
      </w:pPr>
      <w:r>
        <w:rPr/>
        <w:t>（一）决策程序 </w:t>
      </w:r>
      <w:r>
        <w:rPr>
          <w:spacing w:val="-2"/>
        </w:rPr>
        <w:t>公司董事、监事、高级管理人员的薪酬分配方案由公司薪酬与考核委员会根据公司章程和公司《董事、监事、高级管理</w:t>
      </w:r>
    </w:p>
    <w:p>
      <w:pPr>
        <w:pStyle w:val="BodyText"/>
        <w:spacing w:line="240" w:lineRule="auto" w:before="19"/>
        <w:ind w:left="153" w:right="0"/>
        <w:jc w:val="left"/>
      </w:pPr>
      <w:r>
        <w:rPr/>
        <w:t>人员薪酬考核制度》提出，报经公司董事会审议通过后，提交公司股东大会批准后方可实施。</w:t>
      </w:r>
    </w:p>
    <w:p>
      <w:pPr>
        <w:pStyle w:val="BodyText"/>
        <w:spacing w:line="240" w:lineRule="auto" w:before="76"/>
        <w:ind w:left="513" w:right="0"/>
        <w:jc w:val="left"/>
      </w:pPr>
      <w:r>
        <w:rPr/>
        <w:t>（二）确定依据</w:t>
      </w:r>
    </w:p>
    <w:p>
      <w:pPr>
        <w:spacing w:after="0" w:line="240" w:lineRule="auto"/>
        <w:jc w:val="left"/>
        <w:sectPr>
          <w:pgSz w:w="11910" w:h="16840"/>
          <w:pgMar w:header="877" w:footer="1187" w:top="1100" w:bottom="1380" w:left="980" w:right="0"/>
        </w:sectPr>
      </w:pPr>
    </w:p>
    <w:p>
      <w:pPr>
        <w:spacing w:line="240" w:lineRule="auto" w:before="12"/>
        <w:rPr>
          <w:rFonts w:ascii="宋体" w:hAnsi="宋体" w:cs="宋体" w:eastAsia="宋体" w:hint="default"/>
          <w:sz w:val="21"/>
          <w:szCs w:val="21"/>
        </w:rPr>
      </w:pPr>
    </w:p>
    <w:p>
      <w:pPr>
        <w:pStyle w:val="BodyText"/>
        <w:spacing w:line="316" w:lineRule="auto" w:before="44"/>
        <w:ind w:left="153" w:right="1119" w:firstLine="360"/>
        <w:jc w:val="left"/>
      </w:pPr>
      <w:r>
        <w:rPr>
          <w:spacing w:val="-7"/>
        </w:rPr>
        <w:t>公司董事、监事、高级管理人员</w:t>
      </w:r>
      <w:r>
        <w:rPr>
          <w:rFonts w:ascii="宋体" w:hAnsi="宋体" w:cs="宋体" w:eastAsia="宋体" w:hint="default"/>
          <w:spacing w:val="-7"/>
        </w:rPr>
        <w:t>2017</w:t>
      </w:r>
      <w:r>
        <w:rPr>
          <w:spacing w:val="-7"/>
        </w:rPr>
        <w:t>年度的薪酬根据公司</w:t>
      </w:r>
      <w:r>
        <w:rPr>
          <w:rFonts w:ascii="宋体" w:hAnsi="宋体" w:cs="宋体" w:eastAsia="宋体" w:hint="default"/>
          <w:spacing w:val="-7"/>
        </w:rPr>
        <w:t>2016</w:t>
      </w:r>
      <w:r>
        <w:rPr>
          <w:spacing w:val="-7"/>
        </w:rPr>
        <w:t>年度股东大会审议通过的《董事、监事及高级管理人员</w:t>
      </w:r>
      <w:r>
        <w:rPr>
          <w:spacing w:val="29"/>
        </w:rPr>
        <w:t> </w:t>
      </w:r>
      <w:r>
        <w:rPr>
          <w:rFonts w:ascii="宋体" w:hAnsi="宋体" w:cs="宋体" w:eastAsia="宋体" w:hint="default"/>
        </w:rPr>
        <w:t>2017 </w:t>
      </w:r>
      <w:r>
        <w:rPr/>
        <w:t>年度薪酬方案 》发放。</w:t>
      </w:r>
    </w:p>
    <w:p>
      <w:pPr>
        <w:pStyle w:val="BodyText"/>
        <w:spacing w:line="316" w:lineRule="auto" w:before="19"/>
        <w:ind w:left="514" w:right="1122"/>
        <w:jc w:val="left"/>
      </w:pPr>
      <w:r>
        <w:rPr/>
        <w:t>（三）实际支付情况 </w:t>
      </w:r>
      <w:r>
        <w:rPr>
          <w:rFonts w:ascii="宋体" w:hAnsi="宋体" w:cs="宋体" w:eastAsia="宋体" w:hint="default"/>
        </w:rPr>
        <w:t>1</w:t>
      </w:r>
      <w:r>
        <w:rPr/>
        <w:t>、独立董事采取固定董事津贴方式，津贴标准经股东大会审议通过后按月度发放；外部董事不在公司领取津贴。独立</w:t>
      </w:r>
    </w:p>
    <w:p>
      <w:pPr>
        <w:pStyle w:val="BodyText"/>
        <w:spacing w:line="316" w:lineRule="auto" w:before="19"/>
        <w:ind w:left="514" w:right="0" w:hanging="360"/>
        <w:jc w:val="left"/>
      </w:pPr>
      <w:r>
        <w:rPr>
          <w:spacing w:val="-4"/>
        </w:rPr>
        <w:t>董事和外部董事因出席公司董事会和股东大会而产生的差旅费以及依照《公司章程》行使职权时所需的其他费用由公司承担。</w:t>
      </w:r>
      <w:r>
        <w:rPr>
          <w:spacing w:val="-43"/>
        </w:rPr>
        <w:t> </w:t>
      </w:r>
      <w:r>
        <w:rPr>
          <w:spacing w:val="-43"/>
        </w:rPr>
      </w:r>
      <w:r>
        <w:rPr>
          <w:rFonts w:ascii="宋体" w:hAnsi="宋体" w:cs="宋体" w:eastAsia="宋体" w:hint="default"/>
        </w:rPr>
        <w:t>2</w:t>
      </w:r>
      <w:r>
        <w:rPr/>
        <w:t>、外部监事在公司领取津贴，津贴标准经股东大会审议通过后按月度发放；外部监事因出席公司监事会、董事会和股</w:t>
      </w:r>
    </w:p>
    <w:p>
      <w:pPr>
        <w:pStyle w:val="BodyText"/>
        <w:spacing w:line="316" w:lineRule="auto" w:before="19"/>
        <w:ind w:left="513" w:right="1123" w:hanging="360"/>
        <w:jc w:val="left"/>
      </w:pPr>
      <w:r>
        <w:rPr/>
        <w:t>东大会而产生的差旅费以及依照《公司章程》行使职权时所需的其他费用由公司承担。 </w:t>
      </w:r>
      <w:r>
        <w:rPr>
          <w:rFonts w:ascii="宋体" w:hAnsi="宋体" w:cs="宋体" w:eastAsia="宋体" w:hint="default"/>
        </w:rPr>
        <w:t>3</w:t>
      </w:r>
      <w:r>
        <w:rPr/>
        <w:t>、在公司担任除董事、监事外的其他职务的董事、监事，按其岗位对应的薪酬与考核管理办法执行，不再另行领取董</w:t>
      </w:r>
    </w:p>
    <w:p>
      <w:pPr>
        <w:pStyle w:val="BodyText"/>
        <w:spacing w:line="316" w:lineRule="auto" w:before="19"/>
        <w:ind w:left="513" w:right="1123" w:hanging="360"/>
        <w:jc w:val="left"/>
      </w:pPr>
      <w:r>
        <w:rPr/>
        <w:t>事或者监事津贴。 </w:t>
      </w:r>
      <w:r>
        <w:rPr>
          <w:rFonts w:ascii="宋体" w:hAnsi="宋体" w:cs="宋体" w:eastAsia="宋体" w:hint="default"/>
        </w:rPr>
        <w:t>4</w:t>
      </w:r>
      <w:r>
        <w:rPr/>
        <w:t>、高级管理人员实行年薪制，其基本年薪按固定薪资逐月发放。绩效工资以年度经营目标为考核基础，根据每年实现</w:t>
      </w:r>
    </w:p>
    <w:p>
      <w:pPr>
        <w:pStyle w:val="BodyText"/>
        <w:spacing w:line="316" w:lineRule="auto" w:before="19"/>
        <w:ind w:left="514" w:right="3822" w:hanging="360"/>
        <w:jc w:val="left"/>
      </w:pPr>
      <w:r>
        <w:rPr/>
        <w:t>效益情况以及高管人员工作业绩完成情况核定，统一发放。 </w:t>
      </w:r>
      <w:r>
        <w:rPr>
          <w:rFonts w:ascii="宋体" w:hAnsi="宋体" w:cs="宋体" w:eastAsia="宋体" w:hint="default"/>
        </w:rPr>
        <w:t>5</w:t>
      </w:r>
      <w:r>
        <w:rPr/>
        <w:t>、报告期内，公司董事、监事和高级管理人员报酬的实际支付金额为</w:t>
      </w:r>
      <w:r>
        <w:rPr>
          <w:rFonts w:ascii="宋体" w:hAnsi="宋体" w:cs="宋体" w:eastAsia="宋体" w:hint="default"/>
        </w:rPr>
        <w:t>420.30</w:t>
      </w:r>
      <w:r>
        <w:rPr/>
        <w:t>万元。</w:t>
      </w:r>
    </w:p>
    <w:p>
      <w:pPr>
        <w:spacing w:line="240" w:lineRule="auto" w:before="2"/>
        <w:rPr>
          <w:rFonts w:ascii="宋体" w:hAnsi="宋体" w:cs="宋体" w:eastAsia="宋体" w:hint="default"/>
          <w:sz w:val="28"/>
          <w:szCs w:val="28"/>
        </w:rPr>
      </w:pPr>
    </w:p>
    <w:p>
      <w:pPr>
        <w:pStyle w:val="BodyText"/>
        <w:spacing w:line="240" w:lineRule="auto" w:before="44"/>
        <w:ind w:left="153" w:right="0"/>
        <w:jc w:val="left"/>
      </w:pPr>
      <w:r>
        <w:rPr/>
        <w:t>公司报告期内董事、监事和高级管理人员报酬情况</w:t>
      </w:r>
    </w:p>
    <w:p>
      <w:pPr>
        <w:pStyle w:val="BodyText"/>
        <w:spacing w:line="240" w:lineRule="auto" w:before="116"/>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赵立仁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71.36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熊贵成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44.17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段东辉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余应敏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汤政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袁聪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48.71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李凌霄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人力资源总监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29.26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肖欢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石睿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证券经理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资金经理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王科芳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420.3</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r>
    </w:tbl>
    <w:p>
      <w:pPr>
        <w:pStyle w:val="BodyText"/>
        <w:spacing w:line="240" w:lineRule="auto" w:before="52"/>
        <w:ind w:right="0"/>
        <w:jc w:val="left"/>
      </w:pPr>
      <w:r>
        <w:rPr/>
        <w:t>公司董事、高级管理人员报告期内被授予的股权激励情况</w:t>
      </w:r>
    </w:p>
    <w:p>
      <w:pPr>
        <w:pStyle w:val="BodyText"/>
        <w:spacing w:line="240" w:lineRule="auto" w:before="116"/>
        <w:ind w:right="0"/>
        <w:jc w:val="left"/>
      </w:pPr>
      <w:r>
        <w:rPr/>
        <w:t>□ 适用 √ 不适用</w:t>
      </w:r>
    </w:p>
    <w:p>
      <w:pPr>
        <w:spacing w:after="0" w:line="240" w:lineRule="auto"/>
        <w:jc w:val="left"/>
        <w:sectPr>
          <w:pgSz w:w="11910" w:h="16840"/>
          <w:pgMar w:header="877" w:footer="1187" w:top="1100" w:bottom="1380" w:left="980" w:right="0"/>
        </w:sectPr>
      </w:pPr>
    </w:p>
    <w:p>
      <w:pPr>
        <w:spacing w:line="240" w:lineRule="auto" w:before="8"/>
        <w:rPr>
          <w:rFonts w:ascii="宋体" w:hAnsi="宋体" w:cs="宋体" w:eastAsia="宋体" w:hint="default"/>
          <w:sz w:val="19"/>
          <w:szCs w:val="19"/>
        </w:rPr>
      </w:pPr>
    </w:p>
    <w:p>
      <w:pPr>
        <w:pStyle w:val="Heading2"/>
        <w:spacing w:line="240" w:lineRule="auto" w:before="26"/>
        <w:ind w:left="153" w:right="0"/>
        <w:jc w:val="left"/>
        <w:rPr>
          <w:b w:val="0"/>
          <w:bCs w:val="0"/>
        </w:rPr>
      </w:pPr>
      <w:bookmarkStart w:name="五、公司员工情况" w:id="129"/>
      <w:bookmarkEnd w:id="129"/>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员工数量、专业构成及教育程度" w:id="130"/>
      <w:bookmarkEnd w:id="130"/>
      <w:r>
        <w:rPr>
          <w:b w:val="0"/>
          <w:bCs w:val="0"/>
        </w:rPr>
      </w:r>
      <w:r>
        <w:rPr>
          <w:rFonts w:ascii="宋体" w:hAnsi="宋体" w:cs="宋体" w:eastAsia="宋体" w:hint="default"/>
        </w:rPr>
        <w:t>1</w:t>
      </w:r>
      <w:r>
        <w:rPr/>
        <w:t>、员工数量、专业构成及教育程度</w:t>
      </w:r>
      <w:r>
        <w:rPr>
          <w:b w:val="0"/>
          <w:bCs w:val="0"/>
        </w:rPr>
      </w:r>
    </w:p>
    <w:p>
      <w:pPr>
        <w:spacing w:line="240" w:lineRule="auto" w:before="12"/>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638</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638</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研究生及以上学历人数</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638</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薪酬政策" w:id="131"/>
      <w:bookmarkEnd w:id="131"/>
      <w:r>
        <w:rPr>
          <w:b w:val="0"/>
          <w:bCs w:val="0"/>
        </w:rPr>
      </w:r>
      <w:r>
        <w:rPr>
          <w:rFonts w:ascii="宋体" w:hAnsi="宋体" w:cs="宋体" w:eastAsia="宋体" w:hint="default"/>
        </w:rPr>
        <w:t>2</w:t>
      </w:r>
      <w:r>
        <w:rPr/>
        <w:t>、薪酬政策</w:t>
      </w:r>
      <w:r>
        <w:rPr>
          <w:b w:val="0"/>
          <w:bCs w:val="0"/>
        </w:rPr>
      </w:r>
    </w:p>
    <w:p>
      <w:pPr>
        <w:spacing w:line="240" w:lineRule="auto" w:before="11"/>
        <w:rPr>
          <w:rFonts w:ascii="宋体" w:hAnsi="宋体" w:cs="宋体" w:eastAsia="宋体" w:hint="default"/>
          <w:b/>
          <w:bCs/>
          <w:sz w:val="27"/>
          <w:szCs w:val="27"/>
        </w:rPr>
      </w:pPr>
    </w:p>
    <w:p>
      <w:pPr>
        <w:pStyle w:val="BodyText"/>
        <w:spacing w:line="316" w:lineRule="auto"/>
        <w:ind w:right="1032"/>
        <w:jc w:val="left"/>
      </w:pPr>
      <w:r>
        <w:rPr>
          <w:spacing w:val="-2"/>
        </w:rPr>
        <w:t>公司参照总部及子公司所在地区社会平均工资水平和行业平均水平、劳动力市场的供求状况与物价水平等制定了较为科学的</w:t>
      </w:r>
      <w:r>
        <w:rPr>
          <w:spacing w:val="-64"/>
        </w:rPr>
        <w:t> </w:t>
      </w:r>
      <w:r>
        <w:rPr>
          <w:spacing w:val="-64"/>
        </w:rPr>
      </w:r>
      <w:r>
        <w:rPr>
          <w:spacing w:val="-2"/>
        </w:rPr>
        <w:t>薪酬管理制度，努力为员工提供有竞争力的薪酬和福利待遇。公司薪酬体系设计以体现岗位价值为原则，兼顾外部竞争性和</w:t>
      </w:r>
      <w:r>
        <w:rPr>
          <w:spacing w:val="-66"/>
        </w:rPr>
        <w:t> </w:t>
      </w:r>
      <w:r>
        <w:rPr>
          <w:spacing w:val="-66"/>
        </w:rPr>
      </w:r>
      <w:r>
        <w:rPr/>
        <w:t>内部公平性。根据业绩情况和员工工作情况考核发放相应的年终奖励，强化薪酬的激励作用，激发员工的主动性和责任感， 促进员工充分调动和发挥自身潜力。</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3、培训计划" w:id="132"/>
      <w:bookmarkEnd w:id="132"/>
      <w:r>
        <w:rPr>
          <w:b w:val="0"/>
          <w:bCs w:val="0"/>
        </w:rPr>
      </w:r>
      <w:r>
        <w:rPr>
          <w:rFonts w:ascii="宋体" w:hAnsi="宋体" w:cs="宋体" w:eastAsia="宋体" w:hint="default"/>
        </w:rPr>
        <w:t>3</w:t>
      </w:r>
      <w:r>
        <w:rPr/>
        <w:t>、培训计划</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right="1130"/>
        <w:jc w:val="both"/>
      </w:pPr>
      <w:r>
        <w:rPr>
          <w:spacing w:val="-2"/>
        </w:rPr>
        <w:t>公司注重员工的培养和发展，根据员工的专业和岗位，结合公司经营和员工发展需要，为员工提供多元化的培训，为员工提</w:t>
      </w:r>
      <w:r>
        <w:rPr>
          <w:spacing w:val="-66"/>
        </w:rPr>
        <w:t> </w:t>
      </w:r>
      <w:r>
        <w:rPr>
          <w:spacing w:val="-66"/>
        </w:rPr>
      </w:r>
      <w:r>
        <w:rPr>
          <w:spacing w:val="-2"/>
        </w:rPr>
        <w:t>供学习实践、提升自我的机会。公司培训包括但不限于：新员工入职培训、公司业务培训、中高层管理技能培训等等，每次</w:t>
      </w:r>
      <w:r>
        <w:rPr>
          <w:spacing w:val="-68"/>
        </w:rPr>
        <w:t> </w:t>
      </w:r>
      <w:r>
        <w:rPr>
          <w:spacing w:val="-68"/>
        </w:rPr>
      </w:r>
      <w:r>
        <w:rPr>
          <w:spacing w:val="-2"/>
        </w:rPr>
        <w:t>培训结束后，公司会及时对培训效果进行评估，确保培训的质量。公司内部不断完善优秀人才培育体系，通过入职及内外部</w:t>
      </w:r>
      <w:r>
        <w:rPr>
          <w:spacing w:val="-66"/>
        </w:rPr>
        <w:t> </w:t>
      </w:r>
      <w:r>
        <w:rPr>
          <w:spacing w:val="-66"/>
        </w:rPr>
      </w:r>
      <w:r>
        <w:rPr/>
        <w:t>在职培训等多阶段分层次定向培养机制，增强员工的专业能力及专业服务精神，提高员工对公司的认可度和忠诚度。</w:t>
      </w:r>
    </w:p>
    <w:p>
      <w:pPr>
        <w:spacing w:after="0" w:line="319" w:lineRule="auto"/>
        <w:jc w:val="both"/>
        <w:sectPr>
          <w:pgSz w:w="11910" w:h="16840"/>
          <w:pgMar w:header="877" w:footer="1187" w:top="1100" w:bottom="1380" w:left="980" w:right="0"/>
        </w:sectPr>
      </w:pPr>
    </w:p>
    <w:p>
      <w:pPr>
        <w:spacing w:line="240" w:lineRule="auto" w:before="10"/>
        <w:rPr>
          <w:rFonts w:ascii="宋体" w:hAnsi="宋体" w:cs="宋体" w:eastAsia="宋体" w:hint="default"/>
          <w:sz w:val="20"/>
          <w:szCs w:val="20"/>
        </w:rPr>
      </w:pPr>
    </w:p>
    <w:p>
      <w:pPr>
        <w:pStyle w:val="Heading3"/>
        <w:spacing w:line="240" w:lineRule="auto" w:before="35"/>
        <w:ind w:left="153" w:right="0"/>
        <w:jc w:val="left"/>
        <w:rPr>
          <w:b w:val="0"/>
          <w:bCs w:val="0"/>
        </w:rPr>
      </w:pPr>
      <w:bookmarkStart w:name="4、劳务外包情况" w:id="133"/>
      <w:bookmarkEnd w:id="133"/>
      <w:r>
        <w:rPr>
          <w:b w:val="0"/>
          <w:bCs w:val="0"/>
        </w:rPr>
      </w:r>
      <w:r>
        <w:rPr>
          <w:rFonts w:ascii="宋体" w:hAnsi="宋体" w:cs="宋体" w:eastAsia="宋体" w:hint="default"/>
        </w:rPr>
        <w:t>4</w:t>
      </w:r>
      <w:r>
        <w:rPr/>
        <w:t>、劳务外包情况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53" w:right="0"/>
        <w:jc w:val="left"/>
      </w:pPr>
      <w:r>
        <w:rPr/>
        <w:t>□ 适用 √ 不适用</w:t>
      </w:r>
    </w:p>
    <w:p>
      <w:pPr>
        <w:spacing w:after="0" w:line="240" w:lineRule="auto"/>
        <w:jc w:val="left"/>
        <w:sectPr>
          <w:pgSz w:w="11910" w:h="16840"/>
          <w:pgMar w:header="877" w:footer="1187" w:top="110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593"/>
        <w:jc w:val="center"/>
        <w:rPr>
          <w:b w:val="0"/>
          <w:bCs w:val="0"/>
        </w:rPr>
      </w:pPr>
      <w:bookmarkStart w:name="第九节 公司治理" w:id="134"/>
      <w:bookmarkEnd w:id="134"/>
      <w:r>
        <w:rPr>
          <w:b w:val="0"/>
          <w:bCs w:val="0"/>
        </w:rPr>
      </w:r>
      <w:bookmarkStart w:name="_bookmark7" w:id="135"/>
      <w:bookmarkEnd w:id="135"/>
      <w:r>
        <w:rPr>
          <w:b w:val="0"/>
          <w:bCs w:val="0"/>
        </w:rPr>
      </w:r>
      <w:r>
        <w:rPr/>
        <w:t>第九节</w:t>
      </w:r>
      <w:r>
        <w:rPr>
          <w:spacing w:val="-4"/>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3" w:right="0"/>
        <w:jc w:val="both"/>
        <w:rPr>
          <w:b w:val="0"/>
          <w:bCs w:val="0"/>
        </w:rPr>
      </w:pPr>
      <w:bookmarkStart w:name="一、公司治理的基本状况" w:id="136"/>
      <w:bookmarkEnd w:id="136"/>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left="153" w:right="0" w:firstLine="360"/>
        <w:jc w:val="left"/>
      </w:pPr>
      <w:r>
        <w:rPr>
          <w:spacing w:val="-15"/>
        </w:rPr>
        <w:t>报告期内，公司严格按照《公司法》、《证券法》、《上市公司治理准则》、《深圳证券交易所股票上市规则》、《深圳证券交</w:t>
      </w:r>
      <w:r>
        <w:rPr/>
        <w:t> </w:t>
      </w:r>
      <w:r>
        <w:rPr>
          <w:spacing w:val="-4"/>
        </w:rPr>
        <w:t>易所主板上市公司规范运作指引》等相关法律、法规以及规范性文件要求，不断完善法人治理结构，提高公司规范运作水平，</w:t>
      </w:r>
      <w:r>
        <w:rPr>
          <w:spacing w:val="-46"/>
        </w:rPr>
        <w:t> </w:t>
      </w:r>
      <w:r>
        <w:rPr>
          <w:spacing w:val="-46"/>
        </w:rPr>
      </w:r>
      <w:r>
        <w:rPr>
          <w:spacing w:val="-2"/>
        </w:rPr>
        <w:t>切实维护公司及全体股东，特别是中小股东的利益。截至报告期末，公司治理的实际情况符合中国证监会发布的有关上市公</w:t>
      </w:r>
      <w:r>
        <w:rPr>
          <w:spacing w:val="-66"/>
        </w:rPr>
        <w:t> </w:t>
      </w:r>
      <w:r>
        <w:rPr>
          <w:spacing w:val="-66"/>
        </w:rPr>
      </w:r>
      <w:r>
        <w:rPr/>
        <w:t>司治理规范性文件的要求。</w:t>
      </w:r>
    </w:p>
    <w:p>
      <w:pPr>
        <w:pStyle w:val="BodyText"/>
        <w:spacing w:line="357" w:lineRule="auto" w:before="58"/>
        <w:ind w:left="514" w:right="1117"/>
        <w:jc w:val="left"/>
      </w:pPr>
      <w:r>
        <w:rPr/>
        <w:t>（一）关于股东及股东大会 </w:t>
      </w:r>
      <w:r>
        <w:rPr>
          <w:spacing w:val="-5"/>
        </w:rPr>
        <w:t>根据国家法律法规等文件的要求，结合公司的实际情况，公司制定了《公司章程》、《股东大会议事规则》等一系列规章</w:t>
      </w:r>
    </w:p>
    <w:p>
      <w:pPr>
        <w:pStyle w:val="BodyText"/>
        <w:spacing w:line="224" w:lineRule="exact"/>
        <w:ind w:right="0"/>
        <w:jc w:val="both"/>
      </w:pPr>
      <w:r>
        <w:rPr>
          <w:spacing w:val="-2"/>
        </w:rPr>
        <w:t>制度并且贯彻实施。报告期内，公司股东大会共召开会议</w:t>
      </w:r>
      <w:r>
        <w:rPr/>
        <w:t> </w:t>
      </w:r>
      <w:r>
        <w:rPr>
          <w:rFonts w:ascii="宋体" w:hAnsi="宋体" w:cs="宋体" w:eastAsia="宋体" w:hint="default"/>
        </w:rPr>
        <w:t>3</w:t>
      </w:r>
      <w:r>
        <w:rPr>
          <w:rFonts w:ascii="宋体" w:hAnsi="宋体" w:cs="宋体" w:eastAsia="宋体" w:hint="default"/>
          <w:spacing w:val="-68"/>
        </w:rPr>
        <w:t> </w:t>
      </w:r>
      <w:r>
        <w:rPr>
          <w:spacing w:val="-2"/>
        </w:rPr>
        <w:t>次，历次会议的召集、召开均合法合规，股东大会均聘请了律师</w:t>
      </w:r>
    </w:p>
    <w:p>
      <w:pPr>
        <w:pStyle w:val="BodyText"/>
        <w:spacing w:line="319" w:lineRule="auto" w:before="76"/>
        <w:ind w:right="1131"/>
        <w:jc w:val="both"/>
      </w:pPr>
      <w:r>
        <w:rPr>
          <w:spacing w:val="-2"/>
        </w:rPr>
        <w:t>进行现场见证。在审议关联交易事项时，关联股东都进行了回避表决，确保关联交易的公平合理。为确保广大股东充分行使</w:t>
      </w:r>
      <w:r>
        <w:rPr>
          <w:spacing w:val="-66"/>
        </w:rPr>
        <w:t> </w:t>
      </w:r>
      <w:r>
        <w:rPr>
          <w:spacing w:val="-66"/>
        </w:rPr>
      </w:r>
      <w:r>
        <w:rPr>
          <w:spacing w:val="-2"/>
        </w:rPr>
        <w:t>权利，在保证股东大会决议合法有效的前提下，公司为每次股东大会都提供了现场投票和网络投票两种参会方式。在审议影</w:t>
      </w:r>
      <w:r>
        <w:rPr>
          <w:spacing w:val="-66"/>
        </w:rPr>
        <w:t> </w:t>
      </w:r>
      <w:r>
        <w:rPr>
          <w:spacing w:val="-66"/>
        </w:rPr>
      </w:r>
      <w:r>
        <w:rPr>
          <w:spacing w:val="-2"/>
        </w:rPr>
        <w:t>响中小投资者权益的重大事项时，均对中小投资者表决单独计票并及时公开披露。同时，现场参加股东大会的投资者可与公</w:t>
      </w:r>
      <w:r>
        <w:rPr>
          <w:spacing w:val="-66"/>
        </w:rPr>
        <w:t> </w:t>
      </w:r>
      <w:r>
        <w:rPr>
          <w:spacing w:val="-66"/>
        </w:rPr>
      </w:r>
      <w:r>
        <w:rPr/>
        <w:t>司管理层面对面沟通交流，切实维护了投资者参与公司经营管理的权利。</w:t>
      </w:r>
    </w:p>
    <w:p>
      <w:pPr>
        <w:pStyle w:val="BodyText"/>
        <w:spacing w:line="357" w:lineRule="auto" w:before="56"/>
        <w:ind w:left="514" w:right="0"/>
        <w:jc w:val="left"/>
      </w:pPr>
      <w:r>
        <w:rPr/>
        <w:t>（二）控股股东与公司的关系 </w:t>
      </w:r>
      <w:r>
        <w:rPr>
          <w:spacing w:val="-2"/>
        </w:rPr>
        <w:t>报告期内，公司在业务、资产、财务、人员、机构等方面与控股股东、实际控制人及其关联人保持独立，符合中国证监</w:t>
      </w:r>
    </w:p>
    <w:p>
      <w:pPr>
        <w:pStyle w:val="BodyText"/>
        <w:spacing w:line="224" w:lineRule="exact"/>
        <w:ind w:right="0"/>
        <w:jc w:val="both"/>
      </w:pPr>
      <w:r>
        <w:rPr/>
        <w:t>会关于上市公司独立性的相关规定。公司控股股东行为规范，严格依法行使权利，没有违规干预公司的决策和经营活动的行</w:t>
      </w:r>
    </w:p>
    <w:p>
      <w:pPr>
        <w:pStyle w:val="BodyText"/>
        <w:spacing w:line="319" w:lineRule="auto" w:before="76"/>
        <w:ind w:right="1133"/>
        <w:jc w:val="both"/>
      </w:pPr>
      <w:r>
        <w:rPr>
          <w:spacing w:val="-2"/>
        </w:rPr>
        <w:t>为；没有违规任免公司高级管理人员的行为。控股股东没有对公司资产的违规占用行为，公司也没有违规为控股股东提供担</w:t>
      </w:r>
      <w:r>
        <w:rPr>
          <w:spacing w:val="-66"/>
        </w:rPr>
        <w:t> </w:t>
      </w:r>
      <w:r>
        <w:rPr>
          <w:spacing w:val="-66"/>
        </w:rPr>
      </w:r>
      <w:r>
        <w:rPr/>
        <w:t>保或财务资助行为。</w:t>
      </w:r>
    </w:p>
    <w:p>
      <w:pPr>
        <w:pStyle w:val="BodyText"/>
        <w:spacing w:line="357" w:lineRule="auto" w:before="56"/>
        <w:ind w:left="514" w:right="1117"/>
        <w:jc w:val="left"/>
      </w:pPr>
      <w:r>
        <w:rPr/>
        <w:t>（三）关于董事及董事会 </w:t>
      </w:r>
      <w:r>
        <w:rPr>
          <w:spacing w:val="-5"/>
        </w:rPr>
        <w:t>根据国家法律法规等文件的要求和《公司章程》的相关规定，公司制定了《董事会议事规则》、《独立董事工作制度》和</w:t>
      </w:r>
    </w:p>
    <w:p>
      <w:pPr>
        <w:pStyle w:val="BodyText"/>
        <w:spacing w:line="224" w:lineRule="exact"/>
        <w:ind w:right="0"/>
        <w:jc w:val="both"/>
      </w:pPr>
      <w:r>
        <w:rPr/>
        <w:t>各专门委员会工作细则，形成了科学有效，权责分明的制度体系。公司董事会的构成符合法律法规及公司的实际需求。公司</w:t>
      </w:r>
    </w:p>
    <w:p>
      <w:pPr>
        <w:pStyle w:val="BodyText"/>
        <w:spacing w:line="316" w:lineRule="auto" w:before="76"/>
        <w:ind w:left="153" w:right="1132"/>
        <w:jc w:val="both"/>
      </w:pPr>
      <w:r>
        <w:rPr/>
        <w:t>董事会由</w:t>
      </w:r>
      <w:r>
        <w:rPr>
          <w:spacing w:val="-66"/>
        </w:rPr>
        <w:t> </w:t>
      </w:r>
      <w:r>
        <w:rPr>
          <w:rFonts w:ascii="宋体" w:hAnsi="宋体" w:cs="宋体" w:eastAsia="宋体" w:hint="default"/>
        </w:rPr>
        <w:t>5</w:t>
      </w:r>
      <w:r>
        <w:rPr>
          <w:rFonts w:ascii="宋体" w:hAnsi="宋体" w:cs="宋体" w:eastAsia="宋体" w:hint="default"/>
          <w:spacing w:val="-66"/>
        </w:rPr>
        <w:t> </w:t>
      </w:r>
      <w:r>
        <w:rPr/>
        <w:t>名董事组成，其中独立董事</w:t>
      </w:r>
      <w:r>
        <w:rPr>
          <w:spacing w:val="-66"/>
        </w:rPr>
        <w:t> </w:t>
      </w:r>
      <w:r>
        <w:rPr>
          <w:rFonts w:ascii="宋体" w:hAnsi="宋体" w:cs="宋体" w:eastAsia="宋体" w:hint="default"/>
        </w:rPr>
        <w:t>2</w:t>
      </w:r>
      <w:r>
        <w:rPr>
          <w:rFonts w:ascii="宋体" w:hAnsi="宋体" w:cs="宋体" w:eastAsia="宋体" w:hint="default"/>
          <w:spacing w:val="-65"/>
        </w:rPr>
        <w:t> </w:t>
      </w:r>
      <w:r>
        <w:rPr/>
        <w:t>名，均具备履行职责所必需的知识、技能和素质，下设四个专门委员会，分别是审 </w:t>
      </w:r>
      <w:r>
        <w:rPr>
          <w:spacing w:val="-2"/>
        </w:rPr>
        <w:t>计委员会、提名委员会，薪酬与考核委员会，战略委员会，为董事会的决策提供科学和专业的意见。董事会及各专门委员会</w:t>
      </w:r>
      <w:r>
        <w:rPr>
          <w:spacing w:val="-66"/>
        </w:rPr>
        <w:t> </w:t>
      </w:r>
      <w:r>
        <w:rPr>
          <w:spacing w:val="-66"/>
        </w:rPr>
      </w:r>
      <w:r>
        <w:rPr>
          <w:spacing w:val="-4"/>
        </w:rPr>
        <w:t>严格按照监管部门的规定和《公司章程》、《董事会议事规则》等制度规范运作，报告期内，公司董事会共召开会议</w:t>
      </w:r>
      <w:r>
        <w:rPr/>
        <w:t> </w:t>
      </w:r>
      <w:r>
        <w:rPr>
          <w:rFonts w:ascii="宋体" w:hAnsi="宋体" w:cs="宋体" w:eastAsia="宋体" w:hint="default"/>
        </w:rPr>
        <w:t>15</w:t>
      </w:r>
      <w:r>
        <w:rPr>
          <w:rFonts w:ascii="宋体" w:hAnsi="宋体" w:cs="宋体" w:eastAsia="宋体" w:hint="default"/>
          <w:spacing w:val="-67"/>
        </w:rPr>
        <w:t> </w:t>
      </w:r>
      <w:r>
        <w:rPr/>
        <w:t>次，</w:t>
      </w:r>
    </w:p>
    <w:p>
      <w:pPr>
        <w:pStyle w:val="BodyText"/>
        <w:spacing w:line="319" w:lineRule="auto" w:before="19"/>
        <w:ind w:left="153" w:right="1139"/>
        <w:jc w:val="both"/>
      </w:pPr>
      <w:r>
        <w:rPr/>
        <w:t>各专门委员会共召开会议</w:t>
      </w:r>
      <w:r>
        <w:rPr>
          <w:spacing w:val="-46"/>
        </w:rPr>
        <w:t> </w:t>
      </w:r>
      <w:r>
        <w:rPr>
          <w:rFonts w:ascii="宋体" w:hAnsi="宋体" w:cs="宋体" w:eastAsia="宋体" w:hint="default"/>
        </w:rPr>
        <w:t>10</w:t>
      </w:r>
      <w:r>
        <w:rPr>
          <w:rFonts w:ascii="宋体" w:hAnsi="宋体" w:cs="宋体" w:eastAsia="宋体" w:hint="default"/>
          <w:spacing w:val="-45"/>
        </w:rPr>
        <w:t> </w:t>
      </w:r>
      <w:r>
        <w:rPr/>
        <w:t>次，董事会和各专门委员会会议的召集、召开合法合规；各位董事勤勉尽责，独立董事对公司 重要及重大事项均发表了独立意见，较好的维护了公司整体利益、确保了广大股东，特别是中小股东的利益。</w:t>
      </w:r>
    </w:p>
    <w:p>
      <w:pPr>
        <w:pStyle w:val="BodyText"/>
        <w:spacing w:line="240" w:lineRule="auto" w:before="58"/>
        <w:ind w:left="513" w:right="0"/>
        <w:jc w:val="left"/>
      </w:pPr>
      <w:r>
        <w:rPr/>
        <w:t>（四）监事及监事会</w:t>
      </w:r>
    </w:p>
    <w:p>
      <w:pPr>
        <w:pStyle w:val="BodyText"/>
        <w:spacing w:line="319" w:lineRule="auto" w:before="115"/>
        <w:ind w:left="153" w:right="1038" w:firstLine="360"/>
        <w:jc w:val="left"/>
      </w:pPr>
      <w:r>
        <w:rPr/>
        <w:t>公司监事会由</w:t>
      </w:r>
      <w:r>
        <w:rPr>
          <w:spacing w:val="-60"/>
        </w:rPr>
        <w:t> </w:t>
      </w:r>
      <w:r>
        <w:rPr>
          <w:rFonts w:ascii="宋体" w:hAnsi="宋体" w:cs="宋体" w:eastAsia="宋体" w:hint="default"/>
        </w:rPr>
        <w:t>3</w:t>
      </w:r>
      <w:r>
        <w:rPr>
          <w:rFonts w:ascii="宋体" w:hAnsi="宋体" w:cs="宋体" w:eastAsia="宋体" w:hint="default"/>
          <w:spacing w:val="-60"/>
        </w:rPr>
        <w:t> </w:t>
      </w:r>
      <w:r>
        <w:rPr/>
        <w:t>名监事组成，其中职工代表监事</w:t>
      </w:r>
      <w:r>
        <w:rPr>
          <w:spacing w:val="-60"/>
        </w:rPr>
        <w:t> </w:t>
      </w:r>
      <w:r>
        <w:rPr>
          <w:rFonts w:ascii="宋体" w:hAnsi="宋体" w:cs="宋体" w:eastAsia="宋体" w:hint="default"/>
        </w:rPr>
        <w:t>1</w:t>
      </w:r>
      <w:r>
        <w:rPr>
          <w:rFonts w:ascii="宋体" w:hAnsi="宋体" w:cs="宋体" w:eastAsia="宋体" w:hint="default"/>
          <w:spacing w:val="-60"/>
        </w:rPr>
        <w:t> </w:t>
      </w:r>
      <w:r>
        <w:rPr/>
        <w:t>名，其构成符合法律法规及公司的实际需求。本着对公司和股东负责 </w:t>
      </w:r>
      <w:r>
        <w:rPr>
          <w:spacing w:val="-5"/>
        </w:rPr>
        <w:t>的态度，公司监事会严格按照《公司法》、《证券法》等法律法规和《公司章程》的规定，通过召开监事会会议、列席董事会</w:t>
      </w:r>
      <w:r>
        <w:rPr>
          <w:spacing w:val="-80"/>
        </w:rPr>
        <w:t> </w:t>
      </w:r>
      <w:r>
        <w:rPr>
          <w:spacing w:val="-80"/>
        </w:rPr>
      </w:r>
      <w:r>
        <w:rPr/>
        <w:t>会议、定期检查公司财务等方式履行职责，对公司财务和董事、高级管理人员行使职权及履行义务进行了有效监督。</w:t>
      </w:r>
      <w:r>
        <w:rPr>
          <w:spacing w:val="1"/>
        </w:rPr>
        <w:t> </w:t>
      </w:r>
      <w:r>
        <w:rPr/>
        <w:t>报告</w:t>
      </w:r>
      <w:r>
        <w:rPr/>
        <w:t> 期内，公司监事会共召开会议</w:t>
      </w:r>
      <w:r>
        <w:rPr>
          <w:spacing w:val="-35"/>
        </w:rPr>
        <w:t> </w:t>
      </w:r>
      <w:r>
        <w:rPr>
          <w:rFonts w:ascii="宋体" w:hAnsi="宋体" w:cs="宋体" w:eastAsia="宋体" w:hint="default"/>
        </w:rPr>
        <w:t>9</w:t>
      </w:r>
      <w:r>
        <w:rPr>
          <w:rFonts w:ascii="宋体" w:hAnsi="宋体" w:cs="宋体" w:eastAsia="宋体" w:hint="default"/>
          <w:spacing w:val="-35"/>
        </w:rPr>
        <w:t> </w:t>
      </w:r>
      <w:r>
        <w:rPr>
          <w:spacing w:val="-5"/>
        </w:rPr>
        <w:t>次，历次会议的召集、召开程序，议案的审议程序均符合《公司章程》、《监事会议事规则》</w:t>
      </w:r>
      <w:r>
        <w:rPr>
          <w:spacing w:val="-88"/>
        </w:rPr>
        <w:t> </w:t>
      </w:r>
      <w:r>
        <w:rPr>
          <w:spacing w:val="-88"/>
        </w:rPr>
      </w:r>
      <w:r>
        <w:rPr/>
        <w:t>的要求。</w:t>
      </w:r>
    </w:p>
    <w:p>
      <w:pPr>
        <w:pStyle w:val="BodyText"/>
        <w:spacing w:line="357" w:lineRule="auto" w:before="56"/>
        <w:ind w:left="514" w:right="0"/>
        <w:jc w:val="left"/>
      </w:pPr>
      <w:r>
        <w:rPr/>
        <w:t>（五）信息披露管理 </w:t>
      </w:r>
      <w:r>
        <w:rPr>
          <w:spacing w:val="-2"/>
        </w:rPr>
        <w:t>公司始终坚持信息披露的真实准确完整和及时性，将信息披露工作制度化、专业化，并贯彻实施。公司制定了《信息披</w:t>
      </w:r>
    </w:p>
    <w:p>
      <w:pPr>
        <w:pStyle w:val="BodyText"/>
        <w:spacing w:line="224" w:lineRule="exact"/>
        <w:ind w:right="0"/>
        <w:jc w:val="both"/>
      </w:pPr>
      <w:r>
        <w:rPr/>
        <w:t>露事务管理制度</w:t>
      </w:r>
      <w:r>
        <w:rPr>
          <w:spacing w:val="-90"/>
        </w:rPr>
        <w:t>》</w:t>
      </w:r>
      <w:r>
        <w:rPr>
          <w:spacing w:val="-111"/>
        </w:rPr>
        <w:t>、</w:t>
      </w:r>
      <w:r>
        <w:rPr/>
        <w:t>《重大信息内部报告制度</w:t>
      </w:r>
      <w:r>
        <w:rPr>
          <w:spacing w:val="-90"/>
        </w:rPr>
        <w:t>》</w:t>
      </w:r>
      <w:r>
        <w:rPr>
          <w:spacing w:val="-111"/>
        </w:rPr>
        <w:t>、</w:t>
      </w:r>
      <w:r>
        <w:rPr/>
        <w:t>《年报信息披露重大差错责任追究制度</w:t>
      </w:r>
      <w:r>
        <w:rPr>
          <w:spacing w:val="-21"/>
        </w:rPr>
        <w:t>》</w:t>
      </w:r>
      <w:r>
        <w:rPr/>
        <w:t>等一系列制度</w:t>
      </w:r>
      <w:r>
        <w:rPr>
          <w:spacing w:val="-21"/>
        </w:rPr>
        <w:t>，</w:t>
      </w:r>
      <w:r>
        <w:rPr/>
        <w:t>确保公司信息披露工</w:t>
      </w:r>
    </w:p>
    <w:p>
      <w:pPr>
        <w:pStyle w:val="BodyText"/>
        <w:spacing w:line="316" w:lineRule="auto" w:before="76"/>
        <w:ind w:right="1133"/>
        <w:jc w:val="both"/>
      </w:pPr>
      <w:r>
        <w:rPr>
          <w:spacing w:val="-2"/>
        </w:rPr>
        <w:t>作有章可循。公司设置专门部门和人员负责公司的信息披露工作。公司严格按照监管部门规定和公司制度进行信息披露，报</w:t>
      </w:r>
      <w:r>
        <w:rPr>
          <w:spacing w:val="-66"/>
        </w:rPr>
        <w:t> </w:t>
      </w:r>
      <w:r>
        <w:rPr>
          <w:spacing w:val="-66"/>
        </w:rPr>
      </w:r>
      <w:r>
        <w:rPr/>
        <w:t>告期内，公司共披露定期报告和临时报告</w:t>
      </w:r>
      <w:r>
        <w:rPr>
          <w:spacing w:val="-46"/>
        </w:rPr>
        <w:t> </w:t>
      </w:r>
      <w:r>
        <w:rPr>
          <w:rFonts w:ascii="宋体" w:hAnsi="宋体" w:cs="宋体" w:eastAsia="宋体" w:hint="default"/>
        </w:rPr>
        <w:t>118</w:t>
      </w:r>
      <w:r>
        <w:rPr>
          <w:rFonts w:ascii="宋体" w:hAnsi="宋体" w:cs="宋体" w:eastAsia="宋体" w:hint="default"/>
          <w:spacing w:val="-46"/>
        </w:rPr>
        <w:t> </w:t>
      </w:r>
      <w:r>
        <w:rPr/>
        <w:t>项，独立董事发表事前认可意见和独立意见共</w:t>
      </w:r>
      <w:r>
        <w:rPr>
          <w:spacing w:val="-46"/>
        </w:rPr>
        <w:t> </w:t>
      </w:r>
      <w:r>
        <w:rPr>
          <w:rFonts w:ascii="宋体" w:hAnsi="宋体" w:cs="宋体" w:eastAsia="宋体" w:hint="default"/>
        </w:rPr>
        <w:t>18</w:t>
      </w:r>
      <w:r>
        <w:rPr>
          <w:rFonts w:ascii="宋体" w:hAnsi="宋体" w:cs="宋体" w:eastAsia="宋体" w:hint="default"/>
          <w:spacing w:val="-46"/>
        </w:rPr>
        <w:t> </w:t>
      </w:r>
      <w:r>
        <w:rPr/>
        <w:t>项，独立财务顾问发表专项</w:t>
      </w:r>
    </w:p>
    <w:p>
      <w:pPr>
        <w:pStyle w:val="BodyText"/>
        <w:spacing w:line="319" w:lineRule="auto" w:before="19"/>
        <w:ind w:right="1141"/>
        <w:jc w:val="both"/>
      </w:pPr>
      <w:r>
        <w:rPr/>
        <w:t>核查意见共</w:t>
      </w:r>
      <w:r>
        <w:rPr>
          <w:spacing w:val="-46"/>
        </w:rPr>
        <w:t> </w:t>
      </w:r>
      <w:r>
        <w:rPr>
          <w:rFonts w:ascii="宋体" w:hAnsi="宋体" w:cs="宋体" w:eastAsia="宋体" w:hint="default"/>
        </w:rPr>
        <w:t>10</w:t>
      </w:r>
      <w:r>
        <w:rPr>
          <w:rFonts w:ascii="宋体" w:hAnsi="宋体" w:cs="宋体" w:eastAsia="宋体" w:hint="default"/>
          <w:spacing w:val="-45"/>
        </w:rPr>
        <w:t> </w:t>
      </w:r>
      <w:r>
        <w:rPr/>
        <w:t>项，内容涉及定期报告，关联交易，对外担保，委托理财，对外投资等各方面，充分保证了投资者对公司重 大事项和经营情况的知情权，为投资者提供了充分的投资依据，树立了投资信心。</w:t>
      </w:r>
    </w:p>
    <w:p>
      <w:pPr>
        <w:spacing w:after="0" w:line="319" w:lineRule="auto"/>
        <w:jc w:val="both"/>
        <w:sectPr>
          <w:pgSz w:w="11910" w:h="16840"/>
          <w:pgMar w:header="877" w:footer="1187" w:top="1100" w:bottom="1380" w:left="980" w:right="0"/>
        </w:sectPr>
      </w:pPr>
    </w:p>
    <w:p>
      <w:pPr>
        <w:spacing w:line="240" w:lineRule="auto" w:before="13"/>
        <w:rPr>
          <w:rFonts w:ascii="宋体" w:hAnsi="宋体" w:cs="宋体" w:eastAsia="宋体" w:hint="default"/>
          <w:sz w:val="21"/>
          <w:szCs w:val="21"/>
        </w:rPr>
      </w:pPr>
    </w:p>
    <w:p>
      <w:pPr>
        <w:pStyle w:val="BodyText"/>
        <w:spacing w:line="357" w:lineRule="auto" w:before="44"/>
        <w:ind w:left="514" w:right="0"/>
        <w:jc w:val="left"/>
      </w:pPr>
      <w:r>
        <w:rPr/>
        <w:t>（六）投资者关系管理 </w:t>
      </w:r>
      <w:r>
        <w:rPr>
          <w:spacing w:val="-2"/>
        </w:rPr>
        <w:t>公司不断加强投资者关系管理，提高为广大投资者服务的水平。通过深圳证券交易所“互动易”平台、“网上集体接待</w:t>
      </w:r>
    </w:p>
    <w:p>
      <w:pPr>
        <w:pStyle w:val="BodyText"/>
        <w:spacing w:line="224" w:lineRule="exact"/>
        <w:ind w:right="0"/>
        <w:jc w:val="left"/>
      </w:pPr>
      <w:r>
        <w:rPr/>
        <w:t>日活动”、现场交流及电话、电子邮件等方式，公司与各类投资者进行了坦诚的沟通与深入的交流。</w:t>
      </w:r>
      <w:r>
        <w:rPr>
          <w:rFonts w:ascii="宋体" w:hAnsi="宋体" w:cs="宋体" w:eastAsia="宋体" w:hint="default"/>
        </w:rPr>
        <w:t>2017</w:t>
      </w:r>
      <w:r>
        <w:rPr>
          <w:rFonts w:ascii="宋体" w:hAnsi="宋体" w:cs="宋体" w:eastAsia="宋体" w:hint="default"/>
          <w:spacing w:val="-46"/>
        </w:rPr>
        <w:t> </w:t>
      </w:r>
      <w:r>
        <w:rPr/>
        <w:t>年全年，公司在</w:t>
      </w:r>
    </w:p>
    <w:p>
      <w:pPr>
        <w:pStyle w:val="BodyText"/>
        <w:spacing w:line="319" w:lineRule="auto" w:before="76"/>
        <w:ind w:right="1141"/>
        <w:jc w:val="both"/>
      </w:pPr>
      <w:r>
        <w:rPr/>
        <w:t>互动易平台收到投资者提问上千条，回复率</w:t>
      </w:r>
      <w:r>
        <w:rPr>
          <w:spacing w:val="-46"/>
        </w:rPr>
        <w:t> </w:t>
      </w:r>
      <w:r>
        <w:rPr>
          <w:rFonts w:ascii="宋体" w:hAnsi="宋体" w:cs="宋体" w:eastAsia="宋体" w:hint="default"/>
        </w:rPr>
        <w:t>100%</w:t>
      </w:r>
      <w:r>
        <w:rPr/>
        <w:t>，且多次位居“回复投资者最多的前十名上市公司”前列；接待投资者电 话咨询</w:t>
      </w:r>
      <w:r>
        <w:rPr>
          <w:spacing w:val="-46"/>
        </w:rPr>
        <w:t> </w:t>
      </w:r>
      <w:r>
        <w:rPr>
          <w:rFonts w:ascii="宋体" w:hAnsi="宋体" w:cs="宋体" w:eastAsia="宋体" w:hint="default"/>
        </w:rPr>
        <w:t>300</w:t>
      </w:r>
      <w:r>
        <w:rPr>
          <w:rFonts w:ascii="宋体" w:hAnsi="宋体" w:cs="宋体" w:eastAsia="宋体" w:hint="default"/>
          <w:spacing w:val="-46"/>
        </w:rPr>
        <w:t> </w:t>
      </w:r>
      <w:r>
        <w:rPr/>
        <w:t>多人次</w:t>
      </w:r>
      <w:r>
        <w:rPr>
          <w:rFonts w:ascii="宋体" w:hAnsi="宋体" w:cs="宋体" w:eastAsia="宋体" w:hint="default"/>
        </w:rPr>
        <w:t>,</w:t>
      </w:r>
      <w:r>
        <w:rPr/>
        <w:t>电子邮件咨询上百人次。公司认真听取投资者的意见和建议，并及时反馈给公司管理层和董事会，最大 程度地让投资者参与和影响上市公司的治理，推动、促进上市公司提高治理水平，加强投资者保护。</w:t>
      </w:r>
    </w:p>
    <w:p>
      <w:pPr>
        <w:pStyle w:val="BodyText"/>
        <w:spacing w:line="357" w:lineRule="auto" w:before="58"/>
        <w:ind w:left="513" w:right="1137"/>
        <w:jc w:val="left"/>
      </w:pPr>
      <w:r>
        <w:rPr/>
        <w:t>（七）内幕信息知情人管理情况 </w:t>
      </w:r>
      <w:r>
        <w:rPr>
          <w:spacing w:val="-2"/>
        </w:rPr>
        <w:t>公司制定了《内幕信息知情人登记制度》，以维护信息披露的公平、公正为原则，其中强化了内幕信息知情人的报告程</w:t>
      </w:r>
    </w:p>
    <w:p>
      <w:pPr>
        <w:pStyle w:val="BodyText"/>
        <w:spacing w:line="224" w:lineRule="exact"/>
        <w:ind w:left="153" w:right="0"/>
        <w:jc w:val="left"/>
      </w:pPr>
      <w:r>
        <w:rPr>
          <w:spacing w:val="-4"/>
        </w:rPr>
        <w:t>序、登记管理、保密工作及责任追究等事项。公司在编制定期报告、商讨重大事项时，严格执行《内幕信息知情人登记制度》</w:t>
      </w:r>
    </w:p>
    <w:p>
      <w:pPr>
        <w:pStyle w:val="BodyText"/>
        <w:spacing w:line="240" w:lineRule="auto" w:before="77"/>
        <w:ind w:left="153" w:right="0"/>
        <w:jc w:val="left"/>
      </w:pPr>
      <w:r>
        <w:rPr/>
        <w:t>及相关规定，公司董事、监事、高级管理人员和其他知情人员均严守保密义务，没有发生提前泄漏报告内容的行为。</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240" w:lineRule="auto"/>
        <w:ind w:left="153" w:right="0"/>
        <w:jc w:val="left"/>
      </w:pPr>
      <w:r>
        <w:rPr/>
        <w:t>公司治理的实际状况与中国证监会发布的有关上市公司治理的规范性文件是否存在重大差异</w:t>
      </w:r>
    </w:p>
    <w:p>
      <w:pPr>
        <w:pStyle w:val="BodyText"/>
        <w:spacing w:line="357" w:lineRule="auto" w:before="116"/>
        <w:ind w:left="153" w:right="3553"/>
        <w:jc w:val="left"/>
      </w:pPr>
      <w:r>
        <w:rPr/>
        <w:t>□ 是 √ 否 公司治理的实际状况与中国证监会发布的有关上市公司治理的规范性文件不存在重大差异。</w:t>
      </w:r>
    </w:p>
    <w:p>
      <w:pPr>
        <w:spacing w:line="240" w:lineRule="auto" w:before="4"/>
        <w:rPr>
          <w:rFonts w:ascii="宋体" w:hAnsi="宋体" w:cs="宋体" w:eastAsia="宋体" w:hint="default"/>
          <w:sz w:val="18"/>
          <w:szCs w:val="18"/>
        </w:rPr>
      </w:pPr>
    </w:p>
    <w:p>
      <w:pPr>
        <w:pStyle w:val="Heading2"/>
        <w:spacing w:line="240" w:lineRule="auto"/>
        <w:ind w:left="153" w:right="0"/>
        <w:jc w:val="left"/>
        <w:rPr>
          <w:b w:val="0"/>
          <w:bCs w:val="0"/>
        </w:rPr>
      </w:pPr>
      <w:bookmarkStart w:name="二、公司相对于控股股东在业务、人员、资产、机构、财务等方面的独立情况" w:id="137"/>
      <w:bookmarkEnd w:id="137"/>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left="153" w:right="1118" w:firstLine="360"/>
        <w:jc w:val="left"/>
      </w:pPr>
      <w:r>
        <w:rPr>
          <w:spacing w:val="-5"/>
        </w:rPr>
        <w:t>公司自设立以来，严格按照《公司法》、《证券法》等有关法律、法规和《公司章程》的要求规范运作，公司与控股股东</w:t>
      </w:r>
      <w:r>
        <w:rPr/>
        <w:t> 在业务、人员、资产、机构、财务等方面完全分开，具有独立完整的业务及自主经营能力。</w:t>
      </w:r>
    </w:p>
    <w:p>
      <w:pPr>
        <w:pStyle w:val="BodyText"/>
        <w:spacing w:line="357" w:lineRule="auto" w:before="58"/>
        <w:ind w:left="513" w:right="0"/>
        <w:jc w:val="left"/>
      </w:pPr>
      <w:r>
        <w:rPr/>
        <w:t>（一）业务独立 </w:t>
      </w:r>
      <w:r>
        <w:rPr>
          <w:spacing w:val="-2"/>
        </w:rPr>
        <w:t>公司的业务独立于控股股东、实际控制人及其控制的其他企业，拥有独立开展经营活动的资产、人员、资质和能力，具</w:t>
      </w:r>
    </w:p>
    <w:p>
      <w:pPr>
        <w:pStyle w:val="BodyText"/>
        <w:spacing w:line="225" w:lineRule="exact"/>
        <w:ind w:left="153" w:right="0"/>
        <w:jc w:val="left"/>
      </w:pPr>
      <w:r>
        <w:rPr/>
        <w:t>有面向市场独立自主持续经营的能力，在经营活动方面不存在同业竞争或者显失公平的关联交易。</w:t>
      </w:r>
    </w:p>
    <w:p>
      <w:pPr>
        <w:pStyle w:val="BodyText"/>
        <w:spacing w:line="357" w:lineRule="auto" w:before="116"/>
        <w:ind w:left="604" w:right="1122" w:hanging="90"/>
        <w:jc w:val="left"/>
      </w:pPr>
      <w:r>
        <w:rPr/>
        <w:t>（二）人员独立 公司制定了独立的人事管理制度，拥有独立的人事职能部门、经营管理团队。公司总经理、财务负责人和董事会秘书</w:t>
      </w:r>
    </w:p>
    <w:p>
      <w:pPr>
        <w:pStyle w:val="BodyText"/>
        <w:spacing w:line="224" w:lineRule="exact"/>
        <w:ind w:right="0"/>
        <w:jc w:val="left"/>
      </w:pPr>
      <w:r>
        <w:rPr>
          <w:spacing w:val="-4"/>
        </w:rPr>
        <w:t>等高级管理人员未在控股股东、实际控制人及其控制的其他企业中担任除董事、监事以外的其他职务，也未在该等企业领薪；</w:t>
      </w:r>
    </w:p>
    <w:p>
      <w:pPr>
        <w:pStyle w:val="BodyText"/>
        <w:spacing w:line="319" w:lineRule="auto" w:before="76"/>
        <w:ind w:left="153" w:right="0"/>
        <w:jc w:val="left"/>
      </w:pPr>
      <w:r>
        <w:rPr>
          <w:spacing w:val="-2"/>
        </w:rPr>
        <w:t>公司的财务人员未在控股股东、实际控制人及其控制的其他企业中兼职。公司董事、监事、总经理、及其他高级管理人员均</w:t>
      </w:r>
      <w:r>
        <w:rPr>
          <w:spacing w:val="-65"/>
        </w:rPr>
        <w:t> </w:t>
      </w:r>
      <w:r>
        <w:rPr>
          <w:spacing w:val="-65"/>
        </w:rPr>
      </w:r>
      <w:r>
        <w:rPr>
          <w:spacing w:val="-4"/>
        </w:rPr>
        <w:t>依合法程序选举或聘任，不存在控股股东、实际控制人违规做出人事任免决定的情况。公司员工独立于各股东及其它关联方，</w:t>
      </w:r>
      <w:r>
        <w:rPr>
          <w:spacing w:val="-44"/>
        </w:rPr>
        <w:t> </w:t>
      </w:r>
      <w:r>
        <w:rPr>
          <w:spacing w:val="-44"/>
        </w:rPr>
      </w:r>
      <w:r>
        <w:rPr/>
        <w:t>独立执行劳动、人事及工资管理制度。</w:t>
      </w:r>
    </w:p>
    <w:p>
      <w:pPr>
        <w:pStyle w:val="BodyText"/>
        <w:spacing w:line="357" w:lineRule="auto" w:before="56"/>
        <w:ind w:left="514" w:right="0"/>
        <w:jc w:val="left"/>
      </w:pPr>
      <w:r>
        <w:rPr/>
        <w:t>（三）资产独立 </w:t>
      </w:r>
      <w:r>
        <w:rPr>
          <w:spacing w:val="-2"/>
        </w:rPr>
        <w:t>公司资产独立完整，权属清晰，拥有与经营相关的业务体系和相关独立完整的资产。公司与控股股东、实际控制人等关</w:t>
      </w:r>
    </w:p>
    <w:p>
      <w:pPr>
        <w:pStyle w:val="BodyText"/>
        <w:spacing w:line="224" w:lineRule="exact"/>
        <w:ind w:right="0"/>
        <w:jc w:val="left"/>
      </w:pPr>
      <w:r>
        <w:rPr/>
        <w:t>联方之间的资产权属明晰，公司对所有资产拥有完全的控制和支配权，报告期内，公司不存在资金、资产被股东、实际控制</w:t>
      </w:r>
    </w:p>
    <w:p>
      <w:pPr>
        <w:pStyle w:val="BodyText"/>
        <w:spacing w:line="240" w:lineRule="auto" w:before="77"/>
        <w:ind w:right="0"/>
        <w:jc w:val="left"/>
      </w:pPr>
      <w:r>
        <w:rPr/>
        <w:t>人及其控制的其他企业占用的情况。</w:t>
      </w:r>
    </w:p>
    <w:p>
      <w:pPr>
        <w:pStyle w:val="BodyText"/>
        <w:spacing w:line="357" w:lineRule="auto" w:before="117"/>
        <w:ind w:left="514" w:right="0"/>
        <w:jc w:val="left"/>
      </w:pPr>
      <w:r>
        <w:rPr/>
        <w:t>（四）机构独立 </w:t>
      </w:r>
      <w:r>
        <w:rPr>
          <w:spacing w:val="-2"/>
        </w:rPr>
        <w:t>公司拥有独立、完整的组织机构，并建立了健全的法人治理机构。公司独立行使经营管理职权，与控股股东、实际控制</w:t>
      </w:r>
    </w:p>
    <w:p>
      <w:pPr>
        <w:pStyle w:val="BodyText"/>
        <w:spacing w:line="224" w:lineRule="exact"/>
        <w:ind w:right="0"/>
        <w:jc w:val="left"/>
      </w:pPr>
      <w:r>
        <w:rPr/>
        <w:t>人及其控制的其他企业间不存在有机构混同的情形。公司各职能机构在人员、办公场所和管理制度等各方面均完全独立，不</w:t>
      </w:r>
    </w:p>
    <w:p>
      <w:pPr>
        <w:pStyle w:val="BodyText"/>
        <w:spacing w:line="240" w:lineRule="auto" w:before="77"/>
        <w:ind w:right="0"/>
        <w:jc w:val="left"/>
      </w:pPr>
      <w:r>
        <w:rPr/>
        <w:t>存在股东及其它任何单位或个人干预公司机构设置的情形。</w:t>
      </w:r>
    </w:p>
    <w:p>
      <w:pPr>
        <w:pStyle w:val="BodyText"/>
        <w:spacing w:line="357" w:lineRule="auto" w:before="116"/>
        <w:ind w:left="514" w:right="0"/>
        <w:jc w:val="left"/>
      </w:pPr>
      <w:r>
        <w:rPr/>
        <w:t>（五）财务独立 </w:t>
      </w:r>
      <w:r>
        <w:rPr>
          <w:spacing w:val="-2"/>
        </w:rPr>
        <w:t>公司拥有独立的财务部门和独立的财务核算体系，具有规范的财务会计制度和对分公司、子公司的财务管理制度；公司</w:t>
      </w:r>
    </w:p>
    <w:p>
      <w:pPr>
        <w:pStyle w:val="BodyText"/>
        <w:spacing w:line="224" w:lineRule="exact"/>
        <w:ind w:right="0"/>
        <w:jc w:val="left"/>
      </w:pPr>
      <w:r>
        <w:rPr/>
        <w:t>未与控股股东、实际控制人控制的其他企业共用银行账户；公司依法独立纳税，不存在与控股股东、实际控制人控制的其他</w:t>
      </w:r>
    </w:p>
    <w:p>
      <w:pPr>
        <w:pStyle w:val="BodyText"/>
        <w:spacing w:line="319" w:lineRule="auto" w:before="76"/>
        <w:ind w:right="0"/>
        <w:jc w:val="left"/>
      </w:pPr>
      <w:r>
        <w:rPr>
          <w:spacing w:val="-4"/>
        </w:rPr>
        <w:t>企业混合纳税的情况；公司没有为控股股东、实际控制人及其控制的其他企业提供担保，也不存在将以公司名义取得的借款、</w:t>
      </w:r>
      <w:r>
        <w:rPr>
          <w:spacing w:val="-44"/>
        </w:rPr>
        <w:t> </w:t>
      </w:r>
      <w:r>
        <w:rPr>
          <w:spacing w:val="-44"/>
        </w:rPr>
      </w:r>
      <w:r>
        <w:rPr/>
        <w:t>授信额度转借给它们的情形。</w:t>
      </w:r>
    </w:p>
    <w:p>
      <w:pPr>
        <w:spacing w:after="0" w:line="319" w:lineRule="auto"/>
        <w:jc w:val="left"/>
        <w:sectPr>
          <w:pgSz w:w="11910" w:h="16840"/>
          <w:pgMar w:header="877" w:footer="1187" w:top="1100" w:bottom="1380" w:left="980" w:right="0"/>
        </w:sectPr>
      </w:pPr>
    </w:p>
    <w:p>
      <w:pPr>
        <w:spacing w:line="240" w:lineRule="auto" w:before="8"/>
        <w:rPr>
          <w:rFonts w:ascii="宋体" w:hAnsi="宋体" w:cs="宋体" w:eastAsia="宋体" w:hint="default"/>
          <w:sz w:val="19"/>
          <w:szCs w:val="19"/>
        </w:rPr>
      </w:pPr>
    </w:p>
    <w:p>
      <w:pPr>
        <w:pStyle w:val="Heading2"/>
        <w:spacing w:line="240" w:lineRule="auto" w:before="26"/>
        <w:ind w:left="153" w:right="0"/>
        <w:jc w:val="left"/>
        <w:rPr>
          <w:b w:val="0"/>
          <w:bCs w:val="0"/>
        </w:rPr>
      </w:pPr>
      <w:bookmarkStart w:name="三、同业竞争情况" w:id="138"/>
      <w:bookmarkEnd w:id="138"/>
      <w:r>
        <w:rPr>
          <w:b w:val="0"/>
          <w:bCs w:val="0"/>
        </w:rPr>
      </w:r>
      <w:r>
        <w:rPr/>
        <w:t>三、同业竞争情况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0"/>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bookmarkStart w:name="四、报告期内召开的年度股东大会和临时股东大会的有关情况" w:id="139"/>
      <w:bookmarkEnd w:id="139"/>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本报告期股东大会情况" w:id="140"/>
      <w:bookmarkEnd w:id="140"/>
      <w:r>
        <w:rPr>
          <w:b w:val="0"/>
          <w:bCs w:val="0"/>
        </w:rPr>
      </w:r>
      <w:r>
        <w:rPr>
          <w:rFonts w:ascii="宋体" w:hAnsi="宋体" w:cs="宋体" w:eastAsia="宋体" w:hint="default"/>
        </w:rPr>
        <w:t>1</w:t>
      </w:r>
      <w:r>
        <w:rPr/>
        <w:t>、本报告期股东大会情况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596"/>
        <w:gridCol w:w="1240"/>
        <w:gridCol w:w="1346"/>
        <w:gridCol w:w="1702"/>
        <w:gridCol w:w="1560"/>
        <w:gridCol w:w="2339"/>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6"/>
              <w:jc w:val="right"/>
              <w:rPr>
                <w:rFonts w:ascii="宋体" w:hAnsi="宋体" w:cs="宋体" w:eastAsia="宋体" w:hint="default"/>
                <w:sz w:val="18"/>
                <w:szCs w:val="18"/>
              </w:rPr>
            </w:pPr>
            <w:r>
              <w:rPr>
                <w:rFonts w:ascii="宋体" w:hAnsi="宋体" w:cs="宋体" w:eastAsia="宋体" w:hint="default"/>
                <w:sz w:val="18"/>
                <w:szCs w:val="18"/>
              </w:rPr>
              <w:t>投资者参与比例</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年年度股东大 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71.27%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21"/>
              <w:jc w:val="center"/>
              <w:rPr>
                <w:rFonts w:ascii="宋体" w:hAnsi="宋体" w:cs="宋体" w:eastAsia="宋体" w:hint="default"/>
                <w:sz w:val="18"/>
                <w:szCs w:val="18"/>
              </w:rPr>
            </w:pPr>
            <w:hyperlink r:id="rId12">
              <w:r>
                <w:rPr>
                  <w:rFonts w:ascii="宋体"/>
                  <w:sz w:val="18"/>
                </w:rPr>
                <w:t>http://www.cninfo.com.cn</w:t>
              </w:r>
            </w:hyperlink>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年第一次临时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66.94%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21"/>
              <w:jc w:val="center"/>
              <w:rPr>
                <w:rFonts w:ascii="宋体" w:hAnsi="宋体" w:cs="宋体" w:eastAsia="宋体" w:hint="default"/>
                <w:sz w:val="18"/>
                <w:szCs w:val="18"/>
              </w:rPr>
            </w:pPr>
            <w:hyperlink r:id="rId12">
              <w:r>
                <w:rPr>
                  <w:rFonts w:ascii="宋体"/>
                  <w:sz w:val="18"/>
                </w:rPr>
                <w:t>http://www.cninfo.com.cn</w:t>
              </w:r>
            </w:hyperlink>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年第二次临时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67.19%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21"/>
              <w:jc w:val="center"/>
              <w:rPr>
                <w:rFonts w:ascii="宋体" w:hAnsi="宋体" w:cs="宋体" w:eastAsia="宋体" w:hint="default"/>
                <w:sz w:val="18"/>
                <w:szCs w:val="18"/>
              </w:rPr>
            </w:pPr>
            <w:hyperlink r:id="rId12">
              <w:r>
                <w:rPr>
                  <w:rFonts w:ascii="宋体"/>
                  <w:sz w:val="18"/>
                </w:rPr>
                <w:t>http://www.cninfo.com.cn</w:t>
              </w:r>
            </w:hyperlink>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表决权恢复的优先股股东请求召开临时股东大会" w:id="141"/>
      <w:bookmarkEnd w:id="141"/>
      <w:r>
        <w:rPr>
          <w:b w:val="0"/>
          <w:bCs w:val="0"/>
        </w:rPr>
      </w:r>
      <w:r>
        <w:rPr>
          <w:rFonts w:ascii="宋体" w:hAnsi="宋体" w:cs="宋体" w:eastAsia="宋体" w:hint="default"/>
        </w:rPr>
        <w:t>2</w:t>
      </w:r>
      <w:r>
        <w:rPr/>
        <w:t>、表决权恢复的优先股股东请求召开临时股东大会</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五、报告期内独立董事履行职责的情况" w:id="142"/>
      <w:bookmarkEnd w:id="142"/>
      <w:r>
        <w:rPr>
          <w:b w:val="0"/>
          <w:bCs w:val="0"/>
        </w:rPr>
      </w:r>
      <w:r>
        <w:rPr/>
        <w:t>五、报告期内独立董事履行职责的情况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独立董事出席董事会及股东大会的情况" w:id="143"/>
      <w:bookmarkEnd w:id="143"/>
      <w:r>
        <w:rPr>
          <w:b w:val="0"/>
          <w:bCs w:val="0"/>
        </w:rPr>
      </w:r>
      <w:r>
        <w:rPr>
          <w:rFonts w:ascii="宋体" w:hAnsi="宋体" w:cs="宋体" w:eastAsia="宋体" w:hint="default"/>
        </w:rPr>
        <w:t>1</w:t>
      </w:r>
      <w:r>
        <w:rPr/>
        <w:t>、独立董事出席董事会及股东大会的情况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段东辉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余应敏</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w:t>
            </w:r>
          </w:p>
        </w:tc>
      </w:tr>
    </w:tbl>
    <w:p>
      <w:pPr>
        <w:pStyle w:val="BodyText"/>
        <w:spacing w:line="360" w:lineRule="auto" w:before="51"/>
        <w:ind w:left="153" w:right="5353"/>
        <w:jc w:val="left"/>
      </w:pPr>
      <w:r>
        <w:rPr/>
        <w:t>连续两次未亲自出席董事会的说明 报告期内，公司独立董事不存在连续两次未亲自出席董事会的情况。</w:t>
      </w:r>
    </w:p>
    <w:p>
      <w:pPr>
        <w:spacing w:line="240" w:lineRule="auto" w:before="11"/>
        <w:rPr>
          <w:rFonts w:ascii="宋体" w:hAnsi="宋体" w:cs="宋体" w:eastAsia="宋体" w:hint="default"/>
          <w:sz w:val="19"/>
          <w:szCs w:val="19"/>
        </w:rPr>
      </w:pPr>
    </w:p>
    <w:p>
      <w:pPr>
        <w:pStyle w:val="Heading3"/>
        <w:spacing w:line="240" w:lineRule="auto"/>
        <w:ind w:left="153" w:right="0"/>
        <w:jc w:val="left"/>
        <w:rPr>
          <w:b w:val="0"/>
          <w:bCs w:val="0"/>
        </w:rPr>
      </w:pPr>
      <w:bookmarkStart w:name="2、独立董事对公司有关事项提出异议的情况" w:id="144"/>
      <w:bookmarkEnd w:id="144"/>
      <w:r>
        <w:rPr>
          <w:b w:val="0"/>
          <w:bCs w:val="0"/>
        </w:rPr>
      </w:r>
      <w:r>
        <w:rPr>
          <w:rFonts w:ascii="宋体" w:hAnsi="宋体" w:cs="宋体" w:eastAsia="宋体" w:hint="default"/>
        </w:rPr>
        <w:t>2</w:t>
      </w:r>
      <w:r>
        <w:rPr/>
        <w:t>、独立董事对公司有关事项提出异议的情况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153" w:right="0"/>
        <w:jc w:val="left"/>
      </w:pPr>
      <w:r>
        <w:rPr/>
        <w:t>独立董事对公司有关事项是否提出异议</w:t>
      </w:r>
    </w:p>
    <w:p>
      <w:pPr>
        <w:pStyle w:val="BodyText"/>
        <w:spacing w:line="360" w:lineRule="auto" w:before="116"/>
        <w:ind w:left="153" w:right="6973"/>
        <w:jc w:val="left"/>
      </w:pPr>
      <w:r>
        <w:rPr/>
        <w:t>□ 是 √ 否 报告期内独立董事对公司有关事项未提出异议。</w:t>
      </w:r>
    </w:p>
    <w:p>
      <w:pPr>
        <w:spacing w:line="240" w:lineRule="auto" w:before="12"/>
        <w:rPr>
          <w:rFonts w:ascii="宋体" w:hAnsi="宋体" w:cs="宋体" w:eastAsia="宋体" w:hint="default"/>
          <w:sz w:val="19"/>
          <w:szCs w:val="19"/>
        </w:rPr>
      </w:pPr>
    </w:p>
    <w:p>
      <w:pPr>
        <w:pStyle w:val="Heading3"/>
        <w:spacing w:line="240" w:lineRule="auto"/>
        <w:ind w:left="153" w:right="0"/>
        <w:jc w:val="left"/>
        <w:rPr>
          <w:b w:val="0"/>
          <w:bCs w:val="0"/>
        </w:rPr>
      </w:pPr>
      <w:bookmarkStart w:name="3、独立董事履行职责的其他说明" w:id="145"/>
      <w:bookmarkEnd w:id="145"/>
      <w:r>
        <w:rPr>
          <w:b w:val="0"/>
          <w:bCs w:val="0"/>
        </w:rPr>
      </w:r>
      <w:r>
        <w:rPr>
          <w:rFonts w:ascii="宋体" w:hAnsi="宋体" w:cs="宋体" w:eastAsia="宋体" w:hint="default"/>
        </w:rPr>
        <w:t>3</w:t>
      </w:r>
      <w:r>
        <w:rPr/>
        <w:t>、独立董事履行职责的其他说明</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153" w:right="0"/>
        <w:jc w:val="left"/>
      </w:pPr>
      <w:r>
        <w:rPr/>
        <w:t>独立董事对公司有关建议是否被采纳</w:t>
      </w:r>
    </w:p>
    <w:p>
      <w:pPr>
        <w:spacing w:after="0" w:line="240" w:lineRule="auto"/>
        <w:jc w:val="left"/>
        <w:sectPr>
          <w:pgSz w:w="11910" w:h="16840"/>
          <w:pgMar w:header="877" w:footer="1187" w:top="1100" w:bottom="1380" w:left="980" w:right="0"/>
        </w:sectPr>
      </w:pPr>
    </w:p>
    <w:p>
      <w:pPr>
        <w:spacing w:line="240" w:lineRule="auto" w:before="13"/>
        <w:rPr>
          <w:rFonts w:ascii="宋体" w:hAnsi="宋体" w:cs="宋体" w:eastAsia="宋体" w:hint="default"/>
          <w:sz w:val="21"/>
          <w:szCs w:val="21"/>
        </w:rPr>
      </w:pPr>
    </w:p>
    <w:p>
      <w:pPr>
        <w:pStyle w:val="BodyText"/>
        <w:spacing w:line="357" w:lineRule="auto" w:before="44"/>
        <w:ind w:left="153" w:right="6793"/>
        <w:jc w:val="left"/>
      </w:pPr>
      <w:r>
        <w:rPr/>
        <w:t>√ 是 □ 否 独立董事对公司有关建议被采纳或未被采纳的说明</w:t>
      </w:r>
    </w:p>
    <w:p>
      <w:pPr>
        <w:pStyle w:val="BodyText"/>
        <w:spacing w:line="319" w:lineRule="auto" w:before="28"/>
        <w:ind w:right="0" w:firstLine="360"/>
        <w:jc w:val="left"/>
      </w:pPr>
      <w:r>
        <w:rPr>
          <w:spacing w:val="-2"/>
        </w:rPr>
        <w:t>报告期内，公司独立董事深入了解公司的经营状况、内部控制情况、公司治理情况及股东大会决议、董事会决议的执行</w:t>
      </w:r>
      <w:r>
        <w:rPr/>
        <w:t> </w:t>
      </w:r>
      <w:r>
        <w:rPr>
          <w:spacing w:val="-2"/>
        </w:rPr>
        <w:t>情况，利用自己的专业知识和技能，从客观公正的角度对公司的对外投资、募集资金管理与使用、内控建设、年度审计、利</w:t>
      </w:r>
      <w:r>
        <w:rPr>
          <w:spacing w:val="-67"/>
        </w:rPr>
        <w:t> </w:t>
      </w:r>
      <w:r>
        <w:rPr>
          <w:spacing w:val="-67"/>
        </w:rPr>
      </w:r>
      <w:r>
        <w:rPr>
          <w:spacing w:val="-2"/>
        </w:rPr>
        <w:t>润分配方案、对外担保、关联交易、高级管理人员的聘任等事项发表了独立意见，切实维护公司及中小股东的合法权益。公</w:t>
      </w:r>
      <w:r>
        <w:rPr>
          <w:spacing w:val="-66"/>
        </w:rPr>
        <w:t> </w:t>
      </w:r>
      <w:r>
        <w:rPr>
          <w:spacing w:val="-66"/>
        </w:rPr>
      </w:r>
      <w:r>
        <w:rPr/>
        <w:t>司独立董事对报告期内历次董事会会议审议的议案均未提出异议。公司独立董事提出的建议已经由公司全部采纳并认真落 </w:t>
      </w:r>
      <w:r>
        <w:rPr>
          <w:spacing w:val="-4"/>
        </w:rPr>
        <w:t>实，具体包括：不断完善公司内控制度，提高公司治理水平；持续关注宏观经济政策和行业发展趋势；加强公司董事、监事、</w:t>
      </w:r>
      <w:r>
        <w:rPr>
          <w:spacing w:val="-44"/>
        </w:rPr>
        <w:t> </w:t>
      </w:r>
      <w:r>
        <w:rPr>
          <w:spacing w:val="-44"/>
        </w:rPr>
      </w:r>
      <w:r>
        <w:rPr/>
        <w:t>高级管理人员的专业素质和管理能力等等。</w:t>
      </w:r>
    </w:p>
    <w:p>
      <w:pPr>
        <w:spacing w:line="240" w:lineRule="auto" w:before="6"/>
        <w:rPr>
          <w:rFonts w:ascii="宋体" w:hAnsi="宋体" w:cs="宋体" w:eastAsia="宋体" w:hint="default"/>
          <w:sz w:val="20"/>
          <w:szCs w:val="20"/>
        </w:rPr>
      </w:pPr>
    </w:p>
    <w:p>
      <w:pPr>
        <w:pStyle w:val="Heading2"/>
        <w:spacing w:line="240" w:lineRule="auto"/>
        <w:ind w:right="0"/>
        <w:jc w:val="both"/>
        <w:rPr>
          <w:b w:val="0"/>
          <w:bCs w:val="0"/>
        </w:rPr>
      </w:pPr>
      <w:bookmarkStart w:name="六、董事会下设专门委员会在报告期内履行职责情况" w:id="146"/>
      <w:bookmarkEnd w:id="146"/>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360"/>
        <w:jc w:val="both"/>
      </w:pPr>
      <w:r>
        <w:rPr>
          <w:spacing w:val="-2"/>
        </w:rPr>
        <w:t>公司董事会下设审计委员会、提名委员会、薪酬与考核委员会、战略委员会共四个专门委员会。报告期内，各专门委员</w:t>
      </w:r>
      <w:r>
        <w:rPr/>
        <w:t> </w:t>
      </w:r>
      <w:r>
        <w:rPr>
          <w:spacing w:val="-2"/>
        </w:rPr>
        <w:t>会按照相关法律法规、规范性文件以及公司章程、各专门委员会工作细则等相关规定，有计划地开展工作，为提高公司治理</w:t>
      </w:r>
      <w:r>
        <w:rPr>
          <w:spacing w:val="-66"/>
        </w:rPr>
        <w:t> </w:t>
      </w:r>
      <w:r>
        <w:rPr>
          <w:spacing w:val="-66"/>
        </w:rPr>
      </w:r>
      <w:r>
        <w:rPr/>
        <w:t>水平和信息披露质量起到了积极作用。</w:t>
      </w:r>
    </w:p>
    <w:p>
      <w:pPr>
        <w:pStyle w:val="BodyText"/>
        <w:spacing w:line="240" w:lineRule="auto" w:before="56"/>
        <w:ind w:left="514" w:right="0"/>
        <w:jc w:val="left"/>
      </w:pPr>
      <w:r>
        <w:rPr>
          <w:rFonts w:ascii="宋体" w:hAnsi="宋体" w:cs="宋体" w:eastAsia="宋体" w:hint="default"/>
        </w:rPr>
        <w:t>1</w:t>
      </w:r>
      <w:r>
        <w:rPr/>
        <w:t>、审计委员会履行职责情况</w:t>
      </w:r>
    </w:p>
    <w:p>
      <w:pPr>
        <w:pStyle w:val="BodyText"/>
        <w:spacing w:line="319" w:lineRule="auto" w:before="115"/>
        <w:ind w:right="1032" w:firstLine="360"/>
        <w:jc w:val="left"/>
      </w:pPr>
      <w:r>
        <w:rPr/>
        <w:t>公司审计委员会由</w:t>
      </w:r>
      <w:r>
        <w:rPr>
          <w:spacing w:val="-67"/>
        </w:rPr>
        <w:t> </w:t>
      </w:r>
      <w:r>
        <w:rPr>
          <w:rFonts w:ascii="宋体" w:hAnsi="宋体" w:cs="宋体" w:eastAsia="宋体" w:hint="default"/>
        </w:rPr>
        <w:t>3</w:t>
      </w:r>
      <w:r>
        <w:rPr>
          <w:rFonts w:ascii="宋体" w:hAnsi="宋体" w:cs="宋体" w:eastAsia="宋体" w:hint="default"/>
          <w:spacing w:val="-67"/>
        </w:rPr>
        <w:t> </w:t>
      </w:r>
      <w:r>
        <w:rPr/>
        <w:t>名董事组成，其中独立董事两名，且其中一名独立董事为会计专业人士。报告期内，审计委员会参 与制定公司年度报告的审计计划，审核公司定期报告，并对公司财务报告发表意见；对公司对外担保等重大事项的合规性、 </w:t>
      </w:r>
      <w:r>
        <w:rPr>
          <w:spacing w:val="-2"/>
        </w:rPr>
        <w:t>合理性进行审查；对公司利润分配预案发表意见；密切关注公司募集资金的存放与使用的合法、合规情况；评价、指导公司</w:t>
      </w:r>
      <w:r>
        <w:rPr>
          <w:spacing w:val="-66"/>
        </w:rPr>
        <w:t> </w:t>
      </w:r>
      <w:r>
        <w:rPr>
          <w:spacing w:val="-66"/>
        </w:rPr>
      </w:r>
      <w:r>
        <w:rPr/>
        <w:t>内部控制体系的完整性、安全性、有效性。报告期内，公司审计委员会共召开</w:t>
      </w:r>
      <w:r>
        <w:rPr>
          <w:spacing w:val="-45"/>
        </w:rPr>
        <w:t> </w:t>
      </w:r>
      <w:r>
        <w:rPr>
          <w:rFonts w:ascii="宋体" w:hAnsi="宋体" w:cs="宋体" w:eastAsia="宋体" w:hint="default"/>
        </w:rPr>
        <w:t>4</w:t>
      </w:r>
      <w:r>
        <w:rPr>
          <w:rFonts w:ascii="宋体" w:hAnsi="宋体" w:cs="宋体" w:eastAsia="宋体" w:hint="default"/>
          <w:spacing w:val="-46"/>
        </w:rPr>
        <w:t> </w:t>
      </w:r>
      <w:r>
        <w:rPr/>
        <w:t>次会议，具体情况如下：</w:t>
      </w:r>
    </w:p>
    <w:p>
      <w:pPr>
        <w:pStyle w:val="BodyText"/>
        <w:spacing w:line="240" w:lineRule="auto" w:before="56"/>
        <w:ind w:left="514" w:right="0"/>
        <w:jc w:val="left"/>
        <w:rPr>
          <w:rFonts w:ascii="宋体" w:hAnsi="宋体" w:cs="宋体" w:eastAsia="宋体" w:hint="default"/>
        </w:rPr>
      </w:pPr>
      <w:r>
        <w:rPr/>
        <w:t>（</w:t>
      </w:r>
      <w:r>
        <w:rPr>
          <w:rFonts w:ascii="宋体" w:hAnsi="宋体" w:cs="宋体" w:eastAsia="宋体" w:hint="default"/>
        </w:rPr>
        <w:t>1</w:t>
      </w:r>
      <w:r>
        <w:rPr>
          <w:spacing w:val="-62"/>
        </w:rPr>
        <w:t>）</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4</w:t>
      </w:r>
      <w:r>
        <w:rPr>
          <w:rFonts w:ascii="宋体" w:hAnsi="宋体" w:cs="宋体" w:eastAsia="宋体" w:hint="default"/>
          <w:spacing w:val="-45"/>
        </w:rPr>
        <w:t> </w:t>
      </w:r>
      <w:r>
        <w:rPr/>
        <w:t>月</w:t>
      </w:r>
      <w:r>
        <w:rPr>
          <w:spacing w:val="-46"/>
        </w:rPr>
        <w:t> </w:t>
      </w:r>
      <w:r>
        <w:rPr>
          <w:rFonts w:ascii="宋体" w:hAnsi="宋体" w:cs="宋体" w:eastAsia="宋体" w:hint="default"/>
        </w:rPr>
        <w:t>11</w:t>
      </w:r>
      <w:r>
        <w:rPr>
          <w:rFonts w:ascii="宋体" w:hAnsi="宋体" w:cs="宋体" w:eastAsia="宋体" w:hint="default"/>
          <w:spacing w:val="-46"/>
        </w:rPr>
        <w:t> </w:t>
      </w:r>
      <w:r>
        <w:rPr/>
        <w:t>日</w:t>
      </w:r>
      <w:r>
        <w:rPr>
          <w:spacing w:val="-62"/>
        </w:rPr>
        <w:t>，</w:t>
      </w:r>
      <w:r>
        <w:rPr/>
        <w:t>第</w:t>
      </w:r>
      <w:r>
        <w:rPr>
          <w:spacing w:val="1"/>
        </w:rPr>
        <w:t>七</w:t>
      </w:r>
      <w:r>
        <w:rPr/>
        <w:t>届董事会审计委员会</w:t>
      </w:r>
      <w:r>
        <w:rPr>
          <w:spacing w:val="-46"/>
        </w:rPr>
        <w:t> </w:t>
      </w:r>
      <w:r>
        <w:rPr>
          <w:rFonts w:ascii="宋体" w:hAnsi="宋体" w:cs="宋体" w:eastAsia="宋体" w:hint="default"/>
        </w:rPr>
        <w:t>2017</w:t>
      </w:r>
      <w:r>
        <w:rPr>
          <w:rFonts w:ascii="宋体" w:hAnsi="宋体" w:cs="宋体" w:eastAsia="宋体" w:hint="default"/>
          <w:spacing w:val="-46"/>
        </w:rPr>
        <w:t> </w:t>
      </w:r>
      <w:r>
        <w:rPr>
          <w:spacing w:val="1"/>
        </w:rPr>
        <w:t>年</w:t>
      </w:r>
      <w:r>
        <w:rPr/>
        <w:t>第一次会议召开</w:t>
      </w:r>
      <w:r>
        <w:rPr>
          <w:spacing w:val="-62"/>
        </w:rPr>
        <w:t>，</w:t>
      </w:r>
      <w:r>
        <w:rPr/>
        <w:t>审议通过</w:t>
      </w:r>
      <w:r>
        <w:rPr>
          <w:spacing w:val="-62"/>
        </w:rPr>
        <w:t>了</w:t>
      </w:r>
      <w:r>
        <w:rPr/>
        <w:t>《公司</w:t>
      </w:r>
      <w:r>
        <w:rPr>
          <w:spacing w:val="-46"/>
        </w:rPr>
        <w:t> </w:t>
      </w:r>
      <w:r>
        <w:rPr>
          <w:rFonts w:ascii="宋体" w:hAnsi="宋体" w:cs="宋体" w:eastAsia="宋体" w:hint="default"/>
        </w:rPr>
        <w:t>2016</w:t>
      </w:r>
      <w:r>
        <w:rPr>
          <w:rFonts w:ascii="宋体" w:hAnsi="宋体" w:cs="宋体" w:eastAsia="宋体" w:hint="default"/>
          <w:spacing w:val="-46"/>
        </w:rPr>
        <w:t> </w:t>
      </w:r>
      <w:r>
        <w:rPr>
          <w:spacing w:val="1"/>
        </w:rPr>
        <w:t>年</w:t>
      </w:r>
      <w:r>
        <w:rPr/>
        <w:t>年度报告</w:t>
      </w:r>
      <w:r>
        <w:rPr>
          <w:spacing w:val="-90"/>
        </w:rPr>
        <w:t>》</w:t>
      </w:r>
      <w:r>
        <w:rPr>
          <w:spacing w:val="-152"/>
        </w:rPr>
        <w:t>、</w:t>
      </w:r>
      <w:r>
        <w:rPr/>
        <w:t>《</w:t>
      </w:r>
      <w:r>
        <w:rPr>
          <w:rFonts w:ascii="宋体" w:hAnsi="宋体" w:cs="宋体" w:eastAsia="宋体" w:hint="default"/>
        </w:rPr>
        <w:t>2016</w:t>
      </w:r>
    </w:p>
    <w:p>
      <w:pPr>
        <w:pStyle w:val="BodyText"/>
        <w:spacing w:line="319" w:lineRule="auto" w:before="76"/>
        <w:ind w:left="153" w:right="1171"/>
        <w:jc w:val="left"/>
      </w:pPr>
      <w:r>
        <w:rPr/>
        <w:t>年度财务决算报告</w:t>
      </w:r>
      <w:r>
        <w:rPr>
          <w:spacing w:val="-90"/>
        </w:rPr>
        <w:t>》、</w:t>
      </w:r>
      <w:r>
        <w:rPr/>
        <w:t>《</w:t>
      </w:r>
      <w:r>
        <w:rPr>
          <w:rFonts w:ascii="宋体" w:hAnsi="宋体" w:cs="宋体" w:eastAsia="宋体" w:hint="default"/>
        </w:rPr>
        <w:t>2016</w:t>
      </w:r>
      <w:r>
        <w:rPr>
          <w:rFonts w:ascii="宋体" w:hAnsi="宋体" w:cs="宋体" w:eastAsia="宋体" w:hint="default"/>
          <w:spacing w:val="-46"/>
        </w:rPr>
        <w:t> </w:t>
      </w:r>
      <w:r>
        <w:rPr/>
        <w:t>年度利润分配预案的议案</w:t>
      </w:r>
      <w:r>
        <w:rPr>
          <w:spacing w:val="-90"/>
        </w:rPr>
        <w:t>》、</w:t>
      </w:r>
      <w:r>
        <w:rPr/>
        <w:t>《公司</w:t>
      </w:r>
      <w:r>
        <w:rPr>
          <w:spacing w:val="-46"/>
        </w:rPr>
        <w:t> </w:t>
      </w:r>
      <w:r>
        <w:rPr>
          <w:rFonts w:ascii="宋体" w:hAnsi="宋体" w:cs="宋体" w:eastAsia="宋体" w:hint="default"/>
        </w:rPr>
        <w:t>2016</w:t>
      </w:r>
      <w:r>
        <w:rPr>
          <w:rFonts w:ascii="宋体" w:hAnsi="宋体" w:cs="宋体" w:eastAsia="宋体" w:hint="default"/>
          <w:spacing w:val="-46"/>
        </w:rPr>
        <w:t> </w:t>
      </w:r>
      <w:r>
        <w:rPr>
          <w:spacing w:val="1"/>
        </w:rPr>
        <w:t>年</w:t>
      </w:r>
      <w:r>
        <w:rPr/>
        <w:t>度内部控制自我评价报告</w:t>
      </w:r>
      <w:r>
        <w:rPr>
          <w:spacing w:val="-90"/>
        </w:rPr>
        <w:t>》、</w:t>
      </w:r>
      <w:r>
        <w:rPr/>
        <w:t>《公司</w:t>
      </w:r>
      <w:r>
        <w:rPr>
          <w:spacing w:val="-46"/>
        </w:rPr>
        <w:t> </w:t>
      </w:r>
      <w:r>
        <w:rPr>
          <w:rFonts w:ascii="宋体" w:hAnsi="宋体" w:cs="宋体" w:eastAsia="宋体" w:hint="default"/>
        </w:rPr>
        <w:t>2016</w:t>
      </w:r>
      <w:r>
        <w:rPr>
          <w:rFonts w:ascii="宋体" w:hAnsi="宋体" w:cs="宋体" w:eastAsia="宋体" w:hint="default"/>
          <w:spacing w:val="-46"/>
        </w:rPr>
        <w:t> </w:t>
      </w:r>
      <w:r>
        <w:rPr>
          <w:spacing w:val="1"/>
        </w:rPr>
        <w:t>年</w:t>
      </w:r>
      <w:r>
        <w:rPr/>
        <w:t>度募集资</w:t>
      </w:r>
      <w:r>
        <w:rPr/>
        <w:t> 金存放与使用情况的专项报告</w:t>
      </w:r>
      <w:r>
        <w:rPr>
          <w:spacing w:val="-90"/>
        </w:rPr>
        <w:t>》</w:t>
      </w:r>
      <w:r>
        <w:rPr/>
        <w:t>；</w:t>
      </w:r>
    </w:p>
    <w:p>
      <w:pPr>
        <w:pStyle w:val="BodyText"/>
        <w:spacing w:line="240" w:lineRule="auto" w:before="57"/>
        <w:ind w:left="513" w:right="0"/>
        <w:jc w:val="left"/>
      </w:pPr>
      <w:r>
        <w:rPr/>
        <w:t>（</w:t>
      </w:r>
      <w:r>
        <w:rPr>
          <w:rFonts w:ascii="宋体" w:hAnsi="宋体" w:cs="宋体" w:eastAsia="宋体" w:hint="default"/>
        </w:rPr>
        <w:t>2</w:t>
      </w:r>
      <w:r>
        <w:rPr>
          <w:spacing w:val="-21"/>
        </w:rPr>
        <w:t>）</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4</w:t>
      </w:r>
      <w:r>
        <w:rPr>
          <w:rFonts w:ascii="宋体" w:hAnsi="宋体" w:cs="宋体" w:eastAsia="宋体" w:hint="default"/>
          <w:spacing w:val="-45"/>
        </w:rPr>
        <w:t> </w:t>
      </w:r>
      <w:r>
        <w:rPr/>
        <w:t>月</w:t>
      </w:r>
      <w:r>
        <w:rPr>
          <w:spacing w:val="-46"/>
        </w:rPr>
        <w:t> </w:t>
      </w:r>
      <w:r>
        <w:rPr>
          <w:rFonts w:ascii="宋体" w:hAnsi="宋体" w:cs="宋体" w:eastAsia="宋体" w:hint="default"/>
        </w:rPr>
        <w:t>26</w:t>
      </w:r>
      <w:r>
        <w:rPr>
          <w:rFonts w:ascii="宋体" w:hAnsi="宋体" w:cs="宋体" w:eastAsia="宋体" w:hint="default"/>
          <w:spacing w:val="-46"/>
        </w:rPr>
        <w:t> </w:t>
      </w:r>
      <w:r>
        <w:rPr/>
        <w:t>日</w:t>
      </w:r>
      <w:r>
        <w:rPr>
          <w:spacing w:val="-21"/>
        </w:rPr>
        <w:t>，</w:t>
      </w:r>
      <w:r>
        <w:rPr/>
        <w:t>第</w:t>
      </w:r>
      <w:r>
        <w:rPr>
          <w:spacing w:val="1"/>
        </w:rPr>
        <w:t>七</w:t>
      </w:r>
      <w:r>
        <w:rPr/>
        <w:t>届董事会审计委员会</w:t>
      </w:r>
      <w:r>
        <w:rPr>
          <w:spacing w:val="-46"/>
        </w:rPr>
        <w:t> </w:t>
      </w:r>
      <w:r>
        <w:rPr>
          <w:rFonts w:ascii="宋体" w:hAnsi="宋体" w:cs="宋体" w:eastAsia="宋体" w:hint="default"/>
        </w:rPr>
        <w:t>2017</w:t>
      </w:r>
      <w:r>
        <w:rPr>
          <w:rFonts w:ascii="宋体" w:hAnsi="宋体" w:cs="宋体" w:eastAsia="宋体" w:hint="default"/>
          <w:spacing w:val="-46"/>
        </w:rPr>
        <w:t> </w:t>
      </w:r>
      <w:r>
        <w:rPr>
          <w:spacing w:val="1"/>
        </w:rPr>
        <w:t>年</w:t>
      </w:r>
      <w:r>
        <w:rPr/>
        <w:t>第二次会议召开</w:t>
      </w:r>
      <w:r>
        <w:rPr>
          <w:spacing w:val="-21"/>
        </w:rPr>
        <w:t>，</w:t>
      </w:r>
      <w:r>
        <w:rPr/>
        <w:t>审议通过了公</w:t>
      </w:r>
      <w:r>
        <w:rPr>
          <w:spacing w:val="-21"/>
        </w:rPr>
        <w:t>司</w:t>
      </w:r>
      <w:r>
        <w:rPr/>
        <w:t>《</w:t>
      </w:r>
      <w:r>
        <w:rPr>
          <w:rFonts w:ascii="宋体" w:hAnsi="宋体" w:cs="宋体" w:eastAsia="宋体" w:hint="default"/>
        </w:rPr>
        <w:t>2017</w:t>
      </w:r>
      <w:r>
        <w:rPr>
          <w:rFonts w:ascii="宋体" w:hAnsi="宋体" w:cs="宋体" w:eastAsia="宋体" w:hint="default"/>
          <w:spacing w:val="-46"/>
        </w:rPr>
        <w:t> </w:t>
      </w:r>
      <w:r>
        <w:rPr/>
        <w:t>年第一季度报告</w:t>
      </w:r>
      <w:r>
        <w:rPr>
          <w:spacing w:val="-90"/>
        </w:rPr>
        <w:t>》</w:t>
      </w:r>
      <w:r>
        <w:rPr/>
        <w:t>；</w:t>
      </w:r>
    </w:p>
    <w:p>
      <w:pPr>
        <w:pStyle w:val="BodyText"/>
        <w:spacing w:line="319" w:lineRule="auto" w:before="115"/>
        <w:ind w:left="153" w:right="1130" w:firstLine="360"/>
        <w:jc w:val="left"/>
      </w:pPr>
      <w:r>
        <w:rPr>
          <w:spacing w:val="-7"/>
        </w:rPr>
        <w:t>（</w:t>
      </w:r>
      <w:r>
        <w:rPr>
          <w:rFonts w:ascii="宋体" w:hAnsi="宋体" w:cs="宋体" w:eastAsia="宋体" w:hint="default"/>
          <w:spacing w:val="-7"/>
        </w:rPr>
        <w:t>3</w:t>
      </w:r>
      <w:r>
        <w:rPr>
          <w:spacing w:val="-7"/>
        </w:rPr>
        <w:t>）</w:t>
      </w:r>
      <w:r>
        <w:rPr>
          <w:rFonts w:ascii="宋体" w:hAnsi="宋体" w:cs="宋体" w:eastAsia="宋体" w:hint="default"/>
          <w:spacing w:val="-7"/>
        </w:rPr>
        <w:t>2017</w:t>
      </w:r>
      <w:r>
        <w:rPr>
          <w:rFonts w:ascii="宋体" w:hAnsi="宋体" w:cs="宋体" w:eastAsia="宋体" w:hint="default"/>
          <w:spacing w:val="-43"/>
        </w:rPr>
        <w:t> </w:t>
      </w:r>
      <w:r>
        <w:rPr/>
        <w:t>年</w:t>
      </w:r>
      <w:r>
        <w:rPr>
          <w:spacing w:val="-42"/>
        </w:rPr>
        <w:t> </w:t>
      </w:r>
      <w:r>
        <w:rPr>
          <w:rFonts w:ascii="宋体" w:hAnsi="宋体" w:cs="宋体" w:eastAsia="宋体" w:hint="default"/>
        </w:rPr>
        <w:t>8</w:t>
      </w:r>
      <w:r>
        <w:rPr>
          <w:rFonts w:ascii="宋体" w:hAnsi="宋体" w:cs="宋体" w:eastAsia="宋体" w:hint="default"/>
          <w:spacing w:val="-42"/>
        </w:rPr>
        <w:t> </w:t>
      </w:r>
      <w:r>
        <w:rPr/>
        <w:t>月</w:t>
      </w:r>
      <w:r>
        <w:rPr>
          <w:spacing w:val="-43"/>
        </w:rPr>
        <w:t> </w:t>
      </w:r>
      <w:r>
        <w:rPr>
          <w:rFonts w:ascii="宋体" w:hAnsi="宋体" w:cs="宋体" w:eastAsia="宋体" w:hint="default"/>
        </w:rPr>
        <w:t>29</w:t>
      </w:r>
      <w:r>
        <w:rPr>
          <w:rFonts w:ascii="宋体" w:hAnsi="宋体" w:cs="宋体" w:eastAsia="宋体" w:hint="default"/>
          <w:spacing w:val="-43"/>
        </w:rPr>
        <w:t> </w:t>
      </w:r>
      <w:r>
        <w:rPr>
          <w:spacing w:val="-4"/>
        </w:rPr>
        <w:t>日，第七届董事会审计委员会</w:t>
      </w:r>
      <w:r>
        <w:rPr>
          <w:spacing w:val="-43"/>
        </w:rPr>
        <w:t> </w:t>
      </w:r>
      <w:r>
        <w:rPr>
          <w:rFonts w:ascii="宋体" w:hAnsi="宋体" w:cs="宋体" w:eastAsia="宋体" w:hint="default"/>
        </w:rPr>
        <w:t>2017</w:t>
      </w:r>
      <w:r>
        <w:rPr>
          <w:rFonts w:ascii="宋体" w:hAnsi="宋体" w:cs="宋体" w:eastAsia="宋体" w:hint="default"/>
          <w:spacing w:val="-43"/>
        </w:rPr>
        <w:t> </w:t>
      </w:r>
      <w:r>
        <w:rPr>
          <w:spacing w:val="-4"/>
        </w:rPr>
        <w:t>年第三次会议召开，审议通过了《</w:t>
      </w:r>
      <w:r>
        <w:rPr>
          <w:rFonts w:ascii="宋体" w:hAnsi="宋体" w:cs="宋体" w:eastAsia="宋体" w:hint="default"/>
          <w:spacing w:val="-4"/>
        </w:rPr>
        <w:t>&lt;</w:t>
      </w:r>
      <w:r>
        <w:rPr>
          <w:spacing w:val="-4"/>
        </w:rPr>
        <w:t>智度科技股份有限公司</w:t>
      </w:r>
      <w:r>
        <w:rPr>
          <w:spacing w:val="-43"/>
        </w:rPr>
        <w:t> </w:t>
      </w:r>
      <w:r>
        <w:rPr>
          <w:rFonts w:ascii="宋体" w:hAnsi="宋体" w:cs="宋体" w:eastAsia="宋体" w:hint="default"/>
        </w:rPr>
        <w:t>2017 </w:t>
      </w:r>
      <w:r>
        <w:rPr>
          <w:spacing w:val="-7"/>
        </w:rPr>
        <w:t>年半年度报告</w:t>
      </w:r>
      <w:r>
        <w:rPr>
          <w:rFonts w:ascii="宋体" w:hAnsi="宋体" w:cs="宋体" w:eastAsia="宋体" w:hint="default"/>
          <w:spacing w:val="-7"/>
        </w:rPr>
        <w:t>&gt;</w:t>
      </w:r>
      <w:r>
        <w:rPr>
          <w:spacing w:val="-7"/>
        </w:rPr>
        <w:t>全文及摘要》；</w:t>
      </w:r>
    </w:p>
    <w:p>
      <w:pPr>
        <w:pStyle w:val="BodyText"/>
        <w:spacing w:line="319" w:lineRule="auto" w:before="56"/>
        <w:ind w:left="153" w:right="1126" w:firstLine="360"/>
        <w:jc w:val="left"/>
      </w:pPr>
      <w:r>
        <w:rPr>
          <w:spacing w:val="-10"/>
        </w:rPr>
        <w:t>（</w:t>
      </w:r>
      <w:r>
        <w:rPr>
          <w:rFonts w:ascii="宋体" w:hAnsi="宋体" w:cs="宋体" w:eastAsia="宋体" w:hint="default"/>
          <w:spacing w:val="-10"/>
        </w:rPr>
        <w:t>4</w:t>
      </w:r>
      <w:r>
        <w:rPr>
          <w:spacing w:val="-10"/>
        </w:rPr>
        <w:t>）</w:t>
      </w:r>
      <w:r>
        <w:rPr>
          <w:rFonts w:ascii="宋体" w:hAnsi="宋体" w:cs="宋体" w:eastAsia="宋体" w:hint="default"/>
          <w:spacing w:val="-10"/>
        </w:rPr>
        <w:t>2017</w:t>
      </w:r>
      <w:r>
        <w:rPr>
          <w:rFonts w:ascii="宋体" w:hAnsi="宋体" w:cs="宋体" w:eastAsia="宋体" w:hint="default"/>
          <w:spacing w:val="-43"/>
        </w:rPr>
        <w:t> </w:t>
      </w:r>
      <w:r>
        <w:rPr/>
        <w:t>年</w:t>
      </w:r>
      <w:r>
        <w:rPr>
          <w:spacing w:val="-43"/>
        </w:rPr>
        <w:t> </w:t>
      </w:r>
      <w:r>
        <w:rPr>
          <w:rFonts w:ascii="宋体" w:hAnsi="宋体" w:cs="宋体" w:eastAsia="宋体" w:hint="default"/>
        </w:rPr>
        <w:t>10</w:t>
      </w:r>
      <w:r>
        <w:rPr>
          <w:rFonts w:ascii="宋体" w:hAnsi="宋体" w:cs="宋体" w:eastAsia="宋体" w:hint="default"/>
          <w:spacing w:val="-43"/>
        </w:rPr>
        <w:t> </w:t>
      </w:r>
      <w:r>
        <w:rPr/>
        <w:t>月</w:t>
      </w:r>
      <w:r>
        <w:rPr>
          <w:spacing w:val="-43"/>
        </w:rPr>
        <w:t> </w:t>
      </w:r>
      <w:r>
        <w:rPr>
          <w:rFonts w:ascii="宋体" w:hAnsi="宋体" w:cs="宋体" w:eastAsia="宋体" w:hint="default"/>
        </w:rPr>
        <w:t>30</w:t>
      </w:r>
      <w:r>
        <w:rPr>
          <w:rFonts w:ascii="宋体" w:hAnsi="宋体" w:cs="宋体" w:eastAsia="宋体" w:hint="default"/>
          <w:spacing w:val="-43"/>
        </w:rPr>
        <w:t> </w:t>
      </w:r>
      <w:r>
        <w:rPr>
          <w:spacing w:val="-5"/>
        </w:rPr>
        <w:t>日，第七届董事会审计委员会</w:t>
      </w:r>
      <w:r>
        <w:rPr>
          <w:spacing w:val="-42"/>
        </w:rPr>
        <w:t> </w:t>
      </w:r>
      <w:r>
        <w:rPr>
          <w:rFonts w:ascii="宋体" w:hAnsi="宋体" w:cs="宋体" w:eastAsia="宋体" w:hint="default"/>
        </w:rPr>
        <w:t>2017</w:t>
      </w:r>
      <w:r>
        <w:rPr>
          <w:rFonts w:ascii="宋体" w:hAnsi="宋体" w:cs="宋体" w:eastAsia="宋体" w:hint="default"/>
          <w:spacing w:val="-42"/>
        </w:rPr>
        <w:t> </w:t>
      </w:r>
      <w:r>
        <w:rPr>
          <w:spacing w:val="-6"/>
        </w:rPr>
        <w:t>年第四次会议召开，审议通过了《</w:t>
      </w:r>
      <w:r>
        <w:rPr>
          <w:rFonts w:ascii="宋体" w:hAnsi="宋体" w:cs="宋体" w:eastAsia="宋体" w:hint="default"/>
          <w:spacing w:val="-6"/>
        </w:rPr>
        <w:t>&lt;</w:t>
      </w:r>
      <w:r>
        <w:rPr>
          <w:spacing w:val="-6"/>
        </w:rPr>
        <w:t>智度科技股份有限公司</w:t>
      </w:r>
      <w:r>
        <w:rPr>
          <w:spacing w:val="-43"/>
        </w:rPr>
        <w:t> </w:t>
      </w:r>
      <w:r>
        <w:rPr>
          <w:rFonts w:ascii="宋体" w:hAnsi="宋体" w:cs="宋体" w:eastAsia="宋体" w:hint="default"/>
        </w:rPr>
        <w:t>2017 </w:t>
      </w:r>
      <w:r>
        <w:rPr>
          <w:spacing w:val="-7"/>
        </w:rPr>
        <w:t>年第三季度报告</w:t>
      </w:r>
      <w:r>
        <w:rPr>
          <w:rFonts w:ascii="宋体" w:hAnsi="宋体" w:cs="宋体" w:eastAsia="宋体" w:hint="default"/>
          <w:spacing w:val="-7"/>
        </w:rPr>
        <w:t>&gt;</w:t>
      </w:r>
      <w:r>
        <w:rPr>
          <w:spacing w:val="-7"/>
        </w:rPr>
        <w:t>全文及正文》、《关于为全资子公司向银行申请授信提供担保的议案》。</w:t>
      </w:r>
    </w:p>
    <w:p>
      <w:pPr>
        <w:pStyle w:val="BodyText"/>
        <w:spacing w:line="240" w:lineRule="auto" w:before="56"/>
        <w:ind w:left="513" w:right="0"/>
        <w:jc w:val="left"/>
      </w:pPr>
      <w:r>
        <w:rPr>
          <w:rFonts w:ascii="宋体" w:hAnsi="宋体" w:cs="宋体" w:eastAsia="宋体" w:hint="default"/>
        </w:rPr>
        <w:t>2</w:t>
      </w:r>
      <w:r>
        <w:rPr/>
        <w:t>、提名委员会履行职责情况</w:t>
      </w:r>
    </w:p>
    <w:p>
      <w:pPr>
        <w:pStyle w:val="BodyText"/>
        <w:spacing w:line="240" w:lineRule="auto" w:before="115"/>
        <w:ind w:left="514" w:right="0"/>
        <w:jc w:val="left"/>
        <w:rPr>
          <w:rFonts w:ascii="宋体" w:hAnsi="宋体" w:cs="宋体" w:eastAsia="宋体" w:hint="default"/>
        </w:rPr>
      </w:pPr>
      <w:r>
        <w:rPr/>
        <w:t>公司提名委员会由</w:t>
      </w:r>
      <w:r>
        <w:rPr>
          <w:spacing w:val="-46"/>
        </w:rPr>
        <w:t> </w:t>
      </w:r>
      <w:r>
        <w:rPr>
          <w:rFonts w:ascii="宋体" w:hAnsi="宋体" w:cs="宋体" w:eastAsia="宋体" w:hint="default"/>
        </w:rPr>
        <w:t>3</w:t>
      </w:r>
      <w:r>
        <w:rPr>
          <w:rFonts w:ascii="宋体" w:hAnsi="宋体" w:cs="宋体" w:eastAsia="宋体" w:hint="default"/>
          <w:spacing w:val="-46"/>
        </w:rPr>
        <w:t> </w:t>
      </w:r>
      <w:r>
        <w:rPr/>
        <w:t>名董事组成，其中独立董事两名。报告期内，提名委员会对公司董事、监事、高级管理人员</w:t>
      </w:r>
      <w:r>
        <w:rPr>
          <w:spacing w:val="-45"/>
        </w:rPr>
        <w:t> </w:t>
      </w:r>
      <w:r>
        <w:rPr>
          <w:rFonts w:ascii="宋体" w:hAnsi="宋体" w:cs="宋体" w:eastAsia="宋体" w:hint="default"/>
        </w:rPr>
        <w:t>2016</w:t>
      </w:r>
    </w:p>
    <w:p>
      <w:pPr>
        <w:pStyle w:val="BodyText"/>
        <w:spacing w:line="319" w:lineRule="auto" w:before="76"/>
        <w:ind w:right="1131"/>
        <w:jc w:val="both"/>
      </w:pPr>
      <w:r>
        <w:rPr/>
        <w:t>年配置及</w:t>
      </w:r>
      <w:r>
        <w:rPr>
          <w:spacing w:val="-46"/>
        </w:rPr>
        <w:t> </w:t>
      </w:r>
      <w:r>
        <w:rPr>
          <w:rFonts w:ascii="宋体" w:hAnsi="宋体" w:cs="宋体" w:eastAsia="宋体" w:hint="default"/>
        </w:rPr>
        <w:t>2017</w:t>
      </w:r>
      <w:r>
        <w:rPr>
          <w:rFonts w:ascii="宋体" w:hAnsi="宋体" w:cs="宋体" w:eastAsia="宋体" w:hint="default"/>
          <w:spacing w:val="-45"/>
        </w:rPr>
        <w:t> </w:t>
      </w:r>
      <w:r>
        <w:rPr/>
        <w:t>年需求发表了意见；同时对公司高级管理人员候选人任职资格和任职条件进行审查，对拟任人员的提名、聘 </w:t>
      </w:r>
      <w:r>
        <w:rPr>
          <w:spacing w:val="-2"/>
        </w:rPr>
        <w:t>任程序进行严格的审核并发表审查意见，保证了上述人员任职的合法合规。报告期内，公司提名委员会共召开两次会议，具</w:t>
      </w:r>
      <w:r>
        <w:rPr>
          <w:spacing w:val="-66"/>
        </w:rPr>
        <w:t> </w:t>
      </w:r>
      <w:r>
        <w:rPr>
          <w:spacing w:val="-66"/>
        </w:rPr>
      </w:r>
      <w:r>
        <w:rPr/>
        <w:t>体情况如下：</w:t>
      </w:r>
    </w:p>
    <w:p>
      <w:pPr>
        <w:pStyle w:val="BodyText"/>
        <w:spacing w:line="240" w:lineRule="auto" w:before="56"/>
        <w:ind w:left="514" w:right="0"/>
        <w:jc w:val="left"/>
      </w:pPr>
      <w:r>
        <w:rPr/>
        <w:t>（</w:t>
      </w:r>
      <w:r>
        <w:rPr>
          <w:rFonts w:ascii="宋体" w:hAnsi="宋体" w:cs="宋体" w:eastAsia="宋体" w:hint="default"/>
        </w:rPr>
        <w:t>1</w:t>
      </w:r>
      <w:r>
        <w:rPr/>
        <w:t>）</w:t>
      </w:r>
      <w:r>
        <w:rPr>
          <w:rFonts w:ascii="宋体" w:hAnsi="宋体" w:cs="宋体" w:eastAsia="宋体" w:hint="default"/>
        </w:rPr>
        <w:t>2017</w:t>
      </w:r>
      <w:r>
        <w:rPr>
          <w:rFonts w:ascii="宋体" w:hAnsi="宋体" w:cs="宋体" w:eastAsia="宋体" w:hint="default"/>
          <w:spacing w:val="-51"/>
        </w:rPr>
        <w:t> </w:t>
      </w:r>
      <w:r>
        <w:rPr/>
        <w:t>年</w:t>
      </w:r>
      <w:r>
        <w:rPr>
          <w:spacing w:val="-51"/>
        </w:rPr>
        <w:t> </w:t>
      </w:r>
      <w:r>
        <w:rPr>
          <w:rFonts w:ascii="宋体" w:hAnsi="宋体" w:cs="宋体" w:eastAsia="宋体" w:hint="default"/>
        </w:rPr>
        <w:t>4</w:t>
      </w:r>
      <w:r>
        <w:rPr>
          <w:rFonts w:ascii="宋体" w:hAnsi="宋体" w:cs="宋体" w:eastAsia="宋体" w:hint="default"/>
          <w:spacing w:val="-50"/>
        </w:rPr>
        <w:t> </w:t>
      </w:r>
      <w:r>
        <w:rPr/>
        <w:t>月</w:t>
      </w:r>
      <w:r>
        <w:rPr>
          <w:spacing w:val="-51"/>
        </w:rPr>
        <w:t> </w:t>
      </w:r>
      <w:r>
        <w:rPr>
          <w:rFonts w:ascii="宋体" w:hAnsi="宋体" w:cs="宋体" w:eastAsia="宋体" w:hint="default"/>
        </w:rPr>
        <w:t>11</w:t>
      </w:r>
      <w:r>
        <w:rPr>
          <w:rFonts w:ascii="宋体" w:hAnsi="宋体" w:cs="宋体" w:eastAsia="宋体" w:hint="default"/>
          <w:spacing w:val="-51"/>
        </w:rPr>
        <w:t> </w:t>
      </w:r>
      <w:r>
        <w:rPr/>
        <w:t>日，第七届董事会提名委员会</w:t>
      </w:r>
      <w:r>
        <w:rPr>
          <w:spacing w:val="-51"/>
        </w:rPr>
        <w:t> </w:t>
      </w:r>
      <w:r>
        <w:rPr>
          <w:rFonts w:ascii="宋体" w:hAnsi="宋体" w:cs="宋体" w:eastAsia="宋体" w:hint="default"/>
        </w:rPr>
        <w:t>2017</w:t>
      </w:r>
      <w:r>
        <w:rPr>
          <w:rFonts w:ascii="宋体" w:hAnsi="宋体" w:cs="宋体" w:eastAsia="宋体" w:hint="default"/>
          <w:spacing w:val="-51"/>
        </w:rPr>
        <w:t> </w:t>
      </w:r>
      <w:r>
        <w:rPr/>
        <w:t>年第一次会议召开，审议通过了《关于公司董事、监事、高级</w:t>
      </w:r>
    </w:p>
    <w:p>
      <w:pPr>
        <w:pStyle w:val="BodyText"/>
        <w:spacing w:line="240" w:lineRule="auto" w:before="77"/>
        <w:ind w:right="0"/>
        <w:jc w:val="both"/>
      </w:pPr>
      <w:r>
        <w:rPr/>
        <w:t>管理人员</w:t>
      </w:r>
      <w:r>
        <w:rPr>
          <w:spacing w:val="-46"/>
        </w:rPr>
        <w:t> </w:t>
      </w:r>
      <w:r>
        <w:rPr>
          <w:rFonts w:ascii="宋体" w:hAnsi="宋体" w:cs="宋体" w:eastAsia="宋体" w:hint="default"/>
        </w:rPr>
        <w:t>2016</w:t>
      </w:r>
      <w:r>
        <w:rPr>
          <w:rFonts w:ascii="宋体" w:hAnsi="宋体" w:cs="宋体" w:eastAsia="宋体" w:hint="default"/>
          <w:spacing w:val="-45"/>
        </w:rPr>
        <w:t> </w:t>
      </w:r>
      <w:r>
        <w:rPr/>
        <w:t>年配置及</w:t>
      </w:r>
      <w:r>
        <w:rPr>
          <w:spacing w:val="-46"/>
        </w:rPr>
        <w:t> </w:t>
      </w:r>
      <w:r>
        <w:rPr>
          <w:rFonts w:ascii="宋体" w:hAnsi="宋体" w:cs="宋体" w:eastAsia="宋体" w:hint="default"/>
        </w:rPr>
        <w:t>2017</w:t>
      </w:r>
      <w:r>
        <w:rPr>
          <w:rFonts w:ascii="宋体" w:hAnsi="宋体" w:cs="宋体" w:eastAsia="宋体" w:hint="default"/>
          <w:spacing w:val="-45"/>
        </w:rPr>
        <w:t> </w:t>
      </w:r>
      <w:r>
        <w:rPr/>
        <w:t>年需求的议案</w:t>
      </w:r>
      <w:r>
        <w:rPr>
          <w:spacing w:val="-90"/>
        </w:rPr>
        <w:t>》</w:t>
      </w:r>
      <w:r>
        <w:rPr/>
        <w:t>；</w:t>
      </w:r>
    </w:p>
    <w:p>
      <w:pPr>
        <w:pStyle w:val="BodyText"/>
        <w:spacing w:line="319" w:lineRule="auto" w:before="115"/>
        <w:ind w:right="1173" w:firstLine="360"/>
        <w:jc w:val="left"/>
      </w:pPr>
      <w:r>
        <w:rPr/>
        <w:t>（</w:t>
      </w:r>
      <w:r>
        <w:rPr>
          <w:rFonts w:ascii="宋体" w:hAnsi="宋体" w:cs="宋体" w:eastAsia="宋体" w:hint="default"/>
        </w:rPr>
        <w:t>2</w:t>
      </w:r>
      <w:r>
        <w:rPr/>
        <w:t>）</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21</w:t>
      </w:r>
      <w:r>
        <w:rPr>
          <w:rFonts w:ascii="宋体" w:hAnsi="宋体" w:cs="宋体" w:eastAsia="宋体" w:hint="default"/>
          <w:spacing w:val="-46"/>
        </w:rPr>
        <w:t> </w:t>
      </w:r>
      <w:r>
        <w:rPr/>
        <w:t>日，第七届董事会提名委员会</w:t>
      </w:r>
      <w:r>
        <w:rPr>
          <w:spacing w:val="-46"/>
        </w:rPr>
        <w:t> </w:t>
      </w:r>
      <w:r>
        <w:rPr>
          <w:rFonts w:ascii="宋体" w:hAnsi="宋体" w:cs="宋体" w:eastAsia="宋体" w:hint="default"/>
        </w:rPr>
        <w:t>2017</w:t>
      </w:r>
      <w:r>
        <w:rPr>
          <w:rFonts w:ascii="宋体" w:hAnsi="宋体" w:cs="宋体" w:eastAsia="宋体" w:hint="default"/>
          <w:spacing w:val="-45"/>
        </w:rPr>
        <w:t> </w:t>
      </w:r>
      <w:r>
        <w:rPr/>
        <w:t>年第二次会议召开，审议通过了《关于提名李凌霄女士为公 </w:t>
      </w:r>
      <w:r>
        <w:rPr>
          <w:spacing w:val="-9"/>
        </w:rPr>
        <w:t>司董事会秘书的议案》。</w:t>
      </w:r>
    </w:p>
    <w:p>
      <w:pPr>
        <w:pStyle w:val="BodyText"/>
        <w:spacing w:line="240" w:lineRule="auto" w:before="56"/>
        <w:ind w:left="514" w:right="0"/>
        <w:jc w:val="left"/>
      </w:pPr>
      <w:r>
        <w:rPr>
          <w:rFonts w:ascii="宋体" w:hAnsi="宋体" w:cs="宋体" w:eastAsia="宋体" w:hint="default"/>
        </w:rPr>
        <w:t>3</w:t>
      </w:r>
      <w:r>
        <w:rPr/>
        <w:t>、薪酬与考核委员会履行职责情况</w:t>
      </w:r>
    </w:p>
    <w:p>
      <w:pPr>
        <w:pStyle w:val="BodyText"/>
        <w:spacing w:line="319" w:lineRule="auto" w:before="116"/>
        <w:ind w:right="0" w:firstLine="360"/>
        <w:jc w:val="left"/>
      </w:pPr>
      <w:r>
        <w:rPr/>
        <w:t>公司薪酬与考核委员会由</w:t>
      </w:r>
      <w:r>
        <w:rPr>
          <w:spacing w:val="-38"/>
        </w:rPr>
        <w:t> </w:t>
      </w:r>
      <w:r>
        <w:rPr>
          <w:rFonts w:ascii="宋体" w:hAnsi="宋体" w:cs="宋体" w:eastAsia="宋体" w:hint="default"/>
        </w:rPr>
        <w:t>3</w:t>
      </w:r>
      <w:r>
        <w:rPr>
          <w:rFonts w:ascii="宋体" w:hAnsi="宋体" w:cs="宋体" w:eastAsia="宋体" w:hint="default"/>
          <w:spacing w:val="-37"/>
        </w:rPr>
        <w:t> </w:t>
      </w:r>
      <w:r>
        <w:rPr>
          <w:spacing w:val="-3"/>
        </w:rPr>
        <w:t>名董事组成，其中独立董事两名。报告期内，薪酬与考核委员会切实履行职责，审查公司董</w:t>
      </w:r>
      <w:r>
        <w:rPr/>
        <w:t> </w:t>
      </w:r>
      <w:r>
        <w:rPr>
          <w:spacing w:val="-2"/>
        </w:rPr>
        <w:t>事（非独立董事）及高级管理人员的履行职责情况并对其进行年度绩效考评；根据董事及高级管理人员管理岗位的范围、职</w:t>
      </w:r>
      <w:r>
        <w:rPr>
          <w:spacing w:val="-66"/>
        </w:rPr>
        <w:t> </w:t>
      </w:r>
      <w:r>
        <w:rPr>
          <w:spacing w:val="-66"/>
        </w:rPr>
      </w:r>
      <w:r>
        <w:rPr>
          <w:spacing w:val="-4"/>
        </w:rPr>
        <w:t>责、重要性以及其他相关企业相关岗位的薪酬水平制定薪酬计划或方案。报告期内，公司薪酬与考核委员会共召开两次会议，</w:t>
      </w:r>
      <w:r>
        <w:rPr>
          <w:spacing w:val="-44"/>
        </w:rPr>
        <w:t> </w:t>
      </w:r>
      <w:r>
        <w:rPr>
          <w:spacing w:val="-44"/>
        </w:rPr>
      </w:r>
      <w:r>
        <w:rPr/>
        <w:t>具体情况如下：</w:t>
      </w:r>
    </w:p>
    <w:p>
      <w:pPr>
        <w:pStyle w:val="BodyText"/>
        <w:spacing w:line="240" w:lineRule="auto" w:before="55"/>
        <w:ind w:left="514" w:right="0"/>
        <w:jc w:val="left"/>
      </w:pPr>
      <w:r>
        <w:rPr/>
        <w:t>（</w:t>
      </w:r>
      <w:r>
        <w:rPr>
          <w:rFonts w:ascii="宋体" w:hAnsi="宋体" w:cs="宋体" w:eastAsia="宋体" w:hint="default"/>
        </w:rPr>
        <w:t>1</w:t>
      </w:r>
      <w:r>
        <w:rPr/>
        <w:t>）</w:t>
      </w:r>
      <w:r>
        <w:rPr>
          <w:rFonts w:ascii="宋体" w:hAnsi="宋体" w:cs="宋体" w:eastAsia="宋体" w:hint="default"/>
        </w:rPr>
        <w:t>2017</w:t>
      </w:r>
      <w:r>
        <w:rPr>
          <w:rFonts w:ascii="宋体" w:hAnsi="宋体" w:cs="宋体" w:eastAsia="宋体" w:hint="default"/>
          <w:spacing w:val="-52"/>
        </w:rPr>
        <w:t> </w:t>
      </w:r>
      <w:r>
        <w:rPr/>
        <w:t>年</w:t>
      </w:r>
      <w:r>
        <w:rPr>
          <w:spacing w:val="-52"/>
        </w:rPr>
        <w:t> </w:t>
      </w:r>
      <w:r>
        <w:rPr>
          <w:rFonts w:ascii="宋体" w:hAnsi="宋体" w:cs="宋体" w:eastAsia="宋体" w:hint="default"/>
        </w:rPr>
        <w:t>4</w:t>
      </w:r>
      <w:r>
        <w:rPr>
          <w:rFonts w:ascii="宋体" w:hAnsi="宋体" w:cs="宋体" w:eastAsia="宋体" w:hint="default"/>
          <w:spacing w:val="-51"/>
        </w:rPr>
        <w:t> </w:t>
      </w:r>
      <w:r>
        <w:rPr/>
        <w:t>月</w:t>
      </w:r>
      <w:r>
        <w:rPr>
          <w:spacing w:val="-52"/>
        </w:rPr>
        <w:t> </w:t>
      </w:r>
      <w:r>
        <w:rPr>
          <w:rFonts w:ascii="宋体" w:hAnsi="宋体" w:cs="宋体" w:eastAsia="宋体" w:hint="default"/>
        </w:rPr>
        <w:t>11</w:t>
      </w:r>
      <w:r>
        <w:rPr>
          <w:rFonts w:ascii="宋体" w:hAnsi="宋体" w:cs="宋体" w:eastAsia="宋体" w:hint="default"/>
          <w:spacing w:val="-52"/>
        </w:rPr>
        <w:t> </w:t>
      </w:r>
      <w:r>
        <w:rPr/>
        <w:t>日，第七届董事会薪酬与考核委员会</w:t>
      </w:r>
      <w:r>
        <w:rPr>
          <w:spacing w:val="-52"/>
        </w:rPr>
        <w:t> </w:t>
      </w:r>
      <w:r>
        <w:rPr>
          <w:rFonts w:ascii="宋体" w:hAnsi="宋体" w:cs="宋体" w:eastAsia="宋体" w:hint="default"/>
        </w:rPr>
        <w:t>2017</w:t>
      </w:r>
      <w:r>
        <w:rPr>
          <w:rFonts w:ascii="宋体" w:hAnsi="宋体" w:cs="宋体" w:eastAsia="宋体" w:hint="default"/>
          <w:spacing w:val="-52"/>
        </w:rPr>
        <w:t> </w:t>
      </w:r>
      <w:r>
        <w:rPr/>
        <w:t>年第一次会议召开，审议通过了《董事、监事及高级管</w:t>
      </w:r>
    </w:p>
    <w:p>
      <w:pPr>
        <w:pStyle w:val="BodyText"/>
        <w:spacing w:line="240" w:lineRule="auto" w:before="77"/>
        <w:ind w:right="0"/>
        <w:jc w:val="both"/>
      </w:pPr>
      <w:r>
        <w:rPr/>
        <w:t>理人员</w:t>
      </w:r>
      <w:r>
        <w:rPr>
          <w:spacing w:val="-46"/>
        </w:rPr>
        <w:t> </w:t>
      </w:r>
      <w:r>
        <w:rPr>
          <w:rFonts w:ascii="宋体" w:hAnsi="宋体" w:cs="宋体" w:eastAsia="宋体" w:hint="default"/>
        </w:rPr>
        <w:t>2017</w:t>
      </w:r>
      <w:r>
        <w:rPr>
          <w:rFonts w:ascii="宋体" w:hAnsi="宋体" w:cs="宋体" w:eastAsia="宋体" w:hint="default"/>
          <w:spacing w:val="-46"/>
        </w:rPr>
        <w:t> </w:t>
      </w:r>
      <w:r>
        <w:rPr>
          <w:spacing w:val="1"/>
        </w:rPr>
        <w:t>年</w:t>
      </w:r>
      <w:r>
        <w:rPr/>
        <w:t>度薪酬方案</w:t>
      </w:r>
      <w:r>
        <w:rPr>
          <w:spacing w:val="-90"/>
        </w:rPr>
        <w:t>》</w:t>
      </w:r>
      <w:r>
        <w:rPr/>
        <w:t>；</w:t>
      </w:r>
    </w:p>
    <w:p>
      <w:pPr>
        <w:spacing w:after="0" w:line="240" w:lineRule="auto"/>
        <w:jc w:val="both"/>
        <w:sectPr>
          <w:footerReference w:type="default" r:id="rId156"/>
          <w:pgSz w:w="11910" w:h="16840"/>
          <w:pgMar w:footer="1187" w:header="877" w:top="1100" w:bottom="1380" w:left="980" w:right="0"/>
          <w:pgNumType w:start="90"/>
        </w:sectPr>
      </w:pPr>
    </w:p>
    <w:p>
      <w:pPr>
        <w:spacing w:line="240" w:lineRule="auto" w:before="12"/>
        <w:rPr>
          <w:rFonts w:ascii="宋体" w:hAnsi="宋体" w:cs="宋体" w:eastAsia="宋体" w:hint="default"/>
          <w:sz w:val="21"/>
          <w:szCs w:val="21"/>
        </w:rPr>
      </w:pPr>
    </w:p>
    <w:p>
      <w:pPr>
        <w:pStyle w:val="BodyText"/>
        <w:spacing w:line="240" w:lineRule="auto" w:before="44"/>
        <w:ind w:left="513" w:right="0"/>
        <w:jc w:val="left"/>
      </w:pPr>
      <w:r>
        <w:rPr/>
        <w:t>（</w:t>
      </w:r>
      <w:r>
        <w:rPr>
          <w:rFonts w:ascii="宋体" w:hAnsi="宋体" w:cs="宋体" w:eastAsia="宋体" w:hint="default"/>
        </w:rPr>
        <w:t>2</w:t>
      </w:r>
      <w:r>
        <w:rPr/>
        <w:t>）</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21</w:t>
      </w:r>
      <w:r>
        <w:rPr>
          <w:rFonts w:ascii="宋体" w:hAnsi="宋体" w:cs="宋体" w:eastAsia="宋体" w:hint="default"/>
          <w:spacing w:val="-46"/>
        </w:rPr>
        <w:t> </w:t>
      </w:r>
      <w:r>
        <w:rPr/>
        <w:t>日，第七届董事会薪酬与考核委员会</w:t>
      </w:r>
      <w:r>
        <w:rPr>
          <w:spacing w:val="-46"/>
        </w:rPr>
        <w:t> </w:t>
      </w:r>
      <w:r>
        <w:rPr>
          <w:rFonts w:ascii="宋体" w:hAnsi="宋体" w:cs="宋体" w:eastAsia="宋体" w:hint="default"/>
        </w:rPr>
        <w:t>2017</w:t>
      </w:r>
      <w:r>
        <w:rPr>
          <w:rFonts w:ascii="宋体" w:hAnsi="宋体" w:cs="宋体" w:eastAsia="宋体" w:hint="default"/>
          <w:spacing w:val="-46"/>
        </w:rPr>
        <w:t> </w:t>
      </w:r>
      <w:r>
        <w:rPr/>
        <w:t>年第二次会议召开，审议通过了《新聘高级管理人员</w:t>
      </w:r>
    </w:p>
    <w:p>
      <w:pPr>
        <w:pStyle w:val="BodyText"/>
        <w:spacing w:line="240" w:lineRule="auto" w:before="77"/>
        <w:ind w:left="153" w:right="0"/>
        <w:jc w:val="left"/>
      </w:pPr>
      <w:r>
        <w:rPr>
          <w:rFonts w:ascii="宋体" w:hAnsi="宋体" w:cs="宋体" w:eastAsia="宋体" w:hint="default"/>
        </w:rPr>
        <w:t>2017</w:t>
      </w:r>
      <w:r>
        <w:rPr>
          <w:rFonts w:ascii="宋体" w:hAnsi="宋体" w:cs="宋体" w:eastAsia="宋体" w:hint="default"/>
          <w:spacing w:val="-46"/>
        </w:rPr>
        <w:t> </w:t>
      </w:r>
      <w:r>
        <w:rPr/>
        <w:t>年度薪酬方案</w:t>
      </w:r>
      <w:r>
        <w:rPr>
          <w:spacing w:val="-90"/>
        </w:rPr>
        <w:t>》</w:t>
      </w:r>
      <w:r>
        <w:rPr/>
        <w:t>。</w:t>
      </w:r>
    </w:p>
    <w:p>
      <w:pPr>
        <w:pStyle w:val="BodyText"/>
        <w:spacing w:line="240" w:lineRule="auto" w:before="116"/>
        <w:ind w:left="514" w:right="0"/>
        <w:jc w:val="left"/>
      </w:pPr>
      <w:r>
        <w:rPr>
          <w:rFonts w:ascii="宋体" w:hAnsi="宋体" w:cs="宋体" w:eastAsia="宋体" w:hint="default"/>
        </w:rPr>
        <w:t>4</w:t>
      </w:r>
      <w:r>
        <w:rPr/>
        <w:t>、战略委员会履行职责情况</w:t>
      </w:r>
    </w:p>
    <w:p>
      <w:pPr>
        <w:pStyle w:val="BodyText"/>
        <w:spacing w:line="240" w:lineRule="auto" w:before="117"/>
        <w:ind w:left="514" w:right="0"/>
        <w:jc w:val="left"/>
      </w:pPr>
      <w:r>
        <w:rPr/>
        <w:t>公司战略委员会由</w:t>
      </w:r>
      <w:r>
        <w:rPr>
          <w:spacing w:val="-46"/>
        </w:rPr>
        <w:t> </w:t>
      </w:r>
      <w:r>
        <w:rPr>
          <w:rFonts w:ascii="宋体" w:hAnsi="宋体" w:cs="宋体" w:eastAsia="宋体" w:hint="default"/>
        </w:rPr>
        <w:t>3</w:t>
      </w:r>
      <w:r>
        <w:rPr>
          <w:rFonts w:ascii="宋体" w:hAnsi="宋体" w:cs="宋体" w:eastAsia="宋体" w:hint="default"/>
          <w:spacing w:val="-46"/>
        </w:rPr>
        <w:t> </w:t>
      </w:r>
      <w:r>
        <w:rPr/>
        <w:t>名董事组成，其中独立董事两名。报告期内，公司战略委员会共召开两次会议，具体情况如下：</w:t>
      </w:r>
    </w:p>
    <w:p>
      <w:pPr>
        <w:pStyle w:val="BodyText"/>
        <w:spacing w:line="319" w:lineRule="auto" w:before="115"/>
        <w:ind w:left="153" w:right="1132" w:firstLine="360"/>
        <w:jc w:val="both"/>
      </w:pPr>
      <w:r>
        <w:rPr>
          <w:spacing w:val="-3"/>
        </w:rPr>
        <w:t>（</w:t>
      </w:r>
      <w:r>
        <w:rPr>
          <w:rFonts w:ascii="宋体" w:hAnsi="宋体" w:cs="宋体" w:eastAsia="宋体" w:hint="default"/>
          <w:spacing w:val="-3"/>
        </w:rPr>
        <w:t>1</w:t>
      </w:r>
      <w:r>
        <w:rPr>
          <w:spacing w:val="-3"/>
        </w:rPr>
        <w:t>）</w:t>
      </w:r>
      <w:r>
        <w:rPr>
          <w:rFonts w:ascii="宋体" w:hAnsi="宋体" w:cs="宋体" w:eastAsia="宋体" w:hint="default"/>
          <w:spacing w:val="-3"/>
        </w:rPr>
        <w:t>2017</w:t>
      </w:r>
      <w:r>
        <w:rPr>
          <w:rFonts w:ascii="宋体" w:hAnsi="宋体" w:cs="宋体" w:eastAsia="宋体" w:hint="default"/>
          <w:spacing w:val="-47"/>
        </w:rPr>
        <w:t> </w:t>
      </w:r>
      <w:r>
        <w:rPr/>
        <w:t>年</w:t>
      </w:r>
      <w:r>
        <w:rPr>
          <w:spacing w:val="-47"/>
        </w:rPr>
        <w:t> </w:t>
      </w:r>
      <w:r>
        <w:rPr>
          <w:rFonts w:ascii="宋体" w:hAnsi="宋体" w:cs="宋体" w:eastAsia="宋体" w:hint="default"/>
        </w:rPr>
        <w:t>4</w:t>
      </w:r>
      <w:r>
        <w:rPr>
          <w:rFonts w:ascii="宋体" w:hAnsi="宋体" w:cs="宋体" w:eastAsia="宋体" w:hint="default"/>
          <w:spacing w:val="-46"/>
        </w:rPr>
        <w:t> </w:t>
      </w:r>
      <w:r>
        <w:rPr/>
        <w:t>月</w:t>
      </w:r>
      <w:r>
        <w:rPr>
          <w:spacing w:val="-47"/>
        </w:rPr>
        <w:t> </w:t>
      </w:r>
      <w:r>
        <w:rPr>
          <w:rFonts w:ascii="宋体" w:hAnsi="宋体" w:cs="宋体" w:eastAsia="宋体" w:hint="default"/>
        </w:rPr>
        <w:t>11</w:t>
      </w:r>
      <w:r>
        <w:rPr>
          <w:rFonts w:ascii="宋体" w:hAnsi="宋体" w:cs="宋体" w:eastAsia="宋体" w:hint="default"/>
          <w:spacing w:val="-47"/>
        </w:rPr>
        <w:t> </w:t>
      </w:r>
      <w:r>
        <w:rPr/>
        <w:t>日，第七届董事会战略委员会</w:t>
      </w:r>
      <w:r>
        <w:rPr>
          <w:spacing w:val="-47"/>
        </w:rPr>
        <w:t> </w:t>
      </w:r>
      <w:r>
        <w:rPr>
          <w:rFonts w:ascii="宋体" w:hAnsi="宋体" w:cs="宋体" w:eastAsia="宋体" w:hint="default"/>
        </w:rPr>
        <w:t>2017</w:t>
      </w:r>
      <w:r>
        <w:rPr>
          <w:rFonts w:ascii="宋体" w:hAnsi="宋体" w:cs="宋体" w:eastAsia="宋体" w:hint="default"/>
          <w:spacing w:val="-47"/>
        </w:rPr>
        <w:t> </w:t>
      </w:r>
      <w:r>
        <w:rPr>
          <w:spacing w:val="-3"/>
        </w:rPr>
        <w:t>年第一次会议召开，审议通过了《</w:t>
      </w:r>
      <w:r>
        <w:rPr>
          <w:rFonts w:ascii="宋体" w:hAnsi="宋体" w:cs="宋体" w:eastAsia="宋体" w:hint="default"/>
          <w:spacing w:val="-3"/>
        </w:rPr>
        <w:t>2016</w:t>
      </w:r>
      <w:r>
        <w:rPr>
          <w:rFonts w:ascii="宋体" w:hAnsi="宋体" w:cs="宋体" w:eastAsia="宋体" w:hint="default"/>
          <w:spacing w:val="-47"/>
        </w:rPr>
        <w:t> </w:t>
      </w:r>
      <w:r>
        <w:rPr/>
        <w:t>年年度报告中的公司发 </w:t>
      </w:r>
      <w:r>
        <w:rPr>
          <w:spacing w:val="-13"/>
        </w:rPr>
        <w:t>展战略部分》；</w:t>
      </w:r>
    </w:p>
    <w:p>
      <w:pPr>
        <w:pStyle w:val="BodyText"/>
        <w:spacing w:line="319" w:lineRule="auto" w:before="55"/>
        <w:ind w:left="153" w:right="1132" w:firstLine="360"/>
        <w:jc w:val="both"/>
      </w:pPr>
      <w:r>
        <w:rPr/>
        <w:t>（</w:t>
      </w:r>
      <w:r>
        <w:rPr>
          <w:rFonts w:ascii="宋体" w:hAnsi="宋体" w:cs="宋体" w:eastAsia="宋体" w:hint="default"/>
        </w:rPr>
        <w:t>2</w:t>
      </w:r>
      <w:r>
        <w:rPr/>
        <w:t>）</w:t>
      </w:r>
      <w:r>
        <w:rPr>
          <w:rFonts w:ascii="宋体" w:hAnsi="宋体" w:cs="宋体" w:eastAsia="宋体" w:hint="default"/>
        </w:rPr>
        <w:t>2017</w:t>
      </w:r>
      <w:r>
        <w:rPr>
          <w:rFonts w:ascii="宋体" w:hAnsi="宋体" w:cs="宋体" w:eastAsia="宋体" w:hint="default"/>
          <w:spacing w:val="-52"/>
        </w:rPr>
        <w:t> </w:t>
      </w:r>
      <w:r>
        <w:rPr/>
        <w:t>年</w:t>
      </w:r>
      <w:r>
        <w:rPr>
          <w:spacing w:val="-51"/>
        </w:rPr>
        <w:t> </w:t>
      </w:r>
      <w:r>
        <w:rPr>
          <w:rFonts w:ascii="宋体" w:hAnsi="宋体" w:cs="宋体" w:eastAsia="宋体" w:hint="default"/>
        </w:rPr>
        <w:t>9</w:t>
      </w:r>
      <w:r>
        <w:rPr>
          <w:rFonts w:ascii="宋体" w:hAnsi="宋体" w:cs="宋体" w:eastAsia="宋体" w:hint="default"/>
          <w:spacing w:val="-51"/>
        </w:rPr>
        <w:t> </w:t>
      </w:r>
      <w:r>
        <w:rPr/>
        <w:t>月</w:t>
      </w:r>
      <w:r>
        <w:rPr>
          <w:spacing w:val="-52"/>
        </w:rPr>
        <w:t> </w:t>
      </w:r>
      <w:r>
        <w:rPr>
          <w:rFonts w:ascii="宋体" w:hAnsi="宋体" w:cs="宋体" w:eastAsia="宋体" w:hint="default"/>
        </w:rPr>
        <w:t>11</w:t>
      </w:r>
      <w:r>
        <w:rPr>
          <w:rFonts w:ascii="宋体" w:hAnsi="宋体" w:cs="宋体" w:eastAsia="宋体" w:hint="default"/>
          <w:spacing w:val="-52"/>
        </w:rPr>
        <w:t> </w:t>
      </w:r>
      <w:r>
        <w:rPr/>
        <w:t>日，第七届董事会战略委员会</w:t>
      </w:r>
      <w:r>
        <w:rPr>
          <w:spacing w:val="-52"/>
        </w:rPr>
        <w:t> </w:t>
      </w:r>
      <w:r>
        <w:rPr>
          <w:rFonts w:ascii="宋体" w:hAnsi="宋体" w:cs="宋体" w:eastAsia="宋体" w:hint="default"/>
        </w:rPr>
        <w:t>2017</w:t>
      </w:r>
      <w:r>
        <w:rPr>
          <w:rFonts w:ascii="宋体" w:hAnsi="宋体" w:cs="宋体" w:eastAsia="宋体" w:hint="default"/>
          <w:spacing w:val="-52"/>
        </w:rPr>
        <w:t> </w:t>
      </w:r>
      <w:r>
        <w:rPr/>
        <w:t>年第二次会议召开，审议通过了《关于变更部分募集资金用途 </w:t>
      </w:r>
      <w:r>
        <w:rPr>
          <w:spacing w:val="-18"/>
        </w:rPr>
        <w:t>的议案》。</w:t>
      </w:r>
    </w:p>
    <w:p>
      <w:pPr>
        <w:spacing w:line="240" w:lineRule="auto" w:before="7"/>
        <w:rPr>
          <w:rFonts w:ascii="宋体" w:hAnsi="宋体" w:cs="宋体" w:eastAsia="宋体" w:hint="default"/>
          <w:sz w:val="20"/>
          <w:szCs w:val="20"/>
        </w:rPr>
      </w:pPr>
    </w:p>
    <w:p>
      <w:pPr>
        <w:pStyle w:val="Heading2"/>
        <w:spacing w:line="240" w:lineRule="auto"/>
        <w:ind w:left="153" w:right="0"/>
        <w:jc w:val="left"/>
        <w:rPr>
          <w:b w:val="0"/>
          <w:bCs w:val="0"/>
        </w:rPr>
      </w:pPr>
      <w:bookmarkStart w:name="七、监事会工作情况" w:id="147"/>
      <w:bookmarkEnd w:id="147"/>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0"/>
        <w:jc w:val="left"/>
      </w:pPr>
      <w:r>
        <w:rPr/>
        <w:t>监事会在报告期内的监督活动中发现公司是否存在风险</w:t>
      </w:r>
    </w:p>
    <w:p>
      <w:pPr>
        <w:pStyle w:val="BodyText"/>
        <w:spacing w:line="357" w:lineRule="auto" w:before="117"/>
        <w:ind w:left="153" w:right="7693"/>
        <w:jc w:val="left"/>
      </w:pPr>
      <w:r>
        <w:rPr/>
        <w:t>□ 是 √ 否 监事会对报告期内的监督事项无异议。</w:t>
      </w:r>
    </w:p>
    <w:p>
      <w:pPr>
        <w:spacing w:line="240" w:lineRule="auto" w:before="3"/>
        <w:rPr>
          <w:rFonts w:ascii="宋体" w:hAnsi="宋体" w:cs="宋体" w:eastAsia="宋体" w:hint="default"/>
          <w:sz w:val="18"/>
          <w:szCs w:val="18"/>
        </w:rPr>
      </w:pPr>
    </w:p>
    <w:p>
      <w:pPr>
        <w:pStyle w:val="Heading2"/>
        <w:spacing w:line="240" w:lineRule="auto"/>
        <w:ind w:left="153" w:right="0"/>
        <w:jc w:val="left"/>
        <w:rPr>
          <w:b w:val="0"/>
          <w:bCs w:val="0"/>
        </w:rPr>
      </w:pPr>
      <w:bookmarkStart w:name="八、高级管理人员的考评及激励情况" w:id="148"/>
      <w:bookmarkEnd w:id="148"/>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1132" w:firstLine="360"/>
        <w:jc w:val="both"/>
      </w:pPr>
      <w:r>
        <w:rPr>
          <w:spacing w:val="-2"/>
        </w:rPr>
        <w:t>公司高度重视对高级管理人员的绩效考评工作，建立了比较完善的薪酬考核制度，成立了董事会薪酬与考核委员会，对</w:t>
      </w:r>
      <w:r>
        <w:rPr/>
        <w:t> </w:t>
      </w:r>
      <w:r>
        <w:rPr>
          <w:spacing w:val="-2"/>
        </w:rPr>
        <w:t>公司高级管理人员进行考评。高级管理人员的绩效考核由董事会负责，根据公司的经营业绩，高级管理人员的工作职责和工</w:t>
      </w:r>
      <w:r>
        <w:rPr>
          <w:spacing w:val="-66"/>
        </w:rPr>
        <w:t> </w:t>
      </w:r>
      <w:r>
        <w:rPr>
          <w:spacing w:val="-66"/>
        </w:rPr>
      </w:r>
      <w:r>
        <w:rPr/>
        <w:t>作结果等综合考核确定。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9"/>
        <w:ind w:left="153" w:right="0"/>
        <w:jc w:val="left"/>
        <w:rPr>
          <w:b w:val="0"/>
          <w:bCs w:val="0"/>
        </w:rPr>
      </w:pPr>
      <w:bookmarkStart w:name="九、内部控制情况" w:id="149"/>
      <w:bookmarkEnd w:id="149"/>
      <w:r>
        <w:rPr>
          <w:b w:val="0"/>
          <w:bCs w:val="0"/>
        </w:rPr>
      </w:r>
      <w:r>
        <w:rPr/>
        <w:t>九、内部控制情况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报告期内发现的内部控制重大缺陷的具体情况" w:id="150"/>
      <w:bookmarkEnd w:id="150"/>
      <w:r>
        <w:rPr>
          <w:b w:val="0"/>
          <w:bCs w:val="0"/>
        </w:rPr>
      </w:r>
      <w:r>
        <w:rPr>
          <w:rFonts w:ascii="宋体" w:hAnsi="宋体" w:cs="宋体" w:eastAsia="宋体" w:hint="default"/>
        </w:rPr>
        <w:t>1</w:t>
      </w:r>
      <w:r>
        <w:rPr/>
        <w:t>、报告期内发现的内部控制重大缺陷的具体情况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是 √ 否</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2、内控自我评价报告" w:id="151"/>
      <w:bookmarkEnd w:id="151"/>
      <w:r>
        <w:rPr>
          <w:b w:val="0"/>
          <w:bCs w:val="0"/>
        </w:rPr>
      </w:r>
      <w:r>
        <w:rPr>
          <w:rFonts w:ascii="宋体" w:hAnsi="宋体" w:cs="宋体" w:eastAsia="宋体" w:hint="default"/>
        </w:rPr>
        <w:t>2</w:t>
      </w:r>
      <w:r>
        <w:rPr/>
        <w:t>、内控自我评价报告</w:t>
      </w:r>
      <w:r>
        <w:rPr>
          <w:b w:val="0"/>
          <w:bCs w:val="0"/>
        </w:rPr>
      </w:r>
    </w:p>
    <w:p>
      <w:pPr>
        <w:spacing w:line="240" w:lineRule="auto" w:before="13"/>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102"/>
        <w:gridCol w:w="3405"/>
        <w:gridCol w:w="3051"/>
      </w:tblGrid>
      <w:tr>
        <w:trPr>
          <w:trHeight w:val="402"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45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45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宋体" w:hAnsi="宋体" w:cs="宋体" w:eastAsia="宋体" w:hint="default"/>
                  <w:sz w:val="18"/>
                  <w:szCs w:val="18"/>
                </w:rPr>
                <w:t>http://www.cninfo.com.cn</w:t>
              </w:r>
            </w:hyperlink>
          </w:p>
        </w:tc>
      </w:tr>
      <w:tr>
        <w:trPr>
          <w:trHeight w:val="714"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45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100.00%</w:t>
            </w:r>
          </w:p>
        </w:tc>
      </w:tr>
      <w:tr>
        <w:trPr>
          <w:trHeight w:val="714"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45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100.00%</w:t>
            </w:r>
          </w:p>
        </w:tc>
      </w:tr>
      <w:tr>
        <w:trPr>
          <w:trHeight w:val="397"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4"/>
              <w:jc w:val="center"/>
              <w:rPr>
                <w:rFonts w:ascii="宋体" w:hAnsi="宋体" w:cs="宋体" w:eastAsia="宋体" w:hint="default"/>
                <w:sz w:val="18"/>
                <w:szCs w:val="18"/>
              </w:rPr>
            </w:pPr>
            <w:r>
              <w:rPr>
                <w:rFonts w:ascii="宋体" w:hAnsi="宋体" w:cs="宋体" w:eastAsia="宋体" w:hint="default"/>
                <w:sz w:val="18"/>
                <w:szCs w:val="18"/>
              </w:rPr>
              <w:t>类别</w:t>
            </w:r>
          </w:p>
        </w:tc>
        <w:tc>
          <w:tcPr>
            <w:tcW w:w="3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61" w:hRule="exact"/>
        </w:trPr>
        <w:tc>
          <w:tcPr>
            <w:tcW w:w="3102" w:type="dxa"/>
            <w:tcBorders>
              <w:top w:val="single" w:sz="4" w:space="0" w:color="000000"/>
              <w:left w:val="single" w:sz="4" w:space="0" w:color="000000"/>
              <w:bottom w:val="nil" w:sz="6" w:space="0" w:color="auto"/>
              <w:right w:val="single" w:sz="4" w:space="0" w:color="000000"/>
            </w:tcBorders>
            <w:shd w:val="clear" w:color="auto" w:fill="D2D2D2"/>
          </w:tcPr>
          <w:p>
            <w:pPr/>
          </w:p>
        </w:tc>
        <w:tc>
          <w:tcPr>
            <w:tcW w:w="3405" w:type="dxa"/>
            <w:vMerge w:val="restart"/>
            <w:tcBorders>
              <w:top w:val="single" w:sz="4" w:space="0" w:color="000000"/>
              <w:left w:val="single" w:sz="9" w:space="0" w:color="D2D2D2"/>
              <w:right w:val="single" w:sz="4" w:space="0" w:color="000000"/>
            </w:tcBorders>
          </w:tcPr>
          <w:p>
            <w:pPr>
              <w:pStyle w:val="TableParagraph"/>
              <w:spacing w:line="316" w:lineRule="auto" w:before="51"/>
              <w:ind w:left="21" w:right="79"/>
              <w:jc w:val="left"/>
              <w:rPr>
                <w:rFonts w:ascii="宋体" w:hAnsi="宋体" w:cs="宋体" w:eastAsia="宋体" w:hint="default"/>
                <w:sz w:val="18"/>
                <w:szCs w:val="18"/>
              </w:rPr>
            </w:pPr>
            <w:r>
              <w:rPr>
                <w:rFonts w:ascii="宋体" w:hAnsi="宋体" w:cs="宋体" w:eastAsia="宋体" w:hint="default"/>
                <w:sz w:val="18"/>
                <w:szCs w:val="18"/>
              </w:rPr>
              <w:t>具体详见公司披露的《</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年度内部控制 评价报告》</w:t>
            </w:r>
          </w:p>
        </w:tc>
        <w:tc>
          <w:tcPr>
            <w:tcW w:w="3051"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具体详见公司披露的《</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年度内部 控制评价报告》</w:t>
            </w:r>
          </w:p>
        </w:tc>
      </w:tr>
      <w:tr>
        <w:trPr>
          <w:trHeight w:val="392" w:hRule="exact"/>
        </w:trPr>
        <w:tc>
          <w:tcPr>
            <w:tcW w:w="31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405"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61" w:hRule="exact"/>
        </w:trPr>
        <w:tc>
          <w:tcPr>
            <w:tcW w:w="3102" w:type="dxa"/>
            <w:tcBorders>
              <w:top w:val="nil" w:sz="6" w:space="0" w:color="auto"/>
              <w:left w:val="single" w:sz="4" w:space="0" w:color="000000"/>
              <w:bottom w:val="single" w:sz="4" w:space="0" w:color="000000"/>
              <w:right w:val="single" w:sz="4" w:space="0" w:color="000000"/>
            </w:tcBorders>
            <w:shd w:val="clear" w:color="auto" w:fill="D2D2D2"/>
          </w:tcPr>
          <w:p>
            <w:pPr/>
          </w:p>
        </w:tc>
        <w:tc>
          <w:tcPr>
            <w:tcW w:w="3405"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402"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4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公司首先明确了对财务指标有多大影响</w:t>
            </w:r>
            <w:r>
              <w:rPr>
                <w:rFonts w:ascii="宋体" w:hAnsi="宋体" w:cs="宋体" w:eastAsia="宋体" w:hint="default"/>
                <w:spacing w:val="-78"/>
                <w:sz w:val="18"/>
                <w:szCs w:val="18"/>
              </w:rPr>
              <w:t>，</w:t>
            </w:r>
            <w:r>
              <w:rPr>
                <w:rFonts w:ascii="宋体" w:hAnsi="宋体" w:cs="宋体" w:eastAsia="宋体" w:hint="default"/>
                <w:sz w:val="18"/>
                <w:szCs w:val="18"/>
              </w:rPr>
              <w:t>对</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直接损失金额＜合并报表资产总额的</w:t>
            </w:r>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0"/>
        </w:sectPr>
      </w:pPr>
    </w:p>
    <w:p>
      <w:pPr>
        <w:spacing w:line="240" w:lineRule="auto" w:before="6"/>
        <w:rPr>
          <w:rFonts w:ascii="宋体" w:hAnsi="宋体" w:cs="宋体" w:eastAsia="宋体" w:hint="default"/>
          <w:b/>
          <w:bCs/>
          <w:sz w:val="24"/>
          <w:szCs w:val="24"/>
        </w:rPr>
      </w:pPr>
      <w:r>
        <w:rPr/>
        <w:pict>
          <v:group style="position:absolute;margin-left:383.980011pt;margin-top:72.47998pt;width:149.8pt;height:15.6pt;mso-position-horizontal-relative:page;mso-position-vertical-relative:page;z-index:-1181464" coordorigin="7680,1450" coordsize="2996,312">
            <v:shape style="position:absolute;left:7680;top:1450;width:2996;height:312" coordorigin="7680,1450" coordsize="2996,312" path="m7680,1762l10675,1762,10675,1450,7680,1450,7680,1762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3119"/>
        <w:gridCol w:w="3399"/>
        <w:gridCol w:w="3051"/>
      </w:tblGrid>
      <w:tr>
        <w:trPr>
          <w:trHeight w:val="3483"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99"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10"/>
              <w:ind w:left="22" w:right="-39"/>
              <w:jc w:val="left"/>
              <w:rPr>
                <w:rFonts w:ascii="宋体" w:hAnsi="宋体" w:cs="宋体" w:eastAsia="宋体" w:hint="default"/>
                <w:sz w:val="18"/>
                <w:szCs w:val="18"/>
              </w:rPr>
            </w:pPr>
            <w:r>
              <w:rPr>
                <w:rFonts w:ascii="宋体" w:hAnsi="宋体" w:cs="宋体" w:eastAsia="宋体" w:hint="default"/>
                <w:spacing w:val="-2"/>
                <w:sz w:val="18"/>
                <w:szCs w:val="18"/>
              </w:rPr>
              <w:t>于公司来说是达到重要性水平，具体如为：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总资产、净资产、主营业务收入的</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z w:val="18"/>
                <w:szCs w:val="18"/>
              </w:rPr>
              <w:t>， 净利润的</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。其次，对内部控制缺陷可能 导致或已经导致的财务报表中某科目的错 </w:t>
            </w:r>
            <w:r>
              <w:rPr>
                <w:rFonts w:ascii="宋体" w:hAnsi="宋体" w:cs="宋体" w:eastAsia="宋体" w:hint="default"/>
                <w:spacing w:val="-5"/>
                <w:sz w:val="18"/>
                <w:szCs w:val="18"/>
              </w:rPr>
              <w:t>报、漏报或者损失的影响金额进行分析，即</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内部控制缺陷影响额进行分析，以该数据占</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企业整体重要性水平的比重判定内部控制 </w:t>
            </w:r>
            <w:r>
              <w:rPr>
                <w:rFonts w:ascii="宋体" w:hAnsi="宋体" w:cs="宋体" w:eastAsia="宋体" w:hint="default"/>
                <w:spacing w:val="-5"/>
                <w:sz w:val="18"/>
                <w:szCs w:val="18"/>
              </w:rPr>
              <w:t>缺陷的类型，如大于整体重要性水平的认定</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5"/>
                <w:sz w:val="18"/>
                <w:szCs w:val="18"/>
              </w:rPr>
              <w:t>为重大缺陷（实质性漏洞）；占整体重要性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比例的</w:t>
            </w:r>
            <w:r>
              <w:rPr>
                <w:rFonts w:ascii="宋体" w:hAnsi="宋体" w:cs="宋体" w:eastAsia="宋体" w:hint="default"/>
                <w:spacing w:val="-46"/>
                <w:sz w:val="18"/>
                <w:szCs w:val="18"/>
              </w:rPr>
              <w:t> </w:t>
            </w:r>
            <w:r>
              <w:rPr>
                <w:rFonts w:ascii="宋体" w:hAnsi="宋体" w:cs="宋体" w:eastAsia="宋体" w:hint="default"/>
                <w:sz w:val="18"/>
                <w:szCs w:val="18"/>
              </w:rPr>
              <w:t>20%-100%</w:t>
            </w:r>
            <w:r>
              <w:rPr>
                <w:rFonts w:ascii="宋体" w:hAnsi="宋体" w:cs="宋体" w:eastAsia="宋体" w:hint="default"/>
                <w:sz w:val="18"/>
                <w:szCs w:val="18"/>
              </w:rPr>
              <w:t>认定为重要缺陷；小于整 体重要性水平的</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z w:val="18"/>
                <w:szCs w:val="18"/>
              </w:rPr>
              <w:t>的认定为一般缺陷。</w:t>
            </w:r>
          </w:p>
        </w:tc>
        <w:tc>
          <w:tcPr>
            <w:tcW w:w="3051" w:type="dxa"/>
            <w:tcBorders>
              <w:top w:val="single" w:sz="4" w:space="0" w:color="000000"/>
              <w:left w:val="single" w:sz="9" w:space="0" w:color="FFFFFF"/>
              <w:bottom w:val="single" w:sz="4" w:space="0" w:color="000000"/>
              <w:right w:val="single" w:sz="4" w:space="0" w:color="000000"/>
            </w:tcBorders>
          </w:tcPr>
          <w:p>
            <w:pPr>
              <w:pStyle w:val="TableParagraph"/>
              <w:spacing w:line="319" w:lineRule="auto" w:before="10"/>
              <w:ind w:left="16" w:right="21"/>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‰的为一般缺陷；合并报表资产总额 的</w:t>
            </w:r>
            <w:r>
              <w:rPr>
                <w:rFonts w:ascii="宋体" w:hAnsi="宋体" w:cs="宋体" w:eastAsia="宋体" w:hint="default"/>
                <w:spacing w:val="-65"/>
                <w:sz w:val="18"/>
                <w:szCs w:val="18"/>
              </w:rPr>
              <w:t> </w:t>
            </w:r>
            <w:r>
              <w:rPr>
                <w:rFonts w:ascii="宋体" w:hAnsi="宋体" w:cs="宋体" w:eastAsia="宋体" w:hint="default"/>
                <w:sz w:val="18"/>
                <w:szCs w:val="18"/>
              </w:rPr>
              <w:t>1</w:t>
            </w:r>
            <w:r>
              <w:rPr>
                <w:rFonts w:ascii="宋体" w:hAnsi="宋体" w:cs="宋体" w:eastAsia="宋体" w:hint="default"/>
                <w:sz w:val="18"/>
                <w:szCs w:val="18"/>
              </w:rPr>
              <w:t>‰≤直接损失金额＜合并报表资产 总额</w:t>
            </w:r>
            <w:r>
              <w:rPr>
                <w:rFonts w:ascii="宋体" w:hAnsi="宋体" w:cs="宋体" w:eastAsia="宋体" w:hint="default"/>
                <w:spacing w:val="-61"/>
                <w:sz w:val="18"/>
                <w:szCs w:val="18"/>
              </w:rPr>
              <w:t> </w:t>
            </w:r>
            <w:r>
              <w:rPr>
                <w:rFonts w:ascii="宋体" w:hAnsi="宋体" w:cs="宋体" w:eastAsia="宋体" w:hint="default"/>
                <w:sz w:val="18"/>
                <w:szCs w:val="18"/>
              </w:rPr>
              <w:t>5</w:t>
            </w:r>
            <w:r>
              <w:rPr>
                <w:rFonts w:ascii="宋体" w:hAnsi="宋体" w:cs="宋体" w:eastAsia="宋体" w:hint="default"/>
                <w:sz w:val="18"/>
                <w:szCs w:val="18"/>
              </w:rPr>
              <w:t>‰为重要缺陷；直接损失金额≥ 合并报表资产总额</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‰为重大缺陷</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4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4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4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4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十、内部控制审计报告" w:id="152"/>
      <w:bookmarkEnd w:id="152"/>
      <w:r>
        <w:rPr>
          <w:b w:val="0"/>
          <w:bCs w:val="0"/>
        </w:rPr>
      </w:r>
      <w:r>
        <w:rPr/>
        <w:t>十、内部控制审计报告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84"/>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致同会计师事务所（特殊普通合伙）认为，智度科技股份有限公司于</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日按照《企业内部控制基本规范》 和相关规定在所有重大方面保持了有效的财务报告内部控制。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宋体" w:hAnsi="宋体" w:cs="宋体" w:eastAsia="宋体" w:hint="default"/>
                  <w:sz w:val="18"/>
                  <w:szCs w:val="18"/>
                </w:rPr>
                <w:t>http://www.cninfo.com.cn</w:t>
              </w:r>
            </w:hyperlink>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会计师事务所是否出具非标准意见的内部控制审计报告</w:t>
      </w:r>
    </w:p>
    <w:p>
      <w:pPr>
        <w:pStyle w:val="BodyText"/>
        <w:spacing w:line="360" w:lineRule="auto" w:before="116"/>
        <w:ind w:left="153" w:right="4633"/>
        <w:jc w:val="left"/>
      </w:pPr>
      <w:r>
        <w:rPr/>
        <w:t>□ 是 √ 否 会计师事务所出具的内部控制审计报告与董事会的自我评价报告意见是否一致</w:t>
      </w:r>
    </w:p>
    <w:p>
      <w:pPr>
        <w:pStyle w:val="BodyText"/>
        <w:spacing w:line="240" w:lineRule="auto" w:before="26"/>
        <w:ind w:left="153" w:right="0"/>
        <w:jc w:val="left"/>
      </w:pPr>
      <w:r>
        <w:rPr/>
        <w:t>√ 是 □ 否</w:t>
      </w:r>
    </w:p>
    <w:p>
      <w:pPr>
        <w:spacing w:after="0" w:line="240" w:lineRule="auto"/>
        <w:jc w:val="left"/>
        <w:sectPr>
          <w:pgSz w:w="11910" w:h="16840"/>
          <w:pgMar w:header="877" w:footer="1187" w:top="110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126" w:right="0"/>
        <w:jc w:val="left"/>
        <w:rPr>
          <w:b w:val="0"/>
          <w:bCs w:val="0"/>
        </w:rPr>
      </w:pPr>
      <w:bookmarkStart w:name="第十节 公司债券相关情况" w:id="153"/>
      <w:bookmarkEnd w:id="153"/>
      <w:r>
        <w:rPr>
          <w:b w:val="0"/>
          <w:bCs w:val="0"/>
        </w:rPr>
      </w:r>
      <w:bookmarkStart w:name="_bookmark8" w:id="154"/>
      <w:bookmarkEnd w:id="154"/>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left="153"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877" w:footer="1187" w:top="110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607" w:right="0"/>
        <w:jc w:val="left"/>
        <w:rPr>
          <w:b w:val="0"/>
          <w:bCs w:val="0"/>
        </w:rPr>
      </w:pPr>
      <w:bookmarkStart w:name="第十一节 财务报告" w:id="155"/>
      <w:bookmarkEnd w:id="155"/>
      <w:r>
        <w:rPr>
          <w:b w:val="0"/>
          <w:bCs w:val="0"/>
        </w:rPr>
      </w:r>
      <w:bookmarkStart w:name="_bookmark9" w:id="156"/>
      <w:bookmarkEnd w:id="156"/>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3" w:right="0"/>
        <w:jc w:val="left"/>
        <w:rPr>
          <w:b w:val="0"/>
          <w:bCs w:val="0"/>
        </w:rPr>
      </w:pPr>
      <w:bookmarkStart w:name="一、审计报告" w:id="157"/>
      <w:bookmarkEnd w:id="157"/>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致同审字（</w:t>
            </w:r>
            <w:r>
              <w:rPr>
                <w:rFonts w:ascii="宋体" w:hAnsi="宋体" w:cs="宋体" w:eastAsia="宋体" w:hint="default"/>
                <w:sz w:val="18"/>
                <w:szCs w:val="18"/>
              </w:rPr>
              <w:t>2018</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110ZA4335</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倪军  董阳阳</w:t>
            </w:r>
          </w:p>
        </w:tc>
      </w:tr>
    </w:tbl>
    <w:p>
      <w:pPr>
        <w:pStyle w:val="BodyText"/>
        <w:spacing w:line="240" w:lineRule="auto" w:before="51"/>
        <w:ind w:left="615" w:right="1591"/>
        <w:jc w:val="center"/>
      </w:pPr>
      <w:r>
        <w:rPr/>
        <w:t>审计报告正文</w:t>
      </w:r>
    </w:p>
    <w:p>
      <w:pPr>
        <w:spacing w:line="240" w:lineRule="auto" w:before="4"/>
        <w:rPr>
          <w:rFonts w:ascii="宋体" w:hAnsi="宋体" w:cs="宋体" w:eastAsia="宋体" w:hint="default"/>
          <w:sz w:val="10"/>
          <w:szCs w:val="10"/>
        </w:rPr>
      </w:pPr>
    </w:p>
    <w:p>
      <w:pPr>
        <w:pStyle w:val="Heading3"/>
        <w:spacing w:line="376" w:lineRule="auto" w:before="35"/>
        <w:ind w:left="636" w:right="7591" w:hanging="483"/>
        <w:jc w:val="left"/>
        <w:rPr>
          <w:b w:val="0"/>
          <w:bCs w:val="0"/>
        </w:rPr>
      </w:pPr>
      <w:r>
        <w:rPr/>
        <w:t>智度科技股份有限公司全体股东：</w:t>
      </w:r>
      <w:r>
        <w:rPr>
          <w:w w:val="99"/>
        </w:rPr>
        <w:t> </w:t>
      </w:r>
      <w:r>
        <w:rPr/>
        <w:t>一、审计意见</w:t>
      </w:r>
      <w:r>
        <w:rPr>
          <w:b w:val="0"/>
          <w:bCs w:val="0"/>
        </w:rPr>
      </w:r>
    </w:p>
    <w:p>
      <w:pPr>
        <w:pStyle w:val="BodyText"/>
        <w:spacing w:line="338" w:lineRule="auto" w:before="63"/>
        <w:ind w:right="1140" w:firstLine="360"/>
        <w:jc w:val="right"/>
        <w:rPr>
          <w:rFonts w:ascii="宋体" w:hAnsi="宋体" w:cs="宋体" w:eastAsia="宋体" w:hint="default"/>
        </w:rPr>
      </w:pPr>
      <w:r>
        <w:rPr/>
        <w:t>我们审计了智度科技股份有限公司（以下简称“智度股份公司”）财务报表，包括</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5"/>
        </w:rPr>
        <w:t> </w:t>
      </w:r>
      <w:r>
        <w:rPr/>
        <w:t>日的合并及公司资 产负债表，</w:t>
      </w:r>
      <w:r>
        <w:rPr>
          <w:rFonts w:ascii="宋体" w:hAnsi="宋体" w:cs="宋体" w:eastAsia="宋体" w:hint="default"/>
        </w:rPr>
        <w:t>2017</w:t>
      </w:r>
      <w:r>
        <w:rPr>
          <w:rFonts w:ascii="宋体" w:hAnsi="宋体" w:cs="宋体" w:eastAsia="宋体" w:hint="default"/>
          <w:spacing w:val="-46"/>
        </w:rPr>
        <w:t> </w:t>
      </w:r>
      <w:r>
        <w:rPr/>
        <w:t>年度的合并及公司利润表、合并及公司现金流量表、合并及公司股东权益变动表以及相关财务报表附注。 我们认为，后附的财务报表在所有重大方面按照企业会计准则的规定编制，公允反映了智度股份公司</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p>
    <w:p>
      <w:pPr>
        <w:pStyle w:val="BodyText"/>
        <w:spacing w:line="240" w:lineRule="auto" w:before="4"/>
        <w:ind w:right="0"/>
        <w:jc w:val="left"/>
      </w:pPr>
      <w:r>
        <w:rPr/>
        <w:t>日的合并及公司财务状况以及</w:t>
      </w:r>
      <w:r>
        <w:rPr>
          <w:spacing w:val="-46"/>
        </w:rPr>
        <w:t> </w:t>
      </w:r>
      <w:r>
        <w:rPr>
          <w:rFonts w:ascii="宋体" w:hAnsi="宋体" w:cs="宋体" w:eastAsia="宋体" w:hint="default"/>
        </w:rPr>
        <w:t>2017</w:t>
      </w:r>
      <w:r>
        <w:rPr>
          <w:rFonts w:ascii="宋体" w:hAnsi="宋体" w:cs="宋体" w:eastAsia="宋体" w:hint="default"/>
          <w:spacing w:val="-46"/>
        </w:rPr>
        <w:t> </w:t>
      </w:r>
      <w:r>
        <w:rPr/>
        <w:t>年度的合并及公司经营成果和现金流量。</w:t>
      </w:r>
    </w:p>
    <w:p>
      <w:pPr>
        <w:spacing w:line="240" w:lineRule="auto" w:before="1"/>
        <w:rPr>
          <w:rFonts w:ascii="宋体" w:hAnsi="宋体" w:cs="宋体" w:eastAsia="宋体" w:hint="default"/>
          <w:sz w:val="13"/>
          <w:szCs w:val="13"/>
        </w:rPr>
      </w:pPr>
    </w:p>
    <w:p>
      <w:pPr>
        <w:pStyle w:val="Heading3"/>
        <w:spacing w:line="240" w:lineRule="auto"/>
        <w:ind w:left="636" w:right="0"/>
        <w:jc w:val="left"/>
        <w:rPr>
          <w:b w:val="0"/>
          <w:bCs w:val="0"/>
        </w:rPr>
      </w:pPr>
      <w:r>
        <w:rPr/>
        <w:t>二、形成审计意见的基础</w:t>
      </w:r>
      <w:r>
        <w:rPr>
          <w:b w:val="0"/>
          <w:bCs w:val="0"/>
        </w:rPr>
      </w:r>
    </w:p>
    <w:p>
      <w:pPr>
        <w:spacing w:line="240" w:lineRule="auto" w:before="11"/>
        <w:rPr>
          <w:rFonts w:ascii="宋体" w:hAnsi="宋体" w:cs="宋体" w:eastAsia="宋体" w:hint="default"/>
          <w:b/>
          <w:bCs/>
          <w:sz w:val="13"/>
          <w:szCs w:val="13"/>
        </w:rPr>
      </w:pPr>
    </w:p>
    <w:p>
      <w:pPr>
        <w:pStyle w:val="BodyText"/>
        <w:spacing w:line="319" w:lineRule="auto"/>
        <w:ind w:left="153" w:right="1130" w:firstLine="360"/>
        <w:jc w:val="both"/>
      </w:pPr>
      <w:r>
        <w:rPr>
          <w:spacing w:val="-2"/>
        </w:rPr>
        <w:t>我们按照中国注册会计师审计准则的规定执行了审计工作。审计报告的“注册会计师对财务报表审计的责任”部分进一</w:t>
      </w:r>
      <w:r>
        <w:rPr/>
        <w:t> </w:t>
      </w:r>
      <w:r>
        <w:rPr>
          <w:spacing w:val="-2"/>
        </w:rPr>
        <w:t>步阐述了我们在这些准则下的责任。按照中国注册会计师职业道德守则，我们独立于智度股份公司，并履行了职业道德方面</w:t>
      </w:r>
      <w:r>
        <w:rPr>
          <w:spacing w:val="-66"/>
        </w:rPr>
        <w:t> </w:t>
      </w:r>
      <w:r>
        <w:rPr>
          <w:spacing w:val="-66"/>
        </w:rPr>
      </w:r>
      <w:r>
        <w:rPr/>
        <w:t>的其他责任。我们相信，我们获取的审计证据是充分、适当的，为发表审计意见提供了基础。</w:t>
      </w:r>
    </w:p>
    <w:p>
      <w:pPr>
        <w:pStyle w:val="Heading3"/>
        <w:spacing w:line="240" w:lineRule="auto" w:before="111"/>
        <w:ind w:left="636" w:right="0"/>
        <w:jc w:val="left"/>
        <w:rPr>
          <w:b w:val="0"/>
          <w:bCs w:val="0"/>
        </w:rPr>
      </w:pPr>
      <w:r>
        <w:rPr/>
        <w:t>三、关键审计事项</w:t>
      </w:r>
      <w:r>
        <w:rPr>
          <w:b w:val="0"/>
          <w:bCs w:val="0"/>
        </w:rPr>
      </w:r>
    </w:p>
    <w:p>
      <w:pPr>
        <w:spacing w:line="240" w:lineRule="auto" w:before="11"/>
        <w:rPr>
          <w:rFonts w:ascii="宋体" w:hAnsi="宋体" w:cs="宋体" w:eastAsia="宋体" w:hint="default"/>
          <w:b/>
          <w:bCs/>
          <w:sz w:val="13"/>
          <w:szCs w:val="13"/>
        </w:rPr>
      </w:pPr>
    </w:p>
    <w:p>
      <w:pPr>
        <w:pStyle w:val="BodyText"/>
        <w:spacing w:line="319" w:lineRule="auto"/>
        <w:ind w:left="153" w:right="1131" w:firstLine="360"/>
        <w:jc w:val="both"/>
      </w:pPr>
      <w:r>
        <w:rPr>
          <w:spacing w:val="-2"/>
        </w:rPr>
        <w:t>关键审计事项是我们根据职业判断，认为对本期财务报表审计最为重要的事项。这些事项的应对以对财务报表整体进行</w:t>
      </w:r>
      <w:r>
        <w:rPr/>
        <w:t> 审计并形成审计意见为背景，我们不对这些事项单独发表意见。</w:t>
      </w:r>
    </w:p>
    <w:p>
      <w:pPr>
        <w:pStyle w:val="BodyText"/>
        <w:spacing w:line="240" w:lineRule="auto" w:before="58"/>
        <w:ind w:left="514" w:right="0"/>
        <w:jc w:val="left"/>
      </w:pPr>
      <w:r>
        <w:rPr/>
        <w:t>（一）收入确认</w:t>
      </w:r>
    </w:p>
    <w:p>
      <w:pPr>
        <w:pStyle w:val="BodyText"/>
        <w:spacing w:line="357" w:lineRule="auto" w:before="116"/>
        <w:ind w:left="513" w:right="5039"/>
        <w:jc w:val="left"/>
      </w:pPr>
      <w:r>
        <w:rPr/>
        <w:t>相关信息披露见财务报表附注五、</w:t>
      </w:r>
      <w:r>
        <w:rPr>
          <w:rFonts w:ascii="宋体" w:hAnsi="宋体" w:cs="宋体" w:eastAsia="宋体" w:hint="default"/>
        </w:rPr>
        <w:t>28</w:t>
      </w:r>
      <w:r>
        <w:rPr/>
        <w:t>，附注七、</w:t>
      </w:r>
      <w:r>
        <w:rPr>
          <w:rFonts w:ascii="宋体" w:hAnsi="宋体" w:cs="宋体" w:eastAsia="宋体" w:hint="default"/>
        </w:rPr>
        <w:t>61</w:t>
      </w:r>
      <w:r>
        <w:rPr>
          <w:rFonts w:ascii="宋体" w:hAnsi="宋体" w:cs="宋体" w:eastAsia="宋体" w:hint="default"/>
          <w:spacing w:val="-46"/>
        </w:rPr>
        <w:t> </w:t>
      </w:r>
      <w:r>
        <w:rPr/>
        <w:t>及附注十六、</w:t>
      </w:r>
      <w:r>
        <w:rPr>
          <w:rFonts w:ascii="宋体" w:hAnsi="宋体" w:cs="宋体" w:eastAsia="宋体" w:hint="default"/>
        </w:rPr>
        <w:t>6</w:t>
      </w:r>
      <w:r>
        <w:rPr/>
        <w:t>。 </w:t>
      </w:r>
      <w:r>
        <w:rPr>
          <w:rFonts w:ascii="宋体" w:hAnsi="宋体" w:cs="宋体" w:eastAsia="宋体" w:hint="default"/>
        </w:rPr>
        <w:t>1</w:t>
      </w:r>
      <w:r>
        <w:rPr/>
        <w:t>、事项描述</w:t>
      </w:r>
    </w:p>
    <w:p>
      <w:pPr>
        <w:pStyle w:val="BodyText"/>
        <w:spacing w:line="319" w:lineRule="auto" w:before="28"/>
        <w:ind w:right="1394" w:firstLine="360"/>
        <w:jc w:val="left"/>
      </w:pPr>
      <w:r>
        <w:rPr/>
        <w:t>智度股份公司</w:t>
      </w:r>
      <w:r>
        <w:rPr>
          <w:spacing w:val="-46"/>
        </w:rPr>
        <w:t> </w:t>
      </w:r>
      <w:r>
        <w:rPr>
          <w:rFonts w:ascii="宋体" w:hAnsi="宋体" w:cs="宋体" w:eastAsia="宋体" w:hint="default"/>
        </w:rPr>
        <w:t>2017</w:t>
      </w:r>
      <w:r>
        <w:rPr>
          <w:rFonts w:ascii="宋体" w:hAnsi="宋体" w:cs="宋体" w:eastAsia="宋体" w:hint="default"/>
          <w:spacing w:val="-46"/>
        </w:rPr>
        <w:t> </w:t>
      </w:r>
      <w:r>
        <w:rPr/>
        <w:t>年度收入主要来自于</w:t>
      </w:r>
      <w:r>
        <w:rPr>
          <w:spacing w:val="-46"/>
        </w:rPr>
        <w:t> </w:t>
      </w:r>
      <w:r>
        <w:rPr>
          <w:rFonts w:ascii="宋体" w:hAnsi="宋体" w:cs="宋体" w:eastAsia="宋体" w:hint="default"/>
        </w:rPr>
        <w:t>2016</w:t>
      </w:r>
      <w:r>
        <w:rPr>
          <w:rFonts w:ascii="宋体" w:hAnsi="宋体" w:cs="宋体" w:eastAsia="宋体" w:hint="default"/>
          <w:spacing w:val="-44"/>
        </w:rPr>
        <w:t> </w:t>
      </w:r>
      <w:r>
        <w:rPr/>
        <w:t>年收购的上海猎鹰网络有限公司、上海智度亦复信息技术有限公司及 </w:t>
      </w:r>
      <w:r>
        <w:rPr>
          <w:rFonts w:ascii="宋体" w:hAnsi="宋体" w:cs="宋体" w:eastAsia="宋体" w:hint="default"/>
        </w:rPr>
        <w:t>Spigot, Inc.</w:t>
      </w:r>
      <w:r>
        <w:rPr/>
        <w:t>等三家子公司从事的互联网媒体业务、数字营销业务及其他业务。</w:t>
      </w:r>
    </w:p>
    <w:p>
      <w:pPr>
        <w:pStyle w:val="BodyText"/>
        <w:spacing w:line="319" w:lineRule="auto" w:before="55"/>
        <w:ind w:left="153" w:right="1139" w:firstLine="360"/>
        <w:jc w:val="both"/>
      </w:pPr>
      <w:r>
        <w:rPr/>
        <w:t>由于收入是智度股份公司关键业绩指标之一，且上述三家公司在</w:t>
      </w:r>
      <w:r>
        <w:rPr>
          <w:spacing w:val="-45"/>
        </w:rPr>
        <w:t> </w:t>
      </w:r>
      <w:r>
        <w:rPr>
          <w:rFonts w:ascii="宋体" w:hAnsi="宋体" w:cs="宋体" w:eastAsia="宋体" w:hint="default"/>
        </w:rPr>
        <w:t>2017</w:t>
      </w:r>
      <w:r>
        <w:rPr>
          <w:rFonts w:ascii="宋体" w:hAnsi="宋体" w:cs="宋体" w:eastAsia="宋体" w:hint="default"/>
          <w:spacing w:val="-45"/>
        </w:rPr>
        <w:t> </w:t>
      </w:r>
      <w:r>
        <w:rPr/>
        <w:t>年度处于业绩承诺期间，使得收入存在可能被确 认于不正确的期间或被操控以达到目标的固有风险，因此我们将收入确认识别为关键审计事项。</w:t>
      </w:r>
    </w:p>
    <w:p>
      <w:pPr>
        <w:pStyle w:val="BodyText"/>
        <w:spacing w:line="360" w:lineRule="auto" w:before="56"/>
        <w:ind w:left="513" w:right="6973"/>
        <w:jc w:val="left"/>
      </w:pPr>
      <w:r>
        <w:rPr>
          <w:rFonts w:ascii="宋体" w:hAnsi="宋体" w:cs="宋体" w:eastAsia="宋体" w:hint="default"/>
        </w:rPr>
        <w:t>2</w:t>
      </w:r>
      <w:r>
        <w:rPr/>
        <w:t>、审计应对 我们对收入确认执行的审计程序主要包括：</w:t>
      </w:r>
    </w:p>
    <w:p>
      <w:pPr>
        <w:pStyle w:val="BodyText"/>
        <w:spacing w:line="319" w:lineRule="auto" w:before="25"/>
        <w:ind w:left="153" w:right="1139" w:firstLine="360"/>
        <w:jc w:val="both"/>
      </w:pPr>
      <w:r>
        <w:rPr/>
        <w:t>（</w:t>
      </w:r>
      <w:r>
        <w:rPr>
          <w:rFonts w:ascii="宋体" w:hAnsi="宋体" w:cs="宋体" w:eastAsia="宋体" w:hint="default"/>
        </w:rPr>
        <w:t>1</w:t>
      </w:r>
      <w:r>
        <w:rPr/>
        <w:t>）了解、评价智度股份公司管理层（以下简称“管理层”）与收入确认相关的业务流程、内部控制以及内部控制设 计及运行的有效性；在执行穿行测试的基础上选取关键控制点，测试了关键控制运行的有效性。</w:t>
      </w:r>
    </w:p>
    <w:p>
      <w:pPr>
        <w:pStyle w:val="BodyText"/>
        <w:spacing w:line="316" w:lineRule="auto" w:before="55"/>
        <w:ind w:right="1051" w:firstLine="360"/>
        <w:jc w:val="both"/>
      </w:pPr>
      <w:r>
        <w:rPr>
          <w:spacing w:val="-2"/>
        </w:rPr>
        <w:t>（</w:t>
      </w:r>
      <w:r>
        <w:rPr>
          <w:rFonts w:ascii="宋体" w:hAnsi="宋体" w:cs="宋体" w:eastAsia="宋体" w:hint="default"/>
          <w:spacing w:val="-2"/>
        </w:rPr>
        <w:t>2</w:t>
      </w:r>
      <w:r>
        <w:rPr>
          <w:spacing w:val="-2"/>
        </w:rPr>
        <w:t>）对于自营的互联网媒体业务和其他业务（主要包括互联网游戏业务和互联网金融业务），鉴于存在复杂信息系统，</w:t>
      </w:r>
      <w:r>
        <w:rPr/>
        <w:t> </w:t>
      </w:r>
      <w:r>
        <w:rPr>
          <w:spacing w:val="-2"/>
        </w:rPr>
        <w:t>由本所内部信息系统审计团队对信息系统进行一般控制测试及应用控制测试，并关注系统中的交易记录，从而确定交易的真</w:t>
      </w:r>
    </w:p>
    <w:p>
      <w:pPr>
        <w:spacing w:after="0" w:line="316" w:lineRule="auto"/>
        <w:jc w:val="both"/>
        <w:sectPr>
          <w:pgSz w:w="11910" w:h="16840"/>
          <w:pgMar w:header="877" w:footer="1187" w:top="1100" w:bottom="1380" w:left="980" w:right="0"/>
        </w:sectPr>
      </w:pPr>
    </w:p>
    <w:p>
      <w:pPr>
        <w:spacing w:line="240" w:lineRule="auto" w:before="13"/>
        <w:rPr>
          <w:rFonts w:ascii="宋体" w:hAnsi="宋体" w:cs="宋体" w:eastAsia="宋体" w:hint="default"/>
          <w:sz w:val="21"/>
          <w:szCs w:val="21"/>
        </w:rPr>
      </w:pPr>
    </w:p>
    <w:p>
      <w:pPr>
        <w:pStyle w:val="BodyText"/>
        <w:spacing w:line="240" w:lineRule="auto" w:before="44"/>
        <w:ind w:left="153" w:right="0"/>
        <w:jc w:val="left"/>
      </w:pPr>
      <w:r>
        <w:rPr/>
        <w:t>实性。</w:t>
      </w:r>
    </w:p>
    <w:p>
      <w:pPr>
        <w:pStyle w:val="BodyText"/>
        <w:spacing w:line="319" w:lineRule="auto" w:before="115"/>
        <w:ind w:right="1122" w:firstLine="360"/>
        <w:jc w:val="left"/>
      </w:pPr>
      <w:r>
        <w:rPr/>
        <w:t>（</w:t>
      </w:r>
      <w:r>
        <w:rPr>
          <w:rFonts w:ascii="宋体" w:hAnsi="宋体" w:cs="宋体" w:eastAsia="宋体" w:hint="default"/>
        </w:rPr>
        <w:t>3</w:t>
      </w:r>
      <w:r>
        <w:rPr/>
        <w:t>）通过访谈各子公司管理层和业务部门、抽样检查销售合同，结合其业务类型，对与收入确认有关的重大风险及报 酬转移时点进行了评价，进而评价收入确认政策是否符合企业会计准则的规定，是否与各子公司业务情况相符。</w:t>
      </w:r>
    </w:p>
    <w:p>
      <w:pPr>
        <w:pStyle w:val="BodyText"/>
        <w:spacing w:line="319" w:lineRule="auto" w:before="56"/>
        <w:ind w:right="1122" w:firstLine="360"/>
        <w:jc w:val="left"/>
      </w:pPr>
      <w:r>
        <w:rPr/>
        <w:t>（</w:t>
      </w:r>
      <w:r>
        <w:rPr>
          <w:rFonts w:ascii="宋体" w:hAnsi="宋体" w:cs="宋体" w:eastAsia="宋体" w:hint="default"/>
        </w:rPr>
        <w:t>4</w:t>
      </w:r>
      <w:r>
        <w:rPr/>
        <w:t>）对客户和收入的真实性进行检查，包括调查重要交易对手的背景信息；对金额重大的客户进行函证并进行必要的 走访；对金额重大的客户进行收款检查；关注本期新增大客户的来源和交易合理性；对期后实施特定的检查等。</w:t>
      </w:r>
    </w:p>
    <w:p>
      <w:pPr>
        <w:pStyle w:val="BodyText"/>
        <w:spacing w:line="240" w:lineRule="auto" w:before="56"/>
        <w:ind w:left="513" w:right="0"/>
        <w:jc w:val="left"/>
      </w:pPr>
      <w:r>
        <w:rPr/>
        <w:t>（</w:t>
      </w:r>
      <w:r>
        <w:rPr>
          <w:rFonts w:ascii="宋体" w:hAnsi="宋体" w:cs="宋体" w:eastAsia="宋体" w:hint="default"/>
        </w:rPr>
        <w:t>5</w:t>
      </w:r>
      <w:r>
        <w:rPr/>
        <w:t>）执行收入的截止性测试，以确定收入记录在正确的会计期间。</w:t>
      </w:r>
    </w:p>
    <w:p>
      <w:pPr>
        <w:pStyle w:val="BodyText"/>
        <w:spacing w:line="319" w:lineRule="auto" w:before="115"/>
        <w:ind w:left="153" w:right="1123" w:firstLine="360"/>
        <w:jc w:val="left"/>
      </w:pPr>
      <w:r>
        <w:rPr/>
        <w:t>（</w:t>
      </w:r>
      <w:r>
        <w:rPr>
          <w:rFonts w:ascii="宋体" w:hAnsi="宋体" w:cs="宋体" w:eastAsia="宋体" w:hint="default"/>
        </w:rPr>
        <w:t>6</w:t>
      </w:r>
      <w:r>
        <w:rPr/>
        <w:t>）执行收入的准确性测试，包括对金额重大的客户进行函证并进行必要的走访；对于互联网媒体业务及数字营销业 务，检查相应的合同、发票、媒体后台记录、第三方结算单等支持性资料，以确定收入确认的准确性。</w:t>
      </w:r>
    </w:p>
    <w:p>
      <w:pPr>
        <w:pStyle w:val="BodyText"/>
        <w:spacing w:line="357" w:lineRule="auto" w:before="58"/>
        <w:ind w:left="513" w:right="6209"/>
        <w:jc w:val="left"/>
      </w:pPr>
      <w:r>
        <w:rPr/>
        <w:t>（二）商誉减值测试 相关信息披露见财务报表附注五、</w:t>
      </w:r>
      <w:r>
        <w:rPr>
          <w:rFonts w:ascii="宋体" w:hAnsi="宋体" w:cs="宋体" w:eastAsia="宋体" w:hint="default"/>
        </w:rPr>
        <w:t>22</w:t>
      </w:r>
      <w:r>
        <w:rPr>
          <w:rFonts w:ascii="宋体" w:hAnsi="宋体" w:cs="宋体" w:eastAsia="宋体" w:hint="default"/>
          <w:spacing w:val="-46"/>
        </w:rPr>
        <w:t> </w:t>
      </w:r>
      <w:r>
        <w:rPr/>
        <w:t>及附注七、</w:t>
      </w:r>
      <w:r>
        <w:rPr>
          <w:rFonts w:ascii="宋体" w:hAnsi="宋体" w:cs="宋体" w:eastAsia="宋体" w:hint="default"/>
        </w:rPr>
        <w:t>27</w:t>
      </w:r>
      <w:r>
        <w:rPr/>
        <w:t>。 </w:t>
      </w:r>
      <w:r>
        <w:rPr>
          <w:rFonts w:ascii="宋体" w:hAnsi="宋体" w:cs="宋体" w:eastAsia="宋体" w:hint="default"/>
        </w:rPr>
        <w:t>1</w:t>
      </w:r>
      <w:r>
        <w:rPr/>
        <w:t>、事项描述</w:t>
      </w:r>
    </w:p>
    <w:p>
      <w:pPr>
        <w:pStyle w:val="BodyText"/>
        <w:spacing w:line="240" w:lineRule="auto" w:before="28"/>
        <w:ind w:left="513" w:right="0"/>
        <w:jc w:val="left"/>
      </w:pPr>
      <w:r>
        <w:rPr/>
        <w:t>截至</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日，智度股份公司合并财务报表中商誉的账面价值约为</w:t>
      </w:r>
      <w:r>
        <w:rPr>
          <w:spacing w:val="-46"/>
        </w:rPr>
        <w:t> </w:t>
      </w:r>
      <w:r>
        <w:rPr>
          <w:rFonts w:ascii="宋体" w:hAnsi="宋体" w:cs="宋体" w:eastAsia="宋体" w:hint="default"/>
        </w:rPr>
        <w:t>24.32</w:t>
      </w:r>
      <w:r>
        <w:rPr>
          <w:rFonts w:ascii="宋体" w:hAnsi="宋体" w:cs="宋体" w:eastAsia="宋体" w:hint="default"/>
          <w:spacing w:val="-45"/>
        </w:rPr>
        <w:t> </w:t>
      </w:r>
      <w:r>
        <w:rPr/>
        <w:t>亿元，占总资产的比例为</w:t>
      </w:r>
      <w:r>
        <w:rPr>
          <w:spacing w:val="-46"/>
        </w:rPr>
        <w:t> </w:t>
      </w:r>
      <w:r>
        <w:rPr>
          <w:rFonts w:ascii="宋体" w:hAnsi="宋体" w:cs="宋体" w:eastAsia="宋体" w:hint="default"/>
        </w:rPr>
        <w:t>34.61%</w:t>
      </w:r>
      <w:r>
        <w:rPr/>
        <w:t>，</w:t>
      </w:r>
    </w:p>
    <w:p>
      <w:pPr>
        <w:pStyle w:val="BodyText"/>
        <w:spacing w:line="357" w:lineRule="auto" w:before="77"/>
        <w:ind w:left="513" w:right="0" w:hanging="360"/>
        <w:jc w:val="left"/>
      </w:pPr>
      <w:r>
        <w:rPr/>
        <w:t>商誉系智度股份公司</w:t>
      </w:r>
      <w:r>
        <w:rPr>
          <w:spacing w:val="-46"/>
        </w:rPr>
        <w:t> </w:t>
      </w:r>
      <w:r>
        <w:rPr>
          <w:rFonts w:ascii="宋体" w:hAnsi="宋体" w:cs="宋体" w:eastAsia="宋体" w:hint="default"/>
        </w:rPr>
        <w:t>2016</w:t>
      </w:r>
      <w:r>
        <w:rPr>
          <w:rFonts w:ascii="宋体" w:hAnsi="宋体" w:cs="宋体" w:eastAsia="宋体" w:hint="default"/>
          <w:spacing w:val="-46"/>
        </w:rPr>
        <w:t> </w:t>
      </w:r>
      <w:r>
        <w:rPr/>
        <w:t>年收购子公司合并产生。 </w:t>
      </w:r>
      <w:r>
        <w:rPr>
          <w:spacing w:val="-2"/>
        </w:rPr>
        <w:t>管理层每年末对商誉进行减值测试，减值测试以包含商誉的各资产组可收回金额为基础，期末采用预计未来现金流现值</w:t>
      </w:r>
    </w:p>
    <w:p>
      <w:pPr>
        <w:pStyle w:val="BodyText"/>
        <w:spacing w:line="224" w:lineRule="exact"/>
        <w:ind w:left="153" w:right="0"/>
        <w:jc w:val="left"/>
        <w:rPr>
          <w:rFonts w:ascii="宋体" w:hAnsi="宋体" w:cs="宋体" w:eastAsia="宋体" w:hint="default"/>
        </w:rPr>
      </w:pPr>
      <w:r>
        <w:rPr/>
        <w:t>的方法计算各资产组的可收回金额，预计未来现金流量以基于历史数据编制并经批准的财务预算为基础，预计未来</w:t>
      </w:r>
      <w:r>
        <w:rPr>
          <w:spacing w:val="-45"/>
        </w:rPr>
        <w:t> </w:t>
      </w:r>
      <w:r>
        <w:rPr>
          <w:rFonts w:ascii="宋体" w:hAnsi="宋体" w:cs="宋体" w:eastAsia="宋体" w:hint="default"/>
        </w:rPr>
        <w:t>5</w:t>
      </w:r>
      <w:r>
        <w:rPr>
          <w:rFonts w:ascii="宋体" w:hAnsi="宋体" w:cs="宋体" w:eastAsia="宋体" w:hint="default"/>
          <w:spacing w:val="-46"/>
        </w:rPr>
        <w:t> </w:t>
      </w:r>
      <w:r>
        <w:rPr/>
        <w:t>至</w:t>
      </w:r>
      <w:r>
        <w:rPr>
          <w:spacing w:val="-46"/>
        </w:rPr>
        <w:t> </w:t>
      </w:r>
      <w:r>
        <w:rPr>
          <w:rFonts w:ascii="宋体" w:hAnsi="宋体" w:cs="宋体" w:eastAsia="宋体" w:hint="default"/>
        </w:rPr>
        <w:t>6</w:t>
      </w:r>
    </w:p>
    <w:p>
      <w:pPr>
        <w:pStyle w:val="BodyText"/>
        <w:spacing w:line="357" w:lineRule="auto" w:before="77"/>
        <w:ind w:left="513" w:right="1118" w:hanging="360"/>
        <w:jc w:val="left"/>
      </w:pPr>
      <w:r>
        <w:rPr/>
        <w:t>年内的现金流量。 </w:t>
      </w:r>
      <w:r>
        <w:rPr>
          <w:spacing w:val="-2"/>
        </w:rPr>
        <w:t>为评估资产组的可收回金额，管理层委聘外部估值专家基于管理层编制的现金流量预测，采用预计未来现金流量折现的</w:t>
      </w:r>
    </w:p>
    <w:p>
      <w:pPr>
        <w:pStyle w:val="BodyText"/>
        <w:spacing w:line="357" w:lineRule="auto"/>
        <w:ind w:left="513" w:right="0" w:hanging="360"/>
        <w:jc w:val="left"/>
      </w:pPr>
      <w:r>
        <w:rPr/>
        <w:t>模型计算各相关资产组的预计未来现金流量现值。 </w:t>
      </w:r>
      <w:r>
        <w:rPr>
          <w:spacing w:val="-2"/>
        </w:rPr>
        <w:t>由于商誉减值测试过程涉及重大判断，特别在预测未来现金流量方面包括对预测收入、长期平均增长率和利润率以及确</w:t>
      </w:r>
    </w:p>
    <w:p>
      <w:pPr>
        <w:pStyle w:val="BodyText"/>
        <w:spacing w:line="224" w:lineRule="exact"/>
        <w:ind w:left="153" w:right="0"/>
        <w:jc w:val="left"/>
      </w:pPr>
      <w:r>
        <w:rPr/>
        <w:t>定恰当的折现率所作的关键假设，这些关键假设具有固有不确定性且可能受到管理层偏向的影响，因此，我们将商誉减值测</w:t>
      </w:r>
    </w:p>
    <w:p>
      <w:pPr>
        <w:pStyle w:val="BodyText"/>
        <w:spacing w:line="357" w:lineRule="auto" w:before="77"/>
        <w:ind w:left="514" w:right="8772" w:hanging="360"/>
        <w:jc w:val="left"/>
      </w:pPr>
      <w:r>
        <w:rPr/>
        <w:t>试识别为关键审计事项。 </w:t>
      </w:r>
      <w:r>
        <w:rPr>
          <w:rFonts w:ascii="宋体" w:hAnsi="宋体" w:cs="宋体" w:eastAsia="宋体" w:hint="default"/>
        </w:rPr>
        <w:t>2</w:t>
      </w:r>
      <w:r>
        <w:rPr/>
        <w:t>、审计应对</w:t>
      </w:r>
    </w:p>
    <w:p>
      <w:pPr>
        <w:pStyle w:val="BodyText"/>
        <w:spacing w:line="240" w:lineRule="auto" w:before="28"/>
        <w:ind w:left="513" w:right="0"/>
        <w:jc w:val="left"/>
      </w:pPr>
      <w:r>
        <w:rPr/>
        <w:t>我们对商誉减值测试执行的审计程序主要包括：</w:t>
      </w:r>
    </w:p>
    <w:p>
      <w:pPr>
        <w:pStyle w:val="BodyText"/>
        <w:spacing w:line="319" w:lineRule="auto" w:before="116"/>
        <w:ind w:right="1122" w:firstLine="360"/>
        <w:jc w:val="left"/>
      </w:pPr>
      <w:r>
        <w:rPr/>
        <w:t>（</w:t>
      </w:r>
      <w:r>
        <w:rPr>
          <w:rFonts w:ascii="宋体" w:hAnsi="宋体" w:cs="宋体" w:eastAsia="宋体" w:hint="default"/>
        </w:rPr>
        <w:t>1</w:t>
      </w:r>
      <w:r>
        <w:rPr/>
        <w:t>）了解并评价了与商誉减值测试相关的内部控制的设计有效性，并测试了关键控制执行的有效性，包括关键假设的 采用及减值计提金额的复核及审批。</w:t>
      </w:r>
    </w:p>
    <w:p>
      <w:pPr>
        <w:pStyle w:val="BodyText"/>
        <w:spacing w:line="240" w:lineRule="auto" w:before="56"/>
        <w:ind w:left="514" w:right="0"/>
        <w:jc w:val="left"/>
      </w:pPr>
      <w:r>
        <w:rPr/>
        <w:t>（</w:t>
      </w:r>
      <w:r>
        <w:rPr>
          <w:rFonts w:ascii="宋体" w:hAnsi="宋体" w:cs="宋体" w:eastAsia="宋体" w:hint="default"/>
        </w:rPr>
        <w:t>2</w:t>
      </w:r>
      <w:r>
        <w:rPr/>
        <w:t>）评价了管理层对各资产及资产组的识别以及如何将商誉和其他资产分配至各资产组。</w:t>
      </w:r>
    </w:p>
    <w:p>
      <w:pPr>
        <w:pStyle w:val="BodyText"/>
        <w:spacing w:line="240" w:lineRule="auto" w:before="116"/>
        <w:ind w:left="513" w:right="0"/>
        <w:jc w:val="left"/>
      </w:pPr>
      <w:r>
        <w:rPr/>
        <w:t>（</w:t>
      </w:r>
      <w:r>
        <w:rPr>
          <w:rFonts w:ascii="宋体" w:hAnsi="宋体" w:cs="宋体" w:eastAsia="宋体" w:hint="default"/>
        </w:rPr>
        <w:t>3</w:t>
      </w:r>
      <w:r>
        <w:rPr/>
        <w:t>）评价了管理层委聘的外部估值专家的胜任能力、专业素质和客观性。</w:t>
      </w:r>
    </w:p>
    <w:p>
      <w:pPr>
        <w:pStyle w:val="BodyText"/>
        <w:spacing w:line="319" w:lineRule="auto" w:before="116"/>
        <w:ind w:right="1122" w:firstLine="360"/>
        <w:jc w:val="left"/>
      </w:pPr>
      <w:r>
        <w:rPr/>
        <w:t>（</w:t>
      </w:r>
      <w:r>
        <w:rPr>
          <w:rFonts w:ascii="宋体" w:hAnsi="宋体" w:cs="宋体" w:eastAsia="宋体" w:hint="default"/>
        </w:rPr>
        <w:t>4</w:t>
      </w:r>
      <w:r>
        <w:rPr/>
        <w:t>）复核了管理层减值测试所依据的基础数据，评估管理层减值测试中所采用计算方法、关键假设及输入信息的合理 性。</w:t>
      </w:r>
    </w:p>
    <w:p>
      <w:pPr>
        <w:pStyle w:val="BodyText"/>
        <w:spacing w:line="240" w:lineRule="auto" w:before="56"/>
        <w:ind w:left="514" w:right="0"/>
        <w:jc w:val="left"/>
      </w:pPr>
      <w:r>
        <w:rPr/>
        <w:t>（</w:t>
      </w:r>
      <w:r>
        <w:rPr>
          <w:rFonts w:ascii="宋体" w:hAnsi="宋体" w:cs="宋体" w:eastAsia="宋体" w:hint="default"/>
        </w:rPr>
        <w:t>5</w:t>
      </w:r>
      <w:r>
        <w:rPr/>
        <w:t>）验证了商誉减值测试模型的计算准确性。</w:t>
      </w:r>
    </w:p>
    <w:p>
      <w:pPr>
        <w:pStyle w:val="BodyText"/>
        <w:spacing w:line="240" w:lineRule="auto" w:before="116"/>
        <w:ind w:left="514" w:right="0"/>
        <w:jc w:val="left"/>
      </w:pPr>
      <w:r>
        <w:rPr/>
        <w:t>（</w:t>
      </w:r>
      <w:r>
        <w:rPr>
          <w:rFonts w:ascii="宋体" w:hAnsi="宋体" w:cs="宋体" w:eastAsia="宋体" w:hint="default"/>
        </w:rPr>
        <w:t>6</w:t>
      </w:r>
      <w:r>
        <w:rPr/>
        <w:t>）对毛利率及折现率执行了敏感性测试。</w:t>
      </w:r>
    </w:p>
    <w:p>
      <w:pPr>
        <w:spacing w:line="240" w:lineRule="auto" w:before="1"/>
        <w:rPr>
          <w:rFonts w:ascii="宋体" w:hAnsi="宋体" w:cs="宋体" w:eastAsia="宋体" w:hint="default"/>
          <w:sz w:val="13"/>
          <w:szCs w:val="13"/>
        </w:rPr>
      </w:pPr>
    </w:p>
    <w:p>
      <w:pPr>
        <w:pStyle w:val="Heading3"/>
        <w:spacing w:line="240" w:lineRule="auto"/>
        <w:ind w:left="636" w:right="0"/>
        <w:jc w:val="left"/>
        <w:rPr>
          <w:b w:val="0"/>
          <w:bCs w:val="0"/>
        </w:rPr>
      </w:pPr>
      <w:r>
        <w:rPr/>
        <w:t>四、其他信息</w:t>
      </w:r>
      <w:r>
        <w:rPr>
          <w:b w:val="0"/>
          <w:bCs w:val="0"/>
        </w:rPr>
      </w:r>
    </w:p>
    <w:p>
      <w:pPr>
        <w:spacing w:line="240" w:lineRule="auto" w:before="11"/>
        <w:rPr>
          <w:rFonts w:ascii="宋体" w:hAnsi="宋体" w:cs="宋体" w:eastAsia="宋体" w:hint="default"/>
          <w:b/>
          <w:bCs/>
          <w:sz w:val="13"/>
          <w:szCs w:val="13"/>
        </w:rPr>
      </w:pPr>
    </w:p>
    <w:p>
      <w:pPr>
        <w:pStyle w:val="BodyText"/>
        <w:spacing w:line="319" w:lineRule="auto"/>
        <w:ind w:right="1123" w:firstLine="360"/>
        <w:jc w:val="left"/>
      </w:pPr>
      <w:r>
        <w:rPr/>
        <w:t>管理层对其他信息负责。其他信息包括智度股份公司</w:t>
      </w:r>
      <w:r>
        <w:rPr>
          <w:spacing w:val="-45"/>
        </w:rPr>
        <w:t> </w:t>
      </w:r>
      <w:r>
        <w:rPr>
          <w:rFonts w:ascii="宋体" w:hAnsi="宋体" w:cs="宋体" w:eastAsia="宋体" w:hint="default"/>
        </w:rPr>
        <w:t>2017</w:t>
      </w:r>
      <w:r>
        <w:rPr>
          <w:rFonts w:ascii="宋体" w:hAnsi="宋体" w:cs="宋体" w:eastAsia="宋体" w:hint="default"/>
          <w:spacing w:val="-46"/>
        </w:rPr>
        <w:t> </w:t>
      </w:r>
      <w:r>
        <w:rPr/>
        <w:t>年年度报告中涵盖的信息，但不包括财务报表和我们的审计 报告。</w:t>
      </w:r>
    </w:p>
    <w:p>
      <w:pPr>
        <w:pStyle w:val="BodyText"/>
        <w:spacing w:line="357" w:lineRule="auto" w:before="58"/>
        <w:ind w:left="514" w:right="0"/>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57" w:lineRule="auto"/>
        <w:ind w:left="514" w:right="0" w:hanging="360"/>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25" w:lineRule="exact"/>
        <w:ind w:right="0"/>
        <w:jc w:val="left"/>
      </w:pPr>
      <w:r>
        <w:rPr/>
        <w:t>报告。</w:t>
      </w:r>
    </w:p>
    <w:p>
      <w:pPr>
        <w:spacing w:line="240" w:lineRule="auto" w:before="1"/>
        <w:rPr>
          <w:rFonts w:ascii="宋体" w:hAnsi="宋体" w:cs="宋体" w:eastAsia="宋体" w:hint="default"/>
          <w:sz w:val="13"/>
          <w:szCs w:val="13"/>
        </w:rPr>
      </w:pPr>
    </w:p>
    <w:p>
      <w:pPr>
        <w:pStyle w:val="Heading3"/>
        <w:spacing w:line="240" w:lineRule="auto"/>
        <w:ind w:left="615" w:right="6686"/>
        <w:jc w:val="center"/>
        <w:rPr>
          <w:b w:val="0"/>
          <w:bCs w:val="0"/>
        </w:rPr>
      </w:pPr>
      <w:r>
        <w:rPr/>
        <w:t>五、管理层和治理层对财务报表的责任</w:t>
      </w:r>
      <w:r>
        <w:rPr>
          <w:b w:val="0"/>
          <w:bCs w:val="0"/>
        </w:rPr>
      </w:r>
    </w:p>
    <w:p>
      <w:pPr>
        <w:spacing w:after="0" w:line="240" w:lineRule="auto"/>
        <w:jc w:val="center"/>
        <w:sectPr>
          <w:pgSz w:w="11910" w:h="16840"/>
          <w:pgMar w:header="877" w:footer="1187" w:top="1100" w:bottom="1380" w:left="980" w:right="0"/>
        </w:sectPr>
      </w:pPr>
    </w:p>
    <w:p>
      <w:pPr>
        <w:spacing w:line="240" w:lineRule="auto" w:before="12"/>
        <w:rPr>
          <w:rFonts w:ascii="宋体" w:hAnsi="宋体" w:cs="宋体" w:eastAsia="宋体" w:hint="default"/>
          <w:b/>
          <w:bCs/>
          <w:sz w:val="21"/>
          <w:szCs w:val="21"/>
        </w:rPr>
      </w:pPr>
    </w:p>
    <w:p>
      <w:pPr>
        <w:pStyle w:val="BodyText"/>
        <w:spacing w:line="319" w:lineRule="auto" w:before="44"/>
        <w:ind w:left="153" w:right="1131" w:firstLine="360"/>
        <w:jc w:val="both"/>
      </w:pPr>
      <w:r>
        <w:rPr>
          <w:spacing w:val="-2"/>
        </w:rPr>
        <w:t>管理层负责按照企业会计准则的规定编制财务报表，使其实现公允反映，并设计、执行和维护必要的内部控制，以使财</w:t>
      </w:r>
      <w:r>
        <w:rPr/>
        <w:t> 务报表不存在由于舞弊或错误导致的重大错报。</w:t>
      </w:r>
    </w:p>
    <w:p>
      <w:pPr>
        <w:pStyle w:val="BodyText"/>
        <w:spacing w:line="319" w:lineRule="auto" w:before="55"/>
        <w:ind w:left="153" w:right="1140" w:firstLine="360"/>
        <w:jc w:val="both"/>
      </w:pPr>
      <w:r>
        <w:rPr>
          <w:spacing w:val="-2"/>
        </w:rPr>
        <w:t>在编制财务报表时，管理层负责评估智度股份公司的持续经营能力，披露与持续经营相关的事项（如适用），并运用持</w:t>
      </w:r>
      <w:r>
        <w:rPr/>
        <w:t> 续经营假设，除非管理层计划清算智度股份公司、终止运营或别无其他现实的选择。</w:t>
      </w:r>
    </w:p>
    <w:p>
      <w:pPr>
        <w:pStyle w:val="BodyText"/>
        <w:spacing w:line="240" w:lineRule="auto" w:before="58"/>
        <w:ind w:left="513" w:right="0"/>
        <w:jc w:val="left"/>
      </w:pPr>
      <w:r>
        <w:rPr/>
        <w:t>治理层负责监督智度股份公司的财务报告过程。</w:t>
      </w:r>
    </w:p>
    <w:p>
      <w:pPr>
        <w:spacing w:line="240" w:lineRule="auto" w:before="13"/>
        <w:rPr>
          <w:rFonts w:ascii="宋体" w:hAnsi="宋体" w:cs="宋体" w:eastAsia="宋体" w:hint="default"/>
          <w:sz w:val="12"/>
          <w:szCs w:val="12"/>
        </w:rPr>
      </w:pPr>
    </w:p>
    <w:p>
      <w:pPr>
        <w:pStyle w:val="Heading3"/>
        <w:spacing w:line="240" w:lineRule="auto"/>
        <w:ind w:left="615" w:right="6686"/>
        <w:jc w:val="center"/>
        <w:rPr>
          <w:b w:val="0"/>
          <w:bCs w:val="0"/>
        </w:rPr>
      </w:pPr>
      <w:r>
        <w:rPr/>
        <w:t>六、注册会计师对财务报表审计的责任</w:t>
      </w:r>
      <w:r>
        <w:rPr>
          <w:b w:val="0"/>
          <w:bCs w:val="0"/>
        </w:rPr>
      </w:r>
    </w:p>
    <w:p>
      <w:pPr>
        <w:spacing w:line="240" w:lineRule="auto" w:before="13"/>
        <w:rPr>
          <w:rFonts w:ascii="宋体" w:hAnsi="宋体" w:cs="宋体" w:eastAsia="宋体" w:hint="default"/>
          <w:b/>
          <w:bCs/>
          <w:sz w:val="13"/>
          <w:szCs w:val="13"/>
        </w:rPr>
      </w:pPr>
    </w:p>
    <w:p>
      <w:pPr>
        <w:pStyle w:val="BodyText"/>
        <w:spacing w:line="319" w:lineRule="auto"/>
        <w:ind w:left="153" w:right="1131"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6"/>
        </w:rPr>
        <w:t> </w:t>
      </w:r>
      <w:r>
        <w:rPr>
          <w:spacing w:val="-66"/>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56"/>
        <w:ind w:left="513" w:right="0"/>
        <w:jc w:val="left"/>
      </w:pPr>
      <w:r>
        <w:rPr/>
        <w:t>在按照审计准则执行审计工作的过程中，我们运用职业判断，并保持职业怀疑。同时，我们也执行以下工作：</w:t>
      </w:r>
    </w:p>
    <w:p>
      <w:pPr>
        <w:pStyle w:val="BodyText"/>
        <w:spacing w:line="319" w:lineRule="auto" w:before="115"/>
        <w:ind w:right="1032" w:firstLine="360"/>
        <w:jc w:val="left"/>
      </w:pPr>
      <w:r>
        <w:rPr/>
        <w:t>（</w:t>
      </w:r>
      <w:r>
        <w:rPr>
          <w:rFonts w:ascii="宋体" w:hAnsi="宋体" w:cs="宋体" w:eastAsia="宋体"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58"/>
        <w:ind w:left="513" w:right="0"/>
        <w:jc w:val="left"/>
      </w:pPr>
      <w:r>
        <w:rPr/>
        <w:t>（</w:t>
      </w:r>
      <w:r>
        <w:rPr>
          <w:rFonts w:ascii="宋体" w:hAnsi="宋体" w:cs="宋体" w:eastAsia="宋体" w:hint="default"/>
        </w:rPr>
        <w:t>2</w:t>
      </w:r>
      <w:r>
        <w:rPr/>
        <w:t>）了解与审计相关的内部控制，以设计恰当的审计程序。</w:t>
      </w:r>
    </w:p>
    <w:p>
      <w:pPr>
        <w:pStyle w:val="BodyText"/>
        <w:spacing w:line="240" w:lineRule="auto" w:before="116"/>
        <w:ind w:left="514" w:right="0"/>
        <w:jc w:val="left"/>
      </w:pPr>
      <w:r>
        <w:rPr/>
        <w:t>（</w:t>
      </w:r>
      <w:r>
        <w:rPr>
          <w:rFonts w:ascii="宋体" w:hAnsi="宋体" w:cs="宋体" w:eastAsia="宋体" w:hint="default"/>
        </w:rPr>
        <w:t>3</w:t>
      </w:r>
      <w:r>
        <w:rPr/>
        <w:t>）评价管理层选用会计政策的恰当性和作出会计估计及相关披露的合理性。</w:t>
      </w:r>
    </w:p>
    <w:p>
      <w:pPr>
        <w:pStyle w:val="BodyText"/>
        <w:spacing w:line="319" w:lineRule="auto" w:before="115"/>
        <w:ind w:left="153" w:right="1132" w:firstLine="360"/>
        <w:jc w:val="both"/>
      </w:pPr>
      <w:r>
        <w:rPr/>
        <w:t>（</w:t>
      </w:r>
      <w:r>
        <w:rPr>
          <w:rFonts w:ascii="宋体" w:hAnsi="宋体" w:cs="宋体" w:eastAsia="宋体" w:hint="default"/>
        </w:rPr>
        <w:t>4</w:t>
      </w:r>
      <w:r>
        <w:rPr/>
        <w:t>）对管理层使用持续经营假设的恰当性得出结论。同时，根据获取的审计证据，就可能导致对智度股份公司的持续 </w:t>
      </w:r>
      <w:r>
        <w:rPr>
          <w:spacing w:val="-2"/>
        </w:rPr>
        <w:t>经营能力产生重大疑虑的事项或情况是否存在重大不确定性得出结论。如果我们得出结论认为存在重大不确定性，审计准则</w:t>
      </w:r>
      <w:r>
        <w:rPr>
          <w:spacing w:val="-64"/>
        </w:rPr>
        <w:t> </w:t>
      </w:r>
      <w:r>
        <w:rPr>
          <w:spacing w:val="-64"/>
        </w:rPr>
      </w:r>
      <w:r>
        <w:rPr>
          <w:spacing w:val="-2"/>
        </w:rPr>
        <w:t>要求我们在审计报告中提请报表使用者注意财务报表中的相关披露；如果披露不充分，我们应当发表非无保留意见。我们的</w:t>
      </w:r>
      <w:r>
        <w:rPr>
          <w:spacing w:val="-66"/>
        </w:rPr>
        <w:t> </w:t>
      </w:r>
      <w:r>
        <w:rPr>
          <w:spacing w:val="-66"/>
        </w:rPr>
      </w:r>
      <w:r>
        <w:rPr/>
        <w:t>结论基于截至审计报告日可获得的信息。然而，未来的事项或情况可能导致智度股份公司不能持续经营。</w:t>
      </w:r>
    </w:p>
    <w:p>
      <w:pPr>
        <w:pStyle w:val="BodyText"/>
        <w:spacing w:line="240" w:lineRule="auto" w:before="58"/>
        <w:ind w:left="513" w:right="0"/>
        <w:jc w:val="left"/>
      </w:pPr>
      <w:r>
        <w:rPr/>
        <w:t>（</w:t>
      </w:r>
      <w:r>
        <w:rPr>
          <w:rFonts w:ascii="宋体" w:hAnsi="宋体" w:cs="宋体" w:eastAsia="宋体" w:hint="default"/>
        </w:rPr>
        <w:t>5</w:t>
      </w:r>
      <w:r>
        <w:rPr/>
        <w:t>）评价财务报表的总体列报、结构和内容（包括披露</w:t>
      </w:r>
      <w:r>
        <w:rPr>
          <w:spacing w:val="-90"/>
        </w:rPr>
        <w:t>）</w:t>
      </w:r>
      <w:r>
        <w:rPr/>
        <w:t>，并评价财务报表是否公允反映相关交易和事项。</w:t>
      </w:r>
    </w:p>
    <w:p>
      <w:pPr>
        <w:pStyle w:val="BodyText"/>
        <w:spacing w:line="319" w:lineRule="auto" w:before="115"/>
        <w:ind w:right="1141" w:firstLine="360"/>
        <w:jc w:val="both"/>
      </w:pPr>
      <w:r>
        <w:rPr/>
        <w:t>（</w:t>
      </w:r>
      <w:r>
        <w:rPr>
          <w:rFonts w:ascii="宋体" w:hAnsi="宋体" w:cs="宋体" w:eastAsia="宋体" w:hint="default"/>
        </w:rPr>
        <w:t>6</w:t>
      </w:r>
      <w:r>
        <w:rPr/>
        <w:t>）就智度股份公司中实体或业务活动的财务信息获取充分、适当的审计证据，以对财务报表发表意见。我们负责指 导、监督和执行集团审计，并对审计意见承担全部责任。</w:t>
      </w:r>
    </w:p>
    <w:p>
      <w:pPr>
        <w:pStyle w:val="BodyText"/>
        <w:spacing w:line="319" w:lineRule="auto" w:before="55"/>
        <w:ind w:right="1131"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9" w:lineRule="auto" w:before="56"/>
        <w:ind w:right="1131" w:firstLine="360"/>
        <w:jc w:val="both"/>
      </w:pPr>
      <w:r>
        <w:rPr/>
        <w:t>我们还就已遵守与独立性相关的职业道德要求向治理层提供声明</w:t>
      </w:r>
      <w:r>
        <w:rPr>
          <w:spacing w:val="-82"/>
        </w:rPr>
        <w:t>，</w:t>
      </w:r>
      <w:r>
        <w:rPr/>
        <w:t>并与治理层沟通可能被合理认为影响我们独立性的所</w:t>
      </w:r>
      <w:r>
        <w:rPr/>
        <w:t> 有关系和其他事项，以及相关的防范措施（如适用</w:t>
      </w:r>
      <w:r>
        <w:rPr>
          <w:spacing w:val="-90"/>
        </w:rPr>
        <w:t>）</w:t>
      </w:r>
      <w:r>
        <w:rPr/>
        <w:t>。</w:t>
      </w:r>
    </w:p>
    <w:p>
      <w:pPr>
        <w:pStyle w:val="BodyText"/>
        <w:spacing w:line="319" w:lineRule="auto" w:before="55"/>
        <w:ind w:right="1133"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Heading2"/>
        <w:spacing w:line="240" w:lineRule="auto"/>
        <w:ind w:left="153" w:right="0"/>
        <w:jc w:val="left"/>
        <w:rPr>
          <w:b w:val="0"/>
          <w:bCs w:val="0"/>
        </w:rPr>
      </w:pPr>
      <w:bookmarkStart w:name="二、财务报表" w:id="158"/>
      <w:bookmarkEnd w:id="158"/>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1、合并资产负债表" w:id="159"/>
      <w:bookmarkEnd w:id="159"/>
      <w:r>
        <w:rPr>
          <w:b w:val="0"/>
          <w:bCs w:val="0"/>
        </w:rPr>
      </w:r>
      <w:r>
        <w:rPr>
          <w:rFonts w:ascii="宋体" w:hAnsi="宋体" w:cs="宋体" w:eastAsia="宋体" w:hint="default"/>
        </w:rPr>
        <w:t>1</w:t>
      </w:r>
      <w:r>
        <w:rPr/>
        <w:t>、合并资产负债表</w:t>
      </w:r>
      <w:r>
        <w:rPr>
          <w:b w:val="0"/>
          <w:bCs w:val="0"/>
        </w:rPr>
      </w:r>
    </w:p>
    <w:p>
      <w:pPr>
        <w:spacing w:line="240" w:lineRule="auto" w:before="7"/>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77" w:footer="1187" w:top="1100" w:bottom="1380" w:left="980" w:right="0"/>
        </w:sectPr>
      </w:pPr>
    </w:p>
    <w:p>
      <w:pPr>
        <w:pStyle w:val="BodyText"/>
        <w:spacing w:line="240" w:lineRule="auto" w:before="44"/>
        <w:ind w:left="153" w:right="-19"/>
        <w:jc w:val="left"/>
      </w:pPr>
      <w:r>
        <w:rPr/>
        <w:t>编制单位：智度科技股份有限公司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380" w:left="980" w:right="0"/>
          <w:cols w:num="3" w:equalWidth="0">
            <w:col w:w="2855" w:space="1223"/>
            <w:col w:w="1639" w:space="3203"/>
            <w:col w:w="2010"/>
          </w:cols>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721,124,038.89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528,723,225.65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6,911,570.00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4,016,130.00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1,380,115,186.11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745,004,128.17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183,795,556.12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47,118,466.84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256,737.48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34,821.92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244,346,180.02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188,288,252.08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61,705,940.60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1,382,304,530.21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1,793,845,216.95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3,980,559,739.43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3,307,030,241.61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93,408,613.72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1,435,545.20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8,902,575.08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9,500,197.14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382,042,709.34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445,994,225.23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19,803,714.93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21,223,756.55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2,432,201,068.49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2,524,252,905.41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12,640,070.26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165,582,340.49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44,518,583.99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13,266,815.86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232,612.74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2,988,462.96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3,046,749,948.55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3,184,244,248.84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7,027,309,687.98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6,491,274,490.45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510,463,026.54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410,510,247.59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196,905,498.33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71,656,675.73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105,923,796.27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14,831,940.57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122,385,209.13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75,317,650.23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405,566.22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28,602.74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639,181.49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268,405,970.18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351,795,567.91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254,802,809.52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203,260,317.51</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1,559,931,057.68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1,147,401,002.28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98,376,638.00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545,456.00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299,191,739.44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587,949,992.59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50,693.20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81,892,397.76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636,876.01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936,493.48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13,961,324.35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62,783,273.17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412,217,271.00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734,107,613.00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1,972,148,328.68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1,881,508,615.28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965,710,782.00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965,710,782.00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3,501,945,864.99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3,501,945,864.99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-22,350,357.41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60,090,499.69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35,111,177.74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31,771,673.94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572,317,683.43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48,331,784.53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5,052,735,150.75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4,607,850,605.15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2,426,208.55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1,915,270.02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5,055,161,359.30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4,609,765,875.17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7,027,309,687.98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6,491,274,490.45</w:t>
            </w:r>
          </w:p>
        </w:tc>
      </w:tr>
    </w:tbl>
    <w:p>
      <w:pPr>
        <w:spacing w:line="240" w:lineRule="auto" w:before="3"/>
        <w:rPr>
          <w:rFonts w:ascii="Times New Roman" w:hAnsi="Times New Roman" w:cs="Times New Roman" w:eastAsia="Times New Roman" w:hint="default"/>
          <w:sz w:val="23"/>
          <w:szCs w:val="23"/>
        </w:rPr>
      </w:pPr>
    </w:p>
    <w:p>
      <w:pPr>
        <w:pStyle w:val="BodyText"/>
        <w:tabs>
          <w:tab w:pos="3754" w:val="left" w:leader="none"/>
          <w:tab w:pos="7895" w:val="left" w:leader="none"/>
        </w:tabs>
        <w:spacing w:line="240" w:lineRule="auto" w:before="44"/>
        <w:ind w:right="0"/>
        <w:jc w:val="left"/>
      </w:pPr>
      <w:r>
        <w:rPr/>
        <w:t>法定代表人：赵立仁</w:t>
        <w:tab/>
        <w:t>主管会计工作负责人：刘韡</w:t>
        <w:tab/>
        <w:t>会计机构负责人：金蕊</w:t>
      </w:r>
    </w:p>
    <w:p>
      <w:pPr>
        <w:spacing w:after="0" w:line="240" w:lineRule="auto"/>
        <w:jc w:val="left"/>
        <w:sectPr>
          <w:pgSz w:w="11910" w:h="16840"/>
          <w:pgMar w:header="877" w:footer="1187" w:top="1100" w:bottom="138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2、母公司资产负债表" w:id="160"/>
      <w:bookmarkEnd w:id="160"/>
      <w:r>
        <w:rPr>
          <w:b w:val="0"/>
          <w:bCs w:val="0"/>
        </w:rPr>
      </w:r>
      <w:r>
        <w:rPr>
          <w:rFonts w:ascii="宋体" w:hAnsi="宋体" w:cs="宋体" w:eastAsia="宋体" w:hint="default"/>
        </w:rPr>
        <w:t>2</w:t>
      </w:r>
      <w:r>
        <w:rPr/>
        <w:t>、母公司资产负债表</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346,631,343.85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283,911,516.61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74,691.42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219,392,635.30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270,882,387.63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26,071,787.47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751,112,867.32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1,780,000,000.00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1,588,093,925.52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2,089,983,304.08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2,924,221,670.50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2,203,708,005.27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183,500.34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101,995.53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253,553.12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11,819.46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57"/>
          <w:pgSz w:w="11910" w:h="16840"/>
          <w:pgMar w:footer="1187" w:header="877" w:top="1100" w:bottom="13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6,176,683.06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135,613.20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2,988,462.96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2,960,835,407.02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2,206,945,896.42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4,548,929,332.54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4,296,929,200.50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3,917,692.41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2,067,964.24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472,765.04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8,412.83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48,532.30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8,106,409.07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7,872,404.83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181,818.00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181,818.00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14,282,296.55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8,575,520.17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363,638.00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545,456.00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58"/>
          <w:pgSz w:w="11910" w:h="16840"/>
          <w:pgMar w:footer="1187" w:header="877" w:top="1100" w:bottom="1380" w:left="980" w:right="0"/>
          <w:pgNumType w:start="101"/>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363,638.00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545,456.00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14,645,934.55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9,120,976.17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965,710,782.00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965,710,782.00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3,503,405,904.02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3,503,405,904.02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35,111,177.74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31,771,673.94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30,055,534.23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-213,080,135.63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4,534,283,397.99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4,287,808,224.33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4,548,929,332.54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4,296,929,200.50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61"/>
      <w:bookmarkEnd w:id="161"/>
      <w:r>
        <w:rPr>
          <w:b w:val="0"/>
          <w:bCs w:val="0"/>
        </w:rPr>
      </w:r>
      <w:r>
        <w:rPr>
          <w:rFonts w:ascii="宋体" w:hAnsi="宋体" w:cs="宋体" w:eastAsia="宋体" w:hint="default"/>
        </w:rPr>
        <w:t>3</w:t>
      </w:r>
      <w:r>
        <w:rPr/>
        <w:t>、合并利润表</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6,375,392,503.94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2,364,007,200.40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6,373,794,918.71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2,364,007,200.40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1,597,585.23</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5,901,532,409.01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2,077,041,491.17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5,458,778,028.76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1,855,566,210.78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1,303.20</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8,863,593.41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10,166,883.17</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080"/>
        <w:gridCol w:w="321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99,172,649.10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70,257,600.82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298,248,510.16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135,374,957.93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22,131,655.27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1,755,787.15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14,336,669.11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3,920,051.32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pacing w:val="-3"/>
                <w:sz w:val="18"/>
                <w:szCs w:val="18"/>
              </w:rPr>
              <w:t>投资收益（损失以“－”号填</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64,082,734.54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63,048,973.18</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7,046,669.19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-158,870.59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宋体" w:hAnsi="宋体" w:cs="宋体" w:eastAsia="宋体" w:hint="default"/>
                <w:sz w:val="18"/>
                <w:szCs w:val="18"/>
              </w:rPr>
              <w:t>-</w:t>
            </w:r>
            <w:r>
              <w:rPr>
                <w:rFonts w:ascii="宋体" w:hAnsi="宋体" w:cs="宋体" w:eastAsia="宋体" w:hint="default"/>
                <w:sz w:val="18"/>
                <w:szCs w:val="18"/>
              </w:rPr>
              <w:t>”号填</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宋体" w:hAnsi="宋体" w:cs="宋体" w:eastAsia="宋体" w:hint="default"/>
                <w:sz w:val="18"/>
                <w:szCs w:val="18"/>
              </w:rPr>
              <w:t>-</w:t>
            </w:r>
            <w:r>
              <w:rPr>
                <w:rFonts w:ascii="宋体" w:hAnsi="宋体" w:cs="宋体" w:eastAsia="宋体" w:hint="default"/>
                <w:sz w:val="18"/>
                <w:szCs w:val="18"/>
              </w:rPr>
              <w:t>”</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54,259.77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626,080.46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11,274,920.46</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13"/>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549,272,009.70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350,640,762.87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1,412,201.78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11,880,381.91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1,598,462.54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483,383.66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3"/>
                <w:sz w:val="18"/>
                <w:szCs w:val="18"/>
              </w:rPr>
              <w:t>四、利润总额（亏损总额以“－”号填</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549,085,748.94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362,037,761.12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20,610,226.22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45,778,106.31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13"/>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528,475,522.72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316,259,654.81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8"/>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r>
              <w:rPr>
                <w:rFonts w:ascii="宋体" w:hAnsi="宋体" w:cs="宋体" w:eastAsia="宋体" w:hint="default"/>
                <w:sz w:val="18"/>
                <w:szCs w:val="18"/>
              </w:rPr>
              <w:t> “－”号填列）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528,475,522.72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316,259,654.81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8"/>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r>
              <w:rPr>
                <w:rFonts w:ascii="宋体" w:hAnsi="宋体" w:cs="宋体" w:eastAsia="宋体" w:hint="default"/>
                <w:sz w:val="18"/>
                <w:szCs w:val="18"/>
              </w:rPr>
              <w:t> “－”号填列）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527,325,402.70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316,113,821.03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1,150,120.02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145,833.78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-82,440,857.10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60,090,499.69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-82,440,857.10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60,090,499.69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90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 净负债或净资产的变动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5"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 不能重分类进损益的其他综合收益中</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-82,440,857.10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60,090,499.69</w:t>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5" w:firstLine="90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-1,073,600.67</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5"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 价值变动损益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5" w:firstLine="90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 为可供出售金融资产损益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-81,367,256.43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60,090,499.69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446,034,665.62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376,350,154.50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444,884,545.60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376,204,320.72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1,150,120.02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145,833.78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0.5460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0.4552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0.5460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0.4552</w:t>
            </w:r>
          </w:p>
        </w:tc>
      </w:tr>
    </w:tbl>
    <w:p>
      <w:pPr>
        <w:pStyle w:val="BodyText"/>
        <w:tabs>
          <w:tab w:pos="3754" w:val="left" w:leader="none"/>
          <w:tab w:pos="7895" w:val="left" w:leader="none"/>
        </w:tabs>
        <w:spacing w:line="609" w:lineRule="auto" w:before="51"/>
        <w:ind w:left="153" w:right="1229"/>
        <w:jc w:val="left"/>
        <w:rPr>
          <w:rFonts w:ascii="宋体" w:hAnsi="宋体" w:cs="宋体" w:eastAsia="宋体" w:hint="default"/>
          <w:sz w:val="21"/>
          <w:szCs w:val="21"/>
        </w:rPr>
      </w:pPr>
      <w:r>
        <w:rPr/>
        <w:t>本期发生同一控制下企业合并的，被合并方在合并前实现的净利润为：元，上期被合并方实现的净利润为：元。 法定代表人：赵立仁</w:t>
        <w:tab/>
        <w:t>主管会计工作负责人：刘韡</w:t>
        <w:tab/>
        <w:t>会计机构负责人：金蕊 </w:t>
      </w:r>
      <w:bookmarkStart w:name="4、母公司利润表" w:id="162"/>
      <w:bookmarkEnd w:id="162"/>
      <w:r>
        <w:rPr/>
      </w:r>
      <w:r>
        <w:rPr>
          <w:rFonts w:ascii="宋体" w:hAnsi="宋体" w:cs="宋体" w:eastAsia="宋体"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40"/>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17,140.03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53,175,815.62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18,151,234.32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-940,236.91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-4,137,683.19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129.54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-99,089.28</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0"/>
        </w:sectPr>
      </w:pPr>
    </w:p>
    <w:p>
      <w:pPr>
        <w:spacing w:line="240" w:lineRule="auto" w:before="10"/>
        <w:rPr>
          <w:rFonts w:ascii="Times New Roman" w:hAnsi="Times New Roman" w:cs="Times New Roman" w:eastAsia="Times New Roman" w:hint="default"/>
          <w:sz w:val="27"/>
          <w:szCs w:val="27"/>
        </w:rPr>
      </w:pPr>
      <w:r>
        <w:rPr/>
        <w:pict>
          <v:group style="position:absolute;margin-left:205.339996pt;margin-top:234.829987pt;width:163.35pt;height:20.8pt;mso-position-horizontal-relative:page;mso-position-vertical-relative:page;z-index:-1181440" coordorigin="4107,4697" coordsize="3267,416">
            <v:group style="position:absolute;left:4118;top:4708;width:2;height:393" coordorigin="4118,4708" coordsize="2,393">
              <v:shape style="position:absolute;left:4118;top:4708;width:2;height:393" coordorigin="4118,4708" coordsize="0,393" path="m4118,4708l4118,5100e" filled="false" stroked="true" strokeweight="1.140pt" strokecolor="#ffffff">
                <v:path arrowok="t"/>
              </v:shape>
            </v:group>
            <v:group style="position:absolute;left:4130;top:4708;width:3244;height:393" coordorigin="4130,4708" coordsize="3244,393">
              <v:shape style="position:absolute;left:4130;top:4708;width:3244;height:393" coordorigin="4130,4708" coordsize="3244,393" path="m4130,5100l7374,5100,7374,4708,4130,4708,4130,5100xe" filled="true" fillcolor="#ffffff" stroked="false">
                <v:path arrowok="t"/>
                <v:fill type="solid"/>
              </v:shape>
            </v:group>
            <w10:wrap type="none"/>
          </v:group>
        </w:pict>
      </w:r>
      <w:r>
        <w:rPr/>
        <w:pict>
          <v:group style="position:absolute;margin-left:205.339996pt;margin-top:350.929993pt;width:163.35pt;height:20.8pt;mso-position-horizontal-relative:page;mso-position-vertical-relative:page;z-index:-1181416" coordorigin="4107,7019" coordsize="3267,416">
            <v:group style="position:absolute;left:4118;top:7030;width:2;height:393" coordorigin="4118,7030" coordsize="2,393">
              <v:shape style="position:absolute;left:4118;top:7030;width:2;height:393" coordorigin="4118,7030" coordsize="0,393" path="m4118,7030l4118,7422e" filled="false" stroked="true" strokeweight="1.140pt" strokecolor="#ffffff">
                <v:path arrowok="t"/>
              </v:shape>
            </v:group>
            <v:group style="position:absolute;left:4130;top:7030;width:3244;height:393" coordorigin="4130,7030" coordsize="3244,393">
              <v:shape style="position:absolute;left:4130;top:7030;width:3244;height:393" coordorigin="4130,7030" coordsize="3244,393" path="m4130,7422l7374,7422,7374,7030,4130,7030,4130,7422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967"/>
        <w:gridCol w:w="1037"/>
        <w:gridCol w:w="2264"/>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07" w:right="0"/>
              <w:jc w:val="left"/>
              <w:rPr>
                <w:rFonts w:ascii="宋体" w:hAnsi="宋体" w:cs="宋体" w:eastAsia="宋体" w:hint="default"/>
                <w:sz w:val="18"/>
                <w:szCs w:val="18"/>
              </w:rPr>
            </w:pPr>
            <w:r>
              <w:rPr>
                <w:rFonts w:ascii="宋体"/>
                <w:sz w:val="18"/>
              </w:rPr>
              <w:t>298,728,021.94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213,096,422.08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pacing w:val="-5"/>
                <w:sz w:val="18"/>
                <w:szCs w:val="18"/>
              </w:rPr>
              <w:t>资产处置收益（损失以“</w:t>
            </w:r>
            <w:r>
              <w:rPr>
                <w:rFonts w:ascii="宋体" w:hAnsi="宋体" w:cs="宋体" w:eastAsia="宋体" w:hint="default"/>
                <w:spacing w:val="-5"/>
                <w:sz w:val="18"/>
                <w:szCs w:val="18"/>
              </w:rPr>
              <w:t>-</w:t>
            </w:r>
            <w:r>
              <w:rPr>
                <w:rFonts w:ascii="宋体" w:hAnsi="宋体" w:cs="宋体" w:eastAsia="宋体" w:hint="default"/>
                <w:spacing w:val="-5"/>
                <w:sz w:val="18"/>
                <w:szCs w:val="18"/>
              </w:rPr>
              <w:t>”</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932,933.51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二、营业利润（亏损以“－”号填列</w:t>
            </w:r>
          </w:p>
        </w:tc>
        <w:tc>
          <w:tcPr>
            <w:tcW w:w="10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2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246,475,173.66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200,114,893.74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24,843.41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298.00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07" w:right="0"/>
              <w:jc w:val="left"/>
              <w:rPr>
                <w:rFonts w:ascii="宋体" w:hAnsi="宋体" w:cs="宋体" w:eastAsia="宋体" w:hint="default"/>
                <w:sz w:val="18"/>
                <w:szCs w:val="18"/>
              </w:rPr>
            </w:pPr>
            <w:r>
              <w:rPr>
                <w:rFonts w:ascii="宋体"/>
                <w:sz w:val="18"/>
              </w:rPr>
              <w:t>246,475,173.66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200,139,439.15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四、净利润（净亏损以“－”号填列</w:t>
            </w:r>
          </w:p>
        </w:tc>
        <w:tc>
          <w:tcPr>
            <w:tcW w:w="10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2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246,475,173.66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200,139,439.15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以“－”号填列）</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07" w:right="0"/>
              <w:jc w:val="left"/>
              <w:rPr>
                <w:rFonts w:ascii="宋体" w:hAnsi="宋体" w:cs="宋体" w:eastAsia="宋体" w:hint="default"/>
                <w:sz w:val="18"/>
                <w:szCs w:val="18"/>
              </w:rPr>
            </w:pPr>
            <w:r>
              <w:rPr>
                <w:rFonts w:ascii="宋体"/>
                <w:sz w:val="18"/>
              </w:rPr>
              <w:t>246,475,173.66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200,139,439.15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以“－”号填列）</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90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 净负债或净资产的变动</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90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90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 价值变动损益</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90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 为可供出售金融资产损益</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006" w:right="0"/>
              <w:jc w:val="left"/>
              <w:rPr>
                <w:rFonts w:ascii="宋体" w:hAnsi="宋体" w:cs="宋体" w:eastAsia="宋体" w:hint="default"/>
                <w:sz w:val="18"/>
                <w:szCs w:val="18"/>
              </w:rPr>
            </w:pPr>
            <w:r>
              <w:rPr>
                <w:rFonts w:ascii="宋体"/>
                <w:sz w:val="18"/>
              </w:rPr>
              <w:t>246,475,173.66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07" w:right="0"/>
              <w:jc w:val="left"/>
              <w:rPr>
                <w:rFonts w:ascii="宋体" w:hAnsi="宋体" w:cs="宋体" w:eastAsia="宋体" w:hint="default"/>
                <w:sz w:val="18"/>
                <w:szCs w:val="18"/>
              </w:rPr>
            </w:pPr>
            <w:r>
              <w:rPr>
                <w:rFonts w:ascii="宋体"/>
                <w:sz w:val="18"/>
              </w:rPr>
              <w:t>200,139,439.15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5、合并现金流量表" w:id="163"/>
      <w:bookmarkEnd w:id="163"/>
      <w:r>
        <w:rPr>
          <w:b w:val="0"/>
          <w:bCs w:val="0"/>
        </w:rPr>
      </w:r>
      <w:r>
        <w:rPr>
          <w:rFonts w:ascii="宋体" w:hAnsi="宋体" w:cs="宋体" w:eastAsia="宋体" w:hint="default"/>
        </w:rPr>
        <w:t>5</w:t>
      </w:r>
      <w:r>
        <w:rPr/>
        <w:t>、合并现金流量表</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6,254,926,758.37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2,289,436,329.59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1,350,119.39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5,147,522.26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240,683,794.54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80,744,237.21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6,496,960,672.30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2,375,328,089.06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5,840,290,305.75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1,797,902,086.26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62,645,624.97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1,303.20</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190,507,666.96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138,849,579.70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104,105,845.50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44,757,453.75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310,533,516.00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226,274,763.66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6,508,084,262.38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2,207,783,883.37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-11,123,590.08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167,544,205.69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49,173,005.53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170,829.82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181,189.43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2,760,764.25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115,150,844.87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9,464,904,301.73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49,672,384.40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9,514,258,496.69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186,754,823.34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45,449,426.66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160,361,712.98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337,936,170.87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767,738,166.08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8,863,890,000.00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1,827,100,000.00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9,247,275,597.53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2,755,199,879.06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266,982,899.16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-2,568,445,055.72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2,798,844,943.36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354,961,700.00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143,000,000.00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692,520,000.00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33,615,000.00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1,047,481,700.00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2,975,459,943.36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173,784,018.00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133,363,636.00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14,981,121.75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3,952,481.93</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1,094,683,612.28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23,352,965.65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1,283,448,752.03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160,669,083.58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-235,967,052.03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2,814,790,859.78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-7,731,443.81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10,758,930.44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12,160,813.24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424,648,940.19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512,483,225.65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87,834,285.46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524,644,038.89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512,483,225.65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64"/>
      <w:bookmarkEnd w:id="164"/>
      <w:r>
        <w:rPr>
          <w:b w:val="0"/>
          <w:bCs w:val="0"/>
        </w:rPr>
      </w:r>
      <w:r>
        <w:rPr>
          <w:rFonts w:ascii="宋体" w:hAnsi="宋体" w:cs="宋体" w:eastAsia="宋体" w:hint="default"/>
        </w:rPr>
        <w:t>6</w:t>
      </w:r>
      <w:r>
        <w:rPr/>
        <w:t>、母公司现金流量表</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3,054,653.15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31,421,145.56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3,054,653.15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31,421,145.56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11,761,061.11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4,570,360.74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8,727.20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31,540,658.42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39,408,917.18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43,310,446.73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43,979,277.92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-40,255,793.58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-12,558,132.36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144,151,488.12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83,159,620.88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2,421,524.56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9,695,583,753.79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169,467,917.34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9,778,743,374.67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316,040,930.02</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6,434,677.32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219,551.85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750,513,665.23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904,647,400.00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9,670,492,575.56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1,930,000,000.00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10,427,440,918.11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2,834,866,951.85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-648,697,543.44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-2,518,826,021.83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2,798,844,943.36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1,334,520,000.00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1,334,520,000.00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2,798,844,943.36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181,818.00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363,636.00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4,139,393.74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61,455.00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727,005,624.00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3,344,445.65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731,326,835.74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3,769,536.65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603,193,164.26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2,795,075,406.71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-85,760,172.76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263,691,252.52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283,911,516.61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20,220,264.09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198,151,343.85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283,911,516.61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合并所有者权益变动表" w:id="165"/>
      <w:bookmarkEnd w:id="165"/>
      <w:r>
        <w:rPr>
          <w:b w:val="0"/>
          <w:bCs w:val="0"/>
        </w:rPr>
      </w:r>
      <w:r>
        <w:rPr>
          <w:rFonts w:ascii="宋体" w:hAnsi="宋体" w:cs="宋体" w:eastAsia="宋体" w:hint="default"/>
        </w:rPr>
        <w:t>7</w:t>
      </w:r>
      <w:r>
        <w:rPr/>
        <w:t>、合并所有者权益变动表</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50"/>
        <w:gridCol w:w="562"/>
        <w:gridCol w:w="519"/>
        <w:gridCol w:w="532"/>
        <w:gridCol w:w="530"/>
        <w:gridCol w:w="665"/>
        <w:gridCol w:w="665"/>
        <w:gridCol w:w="665"/>
        <w:gridCol w:w="665"/>
        <w:gridCol w:w="664"/>
        <w:gridCol w:w="666"/>
        <w:gridCol w:w="665"/>
        <w:gridCol w:w="665"/>
        <w:gridCol w:w="647"/>
      </w:tblGrid>
      <w:tr>
        <w:trPr>
          <w:trHeight w:val="402" w:hRule="exact"/>
        </w:trPr>
        <w:tc>
          <w:tcPr>
            <w:tcW w:w="1450" w:type="dxa"/>
            <w:vMerge w:val="restart"/>
            <w:tcBorders>
              <w:top w:val="single" w:sz="4" w:space="0" w:color="000000"/>
              <w:left w:val="single" w:sz="4" w:space="0" w:color="000000"/>
              <w:right w:val="single" w:sz="4" w:space="0" w:color="000000"/>
            </w:tcBorders>
            <w:shd w:val="clear" w:color="auto" w:fill="D2D2D2"/>
          </w:tcPr>
          <w:p>
            <w:pPr/>
          </w:p>
        </w:tc>
        <w:tc>
          <w:tcPr>
            <w:tcW w:w="8110"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50" w:type="dxa"/>
            <w:vMerge/>
            <w:tcBorders>
              <w:left w:val="single" w:sz="4" w:space="0" w:color="000000"/>
              <w:right w:val="single" w:sz="4" w:space="0" w:color="000000"/>
            </w:tcBorders>
            <w:shd w:val="clear" w:color="auto" w:fill="D2D2D2"/>
          </w:tcPr>
          <w:p>
            <w:pPr/>
          </w:p>
        </w:tc>
        <w:tc>
          <w:tcPr>
            <w:tcW w:w="6798"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4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6798"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4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41"/>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47" w:type="dxa"/>
            <w:vMerge/>
            <w:tcBorders>
              <w:left w:val="single" w:sz="4" w:space="0" w:color="000000"/>
              <w:right w:val="single" w:sz="4" w:space="0" w:color="000000"/>
            </w:tcBorders>
            <w:shd w:val="clear" w:color="auto" w:fill="D2D2D2"/>
          </w:tcPr>
          <w:p>
            <w:pPr/>
          </w:p>
        </w:tc>
      </w:tr>
      <w:tr>
        <w:trPr>
          <w:trHeight w:val="173"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81"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47" w:type="dxa"/>
            <w:vMerge/>
            <w:tcBorders>
              <w:left w:val="single" w:sz="4" w:space="0" w:color="000000"/>
              <w:right w:val="single" w:sz="4" w:space="0" w:color="000000"/>
            </w:tcBorders>
            <w:shd w:val="clear" w:color="auto" w:fill="D2D2D2"/>
          </w:tcPr>
          <w:p>
            <w:pPr/>
          </w:p>
        </w:tc>
      </w:tr>
      <w:tr>
        <w:trPr>
          <w:trHeight w:val="183" w:hRule="exact"/>
        </w:trPr>
        <w:tc>
          <w:tcPr>
            <w:tcW w:w="1450"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8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1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58"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47" w:type="dxa"/>
            <w:vMerge/>
            <w:tcBorders>
              <w:left w:val="single" w:sz="4" w:space="0" w:color="000000"/>
              <w:right w:val="single" w:sz="4" w:space="0" w:color="000000"/>
            </w:tcBorders>
            <w:shd w:val="clear" w:color="auto" w:fill="D2D2D2"/>
          </w:tcPr>
          <w:p>
            <w:pPr/>
          </w:p>
        </w:tc>
      </w:tr>
      <w:tr>
        <w:trPr>
          <w:trHeight w:val="169" w:hRule="exact"/>
        </w:trPr>
        <w:tc>
          <w:tcPr>
            <w:tcW w:w="1450"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19"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47" w:type="dxa"/>
            <w:vMerge/>
            <w:tcBorders>
              <w:left w:val="single" w:sz="4" w:space="0" w:color="000000"/>
              <w:right w:val="single" w:sz="4" w:space="0" w:color="000000"/>
            </w:tcBorders>
            <w:shd w:val="clear" w:color="auto" w:fill="D2D2D2"/>
          </w:tcPr>
          <w:p>
            <w:pPr/>
          </w:p>
        </w:tc>
      </w:tr>
      <w:tr>
        <w:trPr>
          <w:trHeight w:val="156" w:hRule="exact"/>
        </w:trPr>
        <w:tc>
          <w:tcPr>
            <w:tcW w:w="1450"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19"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47"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50"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19"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4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42" w:hRule="exact"/>
        </w:trPr>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3" w:space="0" w:color="D2D2D2"/>
              <w:right w:val="single" w:sz="4" w:space="0" w:color="000000"/>
            </w:tcBorders>
          </w:tcPr>
          <w:p>
            <w:pPr>
              <w:pStyle w:val="TableParagraph"/>
              <w:spacing w:line="240" w:lineRule="auto" w:before="51"/>
              <w:ind w:left="57" w:right="0"/>
              <w:jc w:val="left"/>
              <w:rPr>
                <w:rFonts w:ascii="宋体" w:hAnsi="宋体" w:cs="宋体" w:eastAsia="宋体" w:hint="default"/>
                <w:sz w:val="18"/>
                <w:szCs w:val="18"/>
              </w:rPr>
            </w:pPr>
            <w:r>
              <w:rPr>
                <w:rFonts w:ascii="宋体"/>
                <w:sz w:val="18"/>
              </w:rPr>
              <w:t>965,7</w:t>
            </w:r>
          </w:p>
          <w:p>
            <w:pPr>
              <w:pStyle w:val="TableParagraph"/>
              <w:spacing w:line="240" w:lineRule="auto" w:before="76"/>
              <w:ind w:left="57" w:right="0"/>
              <w:jc w:val="left"/>
              <w:rPr>
                <w:rFonts w:ascii="宋体" w:hAnsi="宋体" w:cs="宋体" w:eastAsia="宋体" w:hint="default"/>
                <w:sz w:val="18"/>
                <w:szCs w:val="18"/>
              </w:rPr>
            </w:pPr>
            <w:r>
              <w:rPr>
                <w:rFonts w:ascii="宋体"/>
                <w:sz w:val="18"/>
              </w:rPr>
              <w:t>10,78</w:t>
            </w:r>
          </w:p>
        </w:tc>
        <w:tc>
          <w:tcPr>
            <w:tcW w:w="519"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sz w:val="18"/>
              </w:rPr>
              <w:t>3,501,</w:t>
            </w:r>
          </w:p>
          <w:p>
            <w:pPr>
              <w:pStyle w:val="TableParagraph"/>
              <w:spacing w:line="240" w:lineRule="auto" w:before="76"/>
              <w:ind w:left="91" w:right="0"/>
              <w:jc w:val="left"/>
              <w:rPr>
                <w:rFonts w:ascii="宋体" w:hAnsi="宋体" w:cs="宋体" w:eastAsia="宋体" w:hint="default"/>
                <w:sz w:val="18"/>
                <w:szCs w:val="18"/>
              </w:rPr>
            </w:pPr>
            <w:r>
              <w:rPr>
                <w:rFonts w:ascii="宋体"/>
                <w:sz w:val="18"/>
              </w:rPr>
              <w:t>945,86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sz w:val="18"/>
              </w:rPr>
              <w:t>60,090</w:t>
            </w:r>
          </w:p>
          <w:p>
            <w:pPr>
              <w:pStyle w:val="TableParagraph"/>
              <w:spacing w:line="240" w:lineRule="auto" w:before="76"/>
              <w:ind w:left="91" w:right="0"/>
              <w:jc w:val="left"/>
              <w:rPr>
                <w:rFonts w:ascii="宋体" w:hAnsi="宋体" w:cs="宋体" w:eastAsia="宋体" w:hint="default"/>
                <w:sz w:val="18"/>
                <w:szCs w:val="18"/>
              </w:rPr>
            </w:pPr>
            <w:r>
              <w:rPr>
                <w:rFonts w:ascii="宋体"/>
                <w:sz w:val="18"/>
              </w:rPr>
              <w:t>,499.6</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sz w:val="18"/>
              </w:rPr>
              <w:t>31,771</w:t>
            </w:r>
          </w:p>
          <w:p>
            <w:pPr>
              <w:pStyle w:val="TableParagraph"/>
              <w:spacing w:line="240" w:lineRule="auto" w:before="76"/>
              <w:ind w:left="91" w:right="0"/>
              <w:jc w:val="left"/>
              <w:rPr>
                <w:rFonts w:ascii="宋体" w:hAnsi="宋体" w:cs="宋体" w:eastAsia="宋体" w:hint="default"/>
                <w:sz w:val="18"/>
                <w:szCs w:val="18"/>
              </w:rPr>
            </w:pPr>
            <w:r>
              <w:rPr>
                <w:rFonts w:ascii="宋体"/>
                <w:sz w:val="18"/>
              </w:rPr>
              <w:t>,673.9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sz w:val="18"/>
              </w:rPr>
              <w:t>48,331</w:t>
            </w:r>
          </w:p>
          <w:p>
            <w:pPr>
              <w:pStyle w:val="TableParagraph"/>
              <w:spacing w:line="240" w:lineRule="auto" w:before="76"/>
              <w:ind w:left="91" w:right="0"/>
              <w:jc w:val="left"/>
              <w:rPr>
                <w:rFonts w:ascii="宋体" w:hAnsi="宋体" w:cs="宋体" w:eastAsia="宋体" w:hint="default"/>
                <w:sz w:val="18"/>
                <w:szCs w:val="18"/>
              </w:rPr>
            </w:pPr>
            <w:r>
              <w:rPr>
                <w:rFonts w:ascii="宋体"/>
                <w:sz w:val="18"/>
              </w:rPr>
              <w:t>,784.5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sz w:val="18"/>
              </w:rPr>
              <w:t>1,915,</w:t>
            </w:r>
          </w:p>
        </w:tc>
        <w:tc>
          <w:tcPr>
            <w:tcW w:w="647" w:type="dxa"/>
            <w:vMerge w:val="restart"/>
            <w:tcBorders>
              <w:top w:val="single" w:sz="4" w:space="0" w:color="000000"/>
              <w:left w:val="single" w:sz="4" w:space="0" w:color="000000"/>
              <w:right w:val="single" w:sz="4" w:space="0" w:color="000000"/>
            </w:tcBorders>
          </w:tcPr>
          <w:p>
            <w:pPr>
              <w:pStyle w:val="TableParagraph"/>
              <w:spacing w:line="240" w:lineRule="auto" w:before="51"/>
              <w:ind w:left="85" w:right="0"/>
              <w:jc w:val="left"/>
              <w:rPr>
                <w:rFonts w:ascii="宋体" w:hAnsi="宋体" w:cs="宋体" w:eastAsia="宋体" w:hint="default"/>
                <w:sz w:val="18"/>
                <w:szCs w:val="18"/>
              </w:rPr>
            </w:pPr>
            <w:r>
              <w:rPr>
                <w:rFonts w:ascii="宋体"/>
                <w:sz w:val="18"/>
              </w:rPr>
              <w:t>4,609,</w:t>
            </w:r>
          </w:p>
          <w:p>
            <w:pPr>
              <w:pStyle w:val="TableParagraph"/>
              <w:spacing w:line="240" w:lineRule="auto" w:before="76"/>
              <w:ind w:left="85" w:right="0"/>
              <w:jc w:val="left"/>
              <w:rPr>
                <w:rFonts w:ascii="宋体" w:hAnsi="宋体" w:cs="宋体" w:eastAsia="宋体" w:hint="default"/>
                <w:sz w:val="18"/>
                <w:szCs w:val="18"/>
              </w:rPr>
            </w:pPr>
            <w:r>
              <w:rPr>
                <w:rFonts w:ascii="宋体"/>
                <w:sz w:val="18"/>
              </w:rPr>
              <w:t>765,87</w:t>
            </w:r>
          </w:p>
        </w:tc>
      </w:tr>
      <w:tr>
        <w:trPr>
          <w:trHeight w:val="391" w:hRule="exact"/>
        </w:trPr>
        <w:tc>
          <w:tcPr>
            <w:tcW w:w="14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3" w:space="0" w:color="D2D2D2"/>
              <w:right w:val="single" w:sz="4" w:space="0" w:color="000000"/>
            </w:tcBorders>
          </w:tcPr>
          <w:p>
            <w:pPr/>
          </w:p>
        </w:tc>
        <w:tc>
          <w:tcPr>
            <w:tcW w:w="519"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47" w:type="dxa"/>
            <w:vMerge/>
            <w:tcBorders>
              <w:left w:val="single" w:sz="4" w:space="0" w:color="000000"/>
              <w:right w:val="single" w:sz="4" w:space="0" w:color="000000"/>
            </w:tcBorders>
          </w:tcPr>
          <w:p>
            <w:pPr/>
          </w:p>
        </w:tc>
      </w:tr>
      <w:tr>
        <w:trPr>
          <w:trHeight w:val="142" w:hRule="exact"/>
        </w:trPr>
        <w:tc>
          <w:tcPr>
            <w:tcW w:w="14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3" w:space="0" w:color="D2D2D2"/>
              <w:bottom w:val="single" w:sz="4" w:space="0" w:color="000000"/>
              <w:right w:val="single" w:sz="4" w:space="0" w:color="000000"/>
            </w:tcBorders>
          </w:tcPr>
          <w:p>
            <w:pPr/>
          </w:p>
        </w:tc>
        <w:tc>
          <w:tcPr>
            <w:tcW w:w="519"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47"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70" w:right="0"/>
              <w:jc w:val="left"/>
              <w:rPr>
                <w:rFonts w:ascii="宋体" w:hAnsi="宋体" w:cs="宋体" w:eastAsia="宋体" w:hint="default"/>
                <w:sz w:val="18"/>
                <w:szCs w:val="18"/>
              </w:rPr>
            </w:pPr>
            <w:r>
              <w:rPr>
                <w:rFonts w:ascii="宋体"/>
                <w:sz w:val="18"/>
              </w:rPr>
              <w:t>2.00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71" w:right="0"/>
              <w:jc w:val="left"/>
              <w:rPr>
                <w:rFonts w:ascii="宋体" w:hAnsi="宋体" w:cs="宋体" w:eastAsia="宋体" w:hint="default"/>
                <w:sz w:val="18"/>
                <w:szCs w:val="18"/>
              </w:rPr>
            </w:pPr>
            <w:r>
              <w:rPr>
                <w:rFonts w:ascii="宋体"/>
                <w:sz w:val="18"/>
              </w:rPr>
              <w:t>4.99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1" w:right="0"/>
              <w:jc w:val="left"/>
              <w:rPr>
                <w:rFonts w:ascii="宋体" w:hAnsi="宋体" w:cs="宋体" w:eastAsia="宋体" w:hint="default"/>
                <w:sz w:val="18"/>
                <w:szCs w:val="18"/>
              </w:rPr>
            </w:pPr>
            <w:r>
              <w:rPr>
                <w:rFonts w:ascii="宋体"/>
                <w:sz w:val="18"/>
              </w:rPr>
              <w:t>270.02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5" w:right="0"/>
              <w:jc w:val="left"/>
              <w:rPr>
                <w:rFonts w:ascii="宋体" w:hAnsi="宋体" w:cs="宋体" w:eastAsia="宋体" w:hint="default"/>
                <w:sz w:val="18"/>
                <w:szCs w:val="18"/>
              </w:rPr>
            </w:pPr>
            <w:r>
              <w:rPr>
                <w:rFonts w:ascii="宋体"/>
                <w:sz w:val="18"/>
              </w:rPr>
              <w:t>5.17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sz w:val="18"/>
              </w:rPr>
              <w:t>965,7</w:t>
            </w:r>
          </w:p>
          <w:p>
            <w:pPr>
              <w:pStyle w:val="TableParagraph"/>
              <w:spacing w:line="240" w:lineRule="auto" w:before="75"/>
              <w:ind w:left="80" w:right="0"/>
              <w:jc w:val="left"/>
              <w:rPr>
                <w:rFonts w:ascii="宋体" w:hAnsi="宋体" w:cs="宋体" w:eastAsia="宋体" w:hint="default"/>
                <w:sz w:val="18"/>
                <w:szCs w:val="18"/>
              </w:rPr>
            </w:pPr>
            <w:r>
              <w:rPr>
                <w:rFonts w:ascii="宋体"/>
                <w:sz w:val="18"/>
              </w:rPr>
              <w:t>10,78</w:t>
            </w:r>
          </w:p>
          <w:p>
            <w:pPr>
              <w:pStyle w:val="TableParagraph"/>
              <w:spacing w:line="240" w:lineRule="auto" w:before="77"/>
              <w:ind w:left="170" w:right="0"/>
              <w:jc w:val="left"/>
              <w:rPr>
                <w:rFonts w:ascii="宋体" w:hAnsi="宋体" w:cs="宋体" w:eastAsia="宋体" w:hint="default"/>
                <w:sz w:val="18"/>
                <w:szCs w:val="18"/>
              </w:rPr>
            </w:pPr>
            <w:r>
              <w:rPr>
                <w:rFonts w:ascii="宋体"/>
                <w:sz w:val="18"/>
              </w:rPr>
              <w:t>2.00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6" w:right="0"/>
              <w:jc w:val="center"/>
              <w:rPr>
                <w:rFonts w:ascii="宋体" w:hAnsi="宋体" w:cs="宋体" w:eastAsia="宋体" w:hint="default"/>
                <w:sz w:val="18"/>
                <w:szCs w:val="18"/>
              </w:rPr>
            </w:pPr>
            <w:r>
              <w:rPr>
                <w:rFonts w:ascii="宋体"/>
                <w:sz w:val="18"/>
              </w:rPr>
              <w:t>3,501,</w:t>
            </w:r>
          </w:p>
          <w:p>
            <w:pPr>
              <w:pStyle w:val="TableParagraph"/>
              <w:spacing w:line="240" w:lineRule="auto" w:before="75"/>
              <w:ind w:left="66" w:right="0"/>
              <w:jc w:val="center"/>
              <w:rPr>
                <w:rFonts w:ascii="宋体" w:hAnsi="宋体" w:cs="宋体" w:eastAsia="宋体" w:hint="default"/>
                <w:sz w:val="18"/>
                <w:szCs w:val="18"/>
              </w:rPr>
            </w:pPr>
            <w:r>
              <w:rPr>
                <w:rFonts w:ascii="宋体"/>
                <w:sz w:val="18"/>
              </w:rPr>
              <w:t>945,86</w:t>
            </w:r>
          </w:p>
          <w:p>
            <w:pPr>
              <w:pStyle w:val="TableParagraph"/>
              <w:spacing w:line="240" w:lineRule="auto" w:before="77"/>
              <w:ind w:left="247" w:right="0"/>
              <w:jc w:val="center"/>
              <w:rPr>
                <w:rFonts w:ascii="宋体" w:hAnsi="宋体" w:cs="宋体" w:eastAsia="宋体" w:hint="default"/>
                <w:sz w:val="18"/>
                <w:szCs w:val="18"/>
              </w:rPr>
            </w:pPr>
            <w:r>
              <w:rPr>
                <w:rFonts w:ascii="宋体"/>
                <w:sz w:val="18"/>
              </w:rPr>
              <w:t>4.99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60,090</w:t>
            </w:r>
          </w:p>
          <w:p>
            <w:pPr>
              <w:pStyle w:val="TableParagraph"/>
              <w:spacing w:line="240" w:lineRule="auto" w:before="75"/>
              <w:ind w:right="23"/>
              <w:jc w:val="right"/>
              <w:rPr>
                <w:rFonts w:ascii="宋体" w:hAnsi="宋体" w:cs="宋体" w:eastAsia="宋体" w:hint="default"/>
                <w:sz w:val="18"/>
                <w:szCs w:val="18"/>
              </w:rPr>
            </w:pPr>
            <w:r>
              <w:rPr>
                <w:rFonts w:ascii="宋体"/>
                <w:sz w:val="18"/>
              </w:rPr>
              <w:t>,499.6</w:t>
            </w:r>
          </w:p>
          <w:p>
            <w:pPr>
              <w:pStyle w:val="TableParagraph"/>
              <w:spacing w:line="240" w:lineRule="auto" w:before="77"/>
              <w:ind w:right="23"/>
              <w:jc w:val="right"/>
              <w:rPr>
                <w:rFonts w:ascii="宋体" w:hAnsi="宋体" w:cs="宋体" w:eastAsia="宋体" w:hint="default"/>
                <w:sz w:val="18"/>
                <w:szCs w:val="18"/>
              </w:rPr>
            </w:pPr>
            <w:r>
              <w:rPr>
                <w:rFonts w:ascii="宋体"/>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31,771</w:t>
            </w:r>
          </w:p>
          <w:p>
            <w:pPr>
              <w:pStyle w:val="TableParagraph"/>
              <w:spacing w:line="240" w:lineRule="auto" w:before="75"/>
              <w:ind w:right="20"/>
              <w:jc w:val="right"/>
              <w:rPr>
                <w:rFonts w:ascii="宋体" w:hAnsi="宋体" w:cs="宋体" w:eastAsia="宋体" w:hint="default"/>
                <w:sz w:val="18"/>
                <w:szCs w:val="18"/>
              </w:rPr>
            </w:pPr>
            <w:r>
              <w:rPr>
                <w:rFonts w:ascii="宋体"/>
                <w:sz w:val="18"/>
              </w:rPr>
              <w:t>,673.9</w:t>
            </w:r>
          </w:p>
          <w:p>
            <w:pPr>
              <w:pStyle w:val="TableParagraph"/>
              <w:spacing w:line="240" w:lineRule="auto" w:before="77"/>
              <w:ind w:right="20"/>
              <w:jc w:val="right"/>
              <w:rPr>
                <w:rFonts w:ascii="宋体" w:hAnsi="宋体" w:cs="宋体" w:eastAsia="宋体" w:hint="default"/>
                <w:sz w:val="18"/>
                <w:szCs w:val="18"/>
              </w:rPr>
            </w:pPr>
            <w:r>
              <w:rPr>
                <w:rFonts w:ascii="宋体"/>
                <w:sz w:val="18"/>
              </w:rPr>
              <w:t>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48,331</w:t>
            </w:r>
          </w:p>
          <w:p>
            <w:pPr>
              <w:pStyle w:val="TableParagraph"/>
              <w:spacing w:line="240" w:lineRule="auto" w:before="75"/>
              <w:ind w:right="23"/>
              <w:jc w:val="right"/>
              <w:rPr>
                <w:rFonts w:ascii="宋体" w:hAnsi="宋体" w:cs="宋体" w:eastAsia="宋体" w:hint="default"/>
                <w:sz w:val="18"/>
                <w:szCs w:val="18"/>
              </w:rPr>
            </w:pPr>
            <w:r>
              <w:rPr>
                <w:rFonts w:ascii="宋体"/>
                <w:sz w:val="18"/>
              </w:rPr>
              <w:t>,784.5</w:t>
            </w:r>
          </w:p>
          <w:p>
            <w:pPr>
              <w:pStyle w:val="TableParagraph"/>
              <w:spacing w:line="240" w:lineRule="auto" w:before="77"/>
              <w:ind w:right="23"/>
              <w:jc w:val="right"/>
              <w:rPr>
                <w:rFonts w:ascii="宋体" w:hAnsi="宋体" w:cs="宋体" w:eastAsia="宋体" w:hint="default"/>
                <w:sz w:val="18"/>
                <w:szCs w:val="18"/>
              </w:rPr>
            </w:pPr>
            <w:r>
              <w:rPr>
                <w:rFonts w:ascii="宋体"/>
                <w:sz w:val="18"/>
              </w:rPr>
              <w:t>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1,915,</w:t>
            </w:r>
          </w:p>
          <w:p>
            <w:pPr>
              <w:pStyle w:val="TableParagraph"/>
              <w:spacing w:line="240" w:lineRule="auto" w:before="76"/>
              <w:ind w:left="91" w:right="0"/>
              <w:jc w:val="left"/>
              <w:rPr>
                <w:rFonts w:ascii="宋体" w:hAnsi="宋体" w:cs="宋体" w:eastAsia="宋体" w:hint="default"/>
                <w:sz w:val="18"/>
                <w:szCs w:val="18"/>
              </w:rPr>
            </w:pPr>
            <w:r>
              <w:rPr>
                <w:rFonts w:ascii="宋体"/>
                <w:sz w:val="18"/>
              </w:rPr>
              <w:t>270.02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 w:right="0"/>
              <w:jc w:val="center"/>
              <w:rPr>
                <w:rFonts w:ascii="宋体" w:hAnsi="宋体" w:cs="宋体" w:eastAsia="宋体" w:hint="default"/>
                <w:sz w:val="18"/>
                <w:szCs w:val="18"/>
              </w:rPr>
            </w:pPr>
            <w:r>
              <w:rPr>
                <w:rFonts w:ascii="宋体"/>
                <w:sz w:val="18"/>
              </w:rPr>
              <w:t>4,609,</w:t>
            </w:r>
          </w:p>
          <w:p>
            <w:pPr>
              <w:pStyle w:val="TableParagraph"/>
              <w:spacing w:line="240" w:lineRule="auto" w:before="75"/>
              <w:ind w:left="61" w:right="0"/>
              <w:jc w:val="center"/>
              <w:rPr>
                <w:rFonts w:ascii="宋体" w:hAnsi="宋体" w:cs="宋体" w:eastAsia="宋体" w:hint="default"/>
                <w:sz w:val="18"/>
                <w:szCs w:val="18"/>
              </w:rPr>
            </w:pPr>
            <w:r>
              <w:rPr>
                <w:rFonts w:ascii="宋体"/>
                <w:sz w:val="18"/>
              </w:rPr>
              <w:t>765,87</w:t>
            </w:r>
          </w:p>
          <w:p>
            <w:pPr>
              <w:pStyle w:val="TableParagraph"/>
              <w:spacing w:line="240" w:lineRule="auto" w:before="77"/>
              <w:ind w:left="241" w:right="0"/>
              <w:jc w:val="center"/>
              <w:rPr>
                <w:rFonts w:ascii="宋体" w:hAnsi="宋体" w:cs="宋体" w:eastAsia="宋体" w:hint="default"/>
                <w:sz w:val="18"/>
                <w:szCs w:val="18"/>
              </w:rPr>
            </w:pPr>
            <w:r>
              <w:rPr>
                <w:rFonts w:ascii="宋体"/>
                <w:sz w:val="18"/>
              </w:rPr>
              <w:t>5.17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金额（减少以 “－”号填列）</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-82,44</w:t>
            </w:r>
          </w:p>
          <w:p>
            <w:pPr>
              <w:pStyle w:val="TableParagraph"/>
              <w:spacing w:line="240" w:lineRule="auto" w:before="75"/>
              <w:ind w:right="23"/>
              <w:jc w:val="right"/>
              <w:rPr>
                <w:rFonts w:ascii="宋体" w:hAnsi="宋体" w:cs="宋体" w:eastAsia="宋体" w:hint="default"/>
                <w:sz w:val="18"/>
                <w:szCs w:val="18"/>
              </w:rPr>
            </w:pPr>
            <w:r>
              <w:rPr>
                <w:rFonts w:ascii="宋体"/>
                <w:sz w:val="18"/>
              </w:rPr>
              <w:t>0,857.</w:t>
            </w:r>
          </w:p>
          <w:p>
            <w:pPr>
              <w:pStyle w:val="TableParagraph"/>
              <w:spacing w:line="240" w:lineRule="auto" w:before="77"/>
              <w:ind w:right="23"/>
              <w:jc w:val="right"/>
              <w:rPr>
                <w:rFonts w:ascii="宋体" w:hAnsi="宋体" w:cs="宋体" w:eastAsia="宋体" w:hint="default"/>
                <w:sz w:val="18"/>
                <w:szCs w:val="18"/>
              </w:rPr>
            </w:pPr>
            <w:r>
              <w:rPr>
                <w:rFonts w:ascii="宋体"/>
                <w:sz w:val="18"/>
              </w:rPr>
              <w:t>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3,339,</w:t>
            </w:r>
          </w:p>
          <w:p>
            <w:pPr>
              <w:pStyle w:val="TableParagraph"/>
              <w:spacing w:line="240" w:lineRule="auto" w:before="76"/>
              <w:ind w:left="91" w:right="0"/>
              <w:jc w:val="left"/>
              <w:rPr>
                <w:rFonts w:ascii="宋体" w:hAnsi="宋体" w:cs="宋体" w:eastAsia="宋体" w:hint="default"/>
                <w:sz w:val="18"/>
                <w:szCs w:val="18"/>
              </w:rPr>
            </w:pPr>
            <w:r>
              <w:rPr>
                <w:rFonts w:ascii="宋体"/>
                <w:sz w:val="18"/>
              </w:rPr>
              <w:t>503.80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523,98</w:t>
            </w:r>
          </w:p>
          <w:p>
            <w:pPr>
              <w:pStyle w:val="TableParagraph"/>
              <w:spacing w:line="240" w:lineRule="auto" w:before="75"/>
              <w:ind w:right="23"/>
              <w:jc w:val="right"/>
              <w:rPr>
                <w:rFonts w:ascii="宋体" w:hAnsi="宋体" w:cs="宋体" w:eastAsia="宋体" w:hint="default"/>
                <w:sz w:val="18"/>
                <w:szCs w:val="18"/>
              </w:rPr>
            </w:pPr>
            <w:r>
              <w:rPr>
                <w:rFonts w:ascii="宋体"/>
                <w:sz w:val="18"/>
              </w:rPr>
              <w:t>5,898.</w:t>
            </w:r>
          </w:p>
          <w:p>
            <w:pPr>
              <w:pStyle w:val="TableParagraph"/>
              <w:spacing w:line="240" w:lineRule="auto" w:before="77"/>
              <w:ind w:right="23"/>
              <w:jc w:val="right"/>
              <w:rPr>
                <w:rFonts w:ascii="宋体" w:hAnsi="宋体" w:cs="宋体" w:eastAsia="宋体" w:hint="default"/>
                <w:sz w:val="18"/>
                <w:szCs w:val="18"/>
              </w:rPr>
            </w:pPr>
            <w:r>
              <w:rPr>
                <w:rFonts w:ascii="宋体"/>
                <w:sz w:val="18"/>
              </w:rPr>
              <w:t>90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7" w:right="0"/>
              <w:jc w:val="center"/>
              <w:rPr>
                <w:rFonts w:ascii="宋体" w:hAnsi="宋体" w:cs="宋体" w:eastAsia="宋体" w:hint="default"/>
                <w:sz w:val="18"/>
                <w:szCs w:val="18"/>
              </w:rPr>
            </w:pPr>
            <w:r>
              <w:rPr>
                <w:rFonts w:ascii="宋体"/>
                <w:sz w:val="18"/>
              </w:rPr>
              <w:t>510,93</w:t>
            </w:r>
          </w:p>
          <w:p>
            <w:pPr>
              <w:pStyle w:val="TableParagraph"/>
              <w:spacing w:line="240" w:lineRule="auto" w:before="76"/>
              <w:ind w:left="247" w:right="0"/>
              <w:jc w:val="center"/>
              <w:rPr>
                <w:rFonts w:ascii="宋体" w:hAnsi="宋体" w:cs="宋体" w:eastAsia="宋体" w:hint="default"/>
                <w:sz w:val="18"/>
                <w:szCs w:val="18"/>
              </w:rPr>
            </w:pPr>
            <w:r>
              <w:rPr>
                <w:rFonts w:ascii="宋体"/>
                <w:sz w:val="18"/>
              </w:rPr>
              <w:t>8.53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445,39</w:t>
            </w:r>
          </w:p>
          <w:p>
            <w:pPr>
              <w:pStyle w:val="TableParagraph"/>
              <w:spacing w:line="240" w:lineRule="auto" w:before="75"/>
              <w:ind w:right="23"/>
              <w:jc w:val="right"/>
              <w:rPr>
                <w:rFonts w:ascii="宋体" w:hAnsi="宋体" w:cs="宋体" w:eastAsia="宋体" w:hint="default"/>
                <w:sz w:val="18"/>
                <w:szCs w:val="18"/>
              </w:rPr>
            </w:pPr>
            <w:r>
              <w:rPr>
                <w:rFonts w:ascii="宋体"/>
                <w:sz w:val="18"/>
              </w:rPr>
              <w:t>5,484.</w:t>
            </w:r>
          </w:p>
          <w:p>
            <w:pPr>
              <w:pStyle w:val="TableParagraph"/>
              <w:spacing w:line="240" w:lineRule="auto" w:before="77"/>
              <w:ind w:right="23"/>
              <w:jc w:val="right"/>
              <w:rPr>
                <w:rFonts w:ascii="宋体" w:hAnsi="宋体" w:cs="宋体" w:eastAsia="宋体" w:hint="default"/>
                <w:sz w:val="18"/>
                <w:szCs w:val="18"/>
              </w:rPr>
            </w:pPr>
            <w:r>
              <w:rPr>
                <w:rFonts w:ascii="宋体"/>
                <w:sz w:val="18"/>
              </w:rPr>
              <w:t>13</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-82,44</w:t>
            </w:r>
          </w:p>
          <w:p>
            <w:pPr>
              <w:pStyle w:val="TableParagraph"/>
              <w:spacing w:line="240" w:lineRule="auto" w:before="75"/>
              <w:ind w:right="23"/>
              <w:jc w:val="right"/>
              <w:rPr>
                <w:rFonts w:ascii="宋体" w:hAnsi="宋体" w:cs="宋体" w:eastAsia="宋体" w:hint="default"/>
                <w:sz w:val="18"/>
                <w:szCs w:val="18"/>
              </w:rPr>
            </w:pPr>
            <w:r>
              <w:rPr>
                <w:rFonts w:ascii="宋体"/>
                <w:sz w:val="18"/>
              </w:rPr>
              <w:t>0,857.</w:t>
            </w:r>
          </w:p>
          <w:p>
            <w:pPr>
              <w:pStyle w:val="TableParagraph"/>
              <w:spacing w:line="240" w:lineRule="auto" w:before="77"/>
              <w:ind w:right="23"/>
              <w:jc w:val="right"/>
              <w:rPr>
                <w:rFonts w:ascii="宋体" w:hAnsi="宋体" w:cs="宋体" w:eastAsia="宋体" w:hint="default"/>
                <w:sz w:val="18"/>
                <w:szCs w:val="18"/>
              </w:rPr>
            </w:pPr>
            <w:r>
              <w:rPr>
                <w:rFonts w:ascii="宋体"/>
                <w:sz w:val="18"/>
              </w:rPr>
              <w:t>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527,32</w:t>
            </w:r>
          </w:p>
          <w:p>
            <w:pPr>
              <w:pStyle w:val="TableParagraph"/>
              <w:spacing w:line="240" w:lineRule="auto" w:before="75"/>
              <w:ind w:right="23"/>
              <w:jc w:val="right"/>
              <w:rPr>
                <w:rFonts w:ascii="宋体" w:hAnsi="宋体" w:cs="宋体" w:eastAsia="宋体" w:hint="default"/>
                <w:sz w:val="18"/>
                <w:szCs w:val="18"/>
              </w:rPr>
            </w:pPr>
            <w:r>
              <w:rPr>
                <w:rFonts w:ascii="宋体"/>
                <w:sz w:val="18"/>
              </w:rPr>
              <w:t>5,402.</w:t>
            </w:r>
          </w:p>
          <w:p>
            <w:pPr>
              <w:pStyle w:val="TableParagraph"/>
              <w:spacing w:line="240" w:lineRule="auto" w:before="77"/>
              <w:ind w:right="23"/>
              <w:jc w:val="right"/>
              <w:rPr>
                <w:rFonts w:ascii="宋体" w:hAnsi="宋体" w:cs="宋体" w:eastAsia="宋体" w:hint="default"/>
                <w:sz w:val="18"/>
                <w:szCs w:val="18"/>
              </w:rPr>
            </w:pPr>
            <w:r>
              <w:rPr>
                <w:rFonts w:ascii="宋体"/>
                <w:sz w:val="18"/>
              </w:rPr>
              <w:t>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1,150,</w:t>
            </w:r>
          </w:p>
          <w:p>
            <w:pPr>
              <w:pStyle w:val="TableParagraph"/>
              <w:spacing w:line="240" w:lineRule="auto" w:before="76"/>
              <w:ind w:left="91" w:right="0"/>
              <w:jc w:val="left"/>
              <w:rPr>
                <w:rFonts w:ascii="宋体" w:hAnsi="宋体" w:cs="宋体" w:eastAsia="宋体" w:hint="default"/>
                <w:sz w:val="18"/>
                <w:szCs w:val="18"/>
              </w:rPr>
            </w:pPr>
            <w:r>
              <w:rPr>
                <w:rFonts w:ascii="宋体"/>
                <w:sz w:val="18"/>
              </w:rPr>
              <w:t>120.02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446,03</w:t>
            </w:r>
          </w:p>
          <w:p>
            <w:pPr>
              <w:pStyle w:val="TableParagraph"/>
              <w:spacing w:line="240" w:lineRule="auto" w:before="75"/>
              <w:ind w:right="23"/>
              <w:jc w:val="right"/>
              <w:rPr>
                <w:rFonts w:ascii="宋体" w:hAnsi="宋体" w:cs="宋体" w:eastAsia="宋体" w:hint="default"/>
                <w:sz w:val="18"/>
                <w:szCs w:val="18"/>
              </w:rPr>
            </w:pPr>
            <w:r>
              <w:rPr>
                <w:rFonts w:ascii="宋体"/>
                <w:sz w:val="18"/>
              </w:rPr>
              <w:t>4,665.</w:t>
            </w:r>
          </w:p>
          <w:p>
            <w:pPr>
              <w:pStyle w:val="TableParagraph"/>
              <w:spacing w:line="240" w:lineRule="auto" w:before="77"/>
              <w:ind w:right="23"/>
              <w:jc w:val="right"/>
              <w:rPr>
                <w:rFonts w:ascii="宋体" w:hAnsi="宋体" w:cs="宋体" w:eastAsia="宋体" w:hint="default"/>
                <w:sz w:val="18"/>
                <w:szCs w:val="18"/>
              </w:rPr>
            </w:pPr>
            <w:r>
              <w:rPr>
                <w:rFonts w:ascii="宋体"/>
                <w:sz w:val="18"/>
              </w:rPr>
              <w:t>62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3,339,</w:t>
            </w:r>
          </w:p>
          <w:p>
            <w:pPr>
              <w:pStyle w:val="TableParagraph"/>
              <w:spacing w:line="240" w:lineRule="auto" w:before="76"/>
              <w:ind w:left="91" w:right="0"/>
              <w:jc w:val="left"/>
              <w:rPr>
                <w:rFonts w:ascii="宋体" w:hAnsi="宋体" w:cs="宋体" w:eastAsia="宋体" w:hint="default"/>
                <w:sz w:val="18"/>
                <w:szCs w:val="18"/>
              </w:rPr>
            </w:pPr>
            <w:r>
              <w:rPr>
                <w:rFonts w:ascii="宋体"/>
                <w:sz w:val="18"/>
              </w:rPr>
              <w:t>503.80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-3,339</w:t>
            </w:r>
          </w:p>
          <w:p>
            <w:pPr>
              <w:pStyle w:val="TableParagraph"/>
              <w:spacing w:line="240" w:lineRule="auto" w:before="75"/>
              <w:ind w:right="23"/>
              <w:jc w:val="right"/>
              <w:rPr>
                <w:rFonts w:ascii="宋体" w:hAnsi="宋体" w:cs="宋体" w:eastAsia="宋体" w:hint="default"/>
                <w:sz w:val="18"/>
                <w:szCs w:val="18"/>
              </w:rPr>
            </w:pPr>
            <w:r>
              <w:rPr>
                <w:rFonts w:ascii="宋体"/>
                <w:sz w:val="18"/>
              </w:rPr>
              <w:t>,503.8</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-639,1</w:t>
            </w:r>
          </w:p>
          <w:p>
            <w:pPr>
              <w:pStyle w:val="TableParagraph"/>
              <w:spacing w:line="240" w:lineRule="auto" w:before="76"/>
              <w:ind w:left="181" w:right="0"/>
              <w:jc w:val="left"/>
              <w:rPr>
                <w:rFonts w:ascii="宋体" w:hAnsi="宋体" w:cs="宋体" w:eastAsia="宋体" w:hint="default"/>
                <w:sz w:val="18"/>
                <w:szCs w:val="18"/>
              </w:rPr>
            </w:pPr>
            <w:r>
              <w:rPr>
                <w:rFonts w:ascii="宋体"/>
                <w:sz w:val="18"/>
              </w:rPr>
              <w:t>81.49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5" w:right="0"/>
              <w:jc w:val="left"/>
              <w:rPr>
                <w:rFonts w:ascii="宋体" w:hAnsi="宋体" w:cs="宋体" w:eastAsia="宋体" w:hint="default"/>
                <w:sz w:val="18"/>
                <w:szCs w:val="18"/>
              </w:rPr>
            </w:pPr>
            <w:r>
              <w:rPr>
                <w:rFonts w:ascii="宋体"/>
                <w:sz w:val="18"/>
              </w:rPr>
              <w:t>-639,1</w:t>
            </w:r>
          </w:p>
          <w:p>
            <w:pPr>
              <w:pStyle w:val="TableParagraph"/>
              <w:spacing w:line="240" w:lineRule="auto" w:before="76"/>
              <w:ind w:left="175" w:right="0"/>
              <w:jc w:val="left"/>
              <w:rPr>
                <w:rFonts w:ascii="宋体" w:hAnsi="宋体" w:cs="宋体" w:eastAsia="宋体" w:hint="default"/>
                <w:sz w:val="18"/>
                <w:szCs w:val="18"/>
              </w:rPr>
            </w:pPr>
            <w:r>
              <w:rPr>
                <w:rFonts w:ascii="宋体"/>
                <w:sz w:val="18"/>
              </w:rPr>
              <w:t>81.49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3,339,</w:t>
            </w:r>
          </w:p>
          <w:p>
            <w:pPr>
              <w:pStyle w:val="TableParagraph"/>
              <w:spacing w:line="240" w:lineRule="auto" w:before="76"/>
              <w:ind w:left="91" w:right="0"/>
              <w:jc w:val="left"/>
              <w:rPr>
                <w:rFonts w:ascii="宋体" w:hAnsi="宋体" w:cs="宋体" w:eastAsia="宋体" w:hint="default"/>
                <w:sz w:val="18"/>
                <w:szCs w:val="18"/>
              </w:rPr>
            </w:pPr>
            <w:r>
              <w:rPr>
                <w:rFonts w:ascii="宋体"/>
                <w:sz w:val="18"/>
              </w:rPr>
              <w:t>503.80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-3,339</w:t>
            </w:r>
          </w:p>
          <w:p>
            <w:pPr>
              <w:pStyle w:val="TableParagraph"/>
              <w:spacing w:line="240" w:lineRule="auto" w:before="75"/>
              <w:ind w:right="23"/>
              <w:jc w:val="right"/>
              <w:rPr>
                <w:rFonts w:ascii="宋体" w:hAnsi="宋体" w:cs="宋体" w:eastAsia="宋体" w:hint="default"/>
                <w:sz w:val="18"/>
                <w:szCs w:val="18"/>
              </w:rPr>
            </w:pPr>
            <w:r>
              <w:rPr>
                <w:rFonts w:ascii="宋体"/>
                <w:sz w:val="18"/>
              </w:rPr>
              <w:t>,503.8</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sz w:val="18"/>
              </w:rPr>
              <w:t>-639,1</w:t>
            </w:r>
          </w:p>
          <w:p>
            <w:pPr>
              <w:pStyle w:val="TableParagraph"/>
              <w:spacing w:line="240" w:lineRule="auto" w:before="76"/>
              <w:ind w:left="181" w:right="0"/>
              <w:jc w:val="left"/>
              <w:rPr>
                <w:rFonts w:ascii="宋体" w:hAnsi="宋体" w:cs="宋体" w:eastAsia="宋体" w:hint="default"/>
                <w:sz w:val="18"/>
                <w:szCs w:val="18"/>
              </w:rPr>
            </w:pPr>
            <w:r>
              <w:rPr>
                <w:rFonts w:ascii="宋体"/>
                <w:sz w:val="18"/>
              </w:rPr>
              <w:t>81.49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宋体" w:hAnsi="宋体" w:cs="宋体" w:eastAsia="宋体" w:hint="default"/>
                <w:sz w:val="18"/>
                <w:szCs w:val="18"/>
              </w:rPr>
            </w:pPr>
            <w:r>
              <w:rPr>
                <w:rFonts w:ascii="宋体"/>
                <w:sz w:val="18"/>
              </w:rPr>
              <w:t>-639,1</w:t>
            </w:r>
          </w:p>
          <w:p>
            <w:pPr>
              <w:pStyle w:val="TableParagraph"/>
              <w:spacing w:line="240" w:lineRule="auto" w:before="76"/>
              <w:ind w:left="175" w:right="0"/>
              <w:jc w:val="left"/>
              <w:rPr>
                <w:rFonts w:ascii="宋体" w:hAnsi="宋体" w:cs="宋体" w:eastAsia="宋体" w:hint="default"/>
                <w:sz w:val="18"/>
                <w:szCs w:val="18"/>
              </w:rPr>
            </w:pPr>
            <w:r>
              <w:rPr>
                <w:rFonts w:ascii="宋体"/>
                <w:sz w:val="18"/>
              </w:rPr>
              <w:t>81.49</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8"/>
                <w:sz w:val="18"/>
                <w:szCs w:val="18"/>
              </w:rPr>
              <w:t>（四）所有者权益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sz w:val="18"/>
              </w:rPr>
              <w:t>965,7</w:t>
            </w:r>
          </w:p>
          <w:p>
            <w:pPr>
              <w:pStyle w:val="TableParagraph"/>
              <w:spacing w:line="240" w:lineRule="auto" w:before="75"/>
              <w:ind w:left="80" w:right="0"/>
              <w:jc w:val="left"/>
              <w:rPr>
                <w:rFonts w:ascii="宋体" w:hAnsi="宋体" w:cs="宋体" w:eastAsia="宋体" w:hint="default"/>
                <w:sz w:val="18"/>
                <w:szCs w:val="18"/>
              </w:rPr>
            </w:pPr>
            <w:r>
              <w:rPr>
                <w:rFonts w:ascii="宋体"/>
                <w:sz w:val="18"/>
              </w:rPr>
              <w:t>10,78</w:t>
            </w:r>
          </w:p>
          <w:p>
            <w:pPr>
              <w:pStyle w:val="TableParagraph"/>
              <w:spacing w:line="240" w:lineRule="auto" w:before="77"/>
              <w:ind w:left="170" w:right="0"/>
              <w:jc w:val="left"/>
              <w:rPr>
                <w:rFonts w:ascii="宋体" w:hAnsi="宋体" w:cs="宋体" w:eastAsia="宋体" w:hint="default"/>
                <w:sz w:val="18"/>
                <w:szCs w:val="18"/>
              </w:rPr>
            </w:pPr>
            <w:r>
              <w:rPr>
                <w:rFonts w:ascii="宋体"/>
                <w:sz w:val="18"/>
              </w:rPr>
              <w:t>2.00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6" w:right="0"/>
              <w:jc w:val="center"/>
              <w:rPr>
                <w:rFonts w:ascii="宋体" w:hAnsi="宋体" w:cs="宋体" w:eastAsia="宋体" w:hint="default"/>
                <w:sz w:val="18"/>
                <w:szCs w:val="18"/>
              </w:rPr>
            </w:pPr>
            <w:r>
              <w:rPr>
                <w:rFonts w:ascii="宋体"/>
                <w:sz w:val="18"/>
              </w:rPr>
              <w:t>3,501,</w:t>
            </w:r>
          </w:p>
          <w:p>
            <w:pPr>
              <w:pStyle w:val="TableParagraph"/>
              <w:spacing w:line="240" w:lineRule="auto" w:before="75"/>
              <w:ind w:left="66" w:right="0"/>
              <w:jc w:val="center"/>
              <w:rPr>
                <w:rFonts w:ascii="宋体" w:hAnsi="宋体" w:cs="宋体" w:eastAsia="宋体" w:hint="default"/>
                <w:sz w:val="18"/>
                <w:szCs w:val="18"/>
              </w:rPr>
            </w:pPr>
            <w:r>
              <w:rPr>
                <w:rFonts w:ascii="宋体"/>
                <w:sz w:val="18"/>
              </w:rPr>
              <w:t>945,86</w:t>
            </w:r>
          </w:p>
          <w:p>
            <w:pPr>
              <w:pStyle w:val="TableParagraph"/>
              <w:spacing w:line="240" w:lineRule="auto" w:before="77"/>
              <w:ind w:left="247" w:right="0"/>
              <w:jc w:val="center"/>
              <w:rPr>
                <w:rFonts w:ascii="宋体" w:hAnsi="宋体" w:cs="宋体" w:eastAsia="宋体" w:hint="default"/>
                <w:sz w:val="18"/>
                <w:szCs w:val="18"/>
              </w:rPr>
            </w:pPr>
            <w:r>
              <w:rPr>
                <w:rFonts w:ascii="宋体"/>
                <w:sz w:val="18"/>
              </w:rPr>
              <w:t>4.99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-22,35</w:t>
            </w:r>
          </w:p>
          <w:p>
            <w:pPr>
              <w:pStyle w:val="TableParagraph"/>
              <w:spacing w:line="240" w:lineRule="auto" w:before="75"/>
              <w:ind w:right="23"/>
              <w:jc w:val="right"/>
              <w:rPr>
                <w:rFonts w:ascii="宋体" w:hAnsi="宋体" w:cs="宋体" w:eastAsia="宋体" w:hint="default"/>
                <w:sz w:val="18"/>
                <w:szCs w:val="18"/>
              </w:rPr>
            </w:pPr>
            <w:r>
              <w:rPr>
                <w:rFonts w:ascii="宋体"/>
                <w:sz w:val="18"/>
              </w:rPr>
              <w:t>0,357.</w:t>
            </w:r>
          </w:p>
          <w:p>
            <w:pPr>
              <w:pStyle w:val="TableParagraph"/>
              <w:spacing w:line="240" w:lineRule="auto" w:before="77"/>
              <w:ind w:right="23"/>
              <w:jc w:val="right"/>
              <w:rPr>
                <w:rFonts w:ascii="宋体" w:hAnsi="宋体" w:cs="宋体" w:eastAsia="宋体" w:hint="default"/>
                <w:sz w:val="18"/>
                <w:szCs w:val="18"/>
              </w:rPr>
            </w:pPr>
            <w:r>
              <w:rPr>
                <w:rFonts w:ascii="宋体"/>
                <w:sz w:val="18"/>
              </w:rPr>
              <w:t>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35,111</w:t>
            </w:r>
          </w:p>
          <w:p>
            <w:pPr>
              <w:pStyle w:val="TableParagraph"/>
              <w:spacing w:line="240" w:lineRule="auto" w:before="75"/>
              <w:ind w:right="20"/>
              <w:jc w:val="right"/>
              <w:rPr>
                <w:rFonts w:ascii="宋体" w:hAnsi="宋体" w:cs="宋体" w:eastAsia="宋体" w:hint="default"/>
                <w:sz w:val="18"/>
                <w:szCs w:val="18"/>
              </w:rPr>
            </w:pPr>
            <w:r>
              <w:rPr>
                <w:rFonts w:ascii="宋体"/>
                <w:sz w:val="18"/>
              </w:rPr>
              <w:t>,177.7</w:t>
            </w:r>
          </w:p>
          <w:p>
            <w:pPr>
              <w:pStyle w:val="TableParagraph"/>
              <w:spacing w:line="240" w:lineRule="auto" w:before="77"/>
              <w:ind w:right="20"/>
              <w:jc w:val="right"/>
              <w:rPr>
                <w:rFonts w:ascii="宋体" w:hAnsi="宋体" w:cs="宋体" w:eastAsia="宋体" w:hint="default"/>
                <w:sz w:val="18"/>
                <w:szCs w:val="18"/>
              </w:rPr>
            </w:pPr>
            <w:r>
              <w:rPr>
                <w:rFonts w:ascii="宋体"/>
                <w:sz w:val="18"/>
              </w:rPr>
              <w:t>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572,31</w:t>
            </w:r>
          </w:p>
          <w:p>
            <w:pPr>
              <w:pStyle w:val="TableParagraph"/>
              <w:spacing w:line="240" w:lineRule="auto" w:before="75"/>
              <w:ind w:right="23"/>
              <w:jc w:val="right"/>
              <w:rPr>
                <w:rFonts w:ascii="宋体" w:hAnsi="宋体" w:cs="宋体" w:eastAsia="宋体" w:hint="default"/>
                <w:sz w:val="18"/>
                <w:szCs w:val="18"/>
              </w:rPr>
            </w:pPr>
            <w:r>
              <w:rPr>
                <w:rFonts w:ascii="宋体"/>
                <w:sz w:val="18"/>
              </w:rPr>
              <w:t>7,683.</w:t>
            </w:r>
          </w:p>
          <w:p>
            <w:pPr>
              <w:pStyle w:val="TableParagraph"/>
              <w:spacing w:line="240" w:lineRule="auto" w:before="77"/>
              <w:ind w:right="23"/>
              <w:jc w:val="right"/>
              <w:rPr>
                <w:rFonts w:ascii="宋体" w:hAnsi="宋体" w:cs="宋体" w:eastAsia="宋体" w:hint="default"/>
                <w:sz w:val="18"/>
                <w:szCs w:val="18"/>
              </w:rPr>
            </w:pPr>
            <w:r>
              <w:rPr>
                <w:rFonts w:ascii="宋体"/>
                <w:sz w:val="18"/>
              </w:rPr>
              <w:t>43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2,426,</w:t>
            </w:r>
          </w:p>
          <w:p>
            <w:pPr>
              <w:pStyle w:val="TableParagraph"/>
              <w:spacing w:line="240" w:lineRule="auto" w:before="76"/>
              <w:ind w:left="91" w:right="0"/>
              <w:jc w:val="left"/>
              <w:rPr>
                <w:rFonts w:ascii="宋体" w:hAnsi="宋体" w:cs="宋体" w:eastAsia="宋体" w:hint="default"/>
                <w:sz w:val="18"/>
                <w:szCs w:val="18"/>
              </w:rPr>
            </w:pPr>
            <w:r>
              <w:rPr>
                <w:rFonts w:ascii="宋体"/>
                <w:sz w:val="18"/>
              </w:rPr>
              <w:t>208.55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 w:right="0"/>
              <w:jc w:val="center"/>
              <w:rPr>
                <w:rFonts w:ascii="宋体" w:hAnsi="宋体" w:cs="宋体" w:eastAsia="宋体" w:hint="default"/>
                <w:sz w:val="18"/>
                <w:szCs w:val="18"/>
              </w:rPr>
            </w:pPr>
            <w:r>
              <w:rPr>
                <w:rFonts w:ascii="宋体"/>
                <w:sz w:val="18"/>
              </w:rPr>
              <w:t>5,055,</w:t>
            </w:r>
          </w:p>
          <w:p>
            <w:pPr>
              <w:pStyle w:val="TableParagraph"/>
              <w:spacing w:line="240" w:lineRule="auto" w:before="75"/>
              <w:ind w:left="61" w:right="0"/>
              <w:jc w:val="center"/>
              <w:rPr>
                <w:rFonts w:ascii="宋体" w:hAnsi="宋体" w:cs="宋体" w:eastAsia="宋体" w:hint="default"/>
                <w:sz w:val="18"/>
                <w:szCs w:val="18"/>
              </w:rPr>
            </w:pPr>
            <w:r>
              <w:rPr>
                <w:rFonts w:ascii="宋体"/>
                <w:sz w:val="18"/>
              </w:rPr>
              <w:t>161,35</w:t>
            </w:r>
          </w:p>
          <w:p>
            <w:pPr>
              <w:pStyle w:val="TableParagraph"/>
              <w:spacing w:line="240" w:lineRule="auto" w:before="77"/>
              <w:ind w:left="241" w:right="0"/>
              <w:jc w:val="center"/>
              <w:rPr>
                <w:rFonts w:ascii="宋体" w:hAnsi="宋体" w:cs="宋体" w:eastAsia="宋体" w:hint="default"/>
                <w:sz w:val="18"/>
                <w:szCs w:val="18"/>
              </w:rPr>
            </w:pPr>
            <w:r>
              <w:rPr>
                <w:rFonts w:ascii="宋体"/>
                <w:sz w:val="18"/>
              </w:rPr>
              <w:t>9.30</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2"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51"/>
              <w:ind w:left="72" w:right="0"/>
              <w:jc w:val="left"/>
              <w:rPr>
                <w:rFonts w:ascii="宋体" w:hAnsi="宋体" w:cs="宋体" w:eastAsia="宋体" w:hint="default"/>
                <w:sz w:val="18"/>
                <w:szCs w:val="18"/>
              </w:rPr>
            </w:pPr>
            <w:r>
              <w:rPr>
                <w:rFonts w:ascii="宋体"/>
                <w:sz w:val="18"/>
              </w:rPr>
              <w:t>314,5</w:t>
            </w:r>
          </w:p>
          <w:p>
            <w:pPr>
              <w:pStyle w:val="TableParagraph"/>
              <w:spacing w:line="240" w:lineRule="auto" w:before="76"/>
              <w:ind w:left="72" w:right="0"/>
              <w:jc w:val="left"/>
              <w:rPr>
                <w:rFonts w:ascii="宋体" w:hAnsi="宋体" w:cs="宋体" w:eastAsia="宋体" w:hint="default"/>
                <w:sz w:val="18"/>
                <w:szCs w:val="18"/>
              </w:rPr>
            </w:pPr>
            <w:r>
              <w:rPr>
                <w:rFonts w:ascii="宋体"/>
                <w:sz w:val="18"/>
              </w:rPr>
              <w:t>86,69</w:t>
            </w:r>
          </w:p>
          <w:p>
            <w:pPr>
              <w:pStyle w:val="TableParagraph"/>
              <w:spacing w:line="240" w:lineRule="auto" w:before="77"/>
              <w:ind w:left="162" w:right="0"/>
              <w:jc w:val="left"/>
              <w:rPr>
                <w:rFonts w:ascii="宋体" w:hAnsi="宋体" w:cs="宋体" w:eastAsia="宋体" w:hint="default"/>
                <w:sz w:val="18"/>
                <w:szCs w:val="18"/>
              </w:rPr>
            </w:pPr>
            <w:r>
              <w:rPr>
                <w:rFonts w:ascii="宋体"/>
                <w:sz w:val="18"/>
              </w:rPr>
              <w:t>9.00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66,037</w:t>
            </w:r>
          </w:p>
          <w:p>
            <w:pPr>
              <w:pStyle w:val="TableParagraph"/>
              <w:spacing w:line="240" w:lineRule="auto" w:before="76"/>
              <w:ind w:right="21"/>
              <w:jc w:val="right"/>
              <w:rPr>
                <w:rFonts w:ascii="宋体" w:hAnsi="宋体" w:cs="宋体" w:eastAsia="宋体" w:hint="default"/>
                <w:sz w:val="18"/>
                <w:szCs w:val="18"/>
              </w:rPr>
            </w:pPr>
            <w:r>
              <w:rPr>
                <w:rFonts w:ascii="宋体"/>
                <w:sz w:val="18"/>
              </w:rPr>
              <w:t>,145.5</w:t>
            </w:r>
          </w:p>
          <w:p>
            <w:pPr>
              <w:pStyle w:val="TableParagraph"/>
              <w:spacing w:line="240" w:lineRule="auto" w:before="77"/>
              <w:ind w:right="20"/>
              <w:jc w:val="right"/>
              <w:rPr>
                <w:rFonts w:ascii="宋体" w:hAnsi="宋体" w:cs="宋体" w:eastAsia="宋体" w:hint="default"/>
                <w:sz w:val="18"/>
                <w:szCs w:val="18"/>
              </w:rPr>
            </w:pPr>
            <w:r>
              <w:rPr>
                <w:rFonts w:ascii="宋体"/>
                <w:sz w:val="18"/>
              </w:rPr>
              <w:t>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31,771</w:t>
            </w:r>
          </w:p>
          <w:p>
            <w:pPr>
              <w:pStyle w:val="TableParagraph"/>
              <w:spacing w:line="240" w:lineRule="auto" w:before="76"/>
              <w:ind w:right="23"/>
              <w:jc w:val="right"/>
              <w:rPr>
                <w:rFonts w:ascii="宋体" w:hAnsi="宋体" w:cs="宋体" w:eastAsia="宋体" w:hint="default"/>
                <w:sz w:val="18"/>
                <w:szCs w:val="18"/>
              </w:rPr>
            </w:pPr>
            <w:r>
              <w:rPr>
                <w:rFonts w:ascii="宋体"/>
                <w:sz w:val="18"/>
              </w:rPr>
              <w:t>,673.9</w:t>
            </w:r>
          </w:p>
          <w:p>
            <w:pPr>
              <w:pStyle w:val="TableParagraph"/>
              <w:spacing w:line="240" w:lineRule="auto" w:before="77"/>
              <w:ind w:right="23"/>
              <w:jc w:val="right"/>
              <w:rPr>
                <w:rFonts w:ascii="宋体" w:hAnsi="宋体" w:cs="宋体" w:eastAsia="宋体" w:hint="default"/>
                <w:sz w:val="18"/>
                <w:szCs w:val="18"/>
              </w:rPr>
            </w:pPr>
            <w:r>
              <w:rPr>
                <w:rFonts w:ascii="宋体"/>
                <w:sz w:val="18"/>
              </w:rPr>
              <w:t>4</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sz w:val="18"/>
              </w:rPr>
              <w:t>-267,7</w:t>
            </w:r>
          </w:p>
          <w:p>
            <w:pPr>
              <w:pStyle w:val="TableParagraph"/>
              <w:spacing w:line="240" w:lineRule="auto" w:before="76"/>
              <w:ind w:left="104" w:right="0"/>
              <w:jc w:val="left"/>
              <w:rPr>
                <w:rFonts w:ascii="宋体" w:hAnsi="宋体" w:cs="宋体" w:eastAsia="宋体" w:hint="default"/>
                <w:sz w:val="18"/>
                <w:szCs w:val="18"/>
              </w:rPr>
            </w:pPr>
            <w:r>
              <w:rPr>
                <w:rFonts w:ascii="宋体"/>
                <w:sz w:val="18"/>
              </w:rPr>
              <w:t>82,036</w:t>
            </w:r>
          </w:p>
          <w:p>
            <w:pPr>
              <w:pStyle w:val="TableParagraph"/>
              <w:spacing w:line="240" w:lineRule="auto" w:before="77"/>
              <w:ind w:left="374" w:right="0"/>
              <w:jc w:val="left"/>
              <w:rPr>
                <w:rFonts w:ascii="宋体" w:hAnsi="宋体" w:cs="宋体" w:eastAsia="宋体" w:hint="default"/>
                <w:sz w:val="18"/>
                <w:szCs w:val="18"/>
              </w:rPr>
            </w:pPr>
            <w:r>
              <w:rPr>
                <w:rFonts w:ascii="宋体"/>
                <w:sz w:val="18"/>
              </w:rPr>
              <w:t>.50</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 w:right="0"/>
              <w:jc w:val="center"/>
              <w:rPr>
                <w:rFonts w:ascii="宋体" w:hAnsi="宋体" w:cs="宋体" w:eastAsia="宋体" w:hint="default"/>
                <w:sz w:val="18"/>
                <w:szCs w:val="18"/>
              </w:rPr>
            </w:pPr>
            <w:r>
              <w:rPr>
                <w:rFonts w:ascii="宋体"/>
                <w:sz w:val="18"/>
              </w:rPr>
              <w:t>978,02</w:t>
            </w:r>
          </w:p>
          <w:p>
            <w:pPr>
              <w:pStyle w:val="TableParagraph"/>
              <w:spacing w:line="240" w:lineRule="auto" w:before="77"/>
              <w:ind w:left="236" w:right="0"/>
              <w:jc w:val="center"/>
              <w:rPr>
                <w:rFonts w:ascii="宋体" w:hAnsi="宋体" w:cs="宋体" w:eastAsia="宋体" w:hint="default"/>
                <w:sz w:val="18"/>
                <w:szCs w:val="18"/>
              </w:rPr>
            </w:pPr>
            <w:r>
              <w:rPr>
                <w:rFonts w:ascii="宋体"/>
                <w:sz w:val="18"/>
              </w:rPr>
              <w:t>5.13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145,59</w:t>
            </w:r>
          </w:p>
          <w:p>
            <w:pPr>
              <w:pStyle w:val="TableParagraph"/>
              <w:spacing w:line="240" w:lineRule="auto" w:before="76"/>
              <w:ind w:right="23"/>
              <w:jc w:val="right"/>
              <w:rPr>
                <w:rFonts w:ascii="宋体" w:hAnsi="宋体" w:cs="宋体" w:eastAsia="宋体" w:hint="default"/>
                <w:sz w:val="18"/>
                <w:szCs w:val="18"/>
              </w:rPr>
            </w:pPr>
            <w:r>
              <w:rPr>
                <w:rFonts w:ascii="宋体"/>
                <w:sz w:val="18"/>
              </w:rPr>
              <w:t>1,507.</w:t>
            </w:r>
          </w:p>
          <w:p>
            <w:pPr>
              <w:pStyle w:val="TableParagraph"/>
              <w:spacing w:line="240" w:lineRule="auto" w:before="77"/>
              <w:ind w:right="23"/>
              <w:jc w:val="right"/>
              <w:rPr>
                <w:rFonts w:ascii="宋体" w:hAnsi="宋体" w:cs="宋体" w:eastAsia="宋体" w:hint="default"/>
                <w:sz w:val="18"/>
                <w:szCs w:val="18"/>
              </w:rPr>
            </w:pPr>
            <w:r>
              <w:rPr>
                <w:rFonts w:ascii="宋体"/>
                <w:sz w:val="18"/>
              </w:rPr>
              <w:t>10</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51"/>
              <w:ind w:left="72" w:right="0"/>
              <w:jc w:val="left"/>
              <w:rPr>
                <w:rFonts w:ascii="宋体" w:hAnsi="宋体" w:cs="宋体" w:eastAsia="宋体" w:hint="default"/>
                <w:sz w:val="18"/>
                <w:szCs w:val="18"/>
              </w:rPr>
            </w:pPr>
            <w:r>
              <w:rPr>
                <w:rFonts w:ascii="宋体"/>
                <w:sz w:val="18"/>
              </w:rPr>
              <w:t>314,5</w:t>
            </w:r>
          </w:p>
          <w:p>
            <w:pPr>
              <w:pStyle w:val="TableParagraph"/>
              <w:spacing w:line="240" w:lineRule="auto" w:before="76"/>
              <w:ind w:left="72" w:right="0"/>
              <w:jc w:val="left"/>
              <w:rPr>
                <w:rFonts w:ascii="宋体" w:hAnsi="宋体" w:cs="宋体" w:eastAsia="宋体" w:hint="default"/>
                <w:sz w:val="18"/>
                <w:szCs w:val="18"/>
              </w:rPr>
            </w:pPr>
            <w:r>
              <w:rPr>
                <w:rFonts w:ascii="宋体"/>
                <w:sz w:val="18"/>
              </w:rPr>
              <w:t>86,69</w:t>
            </w:r>
          </w:p>
          <w:p>
            <w:pPr>
              <w:pStyle w:val="TableParagraph"/>
              <w:spacing w:line="240" w:lineRule="auto" w:before="78"/>
              <w:ind w:left="162" w:right="0"/>
              <w:jc w:val="left"/>
              <w:rPr>
                <w:rFonts w:ascii="宋体" w:hAnsi="宋体" w:cs="宋体" w:eastAsia="宋体" w:hint="default"/>
                <w:sz w:val="18"/>
                <w:szCs w:val="18"/>
              </w:rPr>
            </w:pPr>
            <w:r>
              <w:rPr>
                <w:rFonts w:ascii="宋体"/>
                <w:sz w:val="18"/>
              </w:rPr>
              <w:t>9.00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66,037</w:t>
            </w:r>
          </w:p>
          <w:p>
            <w:pPr>
              <w:pStyle w:val="TableParagraph"/>
              <w:spacing w:line="240" w:lineRule="auto" w:before="76"/>
              <w:ind w:right="21"/>
              <w:jc w:val="right"/>
              <w:rPr>
                <w:rFonts w:ascii="宋体" w:hAnsi="宋体" w:cs="宋体" w:eastAsia="宋体" w:hint="default"/>
                <w:sz w:val="18"/>
                <w:szCs w:val="18"/>
              </w:rPr>
            </w:pPr>
            <w:r>
              <w:rPr>
                <w:rFonts w:ascii="宋体"/>
                <w:sz w:val="18"/>
              </w:rPr>
              <w:t>,145.5</w:t>
            </w:r>
          </w:p>
          <w:p>
            <w:pPr>
              <w:pStyle w:val="TableParagraph"/>
              <w:spacing w:line="240" w:lineRule="auto" w:before="78"/>
              <w:ind w:right="20"/>
              <w:jc w:val="right"/>
              <w:rPr>
                <w:rFonts w:ascii="宋体" w:hAnsi="宋体" w:cs="宋体" w:eastAsia="宋体" w:hint="default"/>
                <w:sz w:val="18"/>
                <w:szCs w:val="18"/>
              </w:rPr>
            </w:pPr>
            <w:r>
              <w:rPr>
                <w:rFonts w:ascii="宋体"/>
                <w:sz w:val="18"/>
              </w:rPr>
              <w:t>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31,771</w:t>
            </w:r>
          </w:p>
          <w:p>
            <w:pPr>
              <w:pStyle w:val="TableParagraph"/>
              <w:spacing w:line="240" w:lineRule="auto" w:before="76"/>
              <w:ind w:right="23"/>
              <w:jc w:val="right"/>
              <w:rPr>
                <w:rFonts w:ascii="宋体" w:hAnsi="宋体" w:cs="宋体" w:eastAsia="宋体" w:hint="default"/>
                <w:sz w:val="18"/>
                <w:szCs w:val="18"/>
              </w:rPr>
            </w:pPr>
            <w:r>
              <w:rPr>
                <w:rFonts w:ascii="宋体"/>
                <w:sz w:val="18"/>
              </w:rPr>
              <w:t>,673.9</w:t>
            </w:r>
          </w:p>
          <w:p>
            <w:pPr>
              <w:pStyle w:val="TableParagraph"/>
              <w:spacing w:line="240" w:lineRule="auto" w:before="78"/>
              <w:ind w:right="23"/>
              <w:jc w:val="right"/>
              <w:rPr>
                <w:rFonts w:ascii="宋体" w:hAnsi="宋体" w:cs="宋体" w:eastAsia="宋体" w:hint="default"/>
                <w:sz w:val="18"/>
                <w:szCs w:val="18"/>
              </w:rPr>
            </w:pPr>
            <w:r>
              <w:rPr>
                <w:rFonts w:ascii="宋体"/>
                <w:sz w:val="18"/>
              </w:rPr>
              <w:t>4</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sz w:val="18"/>
              </w:rPr>
              <w:t>-267,7</w:t>
            </w:r>
          </w:p>
          <w:p>
            <w:pPr>
              <w:pStyle w:val="TableParagraph"/>
              <w:spacing w:line="240" w:lineRule="auto" w:before="76"/>
              <w:ind w:left="104" w:right="0"/>
              <w:jc w:val="left"/>
              <w:rPr>
                <w:rFonts w:ascii="宋体" w:hAnsi="宋体" w:cs="宋体" w:eastAsia="宋体" w:hint="default"/>
                <w:sz w:val="18"/>
                <w:szCs w:val="18"/>
              </w:rPr>
            </w:pPr>
            <w:r>
              <w:rPr>
                <w:rFonts w:ascii="宋体"/>
                <w:sz w:val="18"/>
              </w:rPr>
              <w:t>82,036</w:t>
            </w:r>
          </w:p>
          <w:p>
            <w:pPr>
              <w:pStyle w:val="TableParagraph"/>
              <w:spacing w:line="240" w:lineRule="auto" w:before="78"/>
              <w:ind w:left="374" w:right="0"/>
              <w:jc w:val="left"/>
              <w:rPr>
                <w:rFonts w:ascii="宋体" w:hAnsi="宋体" w:cs="宋体" w:eastAsia="宋体" w:hint="default"/>
                <w:sz w:val="18"/>
                <w:szCs w:val="18"/>
              </w:rPr>
            </w:pPr>
            <w:r>
              <w:rPr>
                <w:rFonts w:ascii="宋体"/>
                <w:sz w:val="18"/>
              </w:rPr>
              <w:t>.50</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 w:right="0"/>
              <w:jc w:val="center"/>
              <w:rPr>
                <w:rFonts w:ascii="宋体" w:hAnsi="宋体" w:cs="宋体" w:eastAsia="宋体" w:hint="default"/>
                <w:sz w:val="18"/>
                <w:szCs w:val="18"/>
              </w:rPr>
            </w:pPr>
            <w:r>
              <w:rPr>
                <w:rFonts w:ascii="宋体"/>
                <w:sz w:val="18"/>
              </w:rPr>
              <w:t>978,02</w:t>
            </w:r>
          </w:p>
          <w:p>
            <w:pPr>
              <w:pStyle w:val="TableParagraph"/>
              <w:spacing w:line="240" w:lineRule="auto" w:before="77"/>
              <w:ind w:left="236" w:right="0"/>
              <w:jc w:val="center"/>
              <w:rPr>
                <w:rFonts w:ascii="宋体" w:hAnsi="宋体" w:cs="宋体" w:eastAsia="宋体" w:hint="default"/>
                <w:sz w:val="18"/>
                <w:szCs w:val="18"/>
              </w:rPr>
            </w:pPr>
            <w:r>
              <w:rPr>
                <w:rFonts w:ascii="宋体"/>
                <w:sz w:val="18"/>
              </w:rPr>
              <w:t>5.13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145,59</w:t>
            </w:r>
          </w:p>
          <w:p>
            <w:pPr>
              <w:pStyle w:val="TableParagraph"/>
              <w:spacing w:line="240" w:lineRule="auto" w:before="76"/>
              <w:ind w:right="23"/>
              <w:jc w:val="right"/>
              <w:rPr>
                <w:rFonts w:ascii="宋体" w:hAnsi="宋体" w:cs="宋体" w:eastAsia="宋体" w:hint="default"/>
                <w:sz w:val="18"/>
                <w:szCs w:val="18"/>
              </w:rPr>
            </w:pPr>
            <w:r>
              <w:rPr>
                <w:rFonts w:ascii="宋体"/>
                <w:sz w:val="18"/>
              </w:rPr>
              <w:t>1,507.</w:t>
            </w:r>
          </w:p>
          <w:p>
            <w:pPr>
              <w:pStyle w:val="TableParagraph"/>
              <w:spacing w:line="240" w:lineRule="auto" w:before="78"/>
              <w:ind w:right="23"/>
              <w:jc w:val="right"/>
              <w:rPr>
                <w:rFonts w:ascii="宋体" w:hAnsi="宋体" w:cs="宋体" w:eastAsia="宋体" w:hint="default"/>
                <w:sz w:val="18"/>
                <w:szCs w:val="18"/>
              </w:rPr>
            </w:pPr>
            <w:r>
              <w:rPr>
                <w:rFonts w:ascii="宋体"/>
                <w:sz w:val="18"/>
              </w:rPr>
              <w:t>10</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金额（减少以 “－”号填列）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67" w:right="0"/>
              <w:jc w:val="left"/>
              <w:rPr>
                <w:rFonts w:ascii="宋体" w:hAnsi="宋体" w:cs="宋体" w:eastAsia="宋体" w:hint="default"/>
                <w:sz w:val="18"/>
                <w:szCs w:val="18"/>
              </w:rPr>
            </w:pPr>
            <w:r>
              <w:rPr>
                <w:rFonts w:ascii="宋体"/>
                <w:sz w:val="18"/>
              </w:rPr>
              <w:t>651,1</w:t>
            </w:r>
          </w:p>
          <w:p>
            <w:pPr>
              <w:pStyle w:val="TableParagraph"/>
              <w:spacing w:line="240" w:lineRule="auto" w:before="76"/>
              <w:ind w:left="67" w:right="0"/>
              <w:jc w:val="left"/>
              <w:rPr>
                <w:rFonts w:ascii="宋体" w:hAnsi="宋体" w:cs="宋体" w:eastAsia="宋体" w:hint="default"/>
                <w:sz w:val="18"/>
                <w:szCs w:val="18"/>
              </w:rPr>
            </w:pPr>
            <w:r>
              <w:rPr>
                <w:rFonts w:ascii="宋体"/>
                <w:sz w:val="18"/>
              </w:rPr>
              <w:t>24,08</w:t>
            </w:r>
          </w:p>
          <w:p>
            <w:pPr>
              <w:pStyle w:val="TableParagraph"/>
              <w:spacing w:line="240" w:lineRule="auto" w:before="77"/>
              <w:ind w:left="157" w:right="0"/>
              <w:jc w:val="left"/>
              <w:rPr>
                <w:rFonts w:ascii="宋体" w:hAnsi="宋体" w:cs="宋体" w:eastAsia="宋体" w:hint="default"/>
                <w:sz w:val="18"/>
                <w:szCs w:val="18"/>
              </w:rPr>
            </w:pPr>
            <w:r>
              <w:rPr>
                <w:rFonts w:ascii="宋体"/>
                <w:sz w:val="18"/>
              </w:rPr>
              <w:t>3.00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9" w:right="0"/>
              <w:jc w:val="center"/>
              <w:rPr>
                <w:rFonts w:ascii="宋体" w:hAnsi="宋体" w:cs="宋体" w:eastAsia="宋体" w:hint="default"/>
                <w:sz w:val="18"/>
                <w:szCs w:val="18"/>
              </w:rPr>
            </w:pPr>
            <w:r>
              <w:rPr>
                <w:rFonts w:ascii="宋体"/>
                <w:sz w:val="18"/>
              </w:rPr>
              <w:t>3,435,</w:t>
            </w:r>
          </w:p>
          <w:p>
            <w:pPr>
              <w:pStyle w:val="TableParagraph"/>
              <w:spacing w:line="240" w:lineRule="auto" w:before="76"/>
              <w:ind w:left="69" w:right="0"/>
              <w:jc w:val="center"/>
              <w:rPr>
                <w:rFonts w:ascii="宋体" w:hAnsi="宋体" w:cs="宋体" w:eastAsia="宋体" w:hint="default"/>
                <w:sz w:val="18"/>
                <w:szCs w:val="18"/>
              </w:rPr>
            </w:pPr>
            <w:r>
              <w:rPr>
                <w:rFonts w:ascii="宋体"/>
                <w:sz w:val="18"/>
              </w:rPr>
              <w:t>908,71</w:t>
            </w:r>
          </w:p>
          <w:p>
            <w:pPr>
              <w:pStyle w:val="TableParagraph"/>
              <w:spacing w:line="240" w:lineRule="auto" w:before="77"/>
              <w:ind w:left="250" w:right="0"/>
              <w:jc w:val="center"/>
              <w:rPr>
                <w:rFonts w:ascii="宋体" w:hAnsi="宋体" w:cs="宋体" w:eastAsia="宋体" w:hint="default"/>
                <w:sz w:val="18"/>
                <w:szCs w:val="18"/>
              </w:rPr>
            </w:pPr>
            <w:r>
              <w:rPr>
                <w:rFonts w:ascii="宋体"/>
                <w:sz w:val="18"/>
              </w:rPr>
              <w:t>9.46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60,090</w:t>
            </w:r>
          </w:p>
          <w:p>
            <w:pPr>
              <w:pStyle w:val="TableParagraph"/>
              <w:spacing w:line="240" w:lineRule="auto" w:before="76"/>
              <w:ind w:right="23"/>
              <w:jc w:val="right"/>
              <w:rPr>
                <w:rFonts w:ascii="宋体" w:hAnsi="宋体" w:cs="宋体" w:eastAsia="宋体" w:hint="default"/>
                <w:sz w:val="18"/>
                <w:szCs w:val="18"/>
              </w:rPr>
            </w:pPr>
            <w:r>
              <w:rPr>
                <w:rFonts w:ascii="宋体"/>
                <w:sz w:val="18"/>
              </w:rPr>
              <w:t>,499.6</w:t>
            </w:r>
          </w:p>
          <w:p>
            <w:pPr>
              <w:pStyle w:val="TableParagraph"/>
              <w:spacing w:line="240" w:lineRule="auto" w:before="77"/>
              <w:ind w:right="23"/>
              <w:jc w:val="right"/>
              <w:rPr>
                <w:rFonts w:ascii="宋体" w:hAnsi="宋体" w:cs="宋体" w:eastAsia="宋体" w:hint="default"/>
                <w:sz w:val="18"/>
                <w:szCs w:val="18"/>
              </w:rPr>
            </w:pPr>
            <w:r>
              <w:rPr>
                <w:rFonts w:ascii="宋体"/>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316,11</w:t>
            </w:r>
          </w:p>
          <w:p>
            <w:pPr>
              <w:pStyle w:val="TableParagraph"/>
              <w:spacing w:line="240" w:lineRule="auto" w:before="76"/>
              <w:ind w:right="23"/>
              <w:jc w:val="right"/>
              <w:rPr>
                <w:rFonts w:ascii="宋体" w:hAnsi="宋体" w:cs="宋体" w:eastAsia="宋体" w:hint="default"/>
                <w:sz w:val="18"/>
                <w:szCs w:val="18"/>
              </w:rPr>
            </w:pPr>
            <w:r>
              <w:rPr>
                <w:rFonts w:ascii="宋体"/>
                <w:sz w:val="18"/>
              </w:rPr>
              <w:t>3,821.</w:t>
            </w:r>
          </w:p>
          <w:p>
            <w:pPr>
              <w:pStyle w:val="TableParagraph"/>
              <w:spacing w:line="240" w:lineRule="auto" w:before="77"/>
              <w:ind w:right="23"/>
              <w:jc w:val="right"/>
              <w:rPr>
                <w:rFonts w:ascii="宋体" w:hAnsi="宋体" w:cs="宋体" w:eastAsia="宋体" w:hint="default"/>
                <w:sz w:val="18"/>
                <w:szCs w:val="18"/>
              </w:rPr>
            </w:pPr>
            <w:r>
              <w:rPr>
                <w:rFonts w:ascii="宋体"/>
                <w:sz w:val="18"/>
              </w:rPr>
              <w:t>03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 w:right="0"/>
              <w:jc w:val="center"/>
              <w:rPr>
                <w:rFonts w:ascii="宋体" w:hAnsi="宋体" w:cs="宋体" w:eastAsia="宋体" w:hint="default"/>
                <w:sz w:val="18"/>
                <w:szCs w:val="18"/>
              </w:rPr>
            </w:pPr>
            <w:r>
              <w:rPr>
                <w:rFonts w:ascii="宋体"/>
                <w:sz w:val="18"/>
              </w:rPr>
              <w:t>937,24</w:t>
            </w:r>
          </w:p>
          <w:p>
            <w:pPr>
              <w:pStyle w:val="TableParagraph"/>
              <w:spacing w:line="240" w:lineRule="auto" w:before="77"/>
              <w:ind w:left="236" w:right="0"/>
              <w:jc w:val="center"/>
              <w:rPr>
                <w:rFonts w:ascii="宋体" w:hAnsi="宋体" w:cs="宋体" w:eastAsia="宋体" w:hint="default"/>
                <w:sz w:val="18"/>
                <w:szCs w:val="18"/>
              </w:rPr>
            </w:pPr>
            <w:r>
              <w:rPr>
                <w:rFonts w:ascii="宋体"/>
                <w:sz w:val="18"/>
              </w:rPr>
              <w:t>4.89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 w:right="0"/>
              <w:jc w:val="center"/>
              <w:rPr>
                <w:rFonts w:ascii="宋体" w:hAnsi="宋体" w:cs="宋体" w:eastAsia="宋体" w:hint="default"/>
                <w:sz w:val="18"/>
                <w:szCs w:val="18"/>
              </w:rPr>
            </w:pPr>
            <w:r>
              <w:rPr>
                <w:rFonts w:ascii="宋体"/>
                <w:sz w:val="18"/>
              </w:rPr>
              <w:t>4,464,</w:t>
            </w:r>
          </w:p>
          <w:p>
            <w:pPr>
              <w:pStyle w:val="TableParagraph"/>
              <w:spacing w:line="240" w:lineRule="auto" w:before="76"/>
              <w:ind w:left="61" w:right="0"/>
              <w:jc w:val="center"/>
              <w:rPr>
                <w:rFonts w:ascii="宋体" w:hAnsi="宋体" w:cs="宋体" w:eastAsia="宋体" w:hint="default"/>
                <w:sz w:val="18"/>
                <w:szCs w:val="18"/>
              </w:rPr>
            </w:pPr>
            <w:r>
              <w:rPr>
                <w:rFonts w:ascii="宋体"/>
                <w:sz w:val="18"/>
              </w:rPr>
              <w:t>174,36</w:t>
            </w:r>
          </w:p>
          <w:p>
            <w:pPr>
              <w:pStyle w:val="TableParagraph"/>
              <w:spacing w:line="240" w:lineRule="auto" w:before="77"/>
              <w:ind w:left="241" w:right="0"/>
              <w:jc w:val="center"/>
              <w:rPr>
                <w:rFonts w:ascii="宋体" w:hAnsi="宋体" w:cs="宋体" w:eastAsia="宋体" w:hint="default"/>
                <w:sz w:val="18"/>
                <w:szCs w:val="18"/>
              </w:rPr>
            </w:pPr>
            <w:r>
              <w:rPr>
                <w:rFonts w:ascii="宋体"/>
                <w:sz w:val="18"/>
              </w:rPr>
              <w:t>8.07</w:t>
            </w:r>
          </w:p>
        </w:tc>
      </w:tr>
    </w:tbl>
    <w:p>
      <w:pPr>
        <w:spacing w:after="0" w:line="240" w:lineRule="auto"/>
        <w:jc w:val="center"/>
        <w:rPr>
          <w:rFonts w:ascii="宋体" w:hAnsi="宋体" w:cs="宋体" w:eastAsia="宋体" w:hint="default"/>
          <w:sz w:val="18"/>
          <w:szCs w:val="18"/>
        </w:rPr>
        <w:sectPr>
          <w:pgSz w:w="11910" w:h="16840"/>
          <w:pgMar w:header="877" w:footer="1187" w:top="1100" w:bottom="13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60,090</w:t>
            </w:r>
          </w:p>
          <w:p>
            <w:pPr>
              <w:pStyle w:val="TableParagraph"/>
              <w:spacing w:line="240" w:lineRule="auto" w:before="76"/>
              <w:ind w:right="23"/>
              <w:jc w:val="right"/>
              <w:rPr>
                <w:rFonts w:ascii="宋体" w:hAnsi="宋体" w:cs="宋体" w:eastAsia="宋体" w:hint="default"/>
                <w:sz w:val="18"/>
                <w:szCs w:val="18"/>
              </w:rPr>
            </w:pPr>
            <w:r>
              <w:rPr>
                <w:rFonts w:ascii="宋体"/>
                <w:sz w:val="18"/>
              </w:rPr>
              <w:t>,499.6</w:t>
            </w:r>
          </w:p>
          <w:p>
            <w:pPr>
              <w:pStyle w:val="TableParagraph"/>
              <w:spacing w:line="240" w:lineRule="auto" w:before="77"/>
              <w:ind w:right="23"/>
              <w:jc w:val="right"/>
              <w:rPr>
                <w:rFonts w:ascii="宋体" w:hAnsi="宋体" w:cs="宋体" w:eastAsia="宋体" w:hint="default"/>
                <w:sz w:val="18"/>
                <w:szCs w:val="18"/>
              </w:rPr>
            </w:pPr>
            <w:r>
              <w:rPr>
                <w:rFonts w:ascii="宋体"/>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316,11</w:t>
            </w:r>
          </w:p>
          <w:p>
            <w:pPr>
              <w:pStyle w:val="TableParagraph"/>
              <w:spacing w:line="240" w:lineRule="auto" w:before="76"/>
              <w:ind w:right="23"/>
              <w:jc w:val="right"/>
              <w:rPr>
                <w:rFonts w:ascii="宋体" w:hAnsi="宋体" w:cs="宋体" w:eastAsia="宋体" w:hint="default"/>
                <w:sz w:val="18"/>
                <w:szCs w:val="18"/>
              </w:rPr>
            </w:pPr>
            <w:r>
              <w:rPr>
                <w:rFonts w:ascii="宋体"/>
                <w:sz w:val="18"/>
              </w:rPr>
              <w:t>3,821.</w:t>
            </w:r>
          </w:p>
          <w:p>
            <w:pPr>
              <w:pStyle w:val="TableParagraph"/>
              <w:spacing w:line="240" w:lineRule="auto" w:before="77"/>
              <w:ind w:right="23"/>
              <w:jc w:val="right"/>
              <w:rPr>
                <w:rFonts w:ascii="宋体" w:hAnsi="宋体" w:cs="宋体" w:eastAsia="宋体" w:hint="default"/>
                <w:sz w:val="18"/>
                <w:szCs w:val="18"/>
              </w:rPr>
            </w:pPr>
            <w:r>
              <w:rPr>
                <w:rFonts w:ascii="宋体"/>
                <w:sz w:val="18"/>
              </w:rPr>
              <w:t>03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6" w:right="0"/>
              <w:jc w:val="center"/>
              <w:rPr>
                <w:rFonts w:ascii="宋体" w:hAnsi="宋体" w:cs="宋体" w:eastAsia="宋体" w:hint="default"/>
                <w:sz w:val="18"/>
                <w:szCs w:val="18"/>
              </w:rPr>
            </w:pPr>
            <w:r>
              <w:rPr>
                <w:rFonts w:ascii="宋体"/>
                <w:sz w:val="18"/>
              </w:rPr>
              <w:t>145,83</w:t>
            </w:r>
          </w:p>
          <w:p>
            <w:pPr>
              <w:pStyle w:val="TableParagraph"/>
              <w:spacing w:line="240" w:lineRule="auto" w:before="77"/>
              <w:ind w:left="236" w:right="0"/>
              <w:jc w:val="center"/>
              <w:rPr>
                <w:rFonts w:ascii="宋体" w:hAnsi="宋体" w:cs="宋体" w:eastAsia="宋体" w:hint="default"/>
                <w:sz w:val="18"/>
                <w:szCs w:val="18"/>
              </w:rPr>
            </w:pPr>
            <w:r>
              <w:rPr>
                <w:rFonts w:ascii="宋体"/>
                <w:sz w:val="18"/>
              </w:rPr>
              <w:t>3.78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376,35</w:t>
            </w:r>
          </w:p>
          <w:p>
            <w:pPr>
              <w:pStyle w:val="TableParagraph"/>
              <w:spacing w:line="240" w:lineRule="auto" w:before="76"/>
              <w:ind w:right="23"/>
              <w:jc w:val="right"/>
              <w:rPr>
                <w:rFonts w:ascii="宋体" w:hAnsi="宋体" w:cs="宋体" w:eastAsia="宋体" w:hint="default"/>
                <w:sz w:val="18"/>
                <w:szCs w:val="18"/>
              </w:rPr>
            </w:pPr>
            <w:r>
              <w:rPr>
                <w:rFonts w:ascii="宋体"/>
                <w:sz w:val="18"/>
              </w:rPr>
              <w:t>0,154.</w:t>
            </w:r>
          </w:p>
          <w:p>
            <w:pPr>
              <w:pStyle w:val="TableParagraph"/>
              <w:spacing w:line="240" w:lineRule="auto" w:before="77"/>
              <w:ind w:right="23"/>
              <w:jc w:val="right"/>
              <w:rPr>
                <w:rFonts w:ascii="宋体" w:hAnsi="宋体" w:cs="宋体" w:eastAsia="宋体" w:hint="default"/>
                <w:sz w:val="18"/>
                <w:szCs w:val="18"/>
              </w:rPr>
            </w:pPr>
            <w:r>
              <w:rPr>
                <w:rFonts w:ascii="宋体"/>
                <w:sz w:val="18"/>
              </w:rPr>
              <w:t>50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sz w:val="18"/>
              </w:rPr>
              <w:t>651,1</w:t>
            </w:r>
          </w:p>
          <w:p>
            <w:pPr>
              <w:pStyle w:val="TableParagraph"/>
              <w:spacing w:line="240" w:lineRule="auto" w:before="77"/>
              <w:ind w:left="79" w:right="0"/>
              <w:jc w:val="left"/>
              <w:rPr>
                <w:rFonts w:ascii="宋体" w:hAnsi="宋体" w:cs="宋体" w:eastAsia="宋体" w:hint="default"/>
                <w:sz w:val="18"/>
                <w:szCs w:val="18"/>
              </w:rPr>
            </w:pPr>
            <w:r>
              <w:rPr>
                <w:rFonts w:ascii="宋体"/>
                <w:sz w:val="18"/>
              </w:rPr>
              <w:t>24,08</w:t>
            </w:r>
          </w:p>
          <w:p>
            <w:pPr>
              <w:pStyle w:val="TableParagraph"/>
              <w:spacing w:line="240" w:lineRule="auto" w:before="77"/>
              <w:ind w:left="169" w:right="0"/>
              <w:jc w:val="left"/>
              <w:rPr>
                <w:rFonts w:ascii="宋体" w:hAnsi="宋体" w:cs="宋体" w:eastAsia="宋体" w:hint="default"/>
                <w:sz w:val="18"/>
                <w:szCs w:val="18"/>
              </w:rPr>
            </w:pPr>
            <w:r>
              <w:rPr>
                <w:rFonts w:ascii="宋体"/>
                <w:sz w:val="18"/>
              </w:rPr>
              <w:t>3.00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9" w:right="0"/>
              <w:jc w:val="center"/>
              <w:rPr>
                <w:rFonts w:ascii="宋体" w:hAnsi="宋体" w:cs="宋体" w:eastAsia="宋体" w:hint="default"/>
                <w:sz w:val="18"/>
                <w:szCs w:val="18"/>
              </w:rPr>
            </w:pPr>
            <w:r>
              <w:rPr>
                <w:rFonts w:ascii="宋体"/>
                <w:sz w:val="18"/>
              </w:rPr>
              <w:t>3,439,</w:t>
            </w:r>
          </w:p>
          <w:p>
            <w:pPr>
              <w:pStyle w:val="TableParagraph"/>
              <w:spacing w:line="240" w:lineRule="auto" w:before="77"/>
              <w:ind w:left="69" w:right="0"/>
              <w:jc w:val="center"/>
              <w:rPr>
                <w:rFonts w:ascii="宋体" w:hAnsi="宋体" w:cs="宋体" w:eastAsia="宋体" w:hint="default"/>
                <w:sz w:val="18"/>
                <w:szCs w:val="18"/>
              </w:rPr>
            </w:pPr>
            <w:r>
              <w:rPr>
                <w:rFonts w:ascii="宋体"/>
                <w:sz w:val="18"/>
              </w:rPr>
              <w:t>492,83</w:t>
            </w:r>
          </w:p>
          <w:p>
            <w:pPr>
              <w:pStyle w:val="TableParagraph"/>
              <w:spacing w:line="240" w:lineRule="auto" w:before="77"/>
              <w:ind w:left="250" w:right="0"/>
              <w:jc w:val="center"/>
              <w:rPr>
                <w:rFonts w:ascii="宋体" w:hAnsi="宋体" w:cs="宋体" w:eastAsia="宋体" w:hint="default"/>
                <w:sz w:val="18"/>
                <w:szCs w:val="18"/>
              </w:rPr>
            </w:pPr>
            <w:r>
              <w:rPr>
                <w:rFonts w:ascii="宋体"/>
                <w:sz w:val="18"/>
              </w:rPr>
              <w:t>1.14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 w:right="0"/>
              <w:jc w:val="center"/>
              <w:rPr>
                <w:rFonts w:ascii="宋体" w:hAnsi="宋体" w:cs="宋体" w:eastAsia="宋体" w:hint="default"/>
                <w:sz w:val="18"/>
                <w:szCs w:val="18"/>
              </w:rPr>
            </w:pPr>
            <w:r>
              <w:rPr>
                <w:rFonts w:ascii="宋体"/>
                <w:sz w:val="18"/>
              </w:rPr>
              <w:t>4,090,</w:t>
            </w:r>
          </w:p>
          <w:p>
            <w:pPr>
              <w:pStyle w:val="TableParagraph"/>
              <w:spacing w:line="240" w:lineRule="auto" w:before="77"/>
              <w:ind w:left="61" w:right="0"/>
              <w:jc w:val="center"/>
              <w:rPr>
                <w:rFonts w:ascii="宋体" w:hAnsi="宋体" w:cs="宋体" w:eastAsia="宋体" w:hint="default"/>
                <w:sz w:val="18"/>
                <w:szCs w:val="18"/>
              </w:rPr>
            </w:pPr>
            <w:r>
              <w:rPr>
                <w:rFonts w:ascii="宋体"/>
                <w:sz w:val="18"/>
              </w:rPr>
              <w:t>616,91</w:t>
            </w:r>
          </w:p>
          <w:p>
            <w:pPr>
              <w:pStyle w:val="TableParagraph"/>
              <w:spacing w:line="240" w:lineRule="auto" w:before="77"/>
              <w:ind w:left="241" w:right="0"/>
              <w:jc w:val="center"/>
              <w:rPr>
                <w:rFonts w:ascii="宋体" w:hAnsi="宋体" w:cs="宋体" w:eastAsia="宋体" w:hint="default"/>
                <w:sz w:val="18"/>
                <w:szCs w:val="18"/>
              </w:rPr>
            </w:pPr>
            <w:r>
              <w:rPr>
                <w:rFonts w:ascii="宋体"/>
                <w:sz w:val="18"/>
              </w:rPr>
              <w:t>4.14</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sz w:val="18"/>
              </w:rPr>
              <w:t>651,1</w:t>
            </w:r>
          </w:p>
          <w:p>
            <w:pPr>
              <w:pStyle w:val="TableParagraph"/>
              <w:spacing w:line="240" w:lineRule="auto" w:before="76"/>
              <w:ind w:left="79" w:right="0"/>
              <w:jc w:val="left"/>
              <w:rPr>
                <w:rFonts w:ascii="宋体" w:hAnsi="宋体" w:cs="宋体" w:eastAsia="宋体" w:hint="default"/>
                <w:sz w:val="18"/>
                <w:szCs w:val="18"/>
              </w:rPr>
            </w:pPr>
            <w:r>
              <w:rPr>
                <w:rFonts w:ascii="宋体"/>
                <w:sz w:val="18"/>
              </w:rPr>
              <w:t>24,08</w:t>
            </w:r>
          </w:p>
          <w:p>
            <w:pPr>
              <w:pStyle w:val="TableParagraph"/>
              <w:spacing w:line="240" w:lineRule="auto" w:before="77"/>
              <w:ind w:left="169" w:right="0"/>
              <w:jc w:val="left"/>
              <w:rPr>
                <w:rFonts w:ascii="宋体" w:hAnsi="宋体" w:cs="宋体" w:eastAsia="宋体" w:hint="default"/>
                <w:sz w:val="18"/>
                <w:szCs w:val="18"/>
              </w:rPr>
            </w:pPr>
            <w:r>
              <w:rPr>
                <w:rFonts w:ascii="宋体"/>
                <w:sz w:val="18"/>
              </w:rPr>
              <w:t>3.00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9" w:right="0"/>
              <w:jc w:val="center"/>
              <w:rPr>
                <w:rFonts w:ascii="宋体" w:hAnsi="宋体" w:cs="宋体" w:eastAsia="宋体" w:hint="default"/>
                <w:sz w:val="18"/>
                <w:szCs w:val="18"/>
              </w:rPr>
            </w:pPr>
            <w:r>
              <w:rPr>
                <w:rFonts w:ascii="宋体"/>
                <w:sz w:val="18"/>
              </w:rPr>
              <w:t>3,439,</w:t>
            </w:r>
          </w:p>
          <w:p>
            <w:pPr>
              <w:pStyle w:val="TableParagraph"/>
              <w:spacing w:line="240" w:lineRule="auto" w:before="76"/>
              <w:ind w:left="69" w:right="0"/>
              <w:jc w:val="center"/>
              <w:rPr>
                <w:rFonts w:ascii="宋体" w:hAnsi="宋体" w:cs="宋体" w:eastAsia="宋体" w:hint="default"/>
                <w:sz w:val="18"/>
                <w:szCs w:val="18"/>
              </w:rPr>
            </w:pPr>
            <w:r>
              <w:rPr>
                <w:rFonts w:ascii="宋体"/>
                <w:sz w:val="18"/>
              </w:rPr>
              <w:t>492,83</w:t>
            </w:r>
          </w:p>
          <w:p>
            <w:pPr>
              <w:pStyle w:val="TableParagraph"/>
              <w:spacing w:line="240" w:lineRule="auto" w:before="77"/>
              <w:ind w:left="250" w:right="0"/>
              <w:jc w:val="center"/>
              <w:rPr>
                <w:rFonts w:ascii="宋体" w:hAnsi="宋体" w:cs="宋体" w:eastAsia="宋体" w:hint="default"/>
                <w:sz w:val="18"/>
                <w:szCs w:val="18"/>
              </w:rPr>
            </w:pPr>
            <w:r>
              <w:rPr>
                <w:rFonts w:ascii="宋体"/>
                <w:sz w:val="18"/>
              </w:rPr>
              <w:t>1.14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 w:right="0"/>
              <w:jc w:val="center"/>
              <w:rPr>
                <w:rFonts w:ascii="宋体" w:hAnsi="宋体" w:cs="宋体" w:eastAsia="宋体" w:hint="default"/>
                <w:sz w:val="18"/>
                <w:szCs w:val="18"/>
              </w:rPr>
            </w:pPr>
            <w:r>
              <w:rPr>
                <w:rFonts w:ascii="宋体"/>
                <w:sz w:val="18"/>
              </w:rPr>
              <w:t>4,090,</w:t>
            </w:r>
          </w:p>
          <w:p>
            <w:pPr>
              <w:pStyle w:val="TableParagraph"/>
              <w:spacing w:line="240" w:lineRule="auto" w:before="76"/>
              <w:ind w:left="61" w:right="0"/>
              <w:jc w:val="center"/>
              <w:rPr>
                <w:rFonts w:ascii="宋体" w:hAnsi="宋体" w:cs="宋体" w:eastAsia="宋体" w:hint="default"/>
                <w:sz w:val="18"/>
                <w:szCs w:val="18"/>
              </w:rPr>
            </w:pPr>
            <w:r>
              <w:rPr>
                <w:rFonts w:ascii="宋体"/>
                <w:sz w:val="18"/>
              </w:rPr>
              <w:t>616,91</w:t>
            </w:r>
          </w:p>
          <w:p>
            <w:pPr>
              <w:pStyle w:val="TableParagraph"/>
              <w:spacing w:line="240" w:lineRule="auto" w:before="77"/>
              <w:ind w:left="241" w:right="0"/>
              <w:jc w:val="center"/>
              <w:rPr>
                <w:rFonts w:ascii="宋体" w:hAnsi="宋体" w:cs="宋体" w:eastAsia="宋体" w:hint="default"/>
                <w:sz w:val="18"/>
                <w:szCs w:val="18"/>
              </w:rPr>
            </w:pPr>
            <w:r>
              <w:rPr>
                <w:rFonts w:ascii="宋体"/>
                <w:sz w:val="18"/>
              </w:rPr>
              <w:t>4.14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-3,584</w:t>
            </w:r>
          </w:p>
          <w:p>
            <w:pPr>
              <w:pStyle w:val="TableParagraph"/>
              <w:spacing w:line="240" w:lineRule="auto" w:before="76"/>
              <w:ind w:right="21"/>
              <w:jc w:val="right"/>
              <w:rPr>
                <w:rFonts w:ascii="宋体" w:hAnsi="宋体" w:cs="宋体" w:eastAsia="宋体" w:hint="default"/>
                <w:sz w:val="18"/>
                <w:szCs w:val="18"/>
              </w:rPr>
            </w:pPr>
            <w:r>
              <w:rPr>
                <w:rFonts w:ascii="宋体"/>
                <w:sz w:val="18"/>
              </w:rPr>
              <w:t>,111.6</w:t>
            </w:r>
          </w:p>
          <w:p>
            <w:pPr>
              <w:pStyle w:val="TableParagraph"/>
              <w:spacing w:line="240" w:lineRule="auto" w:before="77"/>
              <w:ind w:right="20"/>
              <w:jc w:val="right"/>
              <w:rPr>
                <w:rFonts w:ascii="宋体" w:hAnsi="宋体" w:cs="宋体" w:eastAsia="宋体" w:hint="default"/>
                <w:sz w:val="18"/>
                <w:szCs w:val="18"/>
              </w:rPr>
            </w:pPr>
            <w:r>
              <w:rPr>
                <w:rFonts w:ascii="宋体"/>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56" w:right="0"/>
              <w:jc w:val="center"/>
              <w:rPr>
                <w:rFonts w:ascii="宋体" w:hAnsi="宋体" w:cs="宋体" w:eastAsia="宋体" w:hint="default"/>
                <w:sz w:val="18"/>
                <w:szCs w:val="18"/>
              </w:rPr>
            </w:pPr>
            <w:r>
              <w:rPr>
                <w:rFonts w:ascii="宋体"/>
                <w:sz w:val="18"/>
              </w:rPr>
              <w:t>791,41</w:t>
            </w:r>
          </w:p>
          <w:p>
            <w:pPr>
              <w:pStyle w:val="TableParagraph"/>
              <w:spacing w:line="240" w:lineRule="auto" w:before="77"/>
              <w:ind w:left="236" w:right="0"/>
              <w:jc w:val="center"/>
              <w:rPr>
                <w:rFonts w:ascii="宋体" w:hAnsi="宋体" w:cs="宋体" w:eastAsia="宋体" w:hint="default"/>
                <w:sz w:val="18"/>
                <w:szCs w:val="18"/>
              </w:rPr>
            </w:pPr>
            <w:r>
              <w:rPr>
                <w:rFonts w:ascii="宋体"/>
                <w:sz w:val="18"/>
              </w:rPr>
              <w:t>1.11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-2,792</w:t>
            </w:r>
          </w:p>
          <w:p>
            <w:pPr>
              <w:pStyle w:val="TableParagraph"/>
              <w:spacing w:line="240" w:lineRule="auto" w:before="76"/>
              <w:ind w:right="23"/>
              <w:jc w:val="right"/>
              <w:rPr>
                <w:rFonts w:ascii="宋体" w:hAnsi="宋体" w:cs="宋体" w:eastAsia="宋体" w:hint="default"/>
                <w:sz w:val="18"/>
                <w:szCs w:val="18"/>
              </w:rPr>
            </w:pPr>
            <w:r>
              <w:rPr>
                <w:rFonts w:ascii="宋体"/>
                <w:sz w:val="18"/>
              </w:rPr>
              <w:t>,700.5</w:t>
            </w:r>
          </w:p>
          <w:p>
            <w:pPr>
              <w:pStyle w:val="TableParagraph"/>
              <w:spacing w:line="240" w:lineRule="auto" w:before="77"/>
              <w:ind w:right="23"/>
              <w:jc w:val="right"/>
              <w:rPr>
                <w:rFonts w:ascii="宋体" w:hAnsi="宋体" w:cs="宋体" w:eastAsia="宋体" w:hint="default"/>
                <w:sz w:val="18"/>
                <w:szCs w:val="18"/>
              </w:rPr>
            </w:pPr>
            <w:r>
              <w:rPr>
                <w:rFonts w:ascii="宋体"/>
                <w:sz w:val="18"/>
              </w:rPr>
              <w:t>7</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79" w:right="0"/>
              <w:jc w:val="left"/>
              <w:rPr>
                <w:rFonts w:ascii="宋体" w:hAnsi="宋体" w:cs="宋体" w:eastAsia="宋体" w:hint="default"/>
                <w:sz w:val="18"/>
                <w:szCs w:val="18"/>
              </w:rPr>
            </w:pPr>
            <w:r>
              <w:rPr>
                <w:rFonts w:ascii="宋体"/>
                <w:sz w:val="18"/>
              </w:rPr>
              <w:t>965,7</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2" w:right="0"/>
              <w:jc w:val="left"/>
              <w:rPr>
                <w:rFonts w:ascii="宋体" w:hAnsi="宋体" w:cs="宋体" w:eastAsia="宋体" w:hint="default"/>
                <w:sz w:val="18"/>
                <w:szCs w:val="18"/>
              </w:rPr>
            </w:pPr>
            <w:r>
              <w:rPr>
                <w:rFonts w:ascii="宋体"/>
                <w:sz w:val="18"/>
              </w:rPr>
              <w:t>3,501,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1" w:right="0"/>
              <w:jc w:val="left"/>
              <w:rPr>
                <w:rFonts w:ascii="宋体" w:hAnsi="宋体" w:cs="宋体" w:eastAsia="宋体" w:hint="default"/>
                <w:sz w:val="18"/>
                <w:szCs w:val="18"/>
              </w:rPr>
            </w:pPr>
            <w:r>
              <w:rPr>
                <w:rFonts w:ascii="宋体"/>
                <w:sz w:val="18"/>
              </w:rPr>
              <w:t>60,090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1" w:right="0"/>
              <w:jc w:val="left"/>
              <w:rPr>
                <w:rFonts w:ascii="宋体" w:hAnsi="宋体" w:cs="宋体" w:eastAsia="宋体" w:hint="default"/>
                <w:sz w:val="18"/>
                <w:szCs w:val="18"/>
              </w:rPr>
            </w:pPr>
            <w:r>
              <w:rPr>
                <w:rFonts w:ascii="宋体"/>
                <w:sz w:val="18"/>
              </w:rPr>
              <w:t>31,771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4" w:right="0"/>
              <w:jc w:val="left"/>
              <w:rPr>
                <w:rFonts w:ascii="宋体" w:hAnsi="宋体" w:cs="宋体" w:eastAsia="宋体" w:hint="default"/>
                <w:sz w:val="18"/>
                <w:szCs w:val="18"/>
              </w:rPr>
            </w:pPr>
            <w:r>
              <w:rPr>
                <w:rFonts w:ascii="宋体"/>
                <w:sz w:val="18"/>
              </w:rPr>
              <w:t>48,331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79" w:right="0"/>
              <w:jc w:val="left"/>
              <w:rPr>
                <w:rFonts w:ascii="宋体" w:hAnsi="宋体" w:cs="宋体" w:eastAsia="宋体" w:hint="default"/>
                <w:sz w:val="18"/>
                <w:szCs w:val="18"/>
              </w:rPr>
            </w:pPr>
            <w:r>
              <w:rPr>
                <w:rFonts w:ascii="宋体"/>
                <w:sz w:val="18"/>
              </w:rPr>
              <w:t>1,915,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5" w:right="0"/>
              <w:jc w:val="left"/>
              <w:rPr>
                <w:rFonts w:ascii="宋体" w:hAnsi="宋体" w:cs="宋体" w:eastAsia="宋体" w:hint="default"/>
                <w:sz w:val="18"/>
                <w:szCs w:val="18"/>
              </w:rPr>
            </w:pPr>
            <w:r>
              <w:rPr>
                <w:rFonts w:ascii="宋体"/>
                <w:sz w:val="18"/>
              </w:rPr>
              <w:t>4,609,</w:t>
            </w:r>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61"/>
      </w:tblGrid>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9" w:right="0"/>
              <w:jc w:val="left"/>
              <w:rPr>
                <w:rFonts w:ascii="宋体" w:hAnsi="宋体" w:cs="宋体" w:eastAsia="宋体" w:hint="default"/>
                <w:sz w:val="18"/>
                <w:szCs w:val="18"/>
              </w:rPr>
            </w:pPr>
            <w:r>
              <w:rPr>
                <w:rFonts w:ascii="宋体"/>
                <w:sz w:val="18"/>
              </w:rPr>
              <w:t>10,78</w:t>
            </w:r>
          </w:p>
          <w:p>
            <w:pPr>
              <w:pStyle w:val="TableParagraph"/>
              <w:spacing w:line="240" w:lineRule="auto" w:before="77"/>
              <w:ind w:left="169" w:right="0"/>
              <w:jc w:val="left"/>
              <w:rPr>
                <w:rFonts w:ascii="宋体" w:hAnsi="宋体" w:cs="宋体" w:eastAsia="宋体" w:hint="default"/>
                <w:sz w:val="18"/>
                <w:szCs w:val="18"/>
              </w:rPr>
            </w:pPr>
            <w:r>
              <w:rPr>
                <w:rFonts w:ascii="宋体"/>
                <w:sz w:val="18"/>
              </w:rPr>
              <w:t>2.00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9" w:right="0"/>
              <w:jc w:val="center"/>
              <w:rPr>
                <w:rFonts w:ascii="宋体" w:hAnsi="宋体" w:cs="宋体" w:eastAsia="宋体" w:hint="default"/>
                <w:sz w:val="18"/>
                <w:szCs w:val="18"/>
              </w:rPr>
            </w:pPr>
            <w:r>
              <w:rPr>
                <w:rFonts w:ascii="宋体"/>
                <w:sz w:val="18"/>
              </w:rPr>
              <w:t>945,86</w:t>
            </w:r>
          </w:p>
          <w:p>
            <w:pPr>
              <w:pStyle w:val="TableParagraph"/>
              <w:spacing w:line="240" w:lineRule="auto" w:before="77"/>
              <w:ind w:left="250" w:right="0"/>
              <w:jc w:val="center"/>
              <w:rPr>
                <w:rFonts w:ascii="宋体" w:hAnsi="宋体" w:cs="宋体" w:eastAsia="宋体" w:hint="default"/>
                <w:sz w:val="18"/>
                <w:szCs w:val="18"/>
              </w:rPr>
            </w:pPr>
            <w:r>
              <w:rPr>
                <w:rFonts w:ascii="宋体"/>
                <w:sz w:val="18"/>
              </w:rPr>
              <w:t>4.99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,499.6</w:t>
            </w:r>
          </w:p>
          <w:p>
            <w:pPr>
              <w:pStyle w:val="TableParagraph"/>
              <w:spacing w:line="240" w:lineRule="auto" w:before="77"/>
              <w:ind w:right="23"/>
              <w:jc w:val="right"/>
              <w:rPr>
                <w:rFonts w:ascii="宋体" w:hAnsi="宋体" w:cs="宋体" w:eastAsia="宋体" w:hint="default"/>
                <w:sz w:val="18"/>
                <w:szCs w:val="18"/>
              </w:rPr>
            </w:pPr>
            <w:r>
              <w:rPr>
                <w:rFonts w:ascii="宋体"/>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,673.9</w:t>
            </w:r>
          </w:p>
          <w:p>
            <w:pPr>
              <w:pStyle w:val="TableParagraph"/>
              <w:spacing w:line="240" w:lineRule="auto" w:before="77"/>
              <w:ind w:right="23"/>
              <w:jc w:val="right"/>
              <w:rPr>
                <w:rFonts w:ascii="宋体" w:hAnsi="宋体" w:cs="宋体" w:eastAsia="宋体" w:hint="default"/>
                <w:sz w:val="18"/>
                <w:szCs w:val="18"/>
              </w:rPr>
            </w:pPr>
            <w:r>
              <w:rPr>
                <w:rFonts w:ascii="宋体"/>
                <w:sz w:val="18"/>
              </w:rPr>
              <w:t>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,784.5</w:t>
            </w:r>
          </w:p>
          <w:p>
            <w:pPr>
              <w:pStyle w:val="TableParagraph"/>
              <w:spacing w:line="240" w:lineRule="auto" w:before="77"/>
              <w:ind w:right="23"/>
              <w:jc w:val="right"/>
              <w:rPr>
                <w:rFonts w:ascii="宋体" w:hAnsi="宋体" w:cs="宋体" w:eastAsia="宋体" w:hint="default"/>
                <w:sz w:val="18"/>
                <w:szCs w:val="18"/>
              </w:rPr>
            </w:pPr>
            <w:r>
              <w:rPr>
                <w:rFonts w:ascii="宋体"/>
                <w:sz w:val="18"/>
              </w:rPr>
              <w:t>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9" w:right="0"/>
              <w:jc w:val="left"/>
              <w:rPr>
                <w:rFonts w:ascii="宋体" w:hAnsi="宋体" w:cs="宋体" w:eastAsia="宋体" w:hint="default"/>
                <w:sz w:val="18"/>
                <w:szCs w:val="18"/>
              </w:rPr>
            </w:pPr>
            <w:r>
              <w:rPr>
                <w:rFonts w:ascii="宋体"/>
                <w:sz w:val="18"/>
              </w:rPr>
              <w:t>270.02</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 w:right="0"/>
              <w:jc w:val="center"/>
              <w:rPr>
                <w:rFonts w:ascii="宋体" w:hAnsi="宋体" w:cs="宋体" w:eastAsia="宋体" w:hint="default"/>
                <w:sz w:val="18"/>
                <w:szCs w:val="18"/>
              </w:rPr>
            </w:pPr>
            <w:r>
              <w:rPr>
                <w:rFonts w:ascii="宋体"/>
                <w:sz w:val="18"/>
              </w:rPr>
              <w:t>765,87</w:t>
            </w:r>
          </w:p>
          <w:p>
            <w:pPr>
              <w:pStyle w:val="TableParagraph"/>
              <w:spacing w:line="240" w:lineRule="auto" w:before="77"/>
              <w:ind w:left="238" w:right="0"/>
              <w:jc w:val="center"/>
              <w:rPr>
                <w:rFonts w:ascii="宋体" w:hAnsi="宋体" w:cs="宋体" w:eastAsia="宋体" w:hint="default"/>
                <w:sz w:val="18"/>
                <w:szCs w:val="18"/>
              </w:rPr>
            </w:pPr>
            <w:r>
              <w:rPr>
                <w:rFonts w:ascii="宋体"/>
                <w:sz w:val="18"/>
              </w:rPr>
              <w:t>5.17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8、母公司所有者权益变动表" w:id="166"/>
      <w:bookmarkEnd w:id="166"/>
      <w:r>
        <w:rPr>
          <w:b w:val="0"/>
          <w:bCs w:val="0"/>
        </w:rPr>
      </w:r>
      <w:r>
        <w:rPr>
          <w:rFonts w:ascii="宋体" w:hAnsi="宋体" w:cs="宋体" w:eastAsia="宋体" w:hint="default"/>
        </w:rPr>
        <w:t>8</w:t>
      </w:r>
      <w:r>
        <w:rPr/>
        <w:t>、母公司所有者权益变动表</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sz w:val="18"/>
              </w:rPr>
              <w:t>965,710</w:t>
            </w:r>
          </w:p>
          <w:p>
            <w:pPr>
              <w:pStyle w:val="TableParagraph"/>
              <w:spacing w:line="240" w:lineRule="auto" w:before="76"/>
              <w:ind w:left="32" w:right="0"/>
              <w:jc w:val="left"/>
              <w:rPr>
                <w:rFonts w:ascii="宋体" w:hAnsi="宋体" w:cs="宋体" w:eastAsia="宋体" w:hint="default"/>
                <w:sz w:val="18"/>
                <w:szCs w:val="18"/>
              </w:rPr>
            </w:pPr>
            <w:r>
              <w:rPr>
                <w:rFonts w:ascii="宋体"/>
                <w:sz w:val="18"/>
              </w:rPr>
              <w:t>,782.00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3,503,40</w:t>
            </w:r>
          </w:p>
          <w:p>
            <w:pPr>
              <w:pStyle w:val="TableParagraph"/>
              <w:spacing w:line="240" w:lineRule="auto" w:before="76"/>
              <w:ind w:left="44" w:right="0"/>
              <w:jc w:val="left"/>
              <w:rPr>
                <w:rFonts w:ascii="宋体" w:hAnsi="宋体" w:cs="宋体" w:eastAsia="宋体" w:hint="default"/>
                <w:sz w:val="18"/>
                <w:szCs w:val="18"/>
              </w:rPr>
            </w:pPr>
            <w:r>
              <w:rPr>
                <w:rFonts w:ascii="宋体"/>
                <w:sz w:val="18"/>
              </w:rPr>
              <w:t>5,904.02</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31,771,6</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73.94</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sz w:val="18"/>
              </w:rPr>
              <w:t>-213,0</w:t>
            </w:r>
          </w:p>
          <w:p>
            <w:pPr>
              <w:pStyle w:val="TableParagraph"/>
              <w:spacing w:line="240" w:lineRule="auto" w:before="75"/>
              <w:ind w:left="103" w:right="0"/>
              <w:jc w:val="left"/>
              <w:rPr>
                <w:rFonts w:ascii="宋体" w:hAnsi="宋体" w:cs="宋体" w:eastAsia="宋体" w:hint="default"/>
                <w:sz w:val="18"/>
                <w:szCs w:val="18"/>
              </w:rPr>
            </w:pPr>
            <w:r>
              <w:rPr>
                <w:rFonts w:ascii="宋体"/>
                <w:sz w:val="18"/>
              </w:rPr>
              <w:t>80,135</w:t>
            </w:r>
          </w:p>
          <w:p>
            <w:pPr>
              <w:pStyle w:val="TableParagraph"/>
              <w:spacing w:line="240" w:lineRule="auto" w:before="77"/>
              <w:ind w:left="373" w:right="0"/>
              <w:jc w:val="left"/>
              <w:rPr>
                <w:rFonts w:ascii="宋体" w:hAnsi="宋体" w:cs="宋体" w:eastAsia="宋体" w:hint="default"/>
                <w:sz w:val="18"/>
                <w:szCs w:val="18"/>
              </w:rPr>
            </w:pPr>
            <w:r>
              <w:rPr>
                <w:rFonts w:ascii="宋体"/>
                <w:sz w:val="18"/>
              </w:rPr>
              <w:t>.63</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7" w:right="0"/>
              <w:jc w:val="left"/>
              <w:rPr>
                <w:rFonts w:ascii="宋体" w:hAnsi="宋体" w:cs="宋体" w:eastAsia="宋体" w:hint="default"/>
                <w:sz w:val="18"/>
                <w:szCs w:val="18"/>
              </w:rPr>
            </w:pPr>
            <w:r>
              <w:rPr>
                <w:rFonts w:ascii="宋体"/>
                <w:sz w:val="18"/>
              </w:rPr>
              <w:t>4,287,80</w:t>
            </w:r>
          </w:p>
          <w:p>
            <w:pPr>
              <w:pStyle w:val="TableParagraph"/>
              <w:spacing w:line="240" w:lineRule="auto" w:before="76"/>
              <w:ind w:left="27" w:right="0"/>
              <w:jc w:val="left"/>
              <w:rPr>
                <w:rFonts w:ascii="宋体" w:hAnsi="宋体" w:cs="宋体" w:eastAsia="宋体" w:hint="default"/>
                <w:sz w:val="18"/>
                <w:szCs w:val="18"/>
              </w:rPr>
            </w:pPr>
            <w:r>
              <w:rPr>
                <w:rFonts w:ascii="宋体"/>
                <w:sz w:val="18"/>
              </w:rPr>
              <w:t>8,224.33</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sz w:val="18"/>
              </w:rPr>
              <w:t>965,710</w:t>
            </w:r>
          </w:p>
          <w:p>
            <w:pPr>
              <w:pStyle w:val="TableParagraph"/>
              <w:spacing w:line="240" w:lineRule="auto" w:before="77"/>
              <w:ind w:left="32" w:right="0"/>
              <w:jc w:val="left"/>
              <w:rPr>
                <w:rFonts w:ascii="宋体" w:hAnsi="宋体" w:cs="宋体" w:eastAsia="宋体" w:hint="default"/>
                <w:sz w:val="18"/>
                <w:szCs w:val="18"/>
              </w:rPr>
            </w:pPr>
            <w:r>
              <w:rPr>
                <w:rFonts w:ascii="宋体"/>
                <w:sz w:val="18"/>
              </w:rPr>
              <w:t>,782.00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3,503,40</w:t>
            </w:r>
          </w:p>
          <w:p>
            <w:pPr>
              <w:pStyle w:val="TableParagraph"/>
              <w:spacing w:line="240" w:lineRule="auto" w:before="77"/>
              <w:ind w:left="44" w:right="0"/>
              <w:jc w:val="left"/>
              <w:rPr>
                <w:rFonts w:ascii="宋体" w:hAnsi="宋体" w:cs="宋体" w:eastAsia="宋体" w:hint="default"/>
                <w:sz w:val="18"/>
                <w:szCs w:val="18"/>
              </w:rPr>
            </w:pPr>
            <w:r>
              <w:rPr>
                <w:rFonts w:ascii="宋体"/>
                <w:sz w:val="18"/>
              </w:rPr>
              <w:t>5,904.02</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31,771,6</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73.94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-213,0</w:t>
            </w:r>
          </w:p>
          <w:p>
            <w:pPr>
              <w:pStyle w:val="TableParagraph"/>
              <w:spacing w:line="240" w:lineRule="auto" w:before="75"/>
              <w:ind w:left="103" w:right="0"/>
              <w:jc w:val="left"/>
              <w:rPr>
                <w:rFonts w:ascii="宋体" w:hAnsi="宋体" w:cs="宋体" w:eastAsia="宋体" w:hint="default"/>
                <w:sz w:val="18"/>
                <w:szCs w:val="18"/>
              </w:rPr>
            </w:pPr>
            <w:r>
              <w:rPr>
                <w:rFonts w:ascii="宋体"/>
                <w:sz w:val="18"/>
              </w:rPr>
              <w:t>80,135</w:t>
            </w:r>
          </w:p>
          <w:p>
            <w:pPr>
              <w:pStyle w:val="TableParagraph"/>
              <w:spacing w:line="240" w:lineRule="auto" w:before="78"/>
              <w:ind w:left="373" w:right="0"/>
              <w:jc w:val="left"/>
              <w:rPr>
                <w:rFonts w:ascii="宋体" w:hAnsi="宋体" w:cs="宋体" w:eastAsia="宋体" w:hint="default"/>
                <w:sz w:val="18"/>
                <w:szCs w:val="18"/>
              </w:rPr>
            </w:pPr>
            <w:r>
              <w:rPr>
                <w:rFonts w:ascii="宋体"/>
                <w:sz w:val="18"/>
              </w:rPr>
              <w:t>.63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4,287,80</w:t>
            </w:r>
          </w:p>
          <w:p>
            <w:pPr>
              <w:pStyle w:val="TableParagraph"/>
              <w:spacing w:line="240" w:lineRule="auto" w:before="77"/>
              <w:ind w:left="27" w:right="0"/>
              <w:jc w:val="left"/>
              <w:rPr>
                <w:rFonts w:ascii="宋体" w:hAnsi="宋体" w:cs="宋体" w:eastAsia="宋体" w:hint="default"/>
                <w:sz w:val="18"/>
                <w:szCs w:val="18"/>
              </w:rPr>
            </w:pPr>
            <w:r>
              <w:rPr>
                <w:rFonts w:ascii="宋体"/>
                <w:sz w:val="18"/>
              </w:rPr>
              <w:t>8,224.33</w:t>
            </w:r>
          </w:p>
        </w:tc>
      </w:tr>
      <w:tr>
        <w:trPr>
          <w:trHeight w:val="393"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金额（减少以 “－”号填列）</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3,339,50</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3.80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243,13</w:t>
            </w:r>
          </w:p>
          <w:p>
            <w:pPr>
              <w:pStyle w:val="TableParagraph"/>
              <w:spacing w:line="240" w:lineRule="auto" w:before="75"/>
              <w:ind w:right="20"/>
              <w:jc w:val="right"/>
              <w:rPr>
                <w:rFonts w:ascii="宋体" w:hAnsi="宋体" w:cs="宋体" w:eastAsia="宋体" w:hint="default"/>
                <w:sz w:val="18"/>
                <w:szCs w:val="18"/>
              </w:rPr>
            </w:pPr>
            <w:r>
              <w:rPr>
                <w:rFonts w:ascii="宋体"/>
                <w:sz w:val="18"/>
              </w:rPr>
              <w:t>5,669.</w:t>
            </w:r>
          </w:p>
          <w:p>
            <w:pPr>
              <w:pStyle w:val="TableParagraph"/>
              <w:spacing w:line="240" w:lineRule="auto" w:before="77"/>
              <w:ind w:right="20"/>
              <w:jc w:val="right"/>
              <w:rPr>
                <w:rFonts w:ascii="宋体" w:hAnsi="宋体" w:cs="宋体" w:eastAsia="宋体" w:hint="default"/>
                <w:sz w:val="18"/>
                <w:szCs w:val="18"/>
              </w:rPr>
            </w:pPr>
            <w:r>
              <w:rPr>
                <w:rFonts w:ascii="宋体"/>
                <w:sz w:val="18"/>
              </w:rPr>
              <w:t>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246,475,</w:t>
            </w:r>
          </w:p>
          <w:p>
            <w:pPr>
              <w:pStyle w:val="TableParagraph"/>
              <w:spacing w:line="240" w:lineRule="auto" w:before="76"/>
              <w:ind w:left="183" w:right="0"/>
              <w:jc w:val="center"/>
              <w:rPr>
                <w:rFonts w:ascii="宋体" w:hAnsi="宋体" w:cs="宋体" w:eastAsia="宋体" w:hint="default"/>
                <w:sz w:val="18"/>
                <w:szCs w:val="18"/>
              </w:rPr>
            </w:pPr>
            <w:r>
              <w:rPr>
                <w:rFonts w:ascii="宋体"/>
                <w:sz w:val="18"/>
              </w:rPr>
              <w:t>173.66</w:t>
            </w: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246,47</w:t>
            </w:r>
          </w:p>
          <w:p>
            <w:pPr>
              <w:pStyle w:val="TableParagraph"/>
              <w:spacing w:line="240" w:lineRule="auto" w:before="75"/>
              <w:ind w:right="20"/>
              <w:jc w:val="right"/>
              <w:rPr>
                <w:rFonts w:ascii="宋体" w:hAnsi="宋体" w:cs="宋体" w:eastAsia="宋体" w:hint="default"/>
                <w:sz w:val="18"/>
                <w:szCs w:val="18"/>
              </w:rPr>
            </w:pPr>
            <w:r>
              <w:rPr>
                <w:rFonts w:ascii="宋体"/>
                <w:sz w:val="18"/>
              </w:rPr>
              <w:t>5,173.</w:t>
            </w:r>
          </w:p>
          <w:p>
            <w:pPr>
              <w:pStyle w:val="TableParagraph"/>
              <w:spacing w:line="240" w:lineRule="auto" w:before="77"/>
              <w:ind w:right="20"/>
              <w:jc w:val="right"/>
              <w:rPr>
                <w:rFonts w:ascii="宋体" w:hAnsi="宋体" w:cs="宋体" w:eastAsia="宋体" w:hint="default"/>
                <w:sz w:val="18"/>
                <w:szCs w:val="18"/>
              </w:rPr>
            </w:pPr>
            <w:r>
              <w:rPr>
                <w:rFonts w:ascii="宋体"/>
                <w:sz w:val="18"/>
              </w:rPr>
              <w:t>66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246,475,</w:t>
            </w:r>
          </w:p>
          <w:p>
            <w:pPr>
              <w:pStyle w:val="TableParagraph"/>
              <w:spacing w:line="240" w:lineRule="auto" w:before="76"/>
              <w:ind w:left="183" w:right="0"/>
              <w:jc w:val="center"/>
              <w:rPr>
                <w:rFonts w:ascii="宋体" w:hAnsi="宋体" w:cs="宋体" w:eastAsia="宋体" w:hint="default"/>
                <w:sz w:val="18"/>
                <w:szCs w:val="18"/>
              </w:rPr>
            </w:pPr>
            <w:r>
              <w:rPr>
                <w:rFonts w:ascii="宋体"/>
                <w:sz w:val="18"/>
              </w:rPr>
              <w:t>173.66</w:t>
            </w:r>
          </w:p>
        </w:tc>
      </w:tr>
      <w:tr>
        <w:trPr>
          <w:trHeight w:val="704"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3,339,50</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3.80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sz w:val="18"/>
              </w:rPr>
              <w:t>-3,339</w:t>
            </w:r>
          </w:p>
          <w:p>
            <w:pPr>
              <w:pStyle w:val="TableParagraph"/>
              <w:spacing w:line="240" w:lineRule="auto" w:before="75"/>
              <w:ind w:left="103" w:right="0"/>
              <w:jc w:val="left"/>
              <w:rPr>
                <w:rFonts w:ascii="宋体" w:hAnsi="宋体" w:cs="宋体" w:eastAsia="宋体" w:hint="default"/>
                <w:sz w:val="18"/>
                <w:szCs w:val="18"/>
              </w:rPr>
            </w:pPr>
            <w:r>
              <w:rPr>
                <w:rFonts w:ascii="宋体"/>
                <w:sz w:val="18"/>
              </w:rPr>
              <w:t>,503.8</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3,339,50</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3.80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-3,339</w:t>
            </w:r>
          </w:p>
          <w:p>
            <w:pPr>
              <w:pStyle w:val="TableParagraph"/>
              <w:spacing w:line="240" w:lineRule="auto" w:before="75"/>
              <w:ind w:right="20"/>
              <w:jc w:val="right"/>
              <w:rPr>
                <w:rFonts w:ascii="宋体" w:hAnsi="宋体" w:cs="宋体" w:eastAsia="宋体" w:hint="default"/>
                <w:sz w:val="18"/>
                <w:szCs w:val="18"/>
              </w:rPr>
            </w:pPr>
            <w:r>
              <w:rPr>
                <w:rFonts w:ascii="宋体"/>
                <w:sz w:val="18"/>
              </w:rPr>
              <w:t>,503.8</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965,710</w:t>
            </w:r>
          </w:p>
          <w:p>
            <w:pPr>
              <w:pStyle w:val="TableParagraph"/>
              <w:spacing w:line="240" w:lineRule="auto" w:before="76"/>
              <w:ind w:left="27" w:right="0"/>
              <w:jc w:val="left"/>
              <w:rPr>
                <w:rFonts w:ascii="宋体" w:hAnsi="宋体" w:cs="宋体" w:eastAsia="宋体" w:hint="default"/>
                <w:sz w:val="18"/>
                <w:szCs w:val="18"/>
              </w:rPr>
            </w:pPr>
            <w:r>
              <w:rPr>
                <w:rFonts w:ascii="宋体"/>
                <w:sz w:val="18"/>
              </w:rPr>
              <w:t>,782.00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3,503,40</w:t>
            </w:r>
          </w:p>
          <w:p>
            <w:pPr>
              <w:pStyle w:val="TableParagraph"/>
              <w:spacing w:line="240" w:lineRule="auto" w:before="76"/>
              <w:ind w:left="44" w:right="0"/>
              <w:jc w:val="left"/>
              <w:rPr>
                <w:rFonts w:ascii="宋体" w:hAnsi="宋体" w:cs="宋体" w:eastAsia="宋体" w:hint="default"/>
                <w:sz w:val="18"/>
                <w:szCs w:val="18"/>
              </w:rPr>
            </w:pPr>
            <w:r>
              <w:rPr>
                <w:rFonts w:ascii="宋体"/>
                <w:sz w:val="18"/>
              </w:rPr>
              <w:t>5,904.02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35,111,1</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77.74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30,055</w:t>
            </w:r>
          </w:p>
          <w:p>
            <w:pPr>
              <w:pStyle w:val="TableParagraph"/>
              <w:spacing w:line="240" w:lineRule="auto" w:before="75"/>
              <w:ind w:right="20"/>
              <w:jc w:val="right"/>
              <w:rPr>
                <w:rFonts w:ascii="宋体" w:hAnsi="宋体" w:cs="宋体" w:eastAsia="宋体" w:hint="default"/>
                <w:sz w:val="18"/>
                <w:szCs w:val="18"/>
              </w:rPr>
            </w:pPr>
            <w:r>
              <w:rPr>
                <w:rFonts w:ascii="宋体"/>
                <w:sz w:val="18"/>
              </w:rPr>
              <w:t>,534.2</w:t>
            </w:r>
          </w:p>
          <w:p>
            <w:pPr>
              <w:pStyle w:val="TableParagraph"/>
              <w:spacing w:line="240" w:lineRule="auto" w:before="77"/>
              <w:ind w:right="20"/>
              <w:jc w:val="right"/>
              <w:rPr>
                <w:rFonts w:ascii="宋体" w:hAnsi="宋体" w:cs="宋体" w:eastAsia="宋体" w:hint="default"/>
                <w:sz w:val="18"/>
                <w:szCs w:val="18"/>
              </w:rPr>
            </w:pPr>
            <w:r>
              <w:rPr>
                <w:rFonts w:ascii="宋体"/>
                <w:sz w:val="18"/>
              </w:rPr>
              <w:t>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4,534,28</w:t>
            </w:r>
          </w:p>
          <w:p>
            <w:pPr>
              <w:pStyle w:val="TableParagraph"/>
              <w:spacing w:line="240" w:lineRule="auto" w:before="76"/>
              <w:ind w:left="27" w:right="0"/>
              <w:jc w:val="left"/>
              <w:rPr>
                <w:rFonts w:ascii="宋体" w:hAnsi="宋体" w:cs="宋体" w:eastAsia="宋体" w:hint="default"/>
                <w:sz w:val="18"/>
                <w:szCs w:val="18"/>
              </w:rPr>
            </w:pPr>
            <w:r>
              <w:rPr>
                <w:rFonts w:ascii="宋体"/>
                <w:sz w:val="18"/>
              </w:rPr>
              <w:t>3,397.99</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sz w:val="18"/>
              </w:rPr>
              <w:t>314,586</w:t>
            </w:r>
          </w:p>
          <w:p>
            <w:pPr>
              <w:pStyle w:val="TableParagraph"/>
              <w:spacing w:line="240" w:lineRule="auto" w:before="77"/>
              <w:ind w:left="20" w:right="0"/>
              <w:jc w:val="left"/>
              <w:rPr>
                <w:rFonts w:ascii="宋体" w:hAnsi="宋体" w:cs="宋体" w:eastAsia="宋体" w:hint="default"/>
                <w:sz w:val="18"/>
                <w:szCs w:val="18"/>
              </w:rPr>
            </w:pPr>
            <w:r>
              <w:rPr>
                <w:rFonts w:ascii="宋体"/>
                <w:sz w:val="18"/>
              </w:rPr>
              <w:t>,699.00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63,913,0</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72.88</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31,771,6</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73.94</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sz w:val="18"/>
              </w:rPr>
              <w:t>-413,2</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19,574</w:t>
            </w:r>
          </w:p>
          <w:p>
            <w:pPr>
              <w:pStyle w:val="TableParagraph"/>
              <w:spacing w:line="240" w:lineRule="auto" w:before="77"/>
              <w:ind w:left="373" w:right="0"/>
              <w:jc w:val="left"/>
              <w:rPr>
                <w:rFonts w:ascii="宋体" w:hAnsi="宋体" w:cs="宋体" w:eastAsia="宋体" w:hint="default"/>
                <w:sz w:val="18"/>
                <w:szCs w:val="18"/>
              </w:rPr>
            </w:pPr>
            <w:r>
              <w:rPr>
                <w:rFonts w:ascii="宋体"/>
                <w:sz w:val="18"/>
              </w:rPr>
              <w:t>.78</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7" w:right="0"/>
              <w:jc w:val="left"/>
              <w:rPr>
                <w:rFonts w:ascii="宋体" w:hAnsi="宋体" w:cs="宋体" w:eastAsia="宋体" w:hint="default"/>
                <w:sz w:val="18"/>
                <w:szCs w:val="18"/>
              </w:rPr>
            </w:pPr>
            <w:r>
              <w:rPr>
                <w:rFonts w:ascii="宋体"/>
                <w:sz w:val="18"/>
              </w:rPr>
              <w:t>-2,948,1</w:t>
            </w:r>
          </w:p>
          <w:p>
            <w:pPr>
              <w:pStyle w:val="TableParagraph"/>
              <w:spacing w:line="240" w:lineRule="auto" w:before="77"/>
              <w:ind w:left="297" w:right="0"/>
              <w:jc w:val="left"/>
              <w:rPr>
                <w:rFonts w:ascii="宋体" w:hAnsi="宋体" w:cs="宋体" w:eastAsia="宋体" w:hint="default"/>
                <w:sz w:val="18"/>
                <w:szCs w:val="18"/>
              </w:rPr>
            </w:pPr>
            <w:r>
              <w:rPr>
                <w:rFonts w:ascii="宋体"/>
                <w:sz w:val="18"/>
              </w:rPr>
              <w:t>28.96</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sz w:val="18"/>
              </w:rPr>
              <w:t>314,586</w:t>
            </w:r>
          </w:p>
          <w:p>
            <w:pPr>
              <w:pStyle w:val="TableParagraph"/>
              <w:spacing w:line="240" w:lineRule="auto" w:before="77"/>
              <w:ind w:left="20" w:right="0"/>
              <w:jc w:val="left"/>
              <w:rPr>
                <w:rFonts w:ascii="宋体" w:hAnsi="宋体" w:cs="宋体" w:eastAsia="宋体" w:hint="default"/>
                <w:sz w:val="18"/>
                <w:szCs w:val="18"/>
              </w:rPr>
            </w:pPr>
            <w:r>
              <w:rPr>
                <w:rFonts w:ascii="宋体"/>
                <w:sz w:val="18"/>
              </w:rPr>
              <w:t>,699.00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63,913,0</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72.88</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31,771,6</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73.94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sz w:val="18"/>
              </w:rPr>
              <w:t>-413,2</w:t>
            </w:r>
          </w:p>
          <w:p>
            <w:pPr>
              <w:pStyle w:val="TableParagraph"/>
              <w:spacing w:line="240" w:lineRule="auto" w:before="75"/>
              <w:ind w:left="103" w:right="0"/>
              <w:jc w:val="left"/>
              <w:rPr>
                <w:rFonts w:ascii="宋体" w:hAnsi="宋体" w:cs="宋体" w:eastAsia="宋体" w:hint="default"/>
                <w:sz w:val="18"/>
                <w:szCs w:val="18"/>
              </w:rPr>
            </w:pPr>
            <w:r>
              <w:rPr>
                <w:rFonts w:ascii="宋体"/>
                <w:sz w:val="18"/>
              </w:rPr>
              <w:t>19,574</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sz w:val="18"/>
              </w:rPr>
              <w:t>-2,948,1</w:t>
            </w:r>
          </w:p>
          <w:p>
            <w:pPr>
              <w:pStyle w:val="TableParagraph"/>
              <w:spacing w:line="240" w:lineRule="auto" w:before="77"/>
              <w:ind w:left="297" w:right="0"/>
              <w:jc w:val="left"/>
              <w:rPr>
                <w:rFonts w:ascii="宋体" w:hAnsi="宋体" w:cs="宋体" w:eastAsia="宋体" w:hint="default"/>
                <w:sz w:val="18"/>
                <w:szCs w:val="18"/>
              </w:rPr>
            </w:pPr>
            <w:r>
              <w:rPr>
                <w:rFonts w:ascii="宋体"/>
                <w:sz w:val="18"/>
              </w:rPr>
              <w:t>28.96</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73" w:right="0"/>
              <w:jc w:val="left"/>
              <w:rPr>
                <w:rFonts w:ascii="宋体" w:hAnsi="宋体" w:cs="宋体" w:eastAsia="宋体" w:hint="default"/>
                <w:sz w:val="18"/>
                <w:szCs w:val="18"/>
              </w:rPr>
            </w:pPr>
            <w:r>
              <w:rPr>
                <w:rFonts w:ascii="宋体"/>
                <w:sz w:val="18"/>
              </w:rPr>
              <w:t>.78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金额（减少以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sz w:val="18"/>
              </w:rPr>
              <w:t>651,124</w:t>
            </w:r>
          </w:p>
          <w:p>
            <w:pPr>
              <w:pStyle w:val="TableParagraph"/>
              <w:spacing w:line="240" w:lineRule="auto" w:before="76"/>
              <w:ind w:left="27" w:right="0"/>
              <w:jc w:val="left"/>
              <w:rPr>
                <w:rFonts w:ascii="宋体" w:hAnsi="宋体" w:cs="宋体" w:eastAsia="宋体" w:hint="default"/>
                <w:sz w:val="18"/>
                <w:szCs w:val="18"/>
              </w:rPr>
            </w:pPr>
            <w:r>
              <w:rPr>
                <w:rFonts w:ascii="宋体"/>
                <w:sz w:val="18"/>
              </w:rPr>
              <w:t>,083.00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sz w:val="18"/>
              </w:rPr>
              <w:t>3,439,49</w:t>
            </w:r>
          </w:p>
          <w:p>
            <w:pPr>
              <w:pStyle w:val="TableParagraph"/>
              <w:spacing w:line="240" w:lineRule="auto" w:before="76"/>
              <w:ind w:left="44" w:right="0"/>
              <w:jc w:val="left"/>
              <w:rPr>
                <w:rFonts w:ascii="宋体" w:hAnsi="宋体" w:cs="宋体" w:eastAsia="宋体" w:hint="default"/>
                <w:sz w:val="18"/>
                <w:szCs w:val="18"/>
              </w:rPr>
            </w:pPr>
            <w:r>
              <w:rPr>
                <w:rFonts w:ascii="宋体"/>
                <w:sz w:val="18"/>
              </w:rPr>
              <w:t>2,831.14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200,13</w:t>
            </w:r>
          </w:p>
          <w:p>
            <w:pPr>
              <w:pStyle w:val="TableParagraph"/>
              <w:spacing w:line="240" w:lineRule="auto" w:before="75"/>
              <w:ind w:right="20"/>
              <w:jc w:val="right"/>
              <w:rPr>
                <w:rFonts w:ascii="宋体" w:hAnsi="宋体" w:cs="宋体" w:eastAsia="宋体" w:hint="default"/>
                <w:sz w:val="18"/>
                <w:szCs w:val="18"/>
              </w:rPr>
            </w:pPr>
            <w:r>
              <w:rPr>
                <w:rFonts w:ascii="宋体"/>
                <w:sz w:val="18"/>
              </w:rPr>
              <w:t>9,439.</w:t>
            </w:r>
          </w:p>
          <w:p>
            <w:pPr>
              <w:pStyle w:val="TableParagraph"/>
              <w:spacing w:line="240" w:lineRule="auto" w:before="77"/>
              <w:ind w:right="20"/>
              <w:jc w:val="right"/>
              <w:rPr>
                <w:rFonts w:ascii="宋体" w:hAnsi="宋体" w:cs="宋体" w:eastAsia="宋体" w:hint="default"/>
                <w:sz w:val="18"/>
                <w:szCs w:val="18"/>
              </w:rPr>
            </w:pPr>
            <w:r>
              <w:rPr>
                <w:rFonts w:ascii="宋体"/>
                <w:sz w:val="18"/>
              </w:rPr>
              <w:t>15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sz w:val="18"/>
              </w:rPr>
              <w:t>4,290,75</w:t>
            </w:r>
          </w:p>
          <w:p>
            <w:pPr>
              <w:pStyle w:val="TableParagraph"/>
              <w:spacing w:line="240" w:lineRule="auto" w:before="76"/>
              <w:ind w:left="27" w:right="0"/>
              <w:jc w:val="left"/>
              <w:rPr>
                <w:rFonts w:ascii="宋体" w:hAnsi="宋体" w:cs="宋体" w:eastAsia="宋体" w:hint="default"/>
                <w:sz w:val="18"/>
                <w:szCs w:val="18"/>
              </w:rPr>
            </w:pPr>
            <w:r>
              <w:rPr>
                <w:rFonts w:ascii="宋体"/>
                <w:sz w:val="18"/>
              </w:rPr>
              <w:t>6,353.29</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200,13</w:t>
            </w:r>
          </w:p>
          <w:p>
            <w:pPr>
              <w:pStyle w:val="TableParagraph"/>
              <w:spacing w:line="240" w:lineRule="auto" w:before="75"/>
              <w:ind w:right="20"/>
              <w:jc w:val="right"/>
              <w:rPr>
                <w:rFonts w:ascii="宋体" w:hAnsi="宋体" w:cs="宋体" w:eastAsia="宋体" w:hint="default"/>
                <w:sz w:val="18"/>
                <w:szCs w:val="18"/>
              </w:rPr>
            </w:pPr>
            <w:r>
              <w:rPr>
                <w:rFonts w:ascii="宋体"/>
                <w:sz w:val="18"/>
              </w:rPr>
              <w:t>9,439.</w:t>
            </w:r>
          </w:p>
          <w:p>
            <w:pPr>
              <w:pStyle w:val="TableParagraph"/>
              <w:spacing w:line="240" w:lineRule="auto" w:before="77"/>
              <w:ind w:right="20"/>
              <w:jc w:val="right"/>
              <w:rPr>
                <w:rFonts w:ascii="宋体" w:hAnsi="宋体" w:cs="宋体" w:eastAsia="宋体" w:hint="default"/>
                <w:sz w:val="18"/>
                <w:szCs w:val="18"/>
              </w:rPr>
            </w:pPr>
            <w:r>
              <w:rPr>
                <w:rFonts w:ascii="宋体"/>
                <w:sz w:val="18"/>
              </w:rPr>
              <w:t>15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200,139,</w:t>
            </w:r>
          </w:p>
          <w:p>
            <w:pPr>
              <w:pStyle w:val="TableParagraph"/>
              <w:spacing w:line="240" w:lineRule="auto" w:before="76"/>
              <w:ind w:left="183" w:right="0"/>
              <w:jc w:val="center"/>
              <w:rPr>
                <w:rFonts w:ascii="宋体" w:hAnsi="宋体" w:cs="宋体" w:eastAsia="宋体" w:hint="default"/>
                <w:sz w:val="18"/>
                <w:szCs w:val="18"/>
              </w:rPr>
            </w:pPr>
            <w:r>
              <w:rPr>
                <w:rFonts w:ascii="宋体"/>
                <w:sz w:val="18"/>
              </w:rPr>
              <w:t>439.15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sz w:val="18"/>
              </w:rPr>
              <w:t>651,124</w:t>
            </w:r>
          </w:p>
          <w:p>
            <w:pPr>
              <w:pStyle w:val="TableParagraph"/>
              <w:spacing w:line="240" w:lineRule="auto" w:before="76"/>
              <w:ind w:left="27" w:right="0"/>
              <w:jc w:val="left"/>
              <w:rPr>
                <w:rFonts w:ascii="宋体" w:hAnsi="宋体" w:cs="宋体" w:eastAsia="宋体" w:hint="default"/>
                <w:sz w:val="18"/>
                <w:szCs w:val="18"/>
              </w:rPr>
            </w:pPr>
            <w:r>
              <w:rPr>
                <w:rFonts w:ascii="宋体"/>
                <w:sz w:val="18"/>
              </w:rPr>
              <w:t>,083.00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3,439,49</w:t>
            </w:r>
          </w:p>
          <w:p>
            <w:pPr>
              <w:pStyle w:val="TableParagraph"/>
              <w:spacing w:line="240" w:lineRule="auto" w:before="76"/>
              <w:ind w:left="44" w:right="0"/>
              <w:jc w:val="left"/>
              <w:rPr>
                <w:rFonts w:ascii="宋体" w:hAnsi="宋体" w:cs="宋体" w:eastAsia="宋体" w:hint="default"/>
                <w:sz w:val="18"/>
                <w:szCs w:val="18"/>
              </w:rPr>
            </w:pPr>
            <w:r>
              <w:rPr>
                <w:rFonts w:ascii="宋体"/>
                <w:sz w:val="18"/>
              </w:rPr>
              <w:t>2,831.14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sz w:val="18"/>
              </w:rPr>
              <w:t>4,090,61</w:t>
            </w:r>
          </w:p>
          <w:p>
            <w:pPr>
              <w:pStyle w:val="TableParagraph"/>
              <w:spacing w:line="240" w:lineRule="auto" w:before="76"/>
              <w:ind w:left="27" w:right="0"/>
              <w:jc w:val="left"/>
              <w:rPr>
                <w:rFonts w:ascii="宋体" w:hAnsi="宋体" w:cs="宋体" w:eastAsia="宋体" w:hint="default"/>
                <w:sz w:val="18"/>
                <w:szCs w:val="18"/>
              </w:rPr>
            </w:pPr>
            <w:r>
              <w:rPr>
                <w:rFonts w:ascii="宋体"/>
                <w:sz w:val="18"/>
              </w:rPr>
              <w:t>6,914.14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sz w:val="18"/>
              </w:rPr>
              <w:t>651,124</w:t>
            </w:r>
          </w:p>
          <w:p>
            <w:pPr>
              <w:pStyle w:val="TableParagraph"/>
              <w:spacing w:line="240" w:lineRule="auto" w:before="76"/>
              <w:ind w:left="27" w:right="0"/>
              <w:jc w:val="left"/>
              <w:rPr>
                <w:rFonts w:ascii="宋体" w:hAnsi="宋体" w:cs="宋体" w:eastAsia="宋体" w:hint="default"/>
                <w:sz w:val="18"/>
                <w:szCs w:val="18"/>
              </w:rPr>
            </w:pPr>
            <w:r>
              <w:rPr>
                <w:rFonts w:ascii="宋体"/>
                <w:sz w:val="18"/>
              </w:rPr>
              <w:t>,083.00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3,439,49</w:t>
            </w:r>
          </w:p>
          <w:p>
            <w:pPr>
              <w:pStyle w:val="TableParagraph"/>
              <w:spacing w:line="240" w:lineRule="auto" w:before="76"/>
              <w:ind w:left="44" w:right="0"/>
              <w:jc w:val="left"/>
              <w:rPr>
                <w:rFonts w:ascii="宋体" w:hAnsi="宋体" w:cs="宋体" w:eastAsia="宋体" w:hint="default"/>
                <w:sz w:val="18"/>
                <w:szCs w:val="18"/>
              </w:rPr>
            </w:pPr>
            <w:r>
              <w:rPr>
                <w:rFonts w:ascii="宋体"/>
                <w:sz w:val="18"/>
              </w:rPr>
              <w:t>2,831.14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sz w:val="18"/>
              </w:rPr>
              <w:t>4,090,61</w:t>
            </w:r>
          </w:p>
          <w:p>
            <w:pPr>
              <w:pStyle w:val="TableParagraph"/>
              <w:spacing w:line="240" w:lineRule="auto" w:before="76"/>
              <w:ind w:left="27" w:right="0"/>
              <w:jc w:val="left"/>
              <w:rPr>
                <w:rFonts w:ascii="宋体" w:hAnsi="宋体" w:cs="宋体" w:eastAsia="宋体" w:hint="default"/>
                <w:sz w:val="18"/>
                <w:szCs w:val="18"/>
              </w:rPr>
            </w:pPr>
            <w:r>
              <w:rPr>
                <w:rFonts w:ascii="宋体"/>
                <w:sz w:val="18"/>
              </w:rPr>
              <w:t>6,914.14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sz w:val="18"/>
              </w:rPr>
              <w:t>965,710</w:t>
            </w:r>
          </w:p>
          <w:p>
            <w:pPr>
              <w:pStyle w:val="TableParagraph"/>
              <w:spacing w:line="240" w:lineRule="auto" w:before="76"/>
              <w:ind w:left="27" w:right="0"/>
              <w:jc w:val="left"/>
              <w:rPr>
                <w:rFonts w:ascii="宋体" w:hAnsi="宋体" w:cs="宋体" w:eastAsia="宋体" w:hint="default"/>
                <w:sz w:val="18"/>
                <w:szCs w:val="18"/>
              </w:rPr>
            </w:pPr>
            <w:r>
              <w:rPr>
                <w:rFonts w:ascii="宋体"/>
                <w:sz w:val="18"/>
              </w:rPr>
              <w:t>,782.00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sz w:val="18"/>
              </w:rPr>
              <w:t>3,503,40</w:t>
            </w:r>
          </w:p>
          <w:p>
            <w:pPr>
              <w:pStyle w:val="TableParagraph"/>
              <w:spacing w:line="240" w:lineRule="auto" w:before="76"/>
              <w:ind w:left="44" w:right="0"/>
              <w:jc w:val="left"/>
              <w:rPr>
                <w:rFonts w:ascii="宋体" w:hAnsi="宋体" w:cs="宋体" w:eastAsia="宋体" w:hint="default"/>
                <w:sz w:val="18"/>
                <w:szCs w:val="18"/>
              </w:rPr>
            </w:pPr>
            <w:r>
              <w:rPr>
                <w:rFonts w:ascii="宋体"/>
                <w:sz w:val="18"/>
              </w:rPr>
              <w:t>5,904.02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sz w:val="18"/>
              </w:rPr>
              <w:t>31,771,6</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73.94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-213,0</w:t>
            </w:r>
          </w:p>
          <w:p>
            <w:pPr>
              <w:pStyle w:val="TableParagraph"/>
              <w:spacing w:line="240" w:lineRule="auto" w:before="75"/>
              <w:ind w:left="103" w:right="0"/>
              <w:jc w:val="left"/>
              <w:rPr>
                <w:rFonts w:ascii="宋体" w:hAnsi="宋体" w:cs="宋体" w:eastAsia="宋体" w:hint="default"/>
                <w:sz w:val="18"/>
                <w:szCs w:val="18"/>
              </w:rPr>
            </w:pPr>
            <w:r>
              <w:rPr>
                <w:rFonts w:ascii="宋体"/>
                <w:sz w:val="18"/>
              </w:rPr>
              <w:t>80,135</w:t>
            </w:r>
          </w:p>
          <w:p>
            <w:pPr>
              <w:pStyle w:val="TableParagraph"/>
              <w:spacing w:line="240" w:lineRule="auto" w:before="77"/>
              <w:ind w:left="373" w:right="0"/>
              <w:jc w:val="left"/>
              <w:rPr>
                <w:rFonts w:ascii="宋体" w:hAnsi="宋体" w:cs="宋体" w:eastAsia="宋体" w:hint="default"/>
                <w:sz w:val="18"/>
                <w:szCs w:val="18"/>
              </w:rPr>
            </w:pPr>
            <w:r>
              <w:rPr>
                <w:rFonts w:ascii="宋体"/>
                <w:sz w:val="18"/>
              </w:rPr>
              <w:t>.63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sz w:val="18"/>
              </w:rPr>
              <w:t>4,287,80</w:t>
            </w:r>
          </w:p>
          <w:p>
            <w:pPr>
              <w:pStyle w:val="TableParagraph"/>
              <w:spacing w:line="240" w:lineRule="auto" w:before="76"/>
              <w:ind w:left="27" w:right="0"/>
              <w:jc w:val="left"/>
              <w:rPr>
                <w:rFonts w:ascii="宋体" w:hAnsi="宋体" w:cs="宋体" w:eastAsia="宋体" w:hint="default"/>
                <w:sz w:val="18"/>
                <w:szCs w:val="18"/>
              </w:rPr>
            </w:pPr>
            <w:r>
              <w:rPr>
                <w:rFonts w:ascii="宋体"/>
                <w:sz w:val="18"/>
              </w:rPr>
              <w:t>8,224.33</w:t>
            </w:r>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0"/>
        <w:jc w:val="left"/>
        <w:rPr>
          <w:b w:val="0"/>
          <w:bCs w:val="0"/>
        </w:rPr>
      </w:pPr>
      <w:bookmarkStart w:name="三、公司基本情况" w:id="167"/>
      <w:bookmarkEnd w:id="167"/>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left="153" w:right="1033" w:firstLine="360"/>
        <w:jc w:val="left"/>
      </w:pPr>
      <w:r>
        <w:rPr/>
        <w:t>智度科技股份有限公司（以下简称“智度股份”或“本公司”）前身河南思达电子仪器有限公司（以下简称“思达电 子”）系</w:t>
      </w:r>
      <w:r>
        <w:rPr>
          <w:spacing w:val="-46"/>
        </w:rPr>
        <w:t> </w:t>
      </w:r>
      <w:r>
        <w:rPr>
          <w:rFonts w:ascii="宋体" w:hAnsi="宋体" w:cs="宋体" w:eastAsia="宋体" w:hint="default"/>
        </w:rPr>
        <w:t>1993</w:t>
      </w:r>
      <w:r>
        <w:rPr>
          <w:rFonts w:ascii="宋体" w:hAnsi="宋体" w:cs="宋体" w:eastAsia="宋体" w:hint="default"/>
          <w:spacing w:val="-45"/>
        </w:rPr>
        <w:t> </w:t>
      </w:r>
      <w:r>
        <w:rPr/>
        <w:t>年经河南省经济体制改革委员会以（</w:t>
      </w:r>
      <w:r>
        <w:rPr>
          <w:rFonts w:ascii="宋体" w:hAnsi="宋体" w:cs="宋体" w:eastAsia="宋体" w:hint="default"/>
        </w:rPr>
        <w:t>1993</w:t>
      </w:r>
      <w:r>
        <w:rPr/>
        <w:t>）</w:t>
      </w:r>
      <w:r>
        <w:rPr>
          <w:rFonts w:ascii="宋体" w:hAnsi="宋体" w:cs="宋体" w:eastAsia="宋体" w:hint="default"/>
        </w:rPr>
        <w:t>153</w:t>
      </w:r>
      <w:r>
        <w:rPr>
          <w:rFonts w:ascii="宋体" w:hAnsi="宋体" w:cs="宋体" w:eastAsia="宋体" w:hint="default"/>
          <w:spacing w:val="-46"/>
        </w:rPr>
        <w:t> </w:t>
      </w:r>
      <w:r>
        <w:rPr/>
        <w:t>号文批准，由河南思达科技（集团）股份有限公司、洛阳春 </w:t>
      </w:r>
      <w:r>
        <w:rPr>
          <w:spacing w:val="-5"/>
        </w:rPr>
        <w:t>都（集团）股份有限公司于</w:t>
      </w:r>
      <w:r>
        <w:rPr>
          <w:spacing w:val="-45"/>
        </w:rPr>
        <w:t> </w:t>
      </w:r>
      <w:r>
        <w:rPr>
          <w:rFonts w:ascii="宋体" w:hAnsi="宋体" w:cs="宋体" w:eastAsia="宋体" w:hint="default"/>
        </w:rPr>
        <w:t>1993</w:t>
      </w:r>
      <w:r>
        <w:rPr>
          <w:rFonts w:ascii="宋体" w:hAnsi="宋体" w:cs="宋体" w:eastAsia="宋体" w:hint="default"/>
          <w:spacing w:val="-45"/>
        </w:rPr>
        <w:t> </w:t>
      </w:r>
      <w:r>
        <w:rPr/>
        <w:t>年共同发起设立的有限责任公司。</w:t>
      </w:r>
      <w:r>
        <w:rPr>
          <w:rFonts w:ascii="宋体" w:hAnsi="宋体" w:cs="宋体" w:eastAsia="宋体" w:hint="default"/>
        </w:rPr>
        <w:t>1996</w:t>
      </w:r>
      <w:r>
        <w:rPr>
          <w:rFonts w:ascii="宋体" w:hAnsi="宋体" w:cs="宋体" w:eastAsia="宋体" w:hint="default"/>
          <w:spacing w:val="-45"/>
        </w:rPr>
        <w:t> </w:t>
      </w:r>
      <w:r>
        <w:rPr>
          <w:spacing w:val="-3"/>
        </w:rPr>
        <w:t>年经思达电子申请，河南省体改委豫体改字（</w:t>
      </w:r>
      <w:r>
        <w:rPr>
          <w:rFonts w:ascii="宋体" w:hAnsi="宋体" w:cs="宋体" w:eastAsia="宋体" w:hint="default"/>
          <w:spacing w:val="-3"/>
        </w:rPr>
        <w:t>1995</w:t>
      </w:r>
      <w:r>
        <w:rPr>
          <w:spacing w:val="-3"/>
        </w:rPr>
        <w:t>）</w:t>
      </w:r>
      <w:r>
        <w:rPr/>
        <w:t> </w:t>
      </w:r>
      <w:r>
        <w:rPr>
          <w:rFonts w:ascii="宋体" w:hAnsi="宋体" w:cs="宋体" w:eastAsia="宋体" w:hint="default"/>
        </w:rPr>
        <w:t>125</w:t>
      </w:r>
      <w:r>
        <w:rPr>
          <w:rFonts w:ascii="宋体" w:hAnsi="宋体" w:cs="宋体" w:eastAsia="宋体" w:hint="default"/>
          <w:spacing w:val="-46"/>
        </w:rPr>
        <w:t> </w:t>
      </w:r>
      <w:r>
        <w:rPr/>
        <w:t>号文、河南省体改委豫股批字（</w:t>
      </w:r>
      <w:r>
        <w:rPr>
          <w:rFonts w:ascii="宋体" w:hAnsi="宋体" w:cs="宋体" w:eastAsia="宋体" w:hint="default"/>
        </w:rPr>
        <w:t>1996</w:t>
      </w:r>
      <w:r>
        <w:rPr/>
        <w:t>）</w:t>
      </w:r>
      <w:r>
        <w:rPr>
          <w:rFonts w:ascii="宋体" w:hAnsi="宋体" w:cs="宋体" w:eastAsia="宋体" w:hint="default"/>
        </w:rPr>
        <w:t>7</w:t>
      </w:r>
      <w:r>
        <w:rPr>
          <w:rFonts w:ascii="宋体" w:hAnsi="宋体" w:cs="宋体" w:eastAsia="宋体" w:hint="default"/>
          <w:spacing w:val="-46"/>
        </w:rPr>
        <w:t> </w:t>
      </w:r>
      <w:r>
        <w:rPr/>
        <w:t>号文和河南省证券委豫证券字（</w:t>
      </w:r>
      <w:r>
        <w:rPr>
          <w:rFonts w:ascii="宋体" w:hAnsi="宋体" w:cs="宋体" w:eastAsia="宋体" w:hint="default"/>
        </w:rPr>
        <w:t>1996</w:t>
      </w:r>
      <w:r>
        <w:rPr/>
        <w:t>）</w:t>
      </w:r>
      <w:r>
        <w:rPr>
          <w:rFonts w:ascii="宋体" w:hAnsi="宋体" w:cs="宋体" w:eastAsia="宋体" w:hint="default"/>
        </w:rPr>
        <w:t>4</w:t>
      </w:r>
      <w:r>
        <w:rPr>
          <w:rFonts w:ascii="宋体" w:hAnsi="宋体" w:cs="宋体" w:eastAsia="宋体" w:hint="default"/>
          <w:spacing w:val="-46"/>
        </w:rPr>
        <w:t> </w:t>
      </w:r>
      <w:r>
        <w:rPr/>
        <w:t>号文批准，思达电子由有限责任公司 </w:t>
      </w:r>
      <w:r>
        <w:rPr>
          <w:spacing w:val="-4"/>
        </w:rPr>
        <w:t>变更为股份有限公司。根据《公司法》规定，增加白鸽（集团）股份有限公司、郑州高新技术产业开发区丰远实业有限公司、</w:t>
      </w:r>
      <w:r>
        <w:rPr>
          <w:spacing w:val="-47"/>
        </w:rPr>
        <w:t> </w:t>
      </w:r>
      <w:r>
        <w:rPr>
          <w:spacing w:val="-47"/>
        </w:rPr>
      </w:r>
      <w:r>
        <w:rPr/>
        <w:t>河南隆达通讯有限公司作为发起人，经中国证券监督管理委员会（证监发字〔</w:t>
      </w:r>
      <w:r>
        <w:rPr>
          <w:rFonts w:ascii="宋体" w:hAnsi="宋体" w:cs="宋体" w:eastAsia="宋体" w:hint="default"/>
        </w:rPr>
        <w:t>1996</w:t>
      </w:r>
      <w:r>
        <w:rPr/>
        <w:t>〕</w:t>
      </w:r>
      <w:r>
        <w:rPr>
          <w:rFonts w:ascii="宋体" w:hAnsi="宋体" w:cs="宋体" w:eastAsia="宋体" w:hint="default"/>
        </w:rPr>
        <w:t>350</w:t>
      </w:r>
      <w:r>
        <w:rPr>
          <w:rFonts w:ascii="宋体" w:hAnsi="宋体" w:cs="宋体" w:eastAsia="宋体" w:hint="default"/>
          <w:spacing w:val="-54"/>
        </w:rPr>
        <w:t> </w:t>
      </w:r>
      <w:r>
        <w:rPr/>
        <w:t>号）批准向社会公开发行</w:t>
      </w:r>
      <w:r>
        <w:rPr>
          <w:spacing w:val="-54"/>
        </w:rPr>
        <w:t> </w:t>
      </w:r>
      <w:r>
        <w:rPr>
          <w:rFonts w:ascii="宋体" w:hAnsi="宋体" w:cs="宋体" w:eastAsia="宋体" w:hint="default"/>
        </w:rPr>
        <w:t>1,250</w:t>
      </w:r>
      <w:r>
        <w:rPr>
          <w:rFonts w:ascii="宋体" w:hAnsi="宋体" w:cs="宋体" w:eastAsia="宋体" w:hint="default"/>
          <w:spacing w:val="-54"/>
        </w:rPr>
        <w:t> </w:t>
      </w:r>
      <w:r>
        <w:rPr/>
        <w:t>万 股</w:t>
      </w:r>
      <w:r>
        <w:rPr>
          <w:spacing w:val="-46"/>
        </w:rPr>
        <w:t> </w:t>
      </w:r>
      <w:r>
        <w:rPr>
          <w:rFonts w:ascii="宋体" w:hAnsi="宋体" w:cs="宋体" w:eastAsia="宋体" w:hint="default"/>
        </w:rPr>
        <w:t>A</w:t>
      </w:r>
      <w:r>
        <w:rPr>
          <w:rFonts w:ascii="宋体" w:hAnsi="宋体" w:cs="宋体" w:eastAsia="宋体" w:hint="default"/>
          <w:spacing w:val="-46"/>
        </w:rPr>
        <w:t> </w:t>
      </w:r>
      <w:r>
        <w:rPr/>
        <w:t>股，每股发行价格为</w:t>
      </w:r>
      <w:r>
        <w:rPr>
          <w:spacing w:val="-46"/>
        </w:rPr>
        <w:t> </w:t>
      </w:r>
      <w:r>
        <w:rPr>
          <w:rFonts w:ascii="宋体" w:hAnsi="宋体" w:cs="宋体" w:eastAsia="宋体" w:hint="default"/>
        </w:rPr>
        <w:t>5.20</w:t>
      </w:r>
      <w:r>
        <w:rPr>
          <w:rFonts w:ascii="宋体" w:hAnsi="宋体" w:cs="宋体" w:eastAsia="宋体" w:hint="default"/>
          <w:spacing w:val="-46"/>
        </w:rPr>
        <w:t> </w:t>
      </w:r>
      <w:r>
        <w:rPr/>
        <w:t>元。本次增资业经郑州会计师事务所有限责任公司审验，并出具郑会证验字（</w:t>
      </w:r>
      <w:r>
        <w:rPr>
          <w:rFonts w:ascii="宋体" w:hAnsi="宋体" w:cs="宋体" w:eastAsia="宋体" w:hint="default"/>
        </w:rPr>
        <w:t>1996</w:t>
      </w:r>
      <w:r>
        <w:rPr/>
        <w:t>）</w:t>
      </w:r>
      <w:r>
        <w:rPr>
          <w:rFonts w:ascii="宋体" w:hAnsi="宋体" w:cs="宋体" w:eastAsia="宋体" w:hint="default"/>
        </w:rPr>
        <w:t>009</w:t>
      </w:r>
      <w:r>
        <w:rPr>
          <w:rFonts w:ascii="宋体" w:hAnsi="宋体" w:cs="宋体" w:eastAsia="宋体" w:hint="default"/>
          <w:spacing w:val="-46"/>
        </w:rPr>
        <w:t> </w:t>
      </w:r>
      <w:r>
        <w:rPr/>
        <w:t>号 验资报告。</w:t>
      </w:r>
    </w:p>
    <w:p>
      <w:pPr>
        <w:pStyle w:val="BodyText"/>
        <w:spacing w:line="240" w:lineRule="auto" w:before="55"/>
        <w:ind w:left="513" w:right="0"/>
        <w:jc w:val="left"/>
      </w:pPr>
      <w:r>
        <w:rPr/>
        <w:t>经历次股利分配，资本公积金转增股本，配股，股权分置改革等事项，截至</w:t>
      </w:r>
      <w:r>
        <w:rPr>
          <w:spacing w:val="-45"/>
        </w:rPr>
        <w:t> </w:t>
      </w:r>
      <w:r>
        <w:rPr>
          <w:rFonts w:ascii="宋体" w:hAnsi="宋体" w:cs="宋体" w:eastAsia="宋体" w:hint="default"/>
        </w:rPr>
        <w:t>2008</w:t>
      </w:r>
      <w:r>
        <w:rPr>
          <w:rFonts w:ascii="宋体" w:hAnsi="宋体" w:cs="宋体" w:eastAsia="宋体" w:hint="default"/>
          <w:spacing w:val="-46"/>
        </w:rPr>
        <w:t> </w:t>
      </w:r>
      <w:r>
        <w:rPr/>
        <w:t>年末，上市公司注册资本为</w:t>
      </w:r>
    </w:p>
    <w:p>
      <w:pPr>
        <w:pStyle w:val="BodyText"/>
        <w:spacing w:line="240" w:lineRule="auto" w:before="77"/>
        <w:ind w:left="153" w:right="0"/>
        <w:jc w:val="left"/>
      </w:pPr>
      <w:r>
        <w:rPr>
          <w:rFonts w:ascii="宋体" w:hAnsi="宋体" w:cs="宋体" w:eastAsia="宋体" w:hint="default"/>
        </w:rPr>
        <w:t>314,586,699.00</w:t>
      </w:r>
      <w:r>
        <w:rPr>
          <w:rFonts w:ascii="宋体" w:hAnsi="宋体" w:cs="宋体" w:eastAsia="宋体" w:hint="default"/>
          <w:spacing w:val="-46"/>
        </w:rPr>
        <w:t> </w:t>
      </w:r>
      <w:r>
        <w:rPr/>
        <w:t>元。</w:t>
      </w:r>
    </w:p>
    <w:p>
      <w:pPr>
        <w:pStyle w:val="BodyText"/>
        <w:spacing w:line="319" w:lineRule="auto" w:before="116"/>
        <w:ind w:right="1132" w:firstLine="360"/>
        <w:jc w:val="both"/>
      </w:pPr>
      <w:r>
        <w:rPr>
          <w:rFonts w:ascii="宋体" w:hAnsi="宋体" w:cs="宋体" w:eastAsia="宋体" w:hint="default"/>
        </w:rPr>
        <w:t>2009</w:t>
      </w:r>
      <w:r>
        <w:rPr>
          <w:rFonts w:ascii="宋体" w:hAnsi="宋体" w:cs="宋体" w:eastAsia="宋体" w:hint="default"/>
          <w:spacing w:val="-54"/>
        </w:rPr>
        <w:t> </w:t>
      </w:r>
      <w:r>
        <w:rPr/>
        <w:t>年</w:t>
      </w:r>
      <w:r>
        <w:rPr>
          <w:spacing w:val="-54"/>
        </w:rPr>
        <w:t> </w:t>
      </w:r>
      <w:r>
        <w:rPr>
          <w:rFonts w:ascii="宋体" w:hAnsi="宋体" w:cs="宋体" w:eastAsia="宋体" w:hint="default"/>
        </w:rPr>
        <w:t>9</w:t>
      </w:r>
      <w:r>
        <w:rPr>
          <w:rFonts w:ascii="宋体" w:hAnsi="宋体" w:cs="宋体" w:eastAsia="宋体" w:hint="default"/>
          <w:spacing w:val="-53"/>
        </w:rPr>
        <w:t> </w:t>
      </w:r>
      <w:r>
        <w:rPr/>
        <w:t>月</w:t>
      </w:r>
      <w:r>
        <w:rPr>
          <w:spacing w:val="-54"/>
        </w:rPr>
        <w:t> </w:t>
      </w:r>
      <w:r>
        <w:rPr>
          <w:rFonts w:ascii="宋体" w:hAnsi="宋体" w:cs="宋体" w:eastAsia="宋体" w:hint="default"/>
        </w:rPr>
        <w:t>30</w:t>
      </w:r>
      <w:r>
        <w:rPr>
          <w:rFonts w:ascii="宋体" w:hAnsi="宋体" w:cs="宋体" w:eastAsia="宋体" w:hint="default"/>
          <w:spacing w:val="-53"/>
        </w:rPr>
        <w:t> </w:t>
      </w:r>
      <w:r>
        <w:rPr/>
        <w:t>日，本公司原控股股东河南思达科技（集团）股份有限公司与河南正弘置业有限公司签订了《股权转让 </w:t>
      </w:r>
      <w:r>
        <w:rPr>
          <w:spacing w:val="-3"/>
        </w:rPr>
        <w:t>协议》，河南正弘置业有限公司受让河南思达科技（集团）股份有限公司持有的本公司</w:t>
      </w:r>
      <w:r>
        <w:rPr>
          <w:spacing w:val="-44"/>
        </w:rPr>
        <w:t> </w:t>
      </w:r>
      <w:r>
        <w:rPr>
          <w:rFonts w:ascii="宋体" w:hAnsi="宋体" w:cs="宋体" w:eastAsia="宋体" w:hint="default"/>
          <w:spacing w:val="-1"/>
        </w:rPr>
        <w:t>29.24%</w:t>
      </w:r>
      <w:r>
        <w:rPr>
          <w:spacing w:val="-1"/>
        </w:rPr>
        <w:t>的股权，合计</w:t>
      </w:r>
      <w:r>
        <w:rPr>
          <w:spacing w:val="-45"/>
        </w:rPr>
        <w:t> </w:t>
      </w:r>
      <w:r>
        <w:rPr>
          <w:rFonts w:ascii="宋体" w:hAnsi="宋体" w:cs="宋体" w:eastAsia="宋体" w:hint="default"/>
        </w:rPr>
        <w:t>9,200</w:t>
      </w:r>
      <w:r>
        <w:rPr>
          <w:rFonts w:ascii="宋体" w:hAnsi="宋体" w:cs="宋体" w:eastAsia="宋体" w:hint="default"/>
          <w:spacing w:val="-45"/>
        </w:rPr>
        <w:t> </w:t>
      </w:r>
      <w:r>
        <w:rPr>
          <w:spacing w:val="-2"/>
        </w:rPr>
        <w:t>万股，并</w:t>
      </w:r>
      <w:r>
        <w:rPr/>
        <w:t> 于</w:t>
      </w:r>
      <w:r>
        <w:rPr>
          <w:spacing w:val="-46"/>
        </w:rPr>
        <w:t> </w:t>
      </w:r>
      <w:r>
        <w:rPr>
          <w:rFonts w:ascii="宋体" w:hAnsi="宋体" w:cs="宋体" w:eastAsia="宋体" w:hint="default"/>
        </w:rPr>
        <w:t>2009</w:t>
      </w:r>
      <w:r>
        <w:rPr>
          <w:rFonts w:ascii="宋体" w:hAnsi="宋体" w:cs="宋体" w:eastAsia="宋体" w:hint="default"/>
          <w:spacing w:val="-46"/>
        </w:rPr>
        <w:t> </w:t>
      </w:r>
      <w:r>
        <w:rPr/>
        <w:t>年</w:t>
      </w:r>
      <w:r>
        <w:rPr>
          <w:spacing w:val="-46"/>
        </w:rPr>
        <w:t> </w:t>
      </w:r>
      <w:r>
        <w:rPr>
          <w:rFonts w:ascii="宋体" w:hAnsi="宋体" w:cs="宋体" w:eastAsia="宋体" w:hint="default"/>
        </w:rPr>
        <w:t>11</w:t>
      </w:r>
      <w:r>
        <w:rPr>
          <w:rFonts w:ascii="宋体" w:hAnsi="宋体" w:cs="宋体" w:eastAsia="宋体" w:hint="default"/>
          <w:spacing w:val="-45"/>
        </w:rPr>
        <w:t> </w:t>
      </w:r>
      <w:r>
        <w:rPr/>
        <w:t>月</w:t>
      </w:r>
      <w:r>
        <w:rPr>
          <w:spacing w:val="-46"/>
        </w:rPr>
        <w:t> </w:t>
      </w:r>
      <w:r>
        <w:rPr>
          <w:rFonts w:ascii="宋体" w:hAnsi="宋体" w:cs="宋体" w:eastAsia="宋体" w:hint="default"/>
        </w:rPr>
        <w:t>18</w:t>
      </w:r>
      <w:r>
        <w:rPr>
          <w:rFonts w:ascii="宋体" w:hAnsi="宋体" w:cs="宋体" w:eastAsia="宋体" w:hint="default"/>
          <w:spacing w:val="-46"/>
        </w:rPr>
        <w:t> </w:t>
      </w:r>
      <w:r>
        <w:rPr/>
        <w:t>日在中国证券登记结算有限公司深圳分公司完成了登记和交割变更，本公司控股股东变更为河南正弘置 业有限公司。</w:t>
      </w:r>
    </w:p>
    <w:p>
      <w:pPr>
        <w:pStyle w:val="BodyText"/>
        <w:spacing w:line="319" w:lineRule="auto" w:before="55"/>
        <w:ind w:left="153" w:right="1094" w:firstLine="360"/>
        <w:jc w:val="both"/>
      </w:pPr>
      <w:r>
        <w:rPr>
          <w:rFonts w:ascii="宋体" w:hAnsi="宋体" w:cs="宋体" w:eastAsia="宋体" w:hint="default"/>
        </w:rPr>
        <w:t>2014</w:t>
      </w:r>
      <w:r>
        <w:rPr>
          <w:rFonts w:ascii="宋体" w:hAnsi="宋体" w:cs="宋体" w:eastAsia="宋体" w:hint="default"/>
          <w:spacing w:val="-44"/>
        </w:rPr>
        <w:t> </w:t>
      </w:r>
      <w:r>
        <w:rPr/>
        <w:t>年</w:t>
      </w:r>
      <w:r>
        <w:rPr>
          <w:spacing w:val="-44"/>
        </w:rPr>
        <w:t> </w:t>
      </w:r>
      <w:r>
        <w:rPr>
          <w:rFonts w:ascii="宋体" w:hAnsi="宋体" w:cs="宋体" w:eastAsia="宋体" w:hint="default"/>
        </w:rPr>
        <w:t>12</w:t>
      </w:r>
      <w:r>
        <w:rPr>
          <w:rFonts w:ascii="宋体" w:hAnsi="宋体" w:cs="宋体" w:eastAsia="宋体" w:hint="default"/>
          <w:spacing w:val="-43"/>
        </w:rPr>
        <w:t> </w:t>
      </w:r>
      <w:r>
        <w:rPr/>
        <w:t>月</w:t>
      </w:r>
      <w:r>
        <w:rPr>
          <w:spacing w:val="-44"/>
        </w:rPr>
        <w:t> </w:t>
      </w:r>
      <w:r>
        <w:rPr>
          <w:rFonts w:ascii="宋体" w:hAnsi="宋体" w:cs="宋体" w:eastAsia="宋体" w:hint="default"/>
        </w:rPr>
        <w:t>29</w:t>
      </w:r>
      <w:r>
        <w:rPr>
          <w:rFonts w:ascii="宋体" w:hAnsi="宋体" w:cs="宋体" w:eastAsia="宋体" w:hint="default"/>
          <w:spacing w:val="-44"/>
        </w:rPr>
        <w:t> </w:t>
      </w:r>
      <w:r>
        <w:rPr>
          <w:spacing w:val="-7"/>
        </w:rPr>
        <w:t>日，本公司原控股股东河南正弘置业有限公司与北京智度德普股权投资中心（有限合伙）（以下简称“智</w:t>
      </w:r>
      <w:r>
        <w:rPr/>
        <w:t> </w:t>
      </w:r>
      <w:r>
        <w:rPr>
          <w:spacing w:val="-2"/>
        </w:rPr>
        <w:t>度德普有限合伙”）签订了《股权转让协议》，智度德普有限合伙受让河南正弘置业有限公司持有的本公司</w:t>
      </w:r>
      <w:r>
        <w:rPr>
          <w:spacing w:val="-42"/>
        </w:rPr>
        <w:t> </w:t>
      </w:r>
      <w:r>
        <w:rPr>
          <w:rFonts w:ascii="宋体" w:hAnsi="宋体" w:cs="宋体" w:eastAsia="宋体" w:hint="default"/>
        </w:rPr>
        <w:t>20.03%</w:t>
      </w:r>
      <w:r>
        <w:rPr/>
        <w:t>的股权， 合计</w:t>
      </w:r>
      <w:r>
        <w:rPr>
          <w:spacing w:val="-46"/>
        </w:rPr>
        <w:t> </w:t>
      </w:r>
      <w:r>
        <w:rPr>
          <w:rFonts w:ascii="宋体" w:hAnsi="宋体" w:cs="宋体" w:eastAsia="宋体" w:hint="default"/>
        </w:rPr>
        <w:t>6,300</w:t>
      </w:r>
      <w:r>
        <w:rPr>
          <w:rFonts w:ascii="宋体" w:hAnsi="宋体" w:cs="宋体" w:eastAsia="宋体" w:hint="default"/>
          <w:spacing w:val="-46"/>
        </w:rPr>
        <w:t> </w:t>
      </w:r>
      <w:r>
        <w:rPr/>
        <w:t>万股，并于</w:t>
      </w:r>
      <w:r>
        <w:rPr>
          <w:spacing w:val="-46"/>
        </w:rPr>
        <w:t> </w:t>
      </w:r>
      <w:r>
        <w:rPr>
          <w:rFonts w:ascii="宋体" w:hAnsi="宋体" w:cs="宋体" w:eastAsia="宋体" w:hint="default"/>
        </w:rPr>
        <w:t>2014</w:t>
      </w:r>
      <w:r>
        <w:rPr>
          <w:rFonts w:ascii="宋体" w:hAnsi="宋体" w:cs="宋体" w:eastAsia="宋体" w:hint="default"/>
          <w:spacing w:val="-45"/>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日在中国证券登记结算有限公司深圳分公司完成了登记和交割变更，本公司的控股 股东变更为智度德普有限合伙。</w:t>
      </w:r>
    </w:p>
    <w:p>
      <w:pPr>
        <w:pStyle w:val="BodyText"/>
        <w:spacing w:line="240" w:lineRule="auto" w:before="55"/>
        <w:ind w:left="514" w:right="0"/>
        <w:jc w:val="left"/>
      </w:pPr>
      <w:r>
        <w:rPr>
          <w:rFonts w:ascii="宋体" w:hAnsi="宋体" w:cs="宋体" w:eastAsia="宋体" w:hint="default"/>
        </w:rPr>
        <w:t>2015</w:t>
      </w:r>
      <w:r>
        <w:rPr>
          <w:rFonts w:ascii="宋体" w:hAnsi="宋体" w:cs="宋体" w:eastAsia="宋体" w:hint="default"/>
          <w:spacing w:val="-48"/>
        </w:rPr>
        <w:t> </w:t>
      </w:r>
      <w:r>
        <w:rPr/>
        <w:t>年</w:t>
      </w:r>
      <w:r>
        <w:rPr>
          <w:spacing w:val="-48"/>
        </w:rPr>
        <w:t> </w:t>
      </w:r>
      <w:r>
        <w:rPr>
          <w:rFonts w:ascii="宋体" w:hAnsi="宋体" w:cs="宋体" w:eastAsia="宋体" w:hint="default"/>
        </w:rPr>
        <w:t>1</w:t>
      </w:r>
      <w:r>
        <w:rPr>
          <w:rFonts w:ascii="宋体" w:hAnsi="宋体" w:cs="宋体" w:eastAsia="宋体" w:hint="default"/>
          <w:spacing w:val="-47"/>
        </w:rPr>
        <w:t> </w:t>
      </w:r>
      <w:r>
        <w:rPr/>
        <w:t>月</w:t>
      </w:r>
      <w:r>
        <w:rPr>
          <w:spacing w:val="-48"/>
        </w:rPr>
        <w:t> </w:t>
      </w:r>
      <w:r>
        <w:rPr>
          <w:rFonts w:ascii="宋体" w:hAnsi="宋体" w:cs="宋体" w:eastAsia="宋体" w:hint="default"/>
        </w:rPr>
        <w:t>28</w:t>
      </w:r>
      <w:r>
        <w:rPr>
          <w:rFonts w:ascii="宋体" w:hAnsi="宋体" w:cs="宋体" w:eastAsia="宋体" w:hint="default"/>
          <w:spacing w:val="-47"/>
        </w:rPr>
        <w:t> </w:t>
      </w:r>
      <w:r>
        <w:rPr>
          <w:spacing w:val="-4"/>
        </w:rPr>
        <w:t>日，本公司</w:t>
      </w:r>
      <w:r>
        <w:rPr>
          <w:spacing w:val="-48"/>
        </w:rPr>
        <w:t> </w:t>
      </w:r>
      <w:r>
        <w:rPr>
          <w:rFonts w:ascii="宋体" w:hAnsi="宋体" w:cs="宋体" w:eastAsia="宋体" w:hint="default"/>
        </w:rPr>
        <w:t>2015</w:t>
      </w:r>
      <w:r>
        <w:rPr>
          <w:rFonts w:ascii="宋体" w:hAnsi="宋体" w:cs="宋体" w:eastAsia="宋体" w:hint="default"/>
          <w:spacing w:val="-48"/>
        </w:rPr>
        <w:t> </w:t>
      </w:r>
      <w:r>
        <w:rPr/>
        <w:t>年第一次临时股东大会决议公司名称变更为智度投资股份有限公司，并于</w:t>
      </w:r>
      <w:r>
        <w:rPr>
          <w:spacing w:val="-47"/>
        </w:rPr>
        <w:t> </w:t>
      </w:r>
      <w:r>
        <w:rPr>
          <w:rFonts w:ascii="宋体" w:hAnsi="宋体" w:cs="宋体" w:eastAsia="宋体" w:hint="default"/>
        </w:rPr>
        <w:t>2015</w:t>
      </w:r>
      <w:r>
        <w:rPr>
          <w:rFonts w:ascii="宋体" w:hAnsi="宋体" w:cs="宋体" w:eastAsia="宋体" w:hint="default"/>
          <w:spacing w:val="-48"/>
        </w:rPr>
        <w:t> </w:t>
      </w:r>
      <w:r>
        <w:rPr/>
        <w:t>年</w:t>
      </w:r>
      <w:r>
        <w:rPr>
          <w:spacing w:val="-47"/>
        </w:rPr>
        <w:t> </w:t>
      </w:r>
      <w:r>
        <w:rPr>
          <w:rFonts w:ascii="宋体" w:hAnsi="宋体" w:cs="宋体" w:eastAsia="宋体" w:hint="default"/>
        </w:rPr>
        <w:t>1</w:t>
      </w:r>
      <w:r>
        <w:rPr>
          <w:rFonts w:ascii="宋体" w:hAnsi="宋体" w:cs="宋体" w:eastAsia="宋体" w:hint="default"/>
          <w:spacing w:val="-47"/>
        </w:rPr>
        <w:t> </w:t>
      </w:r>
      <w:r>
        <w:rPr/>
        <w:t>月</w:t>
      </w:r>
    </w:p>
    <w:p>
      <w:pPr>
        <w:pStyle w:val="BodyText"/>
        <w:spacing w:line="240" w:lineRule="auto" w:before="77"/>
        <w:ind w:left="153" w:right="0"/>
        <w:jc w:val="left"/>
      </w:pPr>
      <w:r>
        <w:rPr>
          <w:rFonts w:ascii="宋体" w:hAnsi="宋体" w:cs="宋体" w:eastAsia="宋体" w:hint="default"/>
        </w:rPr>
        <w:t>30</w:t>
      </w:r>
      <w:r>
        <w:rPr>
          <w:rFonts w:ascii="宋体" w:hAnsi="宋体" w:cs="宋体" w:eastAsia="宋体" w:hint="default"/>
          <w:spacing w:val="-46"/>
        </w:rPr>
        <w:t> </w:t>
      </w:r>
      <w:r>
        <w:rPr/>
        <w:t>日完成工商变更登记。</w:t>
      </w:r>
    </w:p>
    <w:p>
      <w:pPr>
        <w:pStyle w:val="BodyText"/>
        <w:spacing w:line="319" w:lineRule="auto" w:before="116"/>
        <w:ind w:left="153" w:right="1096" w:firstLine="360"/>
        <w:jc w:val="both"/>
      </w:pPr>
      <w:r>
        <w:rPr>
          <w:rFonts w:ascii="宋体" w:hAnsi="宋体" w:cs="宋体" w:eastAsia="宋体" w:hint="default"/>
        </w:rPr>
        <w:t>2016</w:t>
      </w:r>
      <w:r>
        <w:rPr>
          <w:rFonts w:ascii="宋体" w:hAnsi="宋体" w:cs="宋体" w:eastAsia="宋体" w:hint="default"/>
          <w:spacing w:val="-53"/>
        </w:rPr>
        <w:t> </w:t>
      </w:r>
      <w:r>
        <w:rPr/>
        <w:t>年</w:t>
      </w:r>
      <w:r>
        <w:rPr>
          <w:spacing w:val="-53"/>
        </w:rPr>
        <w:t> </w:t>
      </w:r>
      <w:r>
        <w:rPr>
          <w:rFonts w:ascii="宋体" w:hAnsi="宋体" w:cs="宋体" w:eastAsia="宋体" w:hint="default"/>
        </w:rPr>
        <w:t>4</w:t>
      </w:r>
      <w:r>
        <w:rPr>
          <w:rFonts w:ascii="宋体" w:hAnsi="宋体" w:cs="宋体" w:eastAsia="宋体" w:hint="default"/>
          <w:spacing w:val="-52"/>
        </w:rPr>
        <w:t> </w:t>
      </w:r>
      <w:r>
        <w:rPr/>
        <w:t>月</w:t>
      </w:r>
      <w:r>
        <w:rPr>
          <w:spacing w:val="-53"/>
        </w:rPr>
        <w:t> </w:t>
      </w:r>
      <w:r>
        <w:rPr>
          <w:rFonts w:ascii="宋体" w:hAnsi="宋体" w:cs="宋体" w:eastAsia="宋体" w:hint="default"/>
        </w:rPr>
        <w:t>25</w:t>
      </w:r>
      <w:r>
        <w:rPr>
          <w:rFonts w:ascii="宋体" w:hAnsi="宋体" w:cs="宋体" w:eastAsia="宋体" w:hint="default"/>
          <w:spacing w:val="-52"/>
        </w:rPr>
        <w:t> </w:t>
      </w:r>
      <w:r>
        <w:rPr/>
        <w:t>日，经中国证券监督管理委员会《关于核准智度投资股份有限公司向北京智度德普股权投资中心（有限 </w:t>
      </w:r>
      <w:r>
        <w:rPr>
          <w:spacing w:val="-3"/>
        </w:rPr>
        <w:t>合伙）等发行股份购买资产并募集配套资金的批复》（证监许可〔</w:t>
      </w:r>
      <w:r>
        <w:rPr>
          <w:rFonts w:ascii="宋体" w:hAnsi="宋体" w:cs="宋体" w:eastAsia="宋体" w:hint="default"/>
          <w:spacing w:val="-3"/>
        </w:rPr>
        <w:t>2016</w:t>
      </w:r>
      <w:r>
        <w:rPr>
          <w:spacing w:val="-3"/>
        </w:rPr>
        <w:t>〕</w:t>
      </w:r>
      <w:r>
        <w:rPr>
          <w:rFonts w:ascii="宋体" w:hAnsi="宋体" w:cs="宋体" w:eastAsia="宋体" w:hint="default"/>
          <w:spacing w:val="-3"/>
        </w:rPr>
        <w:t>834</w:t>
      </w:r>
      <w:r>
        <w:rPr>
          <w:rFonts w:ascii="宋体" w:hAnsi="宋体" w:cs="宋体" w:eastAsia="宋体" w:hint="default"/>
          <w:spacing w:val="-40"/>
        </w:rPr>
        <w:t> </w:t>
      </w:r>
      <w:r>
        <w:rPr/>
        <w:t>号）文件核准，本公司向智度德普有限合伙等</w:t>
      </w:r>
      <w:r>
        <w:rPr>
          <w:spacing w:val="-76"/>
        </w:rPr>
        <w:t> </w:t>
      </w:r>
      <w:r>
        <w:rPr/>
        <w:t>以非公开发行股票方式发行人民币普通股（</w:t>
      </w:r>
      <w:r>
        <w:rPr>
          <w:rFonts w:ascii="宋体" w:hAnsi="宋体" w:cs="宋体" w:eastAsia="宋体" w:hint="default"/>
        </w:rPr>
        <w:t>A</w:t>
      </w:r>
      <w:r>
        <w:rPr>
          <w:rFonts w:ascii="宋体" w:hAnsi="宋体" w:cs="宋体" w:eastAsia="宋体" w:hint="default"/>
          <w:spacing w:val="-58"/>
        </w:rPr>
        <w:t> </w:t>
      </w:r>
      <w:r>
        <w:rPr/>
        <w:t>股）</w:t>
      </w:r>
      <w:r>
        <w:rPr>
          <w:rFonts w:ascii="宋体" w:hAnsi="宋体" w:cs="宋体" w:eastAsia="宋体" w:hint="default"/>
        </w:rPr>
        <w:t>231,742,395</w:t>
      </w:r>
      <w:r>
        <w:rPr>
          <w:rFonts w:ascii="宋体" w:hAnsi="宋体" w:cs="宋体" w:eastAsia="宋体" w:hint="default"/>
          <w:spacing w:val="-58"/>
        </w:rPr>
        <w:t> </w:t>
      </w:r>
      <w:r>
        <w:rPr/>
        <w:t>股用于购买相关资产，每股发行价格</w:t>
      </w:r>
      <w:r>
        <w:rPr>
          <w:spacing w:val="-58"/>
        </w:rPr>
        <w:t> </w:t>
      </w:r>
      <w:r>
        <w:rPr>
          <w:rFonts w:ascii="宋体" w:hAnsi="宋体" w:cs="宋体" w:eastAsia="宋体" w:hint="default"/>
        </w:rPr>
        <w:t>5.61</w:t>
      </w:r>
      <w:r>
        <w:rPr>
          <w:rFonts w:ascii="宋体" w:hAnsi="宋体" w:cs="宋体" w:eastAsia="宋体" w:hint="default"/>
          <w:spacing w:val="-58"/>
        </w:rPr>
        <w:t> </w:t>
      </w:r>
      <w:r>
        <w:rPr>
          <w:spacing w:val="-3"/>
        </w:rPr>
        <w:t>元，本公司注册资</w:t>
      </w:r>
      <w:r>
        <w:rPr/>
        <w:t> 本由</w:t>
      </w:r>
      <w:r>
        <w:rPr>
          <w:spacing w:val="-43"/>
        </w:rPr>
        <w:t> </w:t>
      </w:r>
      <w:r>
        <w:rPr>
          <w:rFonts w:ascii="宋体" w:hAnsi="宋体" w:cs="宋体" w:eastAsia="宋体" w:hint="default"/>
        </w:rPr>
        <w:t>314,586,699.00</w:t>
      </w:r>
      <w:r>
        <w:rPr>
          <w:rFonts w:ascii="宋体" w:hAnsi="宋体" w:cs="宋体" w:eastAsia="宋体" w:hint="default"/>
          <w:spacing w:val="-43"/>
        </w:rPr>
        <w:t> </w:t>
      </w:r>
      <w:r>
        <w:rPr/>
        <w:t>元变更为</w:t>
      </w:r>
      <w:r>
        <w:rPr>
          <w:spacing w:val="-43"/>
        </w:rPr>
        <w:t> </w:t>
      </w:r>
      <w:r>
        <w:rPr>
          <w:rFonts w:ascii="宋体" w:hAnsi="宋体" w:cs="宋体" w:eastAsia="宋体" w:hint="default"/>
        </w:rPr>
        <w:t>546,329,094.00</w:t>
      </w:r>
      <w:r>
        <w:rPr>
          <w:rFonts w:ascii="宋体" w:hAnsi="宋体" w:cs="宋体" w:eastAsia="宋体" w:hint="default"/>
          <w:spacing w:val="-43"/>
        </w:rPr>
        <w:t> </w:t>
      </w:r>
      <w:r>
        <w:rPr>
          <w:spacing w:val="-3"/>
        </w:rPr>
        <w:t>元。本次增资业经瑞华会计师事务所（特殊普通合伙）审验，并出具瑞华验</w:t>
      </w:r>
      <w:r>
        <w:rPr>
          <w:spacing w:val="-87"/>
        </w:rPr>
        <w:t> </w:t>
      </w:r>
      <w:r>
        <w:rPr>
          <w:spacing w:val="-87"/>
        </w:rPr>
      </w:r>
      <w:r>
        <w:rPr/>
        <w:t>字〔</w:t>
      </w:r>
      <w:r>
        <w:rPr>
          <w:rFonts w:ascii="宋体" w:hAnsi="宋体" w:cs="宋体" w:eastAsia="宋体" w:hint="default"/>
        </w:rPr>
        <w:t>2016</w:t>
      </w:r>
      <w:r>
        <w:rPr/>
        <w:t>〕</w:t>
      </w:r>
      <w:r>
        <w:rPr>
          <w:rFonts w:ascii="宋体" w:hAnsi="宋体" w:cs="宋体" w:eastAsia="宋体" w:hint="default"/>
        </w:rPr>
        <w:t>01660007</w:t>
      </w:r>
      <w:r>
        <w:rPr>
          <w:rFonts w:ascii="宋体" w:hAnsi="宋体" w:cs="宋体" w:eastAsia="宋体" w:hint="default"/>
          <w:spacing w:val="-46"/>
        </w:rPr>
        <w:t> </w:t>
      </w:r>
      <w:r>
        <w:rPr/>
        <w:t>号验资报告。随后，本公司向智度德普有限合伙、西藏智度投资有限公司（现已更名为“智度集团有 限公司”）非公开发行股份</w:t>
      </w:r>
      <w:r>
        <w:rPr>
          <w:spacing w:val="-46"/>
        </w:rPr>
        <w:t> </w:t>
      </w:r>
      <w:r>
        <w:rPr>
          <w:rFonts w:ascii="宋体" w:hAnsi="宋体" w:cs="宋体" w:eastAsia="宋体" w:hint="default"/>
        </w:rPr>
        <w:t>419,381,688</w:t>
      </w:r>
      <w:r>
        <w:rPr>
          <w:rFonts w:ascii="宋体" w:hAnsi="宋体" w:cs="宋体" w:eastAsia="宋体" w:hint="default"/>
          <w:spacing w:val="-46"/>
        </w:rPr>
        <w:t> </w:t>
      </w:r>
      <w:r>
        <w:rPr/>
        <w:t>股募集发行股份购买资产的配套资金，每股发行价格</w:t>
      </w:r>
      <w:r>
        <w:rPr>
          <w:spacing w:val="-45"/>
        </w:rPr>
        <w:t> </w:t>
      </w:r>
      <w:r>
        <w:rPr>
          <w:rFonts w:ascii="宋体" w:hAnsi="宋体" w:cs="宋体" w:eastAsia="宋体" w:hint="default"/>
        </w:rPr>
        <w:t>6.72</w:t>
      </w:r>
      <w:r>
        <w:rPr>
          <w:rFonts w:ascii="宋体" w:hAnsi="宋体" w:cs="宋体" w:eastAsia="宋体" w:hint="default"/>
          <w:spacing w:val="-45"/>
        </w:rPr>
        <w:t> </w:t>
      </w:r>
      <w:r>
        <w:rPr/>
        <w:t>元。本公司注册资本变 更为</w:t>
      </w:r>
      <w:r>
        <w:rPr>
          <w:spacing w:val="-46"/>
        </w:rPr>
        <w:t> </w:t>
      </w:r>
      <w:r>
        <w:rPr>
          <w:rFonts w:ascii="宋体" w:hAnsi="宋体" w:cs="宋体" w:eastAsia="宋体" w:hint="default"/>
        </w:rPr>
        <w:t>965,710,782.00</w:t>
      </w:r>
      <w:r>
        <w:rPr>
          <w:rFonts w:ascii="宋体" w:hAnsi="宋体" w:cs="宋体" w:eastAsia="宋体" w:hint="default"/>
          <w:spacing w:val="-46"/>
        </w:rPr>
        <w:t> </w:t>
      </w:r>
      <w:r>
        <w:rPr/>
        <w:t>元。本次增资业经瑞华会计师事务所（特殊普通合伙）审验，并出具瑞华验字〔</w:t>
      </w:r>
      <w:r>
        <w:rPr>
          <w:rFonts w:ascii="宋体" w:hAnsi="宋体" w:cs="宋体" w:eastAsia="宋体" w:hint="default"/>
        </w:rPr>
        <w:t>2016</w:t>
      </w:r>
      <w:r>
        <w:rPr/>
        <w:t>〕</w:t>
      </w:r>
      <w:r>
        <w:rPr>
          <w:rFonts w:ascii="宋体" w:hAnsi="宋体" w:cs="宋体" w:eastAsia="宋体" w:hint="default"/>
        </w:rPr>
        <w:t>01660008</w:t>
      </w:r>
      <w:r>
        <w:rPr>
          <w:rFonts w:ascii="宋体" w:hAnsi="宋体" w:cs="宋体" w:eastAsia="宋体" w:hint="default"/>
          <w:spacing w:val="-46"/>
        </w:rPr>
        <w:t> </w:t>
      </w:r>
      <w:r>
        <w:rPr/>
        <w:t>号、 瑞华验字〔</w:t>
      </w:r>
      <w:r>
        <w:rPr>
          <w:rFonts w:ascii="宋体" w:hAnsi="宋体" w:cs="宋体" w:eastAsia="宋体" w:hint="default"/>
        </w:rPr>
        <w:t>2016</w:t>
      </w:r>
      <w:r>
        <w:rPr/>
        <w:t>〕</w:t>
      </w:r>
      <w:r>
        <w:rPr>
          <w:rFonts w:ascii="宋体" w:hAnsi="宋体" w:cs="宋体" w:eastAsia="宋体" w:hint="default"/>
        </w:rPr>
        <w:t>01660009</w:t>
      </w:r>
      <w:r>
        <w:rPr>
          <w:rFonts w:ascii="宋体" w:hAnsi="宋体" w:cs="宋体" w:eastAsia="宋体" w:hint="default"/>
          <w:spacing w:val="-53"/>
        </w:rPr>
        <w:t> </w:t>
      </w:r>
      <w:r>
        <w:rPr/>
        <w:t>号验资报告。上述新增股份已于</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2"/>
        </w:rPr>
        <w:t> </w:t>
      </w:r>
      <w:r>
        <w:rPr>
          <w:rFonts w:ascii="宋体" w:hAnsi="宋体" w:cs="宋体" w:eastAsia="宋体" w:hint="default"/>
        </w:rPr>
        <w:t>5</w:t>
      </w:r>
      <w:r>
        <w:rPr>
          <w:rFonts w:ascii="宋体" w:hAnsi="宋体" w:cs="宋体" w:eastAsia="宋体" w:hint="default"/>
          <w:spacing w:val="-53"/>
        </w:rPr>
        <w:t> </w:t>
      </w:r>
      <w:r>
        <w:rPr/>
        <w:t>月在中国证券登记结算有限责任公司深圳分公司办理 完毕股份登记手续。</w:t>
      </w:r>
    </w:p>
    <w:p>
      <w:pPr>
        <w:pStyle w:val="BodyText"/>
        <w:spacing w:line="319" w:lineRule="auto" w:before="55"/>
        <w:ind w:left="153" w:right="1132" w:firstLine="360"/>
        <w:jc w:val="both"/>
      </w:pPr>
      <w:r>
        <w:rPr>
          <w:rFonts w:ascii="宋体" w:hAnsi="宋体" w:cs="宋体" w:eastAsia="宋体" w:hint="default"/>
        </w:rPr>
        <w:t>2016</w:t>
      </w:r>
      <w:r>
        <w:rPr>
          <w:rFonts w:ascii="宋体" w:hAnsi="宋体" w:cs="宋体" w:eastAsia="宋体" w:hint="default"/>
          <w:spacing w:val="-43"/>
        </w:rPr>
        <w:t> </w:t>
      </w:r>
      <w:r>
        <w:rPr/>
        <w:t>年</w:t>
      </w:r>
      <w:r>
        <w:rPr>
          <w:spacing w:val="-43"/>
        </w:rPr>
        <w:t> </w:t>
      </w:r>
      <w:r>
        <w:rPr>
          <w:rFonts w:ascii="宋体" w:hAnsi="宋体" w:cs="宋体" w:eastAsia="宋体" w:hint="default"/>
        </w:rPr>
        <w:t>6</w:t>
      </w:r>
      <w:r>
        <w:rPr>
          <w:rFonts w:ascii="宋体" w:hAnsi="宋体" w:cs="宋体" w:eastAsia="宋体" w:hint="default"/>
          <w:spacing w:val="-42"/>
        </w:rPr>
        <w:t> </w:t>
      </w:r>
      <w:r>
        <w:rPr/>
        <w:t>月</w:t>
      </w:r>
      <w:r>
        <w:rPr>
          <w:spacing w:val="-43"/>
        </w:rPr>
        <w:t> </w:t>
      </w:r>
      <w:r>
        <w:rPr>
          <w:rFonts w:ascii="宋体" w:hAnsi="宋体" w:cs="宋体" w:eastAsia="宋体" w:hint="default"/>
        </w:rPr>
        <w:t>30</w:t>
      </w:r>
      <w:r>
        <w:rPr>
          <w:rFonts w:ascii="宋体" w:hAnsi="宋体" w:cs="宋体" w:eastAsia="宋体" w:hint="default"/>
          <w:spacing w:val="-42"/>
        </w:rPr>
        <w:t> </w:t>
      </w:r>
      <w:r>
        <w:rPr>
          <w:spacing w:val="-2"/>
        </w:rPr>
        <w:t>日，本公司</w:t>
      </w:r>
      <w:r>
        <w:rPr>
          <w:spacing w:val="-43"/>
        </w:rPr>
        <w:t> </w:t>
      </w:r>
      <w:r>
        <w:rPr>
          <w:rFonts w:ascii="宋体" w:hAnsi="宋体" w:cs="宋体" w:eastAsia="宋体" w:hint="default"/>
        </w:rPr>
        <w:t>2016</w:t>
      </w:r>
      <w:r>
        <w:rPr>
          <w:rFonts w:ascii="宋体" w:hAnsi="宋体" w:cs="宋体" w:eastAsia="宋体" w:hint="default"/>
          <w:spacing w:val="-43"/>
        </w:rPr>
        <w:t> </w:t>
      </w:r>
      <w:r>
        <w:rPr>
          <w:spacing w:val="-6"/>
        </w:rPr>
        <w:t>年第一次临时股东大会审议通过《关于变更公司名称、证券简称的议案》、《关于修订</w:t>
      </w:r>
      <w:r>
        <w:rPr>
          <w:rFonts w:ascii="宋体" w:hAnsi="宋体" w:cs="宋体" w:eastAsia="宋体" w:hint="default"/>
          <w:spacing w:val="-6"/>
        </w:rPr>
        <w:t>&lt;</w:t>
      </w:r>
      <w:r>
        <w:rPr>
          <w:rFonts w:ascii="宋体" w:hAnsi="宋体" w:cs="宋体" w:eastAsia="宋体" w:hint="default"/>
        </w:rPr>
        <w:t> </w:t>
      </w:r>
      <w:r>
        <w:rPr>
          <w:spacing w:val="-4"/>
        </w:rPr>
        <w:t>公司章程</w:t>
      </w:r>
      <w:r>
        <w:rPr>
          <w:rFonts w:ascii="宋体" w:hAnsi="宋体" w:cs="宋体" w:eastAsia="宋体" w:hint="default"/>
          <w:spacing w:val="-4"/>
        </w:rPr>
        <w:t>&gt;</w:t>
      </w:r>
      <w:r>
        <w:rPr>
          <w:spacing w:val="-4"/>
        </w:rPr>
        <w:t>的议案》、《关于智度投资股份有限公司重大资产出售暨关联交易具体方案的议案》等相关议案，本公司名称由智</w:t>
      </w:r>
      <w:r>
        <w:rPr>
          <w:spacing w:val="-50"/>
        </w:rPr>
        <w:t> </w:t>
      </w:r>
      <w:r>
        <w:rPr>
          <w:spacing w:val="-50"/>
        </w:rPr>
      </w:r>
      <w:r>
        <w:rPr/>
        <w:t>度投资股份有限公司变更为智度科技股份有限公司，并于</w:t>
      </w:r>
      <w:r>
        <w:rPr>
          <w:spacing w:val="-59"/>
        </w:rPr>
        <w:t> </w:t>
      </w:r>
      <w:r>
        <w:rPr>
          <w:rFonts w:ascii="宋体" w:hAnsi="宋体" w:cs="宋体" w:eastAsia="宋体" w:hint="default"/>
        </w:rPr>
        <w:t>2016</w:t>
      </w:r>
      <w:r>
        <w:rPr>
          <w:rFonts w:ascii="宋体" w:hAnsi="宋体" w:cs="宋体" w:eastAsia="宋体" w:hint="default"/>
          <w:spacing w:val="-60"/>
        </w:rPr>
        <w:t> </w:t>
      </w:r>
      <w:r>
        <w:rPr/>
        <w:t>年</w:t>
      </w:r>
      <w:r>
        <w:rPr>
          <w:spacing w:val="-59"/>
        </w:rPr>
        <w:t> </w:t>
      </w:r>
      <w:r>
        <w:rPr>
          <w:rFonts w:ascii="宋体" w:hAnsi="宋体" w:cs="宋体" w:eastAsia="宋体" w:hint="default"/>
        </w:rPr>
        <w:t>8</w:t>
      </w:r>
      <w:r>
        <w:rPr>
          <w:rFonts w:ascii="宋体" w:hAnsi="宋体" w:cs="宋体" w:eastAsia="宋体" w:hint="default"/>
          <w:spacing w:val="-60"/>
        </w:rPr>
        <w:t> </w:t>
      </w:r>
      <w:r>
        <w:rPr/>
        <w:t>月</w:t>
      </w:r>
      <w:r>
        <w:rPr>
          <w:spacing w:val="-59"/>
        </w:rPr>
        <w:t> </w:t>
      </w:r>
      <w:r>
        <w:rPr>
          <w:rFonts w:ascii="宋体" w:hAnsi="宋体" w:cs="宋体" w:eastAsia="宋体" w:hint="default"/>
        </w:rPr>
        <w:t>24</w:t>
      </w:r>
      <w:r>
        <w:rPr>
          <w:rFonts w:ascii="宋体" w:hAnsi="宋体" w:cs="宋体" w:eastAsia="宋体" w:hint="default"/>
          <w:spacing w:val="-60"/>
        </w:rPr>
        <w:t> </w:t>
      </w:r>
      <w:r>
        <w:rPr/>
        <w:t>日办理公司名称等相关工商变更登记手续。本公司 统一信用代码为</w:t>
      </w:r>
      <w:r>
        <w:rPr>
          <w:spacing w:val="-46"/>
        </w:rPr>
        <w:t> </w:t>
      </w:r>
      <w:r>
        <w:rPr>
          <w:rFonts w:ascii="宋体" w:hAnsi="宋体" w:cs="宋体" w:eastAsia="宋体" w:hint="default"/>
        </w:rPr>
        <w:t>91410000170000388E</w:t>
      </w:r>
      <w:r>
        <w:rPr/>
        <w:t>。</w:t>
      </w:r>
    </w:p>
    <w:p>
      <w:pPr>
        <w:pStyle w:val="BodyText"/>
        <w:spacing w:line="357" w:lineRule="auto" w:before="56"/>
        <w:ind w:left="514" w:right="0"/>
        <w:jc w:val="left"/>
      </w:pPr>
      <w:r>
        <w:rPr>
          <w:spacing w:val="-7"/>
        </w:rPr>
        <w:t>本公司证券简称“智度股份”，证券代码“</w:t>
      </w:r>
      <w:r>
        <w:rPr>
          <w:rFonts w:ascii="宋体" w:hAnsi="宋体" w:cs="宋体" w:eastAsia="宋体" w:hint="default"/>
          <w:spacing w:val="-7"/>
        </w:rPr>
        <w:t>000676</w:t>
      </w:r>
      <w:r>
        <w:rPr>
          <w:spacing w:val="-7"/>
        </w:rPr>
        <w:t>”。</w:t>
      </w:r>
      <w:r>
        <w:rPr>
          <w:spacing w:val="-81"/>
        </w:rPr>
        <w:t> </w:t>
      </w:r>
      <w:r>
        <w:rPr>
          <w:spacing w:val="-2"/>
        </w:rPr>
        <w:t>本公司建立了股东大会、董事会、监事会的法人治理结构，目前设财务管理中心、董事会办公室、海外事业部、行政中</w:t>
      </w:r>
    </w:p>
    <w:p>
      <w:pPr>
        <w:pStyle w:val="BodyText"/>
        <w:spacing w:line="357" w:lineRule="auto"/>
        <w:ind w:left="514" w:right="0" w:hanging="360"/>
        <w:jc w:val="left"/>
      </w:pPr>
      <w:r>
        <w:rPr/>
        <w:t>心、审计监察法务部、投资部、证券事务部等部门。 </w:t>
      </w:r>
      <w:r>
        <w:rPr>
          <w:spacing w:val="-2"/>
        </w:rPr>
        <w:t>本公司及子公司业务性质和主要经营活动：本公司所属互联网和相关服务行业，主要从事互联网媒体业务、数字营销业</w:t>
      </w:r>
    </w:p>
    <w:p>
      <w:pPr>
        <w:pStyle w:val="BodyText"/>
        <w:spacing w:line="357" w:lineRule="auto"/>
        <w:ind w:left="514" w:right="3193" w:hanging="360"/>
        <w:jc w:val="left"/>
      </w:pPr>
      <w:r>
        <w:rPr>
          <w:spacing w:val="-4"/>
        </w:rPr>
        <w:t>务及其他业务（包括互联网游戏业务和互联网金融业务）。</w:t>
      </w:r>
      <w:r>
        <w:rPr>
          <w:spacing w:val="-76"/>
        </w:rPr>
        <w:t> </w:t>
      </w:r>
      <w:r>
        <w:rPr>
          <w:spacing w:val="-76"/>
        </w:rPr>
      </w:r>
      <w:r>
        <w:rPr/>
        <w:t>本公司注册地址：中国河南郑州高新技术产业开发区玉兰街</w:t>
      </w:r>
      <w:r>
        <w:rPr>
          <w:spacing w:val="-45"/>
        </w:rPr>
        <w:t> </w:t>
      </w:r>
      <w:r>
        <w:rPr>
          <w:rFonts w:ascii="宋体" w:hAnsi="宋体" w:cs="宋体" w:eastAsia="宋体" w:hint="default"/>
        </w:rPr>
        <w:t>101</w:t>
      </w:r>
      <w:r>
        <w:rPr>
          <w:rFonts w:ascii="宋体" w:hAnsi="宋体" w:cs="宋体" w:eastAsia="宋体" w:hint="default"/>
          <w:spacing w:val="-46"/>
        </w:rPr>
        <w:t> </w:t>
      </w:r>
      <w:r>
        <w:rPr/>
        <w:t>号；法定代表人：赵立仁。</w:t>
      </w:r>
    </w:p>
    <w:p>
      <w:pPr>
        <w:pStyle w:val="BodyText"/>
        <w:spacing w:line="240" w:lineRule="auto" w:before="29"/>
        <w:ind w:left="514" w:right="0"/>
        <w:jc w:val="left"/>
      </w:pPr>
      <w:r>
        <w:rPr/>
        <w:t>本财务报表及财务报表附注业经本公司第八届董事会第二次会议于</w:t>
      </w:r>
      <w:r>
        <w:rPr>
          <w:spacing w:val="-45"/>
        </w:rPr>
        <w:t> </w:t>
      </w:r>
      <w:r>
        <w:rPr>
          <w:rFonts w:ascii="宋体" w:hAnsi="宋体" w:cs="宋体" w:eastAsia="宋体" w:hint="default"/>
        </w:rPr>
        <w:t>2018</w:t>
      </w:r>
      <w:r>
        <w:rPr>
          <w:rFonts w:ascii="宋体" w:hAnsi="宋体" w:cs="宋体" w:eastAsia="宋体" w:hint="default"/>
          <w:spacing w:val="-46"/>
        </w:rPr>
        <w:t> </w:t>
      </w:r>
      <w:r>
        <w:rPr/>
        <w:t>年</w:t>
      </w:r>
      <w:r>
        <w:rPr>
          <w:spacing w:val="-46"/>
        </w:rPr>
        <w:t> </w:t>
      </w:r>
      <w:r>
        <w:rPr>
          <w:rFonts w:ascii="宋体" w:hAnsi="宋体" w:cs="宋体" w:eastAsia="宋体" w:hint="default"/>
        </w:rPr>
        <w:t>4</w:t>
      </w:r>
      <w:r>
        <w:rPr>
          <w:rFonts w:ascii="宋体" w:hAnsi="宋体" w:cs="宋体" w:eastAsia="宋体" w:hint="default"/>
          <w:spacing w:val="-45"/>
        </w:rPr>
        <w:t> </w:t>
      </w:r>
      <w:r>
        <w:rPr/>
        <w:t>月</w:t>
      </w:r>
      <w:r>
        <w:rPr>
          <w:spacing w:val="-46"/>
        </w:rPr>
        <w:t> </w:t>
      </w:r>
      <w:r>
        <w:rPr>
          <w:rFonts w:ascii="宋体" w:hAnsi="宋体" w:cs="宋体" w:eastAsia="宋体" w:hint="default"/>
        </w:rPr>
        <w:t>26</w:t>
      </w:r>
      <w:r>
        <w:rPr>
          <w:rFonts w:ascii="宋体" w:hAnsi="宋体" w:cs="宋体" w:eastAsia="宋体" w:hint="default"/>
          <w:spacing w:val="-46"/>
        </w:rPr>
        <w:t> </w:t>
      </w:r>
      <w:r>
        <w:rPr/>
        <w:t>日批准。</w:t>
      </w:r>
    </w:p>
    <w:p>
      <w:pPr>
        <w:pStyle w:val="BodyText"/>
        <w:spacing w:line="240" w:lineRule="auto" w:before="115"/>
        <w:ind w:left="514" w:right="0"/>
        <w:jc w:val="left"/>
      </w:pPr>
      <w:r>
        <w:rPr/>
        <w:t>本公司</w:t>
      </w:r>
      <w:r>
        <w:rPr>
          <w:spacing w:val="-43"/>
        </w:rPr>
        <w:t> </w:t>
      </w:r>
      <w:r>
        <w:rPr>
          <w:rFonts w:ascii="宋体" w:hAnsi="宋体" w:cs="宋体" w:eastAsia="宋体" w:hint="default"/>
        </w:rPr>
        <w:t>2017</w:t>
      </w:r>
      <w:r>
        <w:rPr>
          <w:rFonts w:ascii="宋体" w:hAnsi="宋体" w:cs="宋体" w:eastAsia="宋体" w:hint="default"/>
          <w:spacing w:val="-43"/>
        </w:rPr>
        <w:t> </w:t>
      </w:r>
      <w:r>
        <w:rPr/>
        <w:t>年度纳入合并范围的子公司共</w:t>
      </w:r>
      <w:r>
        <w:rPr>
          <w:spacing w:val="-43"/>
        </w:rPr>
        <w:t> </w:t>
      </w:r>
      <w:r>
        <w:rPr>
          <w:rFonts w:ascii="宋体" w:hAnsi="宋体" w:cs="宋体" w:eastAsia="宋体" w:hint="default"/>
        </w:rPr>
        <w:t>42</w:t>
      </w:r>
      <w:r>
        <w:rPr>
          <w:rFonts w:ascii="宋体" w:hAnsi="宋体" w:cs="宋体" w:eastAsia="宋体" w:hint="default"/>
          <w:spacing w:val="-43"/>
        </w:rPr>
        <w:t> </w:t>
      </w:r>
      <w:r>
        <w:rPr>
          <w:spacing w:val="-3"/>
        </w:rPr>
        <w:t>户，参见附注九、在其他主体中的权益披露。本公司本年度合并范围比上</w:t>
      </w:r>
    </w:p>
    <w:p>
      <w:pPr>
        <w:spacing w:after="0" w:line="240" w:lineRule="auto"/>
        <w:jc w:val="left"/>
        <w:sectPr>
          <w:pgSz w:w="11910" w:h="16840"/>
          <w:pgMar w:header="877" w:footer="1187" w:top="1100" w:bottom="138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年度增加</w:t>
      </w:r>
      <w:r>
        <w:rPr>
          <w:spacing w:val="-46"/>
        </w:rPr>
        <w:t> </w:t>
      </w:r>
      <w:r>
        <w:rPr>
          <w:rFonts w:ascii="宋体" w:hAnsi="宋体" w:cs="宋体" w:eastAsia="宋体" w:hint="default"/>
        </w:rPr>
        <w:t>12</w:t>
      </w:r>
      <w:r>
        <w:rPr>
          <w:rFonts w:ascii="宋体" w:hAnsi="宋体" w:cs="宋体" w:eastAsia="宋体" w:hint="default"/>
          <w:spacing w:val="-46"/>
        </w:rPr>
        <w:t> </w:t>
      </w:r>
      <w:r>
        <w:rPr/>
        <w:t>户，参见附注八、合并范围的变动。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四、财务报表的编制基础" w:id="168"/>
      <w:bookmarkEnd w:id="168"/>
      <w:r>
        <w:rPr>
          <w:b w:val="0"/>
          <w:bCs w:val="0"/>
        </w:rPr>
      </w:r>
      <w:r>
        <w:rPr/>
        <w:t>四、财务报表的编制基础</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69"/>
      <w:bookmarkEnd w:id="169"/>
      <w:r>
        <w:rPr>
          <w:b w:val="0"/>
          <w:bCs w:val="0"/>
        </w:rPr>
      </w:r>
      <w:r>
        <w:rPr>
          <w:rFonts w:ascii="宋体" w:hAnsi="宋体" w:cs="宋体" w:eastAsia="宋体" w:hint="default"/>
        </w:rPr>
        <w:t>1</w:t>
      </w:r>
      <w:r>
        <w:rPr/>
        <w:t>、编制基础</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left="153" w:right="1032" w:firstLine="360"/>
        <w:jc w:val="left"/>
      </w:pPr>
      <w:r>
        <w:rPr>
          <w:spacing w:val="-4"/>
        </w:rPr>
        <w:t>本财务报表按照财政部颁布的企业会计准则及其应用指南、解释及其他有关规定（统称“企业会计准则”）编制。此外，</w:t>
      </w:r>
      <w:r>
        <w:rPr/>
        <w:t> 本公司还按照中国证监会《公开发行证券的公司信息披露编报规则第</w:t>
      </w:r>
      <w:r>
        <w:rPr>
          <w:spacing w:val="-44"/>
        </w:rPr>
        <w:t> </w:t>
      </w:r>
      <w:r>
        <w:rPr>
          <w:rFonts w:ascii="宋体" w:hAnsi="宋体" w:cs="宋体" w:eastAsia="宋体" w:hint="default"/>
        </w:rPr>
        <w:t>15</w:t>
      </w:r>
      <w:r>
        <w:rPr>
          <w:rFonts w:ascii="宋体" w:hAnsi="宋体" w:cs="宋体" w:eastAsia="宋体" w:hint="default"/>
          <w:spacing w:val="-45"/>
        </w:rPr>
        <w:t> </w:t>
      </w:r>
      <w:r>
        <w:rPr>
          <w:spacing w:val="-6"/>
        </w:rPr>
        <w:t>号—财务报告的一般规定》（</w:t>
      </w:r>
      <w:r>
        <w:rPr>
          <w:rFonts w:ascii="宋体" w:hAnsi="宋体" w:cs="宋体" w:eastAsia="宋体" w:hint="default"/>
          <w:spacing w:val="-6"/>
        </w:rPr>
        <w:t>2014</w:t>
      </w:r>
      <w:r>
        <w:rPr>
          <w:rFonts w:ascii="宋体" w:hAnsi="宋体" w:cs="宋体" w:eastAsia="宋体" w:hint="default"/>
          <w:spacing w:val="-45"/>
        </w:rPr>
        <w:t> </w:t>
      </w:r>
      <w:r>
        <w:rPr/>
        <w:t>年修订）披露有</w:t>
      </w:r>
      <w:r>
        <w:rPr>
          <w:spacing w:val="-84"/>
        </w:rPr>
        <w:t> </w:t>
      </w:r>
      <w:r>
        <w:rPr/>
        <w:t>关财务信息。</w:t>
      </w:r>
    </w:p>
    <w:p>
      <w:pPr>
        <w:pStyle w:val="BodyText"/>
        <w:spacing w:line="319" w:lineRule="auto" w:before="55"/>
        <w:ind w:left="153" w:right="1033" w:firstLine="360"/>
        <w:jc w:val="left"/>
      </w:pPr>
      <w:r>
        <w:rPr/>
        <w:t>本公司会计核算以权责发生制为基础。除某些金融工具外，本财务报表均以历史成本为计量基础。资产如果发生减值， 则按照相关规定计提相应的减值准备</w:t>
      </w:r>
    </w:p>
    <w:p>
      <w:pPr>
        <w:spacing w:line="240" w:lineRule="auto" w:before="4"/>
        <w:rPr>
          <w:rFonts w:ascii="宋体" w:hAnsi="宋体" w:cs="宋体" w:eastAsia="宋体" w:hint="default"/>
          <w:sz w:val="22"/>
          <w:szCs w:val="22"/>
        </w:rPr>
      </w:pPr>
    </w:p>
    <w:p>
      <w:pPr>
        <w:pStyle w:val="Heading3"/>
        <w:spacing w:line="240" w:lineRule="auto"/>
        <w:ind w:left="153" w:right="0"/>
        <w:jc w:val="left"/>
        <w:rPr>
          <w:b w:val="0"/>
          <w:bCs w:val="0"/>
        </w:rPr>
      </w:pPr>
      <w:bookmarkStart w:name="2、持续经营" w:id="170"/>
      <w:bookmarkEnd w:id="170"/>
      <w:r>
        <w:rPr>
          <w:b w:val="0"/>
          <w:bCs w:val="0"/>
        </w:rPr>
      </w:r>
      <w:r>
        <w:rPr>
          <w:rFonts w:ascii="宋体" w:hAnsi="宋体" w:cs="宋体" w:eastAsia="宋体" w:hint="default"/>
        </w:rPr>
        <w:t>2</w:t>
      </w:r>
      <w:r>
        <w:rPr/>
        <w:t>、持续经营</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513" w:right="0"/>
        <w:jc w:val="left"/>
      </w:pPr>
      <w:r>
        <w:rPr/>
        <w:t>本财务报表以持续经营为基础列报。</w:t>
      </w:r>
    </w:p>
    <w:p>
      <w:pPr>
        <w:spacing w:line="240" w:lineRule="auto" w:before="13"/>
        <w:rPr>
          <w:rFonts w:ascii="宋体" w:hAnsi="宋体" w:cs="宋体" w:eastAsia="宋体" w:hint="default"/>
          <w:sz w:val="24"/>
          <w:szCs w:val="24"/>
        </w:rPr>
      </w:pPr>
    </w:p>
    <w:p>
      <w:pPr>
        <w:pStyle w:val="Heading2"/>
        <w:spacing w:line="240" w:lineRule="auto"/>
        <w:ind w:left="153" w:right="0"/>
        <w:jc w:val="left"/>
        <w:rPr>
          <w:b w:val="0"/>
          <w:bCs w:val="0"/>
        </w:rPr>
      </w:pPr>
      <w:bookmarkStart w:name="五、重要会计政策及会计估计" w:id="171"/>
      <w:bookmarkEnd w:id="171"/>
      <w:r>
        <w:rPr>
          <w:b w:val="0"/>
          <w:bCs w:val="0"/>
        </w:rPr>
      </w:r>
      <w:r>
        <w:rPr/>
        <w:t>五、重要会计政策及会计估计</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7693"/>
        <w:jc w:val="left"/>
      </w:pPr>
      <w:r>
        <w:rPr/>
        <w:t>公司是否需要遵守特殊行业的披露要求 否</w:t>
      </w:r>
    </w:p>
    <w:p>
      <w:pPr>
        <w:pStyle w:val="BodyText"/>
        <w:spacing w:line="360" w:lineRule="auto" w:before="28"/>
        <w:ind w:left="514" w:right="3732"/>
        <w:jc w:val="left"/>
      </w:pPr>
      <w:r>
        <w:rPr/>
        <w:t>具体会计政策和会计估计提示： 本公司根据自身生产经营特点，确定收入确认政策，具体会计政策参见附注五、</w:t>
      </w:r>
      <w:r>
        <w:rPr>
          <w:rFonts w:ascii="宋体" w:hAnsi="宋体" w:cs="宋体" w:eastAsia="宋体" w:hint="default"/>
        </w:rPr>
        <w:t>28</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2"/>
        <w:ind w:left="153" w:right="0"/>
        <w:jc w:val="left"/>
        <w:rPr>
          <w:b w:val="0"/>
          <w:bCs w:val="0"/>
        </w:rPr>
      </w:pPr>
      <w:bookmarkStart w:name="1、遵循企业会计准则的声明" w:id="172"/>
      <w:bookmarkEnd w:id="172"/>
      <w:r>
        <w:rPr>
          <w:b w:val="0"/>
          <w:bCs w:val="0"/>
        </w:rPr>
      </w:r>
      <w:r>
        <w:rPr>
          <w:rFonts w:ascii="宋体" w:hAnsi="宋体" w:cs="宋体" w:eastAsia="宋体" w:hint="default"/>
        </w:rPr>
        <w:t>1</w:t>
      </w:r>
      <w:r>
        <w:rPr/>
        <w:t>、遵循企业会计准则的声明</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left="153" w:right="1118" w:firstLine="360"/>
        <w:jc w:val="left"/>
      </w:pPr>
      <w:r>
        <w:rPr/>
        <w:t>本财务报表符合企业会计准则的要求，真实、完整地反映了本公司</w:t>
      </w:r>
      <w:r>
        <w:rPr>
          <w:spacing w:val="-50"/>
        </w:rPr>
        <w:t> </w:t>
      </w:r>
      <w:r>
        <w:rPr>
          <w:rFonts w:ascii="宋体" w:hAnsi="宋体" w:cs="宋体" w:eastAsia="宋体" w:hint="default"/>
        </w:rPr>
        <w:t>2017</w:t>
      </w:r>
      <w:r>
        <w:rPr>
          <w:rFonts w:ascii="宋体" w:hAnsi="宋体" w:cs="宋体" w:eastAsia="宋体" w:hint="default"/>
          <w:spacing w:val="-51"/>
        </w:rPr>
        <w:t> </w:t>
      </w:r>
      <w:r>
        <w:rPr/>
        <w:t>年</w:t>
      </w:r>
      <w:r>
        <w:rPr>
          <w:spacing w:val="-51"/>
        </w:rPr>
        <w:t> </w:t>
      </w:r>
      <w:r>
        <w:rPr>
          <w:rFonts w:ascii="宋体" w:hAnsi="宋体" w:cs="宋体" w:eastAsia="宋体" w:hint="default"/>
        </w:rPr>
        <w:t>12</w:t>
      </w:r>
      <w:r>
        <w:rPr>
          <w:rFonts w:ascii="宋体" w:hAnsi="宋体" w:cs="宋体" w:eastAsia="宋体" w:hint="default"/>
          <w:spacing w:val="-50"/>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日的合并及公司财务状况以及</w:t>
      </w:r>
      <w:r>
        <w:rPr>
          <w:spacing w:val="-51"/>
        </w:rPr>
        <w:t> </w:t>
      </w:r>
      <w:r>
        <w:rPr>
          <w:rFonts w:ascii="宋体" w:hAnsi="宋体" w:cs="宋体" w:eastAsia="宋体" w:hint="default"/>
        </w:rPr>
        <w:t>2017 </w:t>
      </w:r>
      <w:r>
        <w:rPr/>
        <w:t>年度的合并及公司经营成果和合并及公司现金流量等有关信息。</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2、会计期间" w:id="173"/>
      <w:bookmarkEnd w:id="173"/>
      <w:r>
        <w:rPr>
          <w:b w:val="0"/>
          <w:bCs w:val="0"/>
        </w:rPr>
      </w:r>
      <w:r>
        <w:rPr>
          <w:rFonts w:ascii="宋体" w:hAnsi="宋体" w:cs="宋体" w:eastAsia="宋体" w:hint="default"/>
        </w:rPr>
        <w:t>2</w:t>
      </w:r>
      <w:r>
        <w:rPr/>
        <w:t>、会计期间</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514" w:right="0"/>
        <w:jc w:val="left"/>
      </w:pPr>
      <w:r>
        <w:rPr/>
        <w:t>本公司会计期间采用公历年度，即每年自</w:t>
      </w:r>
      <w:r>
        <w:rPr>
          <w:spacing w:val="-46"/>
        </w:rPr>
        <w:t> </w:t>
      </w:r>
      <w:r>
        <w:rPr>
          <w:rFonts w:ascii="宋体" w:hAnsi="宋体" w:cs="宋体" w:eastAsia="宋体" w:hint="default"/>
        </w:rPr>
        <w:t>1</w:t>
      </w:r>
      <w:r>
        <w:rPr>
          <w:rFonts w:ascii="宋体" w:hAnsi="宋体" w:cs="宋体" w:eastAsia="宋体" w:hint="default"/>
          <w:spacing w:val="-46"/>
        </w:rPr>
        <w:t> </w:t>
      </w:r>
      <w:r>
        <w:rPr/>
        <w:t>月</w:t>
      </w:r>
      <w:r>
        <w:rPr>
          <w:spacing w:val="-46"/>
        </w:rPr>
        <w:t> </w:t>
      </w:r>
      <w:r>
        <w:rPr>
          <w:rFonts w:ascii="宋体" w:hAnsi="宋体" w:cs="宋体" w:eastAsia="宋体" w:hint="default"/>
        </w:rPr>
        <w:t>1</w:t>
      </w:r>
      <w:r>
        <w:rPr>
          <w:rFonts w:ascii="宋体" w:hAnsi="宋体" w:cs="宋体" w:eastAsia="宋体" w:hint="default"/>
          <w:spacing w:val="-46"/>
        </w:rPr>
        <w:t> </w:t>
      </w:r>
      <w:r>
        <w:rPr/>
        <w:t>日起至</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日止。</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营业周期" w:id="174"/>
      <w:bookmarkEnd w:id="174"/>
      <w:r>
        <w:rPr>
          <w:b w:val="0"/>
          <w:bCs w:val="0"/>
        </w:rPr>
      </w:r>
      <w:r>
        <w:rPr>
          <w:rFonts w:ascii="宋体" w:hAnsi="宋体" w:cs="宋体" w:eastAsia="宋体" w:hint="default"/>
        </w:rPr>
        <w:t>3</w:t>
      </w:r>
      <w:r>
        <w:rPr/>
        <w:t>、营业周期</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514" w:right="0"/>
        <w:jc w:val="left"/>
      </w:pPr>
      <w:r>
        <w:rPr/>
        <w:t>本公司的营业周期为</w:t>
      </w:r>
      <w:r>
        <w:rPr>
          <w:spacing w:val="-46"/>
        </w:rPr>
        <w:t> </w:t>
      </w:r>
      <w:r>
        <w:rPr>
          <w:rFonts w:ascii="宋体" w:hAnsi="宋体" w:cs="宋体" w:eastAsia="宋体" w:hint="default"/>
        </w:rPr>
        <w:t>12</w:t>
      </w:r>
      <w:r>
        <w:rPr>
          <w:rFonts w:ascii="宋体" w:hAnsi="宋体" w:cs="宋体" w:eastAsia="宋体" w:hint="default"/>
          <w:spacing w:val="-46"/>
        </w:rPr>
        <w:t> </w:t>
      </w:r>
      <w:r>
        <w:rPr/>
        <w:t>个月。</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记账本位币" w:id="175"/>
      <w:bookmarkEnd w:id="175"/>
      <w:r>
        <w:rPr>
          <w:b w:val="0"/>
          <w:bCs w:val="0"/>
        </w:rPr>
      </w:r>
      <w:r>
        <w:rPr>
          <w:rFonts w:ascii="宋体" w:hAnsi="宋体" w:cs="宋体" w:eastAsia="宋体" w:hint="default"/>
        </w:rPr>
        <w:t>4</w:t>
      </w:r>
      <w:r>
        <w:rPr/>
        <w:t>、记账本位币</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right="0" w:firstLine="360"/>
        <w:jc w:val="left"/>
      </w:pPr>
      <w:r>
        <w:rPr>
          <w:spacing w:val="-2"/>
        </w:rPr>
        <w:t>本公司及境内子公司以人民币为记账本位币。本公司之境外子公司根据其经营所处的主要经济环境中的货币确定美元为</w:t>
      </w:r>
      <w:r>
        <w:rPr/>
        <w:t> 其记账本位币。本公司编制本财务报表时所采用的货币为人民币。</w:t>
      </w:r>
    </w:p>
    <w:p>
      <w:pPr>
        <w:spacing w:after="0" w:line="319" w:lineRule="auto"/>
        <w:jc w:val="left"/>
        <w:sectPr>
          <w:pgSz w:w="11910" w:h="16840"/>
          <w:pgMar w:header="877" w:footer="1187" w:top="1100" w:bottom="138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5、同一控制下和非同一控制下企业合并的会计处理方法" w:id="176"/>
      <w:bookmarkEnd w:id="176"/>
      <w:r>
        <w:rPr>
          <w:b w:val="0"/>
          <w:bCs w:val="0"/>
        </w:rPr>
      </w:r>
      <w:r>
        <w:rPr>
          <w:rFonts w:ascii="宋体" w:hAnsi="宋体" w:cs="宋体" w:eastAsia="宋体" w:hint="default"/>
        </w:rPr>
        <w:t>5</w:t>
      </w:r>
      <w:r>
        <w:rPr/>
        <w:t>、同一控制下和非同一控制下企业合并的会计处理方法</w:t>
      </w:r>
      <w:r>
        <w:rPr>
          <w:b w:val="0"/>
          <w:bCs w:val="0"/>
        </w:rPr>
      </w:r>
    </w:p>
    <w:p>
      <w:pPr>
        <w:spacing w:line="240" w:lineRule="auto" w:before="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）同一控制下的企业合并</w:t>
      </w:r>
    </w:p>
    <w:p>
      <w:pPr>
        <w:spacing w:line="240" w:lineRule="auto" w:before="2"/>
        <w:rPr>
          <w:rFonts w:ascii="宋体" w:hAnsi="宋体" w:cs="宋体" w:eastAsia="宋体" w:hint="default"/>
          <w:sz w:val="20"/>
          <w:szCs w:val="20"/>
        </w:rPr>
      </w:pPr>
    </w:p>
    <w:p>
      <w:pPr>
        <w:pStyle w:val="BodyText"/>
        <w:spacing w:line="319" w:lineRule="auto"/>
        <w:ind w:right="1131" w:firstLine="360"/>
        <w:jc w:val="both"/>
      </w:pPr>
      <w:r>
        <w:rPr>
          <w:spacing w:val="-2"/>
        </w:rPr>
        <w:t>对于同一控制下的企业合并，合并方在合并中取得的被合并方的资产、负债，除因会计政策不同而进行的调整以外，按</w:t>
      </w:r>
      <w:r>
        <w:rPr/>
        <w:t> </w:t>
      </w:r>
      <w:r>
        <w:rPr>
          <w:spacing w:val="-2"/>
        </w:rPr>
        <w:t>合并日被合并方在最终控制方合并财务报表中的账面价值计量。合并对价的账面价值（或发行股份面值总额）与合并中取得</w:t>
      </w:r>
      <w:r>
        <w:rPr>
          <w:spacing w:val="-66"/>
        </w:rPr>
        <w:t> </w:t>
      </w:r>
      <w:r>
        <w:rPr>
          <w:spacing w:val="-66"/>
        </w:rPr>
      </w:r>
      <w:r>
        <w:rPr>
          <w:spacing w:val="-2"/>
        </w:rPr>
        <w:t>的净资产账面价值的差额调整资本公积（股本溢价），资本公积（股本溢价）不足冲减的，调整留存收益。</w:t>
      </w:r>
    </w:p>
    <w:p>
      <w:pPr>
        <w:pStyle w:val="BodyText"/>
        <w:spacing w:line="357" w:lineRule="auto" w:before="56"/>
        <w:ind w:left="513" w:right="0"/>
        <w:jc w:val="left"/>
      </w:pPr>
      <w:r>
        <w:rPr/>
        <w:t>通过多次交易分步实现同一控制下的企业合并 </w:t>
      </w:r>
      <w:r>
        <w:rPr>
          <w:spacing w:val="-2"/>
        </w:rPr>
        <w:t>在个别财务报表中，以合并日持股比例计算的合并日应享有被合并方净资产在最终控制方合并财务报表中的账面价值的</w:t>
      </w:r>
    </w:p>
    <w:p>
      <w:pPr>
        <w:pStyle w:val="BodyText"/>
        <w:spacing w:line="224" w:lineRule="exact"/>
        <w:ind w:left="153" w:right="0"/>
        <w:jc w:val="left"/>
      </w:pPr>
      <w:r>
        <w:rPr/>
        <w:t>份额作为该项投资的初始投资成本</w:t>
      </w:r>
      <w:r>
        <w:rPr>
          <w:spacing w:val="-82"/>
        </w:rPr>
        <w:t>；</w:t>
      </w:r>
      <w:r>
        <w:rPr/>
        <w:t>初始投资成本与合并前持有投资的账面价值加上合并日新支付对价的账面价值之和的差</w:t>
      </w:r>
    </w:p>
    <w:p>
      <w:pPr>
        <w:pStyle w:val="BodyText"/>
        <w:spacing w:line="357" w:lineRule="auto" w:before="77"/>
        <w:ind w:left="513" w:right="0" w:hanging="360"/>
        <w:jc w:val="left"/>
      </w:pPr>
      <w:r>
        <w:rPr>
          <w:spacing w:val="-3"/>
        </w:rPr>
        <w:t>额，调整资本公积（股本溢价），资本公积不足冲减的，调整留存收益。</w:t>
      </w:r>
      <w:r>
        <w:rPr>
          <w:spacing w:val="-84"/>
        </w:rPr>
        <w:t> </w:t>
      </w:r>
      <w:r>
        <w:rPr>
          <w:spacing w:val="-84"/>
        </w:rPr>
      </w:r>
      <w:r>
        <w:rPr>
          <w:spacing w:val="-2"/>
        </w:rPr>
        <w:t>在合并财务报表中，合并方在合并中取得的被合并方的资产、负债，除因会计政策不同而进行的调整以外，按合并日在</w:t>
      </w:r>
    </w:p>
    <w:p>
      <w:pPr>
        <w:pStyle w:val="BodyText"/>
        <w:spacing w:line="224" w:lineRule="exact"/>
        <w:ind w:left="153" w:right="0"/>
        <w:jc w:val="left"/>
      </w:pPr>
      <w:r>
        <w:rPr/>
        <w:t>最终控制方合并财务报表中的账面价值计量；合并前持有投资的账面价值加上合并日新支付对价的账面价值之和，与合并中</w:t>
      </w:r>
    </w:p>
    <w:p>
      <w:pPr>
        <w:pStyle w:val="BodyText"/>
        <w:spacing w:line="319" w:lineRule="auto" w:before="76"/>
        <w:ind w:left="153" w:right="1131"/>
        <w:jc w:val="both"/>
      </w:pPr>
      <w:r>
        <w:rPr>
          <w:spacing w:val="-2"/>
        </w:rPr>
        <w:t>取得的净资产账面价值的差额，调整资本公积（股本溢价），资本公积不足冲减的，调整留存收益。合并方在取得被合并方</w:t>
      </w:r>
      <w:r>
        <w:rPr>
          <w:spacing w:val="-71"/>
        </w:rPr>
        <w:t> </w:t>
      </w:r>
      <w:r>
        <w:rPr>
          <w:spacing w:val="-71"/>
        </w:rPr>
      </w:r>
      <w:r>
        <w:rPr>
          <w:spacing w:val="-2"/>
        </w:rPr>
        <w:t>控制权之前持有的长期股权投资，在取得原股权之日与合并方与被合并方同处于同一方最终控制之日孰晚日起至合并日之间</w:t>
      </w:r>
      <w:r>
        <w:rPr>
          <w:spacing w:val="-64"/>
        </w:rPr>
        <w:t> </w:t>
      </w:r>
      <w:r>
        <w:rPr>
          <w:spacing w:val="-64"/>
        </w:rPr>
      </w:r>
      <w:r>
        <w:rPr/>
        <w:t>已确认有关损益、其他综合收益和其他所有者权益变动，应分别冲减比较报表期间的期初留存收益或当期损益。</w:t>
      </w:r>
    </w:p>
    <w:p>
      <w:pPr>
        <w:pStyle w:val="BodyText"/>
        <w:spacing w:line="357" w:lineRule="auto" w:before="56"/>
        <w:ind w:left="514" w:right="0"/>
        <w:jc w:val="left"/>
      </w:pPr>
      <w:r>
        <w:rPr/>
        <w:t>（</w:t>
      </w:r>
      <w:r>
        <w:rPr>
          <w:rFonts w:ascii="宋体" w:hAnsi="宋体" w:cs="宋体" w:eastAsia="宋体" w:hint="default"/>
        </w:rPr>
        <w:t>2</w:t>
      </w:r>
      <w:r>
        <w:rPr/>
        <w:t>）非同一控制下的企业合并 </w:t>
      </w:r>
      <w:r>
        <w:rPr>
          <w:spacing w:val="-2"/>
        </w:rPr>
        <w:t>对于非同一控制下的企业合并，合并成本为购买日为取得对被购买方的控制权而付出的资产、发生或承担的负债以及发</w:t>
      </w:r>
    </w:p>
    <w:p>
      <w:pPr>
        <w:pStyle w:val="BodyText"/>
        <w:spacing w:line="357" w:lineRule="auto"/>
        <w:ind w:left="513" w:right="0" w:hanging="360"/>
        <w:jc w:val="left"/>
      </w:pPr>
      <w:r>
        <w:rPr/>
        <w:t>行的权益性证券的公允价值。在购买日，取得的被购买方的资产、负债及或有负债按公允价值确认。 </w:t>
      </w:r>
      <w:r>
        <w:rPr>
          <w:spacing w:val="-2"/>
        </w:rPr>
        <w:t>对合并成本大于合并中取得的被购买方可辨认净资产公允价值份额的差额，确认为商誉，按成本扣除累计减值准备进行</w:t>
      </w:r>
    </w:p>
    <w:p>
      <w:pPr>
        <w:pStyle w:val="BodyText"/>
        <w:spacing w:line="357" w:lineRule="auto"/>
        <w:ind w:left="513" w:right="0" w:hanging="360"/>
        <w:jc w:val="left"/>
      </w:pPr>
      <w:r>
        <w:rPr/>
        <w:t>后续计量；对合并成本小于合并中取得的被购买方可辨认净资产公允价值份额的差额，经复核后计入当期损益。 通过多次交易分步实现非同一控制下的企业合并 </w:t>
      </w:r>
      <w:r>
        <w:rPr>
          <w:spacing w:val="-2"/>
        </w:rPr>
        <w:t>在个别财务报表中，以购买日之前所持被购买方的股权投资的账面价值与购买日新增投资成本之和，作为该项投资的初</w:t>
      </w:r>
    </w:p>
    <w:p>
      <w:pPr>
        <w:pStyle w:val="BodyText"/>
        <w:spacing w:line="224" w:lineRule="exact"/>
        <w:ind w:right="0"/>
        <w:jc w:val="left"/>
      </w:pPr>
      <w:r>
        <w:rPr/>
        <w:t>始投资成本</w:t>
      </w:r>
      <w:r>
        <w:rPr>
          <w:spacing w:val="-87"/>
        </w:rPr>
        <w:t>。</w:t>
      </w:r>
      <w:r>
        <w:rPr/>
        <w:t>购买日之前持有的股权投资因采用权益法核算而确认的其他综合收益</w:t>
      </w:r>
      <w:r>
        <w:rPr>
          <w:spacing w:val="-87"/>
        </w:rPr>
        <w:t>，</w:t>
      </w:r>
      <w:r>
        <w:rPr/>
        <w:t>购买日对这部分其他综合收益不作处理，</w:t>
      </w:r>
    </w:p>
    <w:p>
      <w:pPr>
        <w:pStyle w:val="BodyText"/>
        <w:spacing w:line="319" w:lineRule="auto" w:before="76"/>
        <w:ind w:right="1131"/>
        <w:jc w:val="both"/>
      </w:pPr>
      <w:r>
        <w:rPr>
          <w:spacing w:val="-2"/>
        </w:rPr>
        <w:t>在处置该项投资时采用与被投资单位直接处置相关资产或负债相同的基础进行会计处理；因被投资方除净损益、其他综合收</w:t>
      </w:r>
      <w:r>
        <w:rPr>
          <w:spacing w:val="-64"/>
        </w:rPr>
        <w:t> </w:t>
      </w:r>
      <w:r>
        <w:rPr>
          <w:spacing w:val="-64"/>
        </w:rPr>
      </w:r>
      <w:r>
        <w:rPr>
          <w:spacing w:val="-2"/>
        </w:rPr>
        <w:t>益和利润分配以外的其他所有者权益变动而确认的所有者权益，在处置该项投资时转入处置期间的当期损益。购买日之前持</w:t>
      </w:r>
      <w:r>
        <w:rPr>
          <w:spacing w:val="-64"/>
        </w:rPr>
        <w:t> </w:t>
      </w:r>
      <w:r>
        <w:rPr>
          <w:spacing w:val="-64"/>
        </w:rPr>
      </w:r>
      <w:r>
        <w:rPr/>
        <w:t>有的股权投资采用公允价值计量的，原计入其他综合收益的累计公允价值变动在改按成本法核算时转入当期损益。</w:t>
      </w:r>
    </w:p>
    <w:p>
      <w:pPr>
        <w:pStyle w:val="BodyText"/>
        <w:spacing w:line="319" w:lineRule="auto" w:before="55"/>
        <w:ind w:left="153" w:right="1033" w:firstLine="360"/>
        <w:jc w:val="left"/>
      </w:pPr>
      <w:r>
        <w:rPr/>
        <w:t>在合并财务报表中，合并成本为购买日支付的对价与购买日之前已经持有的被购买方的股权在购买日的公允价值之和。 </w:t>
      </w:r>
      <w:r>
        <w:rPr>
          <w:spacing w:val="-2"/>
        </w:rPr>
        <w:t>对于购买日之前已经持有的被购买方的股权，按照该股权在购买日的公允价值进行重新计量，公允价值与其账面价值之间的</w:t>
      </w:r>
      <w:r>
        <w:rPr>
          <w:spacing w:val="-64"/>
        </w:rPr>
        <w:t> </w:t>
      </w:r>
      <w:r>
        <w:rPr>
          <w:spacing w:val="-64"/>
        </w:rPr>
      </w:r>
      <w:r>
        <w:rPr/>
        <w:t>差额计入当期收益；购买日之前已经持有的被购买方的股权涉及其他综合收益、其他所有者权益变动转为购买日当期收益，</w:t>
      </w:r>
      <w:r>
        <w:rPr/>
        <w:t> 由于被投资方重新计量设定收益计划净负债或净资产变动而产生的其他综合收益除外。</w:t>
      </w:r>
    </w:p>
    <w:p>
      <w:pPr>
        <w:pStyle w:val="BodyText"/>
        <w:spacing w:line="357" w:lineRule="auto" w:before="56"/>
        <w:ind w:left="513" w:right="0"/>
        <w:jc w:val="left"/>
      </w:pPr>
      <w:r>
        <w:rPr/>
        <w:t>（</w:t>
      </w:r>
      <w:r>
        <w:rPr>
          <w:rFonts w:ascii="宋体" w:hAnsi="宋体" w:cs="宋体" w:eastAsia="宋体" w:hint="default"/>
        </w:rPr>
        <w:t>3</w:t>
      </w:r>
      <w:r>
        <w:rPr/>
        <w:t>）企业合并中有关交易费用的处理 </w:t>
      </w:r>
      <w:r>
        <w:rPr>
          <w:spacing w:val="-2"/>
        </w:rPr>
        <w:t>为进行企业合并发生的审计、法律服务、评估咨询等中介费用以及其他相关管理费用，于发生时计入当期损益。作为合</w:t>
      </w:r>
    </w:p>
    <w:p>
      <w:pPr>
        <w:pStyle w:val="BodyText"/>
        <w:spacing w:line="225" w:lineRule="exact"/>
        <w:ind w:left="153" w:right="0"/>
        <w:jc w:val="left"/>
      </w:pPr>
      <w:r>
        <w:rPr/>
        <w:t>并对价发行的权益性证券或债务性证券的交易费用，计入权益性证券或债务性证券的初始确认金额。</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6、合并财务报表的编制方法" w:id="177"/>
      <w:bookmarkEnd w:id="177"/>
      <w:r>
        <w:rPr>
          <w:b w:val="0"/>
          <w:bCs w:val="0"/>
        </w:rPr>
      </w:r>
      <w:r>
        <w:rPr>
          <w:rFonts w:ascii="宋体" w:hAnsi="宋体" w:cs="宋体" w:eastAsia="宋体" w:hint="default"/>
        </w:rPr>
        <w:t>6</w:t>
      </w:r>
      <w:r>
        <w:rPr/>
        <w:t>、合并财务报表的编制方法</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513" w:right="1118"/>
        <w:jc w:val="left"/>
      </w:pPr>
      <w:r>
        <w:rPr/>
        <w:t>（</w:t>
      </w:r>
      <w:r>
        <w:rPr>
          <w:rFonts w:ascii="宋体" w:hAnsi="宋体" w:cs="宋体" w:eastAsia="宋体" w:hint="default"/>
        </w:rPr>
        <w:t>1</w:t>
      </w:r>
      <w:r>
        <w:rPr/>
        <w:t>）合并范围 </w:t>
      </w:r>
      <w:r>
        <w:rPr>
          <w:spacing w:val="-2"/>
        </w:rPr>
        <w:t>合并财务报表的合并范围以控制为基础予以确定。控制，是指本公司拥有对被投资单位的权力，通过参与被投资单位的</w:t>
      </w:r>
    </w:p>
    <w:p>
      <w:pPr>
        <w:pStyle w:val="BodyText"/>
        <w:spacing w:line="224" w:lineRule="exact"/>
        <w:ind w:left="153" w:right="0"/>
        <w:jc w:val="left"/>
      </w:pPr>
      <w:r>
        <w:rPr/>
        <w:t>相关活动而享有可变回报，并且有能力运用对被投资单位的权力影响其回报金额。子公司，是指被本公司控制的主体（含企</w:t>
      </w:r>
    </w:p>
    <w:p>
      <w:pPr>
        <w:pStyle w:val="BodyText"/>
        <w:spacing w:line="240" w:lineRule="auto" w:before="77"/>
        <w:ind w:left="153" w:right="0"/>
        <w:jc w:val="left"/>
      </w:pPr>
      <w:r>
        <w:rPr/>
        <w:t>业、被投资单位中可分割的部分、结构化主体等</w:t>
      </w:r>
      <w:r>
        <w:rPr>
          <w:spacing w:val="-90"/>
        </w:rPr>
        <w:t>）</w:t>
      </w:r>
      <w:r>
        <w:rPr/>
        <w:t>。</w:t>
      </w:r>
    </w:p>
    <w:p>
      <w:pPr>
        <w:pStyle w:val="BodyText"/>
        <w:spacing w:line="357" w:lineRule="auto" w:before="116"/>
        <w:ind w:left="514" w:right="0"/>
        <w:jc w:val="left"/>
      </w:pPr>
      <w:r>
        <w:rPr/>
        <w:t>（</w:t>
      </w:r>
      <w:r>
        <w:rPr>
          <w:rFonts w:ascii="宋体" w:hAnsi="宋体" w:cs="宋体" w:eastAsia="宋体" w:hint="default"/>
        </w:rPr>
        <w:t>2</w:t>
      </w:r>
      <w:r>
        <w:rPr/>
        <w:t>）合并财务报表的编制方法 </w:t>
      </w:r>
      <w:r>
        <w:rPr>
          <w:spacing w:val="-2"/>
        </w:rPr>
        <w:t>合并财务报表以本公司和子公司的财务报表为基础，根据其他有关资料，由本公司编制。在编制合并财务报表时，本公</w:t>
      </w:r>
    </w:p>
    <w:p>
      <w:pPr>
        <w:spacing w:after="0" w:line="357" w:lineRule="auto"/>
        <w:jc w:val="left"/>
        <w:sectPr>
          <w:pgSz w:w="11910" w:h="16840"/>
          <w:pgMar w:header="877" w:footer="1187" w:top="1100" w:bottom="1380" w:left="980" w:right="0"/>
        </w:sectPr>
      </w:pPr>
    </w:p>
    <w:p>
      <w:pPr>
        <w:spacing w:line="240" w:lineRule="auto" w:before="13"/>
        <w:rPr>
          <w:rFonts w:ascii="宋体" w:hAnsi="宋体" w:cs="宋体" w:eastAsia="宋体" w:hint="default"/>
          <w:sz w:val="21"/>
          <w:szCs w:val="21"/>
        </w:rPr>
      </w:pPr>
    </w:p>
    <w:p>
      <w:pPr>
        <w:pStyle w:val="BodyText"/>
        <w:spacing w:line="357" w:lineRule="auto" w:before="44"/>
        <w:ind w:left="514" w:right="0" w:hanging="360"/>
        <w:jc w:val="left"/>
      </w:pPr>
      <w:r>
        <w:rPr/>
        <w:t>司和子公司的会计政策和会计期间要求保持一致，公司间的重大交易和往来余额予以抵销。 </w:t>
      </w:r>
      <w:r>
        <w:rPr>
          <w:spacing w:val="-2"/>
        </w:rPr>
        <w:t>在报告期内因同一控制下企业合并增加的子公司以及业务，视同该子公司以及业务自同受最终控制方控制之日起纳入本</w:t>
      </w:r>
    </w:p>
    <w:p>
      <w:pPr>
        <w:pStyle w:val="BodyText"/>
        <w:spacing w:line="357" w:lineRule="auto"/>
        <w:ind w:left="513" w:right="1033" w:hanging="360"/>
        <w:jc w:val="left"/>
      </w:pPr>
      <w:r>
        <w:rPr/>
        <w:t>公司的合并范围，将其自同受最终控制方控制之日起的经营成果、现金流量分别纳入合并利润表、合并现金流量表中。 在报告期内因非同一控制下企业合并增加的子公司以及业务，将该子公司以及业务自购买日至报告期末的收入、费用、</w:t>
      </w:r>
    </w:p>
    <w:p>
      <w:pPr>
        <w:pStyle w:val="BodyText"/>
        <w:spacing w:line="357" w:lineRule="auto"/>
        <w:ind w:left="514" w:right="0" w:hanging="360"/>
        <w:jc w:val="left"/>
      </w:pPr>
      <w:r>
        <w:rPr/>
        <w:t>利润纳入合并利润表，将其现金流量纳入合并现金流量表。 </w:t>
      </w:r>
      <w:r>
        <w:rPr>
          <w:spacing w:val="-2"/>
        </w:rPr>
        <w:t>子公司的股东权益中不属于本公司所拥有的部分，作为少数股东权益在合并资产负债表中股东权益项下单独列示；子公</w:t>
      </w:r>
    </w:p>
    <w:p>
      <w:pPr>
        <w:pStyle w:val="BodyText"/>
        <w:spacing w:line="224" w:lineRule="exact"/>
        <w:ind w:right="0"/>
        <w:jc w:val="left"/>
      </w:pPr>
      <w:r>
        <w:rPr/>
        <w:t>司当期净损益中属于少数股东权益的份额，在合并利润表中净利润项目下以“少数股东损益”项目列示。少数股东分担的子</w:t>
      </w:r>
    </w:p>
    <w:p>
      <w:pPr>
        <w:pStyle w:val="BodyText"/>
        <w:spacing w:line="240" w:lineRule="auto" w:before="77"/>
        <w:ind w:right="0"/>
        <w:jc w:val="left"/>
      </w:pPr>
      <w:r>
        <w:rPr/>
        <w:t>公司的亏损超过了少数股东在该子公司期初所有者权益中所享有的份额，其余额仍冲减少数股东权益。</w:t>
      </w:r>
    </w:p>
    <w:p>
      <w:pPr>
        <w:pStyle w:val="BodyText"/>
        <w:spacing w:line="357" w:lineRule="auto" w:before="116"/>
        <w:ind w:left="514" w:right="1212"/>
        <w:jc w:val="left"/>
      </w:pPr>
      <w:r>
        <w:rPr/>
        <w:t>（</w:t>
      </w:r>
      <w:r>
        <w:rPr>
          <w:rFonts w:ascii="宋体" w:hAnsi="宋体" w:cs="宋体" w:eastAsia="宋体" w:hint="default"/>
        </w:rPr>
        <w:t>3</w:t>
      </w:r>
      <w:r>
        <w:rPr/>
        <w:t>）购买子公司少数股东股权 因购买少数股权新取得的长期股权投资成本与按照新增持股比例计算应享有子公司自购买日或合并日开始持续计算的</w:t>
      </w:r>
    </w:p>
    <w:p>
      <w:pPr>
        <w:pStyle w:val="BodyText"/>
        <w:spacing w:line="224" w:lineRule="exact"/>
        <w:ind w:right="0"/>
        <w:jc w:val="left"/>
      </w:pPr>
      <w:r>
        <w:rPr/>
        <w:t>净资产份额之间的差额</w:t>
      </w:r>
      <w:r>
        <w:rPr>
          <w:spacing w:val="-82"/>
        </w:rPr>
        <w:t>，</w:t>
      </w:r>
      <w:r>
        <w:rPr/>
        <w:t>以及在不丧失控制权的情况下因部分处置对子公司的股权投资而取得的处置价款与处置长期股权投</w:t>
      </w:r>
    </w:p>
    <w:p>
      <w:pPr>
        <w:pStyle w:val="BodyText"/>
        <w:spacing w:line="319" w:lineRule="auto" w:before="76"/>
        <w:ind w:right="0"/>
        <w:jc w:val="left"/>
      </w:pPr>
      <w:r>
        <w:rPr>
          <w:spacing w:val="-2"/>
        </w:rPr>
        <w:t>资相对应享有子公司自购买日或合并日开始持续计算的净资产份额之间的差额，均调整合并资产负债表中的资本公积（股本</w:t>
      </w:r>
      <w:r>
        <w:rPr>
          <w:spacing w:val="-64"/>
        </w:rPr>
        <w:t> </w:t>
      </w:r>
      <w:r>
        <w:rPr>
          <w:spacing w:val="-64"/>
        </w:rPr>
      </w:r>
      <w:r>
        <w:rPr>
          <w:spacing w:val="-5"/>
        </w:rPr>
        <w:t>溢价），资本公积不足冲减的，调整留存收益。</w:t>
      </w:r>
    </w:p>
    <w:p>
      <w:pPr>
        <w:pStyle w:val="BodyText"/>
        <w:spacing w:line="357" w:lineRule="auto" w:before="56"/>
        <w:ind w:left="514" w:right="0"/>
        <w:jc w:val="left"/>
      </w:pPr>
      <w:r>
        <w:rPr/>
        <w:t>（</w:t>
      </w:r>
      <w:r>
        <w:rPr>
          <w:rFonts w:ascii="宋体" w:hAnsi="宋体" w:cs="宋体" w:eastAsia="宋体" w:hint="default"/>
        </w:rPr>
        <w:t>4</w:t>
      </w:r>
      <w:r>
        <w:rPr/>
        <w:t>）丧失子公司控制权的处理 </w:t>
      </w:r>
      <w:r>
        <w:rPr>
          <w:spacing w:val="-2"/>
        </w:rPr>
        <w:t>因处置部分股权投资或其他原因丧失了对原有子公司控制权的，剩余股权按照其在丧失控制权日的公允价值进行重新计</w:t>
      </w:r>
    </w:p>
    <w:p>
      <w:pPr>
        <w:pStyle w:val="BodyText"/>
        <w:spacing w:line="224" w:lineRule="exact"/>
        <w:ind w:right="0"/>
        <w:jc w:val="left"/>
      </w:pPr>
      <w:r>
        <w:rPr/>
        <w:t>量；处置股权取得的对价与剩余股权公允价值之和，减去按原持股比例计算应享有原有子公司自购买日开始持续计算的净资</w:t>
      </w:r>
    </w:p>
    <w:p>
      <w:pPr>
        <w:pStyle w:val="BodyText"/>
        <w:spacing w:line="357" w:lineRule="auto" w:before="77"/>
        <w:ind w:left="513" w:right="0" w:hanging="360"/>
        <w:jc w:val="left"/>
      </w:pPr>
      <w:r>
        <w:rPr/>
        <w:t>产账面价值的份额与商誉之和，形成的差额计入丧失控制权当期的投资收益。 </w:t>
      </w:r>
      <w:r>
        <w:rPr>
          <w:spacing w:val="-2"/>
        </w:rPr>
        <w:t>与原有子公司的股权投资相关的其他综合收益等，在丧失控制权时转入当期损益，由于被投资方重新计量设定收益计划</w:t>
      </w:r>
    </w:p>
    <w:p>
      <w:pPr>
        <w:pStyle w:val="BodyText"/>
        <w:spacing w:line="225" w:lineRule="exact"/>
        <w:ind w:left="153" w:right="0"/>
        <w:jc w:val="left"/>
      </w:pPr>
      <w:r>
        <w:rPr/>
        <w:t>净负债或净资产变动而产生的其他综合收益除外。</w:t>
      </w:r>
    </w:p>
    <w:p>
      <w:pPr>
        <w:pStyle w:val="BodyText"/>
        <w:spacing w:line="357" w:lineRule="auto" w:before="116"/>
        <w:ind w:left="513" w:right="0"/>
        <w:jc w:val="left"/>
      </w:pPr>
      <w:r>
        <w:rPr/>
        <w:t>（</w:t>
      </w:r>
      <w:r>
        <w:rPr>
          <w:rFonts w:ascii="宋体" w:hAnsi="宋体" w:cs="宋体" w:eastAsia="宋体" w:hint="default"/>
        </w:rPr>
        <w:t>5</w:t>
      </w:r>
      <w:r>
        <w:rPr/>
        <w:t>）分步处置股权直至丧失控制权的处理 </w:t>
      </w:r>
      <w:r>
        <w:rPr>
          <w:spacing w:val="-2"/>
        </w:rPr>
        <w:t>通过多次交易分步处置股权直至丧失控制权的各项交易的条款、条件以及经济影响符合以下一种或多种情况的，本公司</w:t>
      </w:r>
    </w:p>
    <w:p>
      <w:pPr>
        <w:pStyle w:val="BodyText"/>
        <w:spacing w:line="225" w:lineRule="exact"/>
        <w:ind w:left="153" w:right="0"/>
        <w:jc w:val="left"/>
      </w:pPr>
      <w:r>
        <w:rPr/>
        <w:t>将多次交易事项作为一揽子交易进行会计处理：</w:t>
      </w:r>
    </w:p>
    <w:p>
      <w:pPr>
        <w:pStyle w:val="BodyText"/>
        <w:spacing w:line="240" w:lineRule="auto" w:before="117"/>
        <w:ind w:left="513" w:right="0"/>
        <w:jc w:val="left"/>
      </w:pPr>
      <w:r>
        <w:rPr/>
        <w:t>①这些交易是同时或者在考虑了彼此影响的情况下订立的；</w:t>
      </w:r>
    </w:p>
    <w:p>
      <w:pPr>
        <w:pStyle w:val="BodyText"/>
        <w:spacing w:line="240" w:lineRule="auto" w:before="116"/>
        <w:ind w:left="514" w:right="0"/>
        <w:jc w:val="left"/>
      </w:pPr>
      <w:r>
        <w:rPr/>
        <w:t>②这些交易整体才能达成一项完整的商业结果；</w:t>
      </w:r>
    </w:p>
    <w:p>
      <w:pPr>
        <w:pStyle w:val="BodyText"/>
        <w:spacing w:line="240" w:lineRule="auto" w:before="116"/>
        <w:ind w:left="514" w:right="0"/>
        <w:jc w:val="left"/>
      </w:pPr>
      <w:r>
        <w:rPr/>
        <w:t>③一项交易的发生取决于其他至少一项交易的发生；</w:t>
      </w:r>
    </w:p>
    <w:p>
      <w:pPr>
        <w:pStyle w:val="BodyText"/>
        <w:spacing w:line="357" w:lineRule="auto" w:before="117"/>
        <w:ind w:left="513" w:right="0"/>
        <w:jc w:val="left"/>
      </w:pPr>
      <w:r>
        <w:rPr/>
        <w:t>④一项交易单独看是不经济的，但是和其他交易一并考虑时是经济的。 </w:t>
      </w:r>
      <w:r>
        <w:rPr>
          <w:spacing w:val="-2"/>
        </w:rPr>
        <w:t>在个别财务报表中，分步处置股权直至丧失控制权的各项交易不属于“一揽子交易”的，结转每一次处置股权相对应的</w:t>
      </w:r>
    </w:p>
    <w:p>
      <w:pPr>
        <w:pStyle w:val="BodyText"/>
        <w:spacing w:line="224" w:lineRule="exact"/>
        <w:ind w:left="153" w:right="0"/>
        <w:jc w:val="left"/>
      </w:pPr>
      <w:r>
        <w:rPr/>
        <w:t>长期股权投资的账面价值，所得价款与处置长期股权投资账面价值之间的差额计入当期投资收益；属于“一揽子交易”的，</w:t>
      </w:r>
    </w:p>
    <w:p>
      <w:pPr>
        <w:pStyle w:val="BodyText"/>
        <w:spacing w:line="319" w:lineRule="auto" w:before="76"/>
        <w:ind w:left="153" w:right="0"/>
        <w:jc w:val="left"/>
      </w:pPr>
      <w:r>
        <w:rPr>
          <w:spacing w:val="-2"/>
        </w:rPr>
        <w:t>在丧失控制权之前每一次处置价款与所处置的股权对应的长期股权投资账面价值之间的差额，先确认为其他综合收益，到丧</w:t>
      </w:r>
      <w:r>
        <w:rPr>
          <w:spacing w:val="-63"/>
        </w:rPr>
        <w:t> </w:t>
      </w:r>
      <w:r>
        <w:rPr>
          <w:spacing w:val="-63"/>
        </w:rPr>
      </w:r>
      <w:r>
        <w:rPr/>
        <w:t>失控制权时再一并转入丧失控制权的当期损益。</w:t>
      </w:r>
    </w:p>
    <w:p>
      <w:pPr>
        <w:pStyle w:val="BodyText"/>
        <w:spacing w:line="319" w:lineRule="auto" w:before="55"/>
        <w:ind w:left="153" w:right="1130" w:firstLine="360"/>
        <w:jc w:val="both"/>
      </w:pPr>
      <w:r>
        <w:rPr>
          <w:spacing w:val="-2"/>
        </w:rPr>
        <w:t>在合并财务报表中，分步处置股权直至丧失控制权时，剩余股权的计量以及有关处置股权损益的核算比照前述“丧失子</w:t>
      </w:r>
      <w:r>
        <w:rPr/>
        <w:t> </w:t>
      </w:r>
      <w:r>
        <w:rPr>
          <w:spacing w:val="-2"/>
        </w:rPr>
        <w:t>公司控制权的处理”。在丧失控制权之前每一次处置价款与处置投资对应的享有该子公司自购买日开始持续计算的净资产账</w:t>
      </w:r>
      <w:r>
        <w:rPr>
          <w:spacing w:val="-64"/>
        </w:rPr>
        <w:t> </w:t>
      </w:r>
      <w:r>
        <w:rPr>
          <w:spacing w:val="-64"/>
        </w:rPr>
      </w:r>
      <w:r>
        <w:rPr/>
        <w:t>面价值份额之间的差额，分别进行如下处理：</w:t>
      </w:r>
    </w:p>
    <w:p>
      <w:pPr>
        <w:pStyle w:val="BodyText"/>
        <w:spacing w:line="240" w:lineRule="auto" w:before="58"/>
        <w:ind w:left="514" w:right="0"/>
        <w:jc w:val="left"/>
      </w:pPr>
      <w:r>
        <w:rPr/>
        <w:t>①属于“一揽子交易”的，确认为其他综合收益。在丧失控制权时一并转入丧失控制权当期的损益。</w:t>
      </w:r>
    </w:p>
    <w:p>
      <w:pPr>
        <w:pStyle w:val="BodyText"/>
        <w:spacing w:line="319" w:lineRule="auto" w:before="115"/>
        <w:ind w:right="1136" w:firstLine="360"/>
        <w:jc w:val="left"/>
      </w:pPr>
      <w:r>
        <w:rPr>
          <w:spacing w:val="-2"/>
        </w:rPr>
        <w:t>②不属于“一揽子交易”的，作为权益性交易计入资本公积（股本溢价）。在丧失控制权时不得转入丧失控制权当期的</w:t>
      </w:r>
      <w:r>
        <w:rPr/>
        <w:t> 损益。</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7、合营安排分类及共同经营会计处理方法" w:id="178"/>
      <w:bookmarkEnd w:id="178"/>
      <w:r>
        <w:rPr>
          <w:b w:val="0"/>
          <w:bCs w:val="0"/>
        </w:rPr>
      </w:r>
      <w:r>
        <w:rPr>
          <w:rFonts w:ascii="宋体" w:hAnsi="宋体" w:cs="宋体" w:eastAsia="宋体" w:hint="default"/>
        </w:rPr>
        <w:t>7</w:t>
      </w:r>
      <w:r>
        <w:rPr/>
        <w:t>、合营安排分类及共同经营会计处理方法</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514" w:right="0"/>
        <w:jc w:val="left"/>
      </w:pPr>
      <w:r>
        <w:rPr/>
        <w:t>合营安排，是指一项由两个或两个以上的参与方共同控制的安排。本公司合营安排分为共同经营和合营企业。</w:t>
      </w:r>
    </w:p>
    <w:p>
      <w:pPr>
        <w:pStyle w:val="BodyText"/>
        <w:spacing w:line="360" w:lineRule="auto" w:before="116"/>
        <w:ind w:left="513" w:right="4273"/>
        <w:jc w:val="left"/>
      </w:pPr>
      <w:r>
        <w:rPr/>
        <w:t>（</w:t>
      </w:r>
      <w:r>
        <w:rPr>
          <w:rFonts w:ascii="宋体" w:hAnsi="宋体" w:cs="宋体" w:eastAsia="宋体" w:hint="default"/>
        </w:rPr>
        <w:t>1</w:t>
      </w:r>
      <w:r>
        <w:rPr/>
        <w:t>）共同经营 共同经营是指本公司享有该安排相关资产且承担该安排相关负债的合营安排。</w:t>
      </w:r>
    </w:p>
    <w:p>
      <w:pPr>
        <w:spacing w:after="0" w:line="360" w:lineRule="auto"/>
        <w:jc w:val="left"/>
        <w:sectPr>
          <w:pgSz w:w="11910" w:h="16840"/>
          <w:pgMar w:header="877" w:footer="1187" w:top="1100" w:bottom="1380" w:left="980" w:right="0"/>
        </w:sectPr>
      </w:pPr>
    </w:p>
    <w:p>
      <w:pPr>
        <w:spacing w:line="240" w:lineRule="auto" w:before="13"/>
        <w:rPr>
          <w:rFonts w:ascii="宋体" w:hAnsi="宋体" w:cs="宋体" w:eastAsia="宋体" w:hint="default"/>
          <w:sz w:val="21"/>
          <w:szCs w:val="21"/>
        </w:rPr>
      </w:pPr>
    </w:p>
    <w:p>
      <w:pPr>
        <w:pStyle w:val="BodyText"/>
        <w:spacing w:line="360" w:lineRule="auto" w:before="44"/>
        <w:ind w:left="513" w:right="2473"/>
        <w:jc w:val="left"/>
      </w:pPr>
      <w:r>
        <w:rPr/>
        <w:t>本公司确认与共同经营中利益份额相关的下列项目，并按照相关企业会计准则的规定进行会计处理： </w:t>
      </w:r>
      <w:r>
        <w:rPr>
          <w:rFonts w:ascii="宋体" w:hAnsi="宋体" w:cs="宋体" w:eastAsia="宋体" w:hint="default"/>
        </w:rPr>
        <w:t>A</w:t>
      </w:r>
      <w:r>
        <w:rPr/>
        <w:t>、确认单独所持有的资产，以及按其份额确认共同持有的资产； </w:t>
      </w:r>
      <w:r>
        <w:rPr>
          <w:rFonts w:ascii="宋体" w:hAnsi="宋体" w:cs="宋体" w:eastAsia="宋体" w:hint="default"/>
        </w:rPr>
        <w:t>B</w:t>
      </w:r>
      <w:r>
        <w:rPr/>
        <w:t>、确认单独所承担的负债，以及按其份额确认共同承担的负债； </w:t>
      </w:r>
      <w:r>
        <w:rPr>
          <w:rFonts w:ascii="宋体" w:hAnsi="宋体" w:cs="宋体" w:eastAsia="宋体" w:hint="default"/>
        </w:rPr>
        <w:t>C</w:t>
      </w:r>
      <w:r>
        <w:rPr/>
        <w:t>、确认出售其享有的共同经营产出份额所产生的收入； </w:t>
      </w:r>
      <w:r>
        <w:rPr>
          <w:rFonts w:ascii="宋体" w:hAnsi="宋体" w:cs="宋体" w:eastAsia="宋体" w:hint="default"/>
        </w:rPr>
        <w:t>D</w:t>
      </w:r>
      <w:r>
        <w:rPr/>
        <w:t>、按其份额确认共同经营因出售产出所产生的收入； </w:t>
      </w:r>
      <w:r>
        <w:rPr>
          <w:rFonts w:ascii="宋体" w:hAnsi="宋体" w:cs="宋体" w:eastAsia="宋体" w:hint="default"/>
        </w:rPr>
        <w:t>E</w:t>
      </w:r>
      <w:r>
        <w:rPr/>
        <w:t>、确认单独所发生的费用，以及按其份额确认共同经营发生的费用。</w:t>
      </w:r>
    </w:p>
    <w:p>
      <w:pPr>
        <w:pStyle w:val="BodyText"/>
        <w:spacing w:line="357" w:lineRule="auto" w:before="26"/>
        <w:ind w:left="513" w:right="5353"/>
        <w:jc w:val="left"/>
      </w:pPr>
      <w:r>
        <w:rPr/>
        <w:t>（</w:t>
      </w:r>
      <w:r>
        <w:rPr>
          <w:rFonts w:ascii="宋体" w:hAnsi="宋体" w:cs="宋体" w:eastAsia="宋体" w:hint="default"/>
        </w:rPr>
        <w:t>2</w:t>
      </w:r>
      <w:r>
        <w:rPr/>
        <w:t>）合营企业 合营企业是指本公司仅对该安排的净资产享有权利的合营安排。</w:t>
      </w:r>
    </w:p>
    <w:p>
      <w:pPr>
        <w:pStyle w:val="BodyText"/>
        <w:spacing w:line="240" w:lineRule="auto" w:before="29"/>
        <w:ind w:left="514" w:right="0"/>
        <w:jc w:val="left"/>
      </w:pPr>
      <w:r>
        <w:rPr/>
        <w:t>本公司按照长期股权投资有关权益法核算的规定对合营企业的投资进行会计处理。</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8、现金及现金等价物的确定标准" w:id="179"/>
      <w:bookmarkEnd w:id="179"/>
      <w:r>
        <w:rPr>
          <w:b w:val="0"/>
          <w:bCs w:val="0"/>
        </w:rPr>
      </w:r>
      <w:r>
        <w:rPr>
          <w:rFonts w:ascii="宋体" w:hAnsi="宋体" w:cs="宋体" w:eastAsia="宋体" w:hint="default"/>
        </w:rPr>
        <w:t>8</w:t>
      </w:r>
      <w:r>
        <w:rPr/>
        <w:t>、现金及现金等价物的确定标准</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ind w:left="153" w:right="1131" w:firstLine="360"/>
        <w:jc w:val="both"/>
      </w:pPr>
      <w:r>
        <w:rPr>
          <w:spacing w:val="-2"/>
        </w:rPr>
        <w:t>现金是指库存现金以及可以随时用于支付的存款。现金等价物，是指本公司持有的期限短、流动性强、易于转换为已知</w:t>
      </w:r>
      <w:r>
        <w:rPr/>
        <w:t> 金额现金、价值变动风险很小的投资。</w:t>
      </w:r>
    </w:p>
    <w:p>
      <w:pPr>
        <w:spacing w:line="240" w:lineRule="auto" w:before="3"/>
        <w:rPr>
          <w:rFonts w:ascii="宋体" w:hAnsi="宋体" w:cs="宋体" w:eastAsia="宋体" w:hint="default"/>
          <w:sz w:val="22"/>
          <w:szCs w:val="22"/>
        </w:rPr>
      </w:pPr>
    </w:p>
    <w:p>
      <w:pPr>
        <w:pStyle w:val="Heading3"/>
        <w:spacing w:line="240" w:lineRule="auto"/>
        <w:ind w:left="153" w:right="0"/>
        <w:jc w:val="left"/>
        <w:rPr>
          <w:b w:val="0"/>
          <w:bCs w:val="0"/>
        </w:rPr>
      </w:pPr>
      <w:bookmarkStart w:name="9、外币业务和外币报表折算" w:id="180"/>
      <w:bookmarkEnd w:id="180"/>
      <w:r>
        <w:rPr>
          <w:b w:val="0"/>
          <w:bCs w:val="0"/>
        </w:rPr>
      </w:r>
      <w:r>
        <w:rPr>
          <w:rFonts w:ascii="宋体" w:hAnsi="宋体" w:cs="宋体" w:eastAsia="宋体" w:hint="default"/>
        </w:rPr>
        <w:t>9</w:t>
      </w:r>
      <w:r>
        <w:rPr/>
        <w:t>、外币业务和外币报表折算</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513" w:right="4633"/>
        <w:jc w:val="left"/>
      </w:pPr>
      <w:r>
        <w:rPr/>
        <w:t>（</w:t>
      </w:r>
      <w:r>
        <w:rPr>
          <w:rFonts w:ascii="宋体" w:hAnsi="宋体" w:cs="宋体" w:eastAsia="宋体" w:hint="default"/>
        </w:rPr>
        <w:t>1</w:t>
      </w:r>
      <w:r>
        <w:rPr/>
        <w:t>）外币业务 本公司发生外币业务，按交易发生日的即期汇率折算为记账本位币金额。</w:t>
      </w:r>
    </w:p>
    <w:p>
      <w:pPr>
        <w:pStyle w:val="BodyText"/>
        <w:spacing w:line="319" w:lineRule="auto" w:before="26"/>
        <w:ind w:left="153" w:right="1133" w:firstLine="360"/>
        <w:jc w:val="both"/>
      </w:pPr>
      <w:r>
        <w:rPr>
          <w:spacing w:val="-2"/>
        </w:rPr>
        <w:t>资产负债表日，对外币货币性项目，采用资产负债表日即期汇率折算。因资产负债表日即期汇率与初始确认时或者前一</w:t>
      </w:r>
      <w:r>
        <w:rPr/>
        <w:t> </w:t>
      </w:r>
      <w:r>
        <w:rPr>
          <w:spacing w:val="-2"/>
        </w:rPr>
        <w:t>资产负债表日即期汇率不同而产生的汇兑差额，计入当期损益；对以历史成本计量的外币非货币性项目，仍采用交易发生日</w:t>
      </w:r>
      <w:r>
        <w:rPr>
          <w:spacing w:val="-66"/>
        </w:rPr>
        <w:t> </w:t>
      </w:r>
      <w:r>
        <w:rPr>
          <w:spacing w:val="-66"/>
        </w:rPr>
      </w:r>
      <w:r>
        <w:rPr>
          <w:spacing w:val="-2"/>
        </w:rPr>
        <w:t>的即期汇率折算；对以公允价值计量的外币非货币性项目，采用公允价值确定日的即期汇率折算，折算后的记账本位币金额</w:t>
      </w:r>
      <w:r>
        <w:rPr>
          <w:spacing w:val="-66"/>
        </w:rPr>
        <w:t> </w:t>
      </w:r>
      <w:r>
        <w:rPr>
          <w:spacing w:val="-66"/>
        </w:rPr>
      </w:r>
      <w:r>
        <w:rPr/>
        <w:t>与原记账本位币金额的差额，计入当期损益。</w:t>
      </w:r>
    </w:p>
    <w:p>
      <w:pPr>
        <w:pStyle w:val="BodyText"/>
        <w:spacing w:line="357" w:lineRule="auto" w:before="58"/>
        <w:ind w:left="514" w:right="0"/>
        <w:jc w:val="left"/>
      </w:pPr>
      <w:r>
        <w:rPr/>
        <w:t>（</w:t>
      </w:r>
      <w:r>
        <w:rPr>
          <w:rFonts w:ascii="宋体" w:hAnsi="宋体" w:cs="宋体" w:eastAsia="宋体" w:hint="default"/>
        </w:rPr>
        <w:t>2</w:t>
      </w:r>
      <w:r>
        <w:rPr/>
        <w:t>）外币财务报表的折算 </w:t>
      </w:r>
      <w:r>
        <w:rPr>
          <w:spacing w:val="-2"/>
        </w:rPr>
        <w:t>资产负债表日，对境外子公司外币财务报表进行折算时，资产负债表中的资产和负债项目，采用资产负债表日的即期汇</w:t>
      </w:r>
    </w:p>
    <w:p>
      <w:pPr>
        <w:pStyle w:val="BodyText"/>
        <w:spacing w:line="357" w:lineRule="auto"/>
        <w:ind w:left="513" w:right="0" w:hanging="360"/>
        <w:jc w:val="left"/>
      </w:pPr>
      <w:r>
        <w:rPr/>
        <w:t>率折算，股东权益项目除“未分配利润”外，其他项目采用发生日的即期汇率折算。 利润表中的收入和费用项目，采用交易发生当期平均汇率折算。 </w:t>
      </w:r>
      <w:r>
        <w:rPr>
          <w:spacing w:val="-2"/>
        </w:rPr>
        <w:t>现金流量表所有项目均按照现金流量发生当期平均汇率折算。汇率变动对现金的影响额作为调节项目，在现金流量表中</w:t>
      </w:r>
    </w:p>
    <w:p>
      <w:pPr>
        <w:pStyle w:val="BodyText"/>
        <w:spacing w:line="357" w:lineRule="auto"/>
        <w:ind w:left="513" w:right="0" w:hanging="360"/>
        <w:jc w:val="left"/>
      </w:pPr>
      <w:r>
        <w:rPr/>
        <w:t>单独列示“汇率变动对现金及现金等价物的影响” 项目反映。 由于财务报表折算而产生的差额，在资产负债表股东权益项目下的“其他综合收益”项目反映。 </w:t>
      </w:r>
      <w:r>
        <w:rPr>
          <w:spacing w:val="-2"/>
        </w:rPr>
        <w:t>处置境外经营并丧失控制权时，将资产负债表中股东权益项目下列示的、与该境外经营相关的外币报表折算差额，全部</w:t>
      </w:r>
    </w:p>
    <w:p>
      <w:pPr>
        <w:pStyle w:val="BodyText"/>
        <w:spacing w:line="225" w:lineRule="exact"/>
        <w:ind w:left="153" w:right="0"/>
        <w:jc w:val="left"/>
      </w:pPr>
      <w:r>
        <w:rPr/>
        <w:t>或按处置该境外经营的比例转入处置当期损益。</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10、金融工具" w:id="181"/>
      <w:bookmarkEnd w:id="181"/>
      <w:r>
        <w:rPr>
          <w:b w:val="0"/>
          <w:bCs w:val="0"/>
        </w:rPr>
      </w:r>
      <w:r>
        <w:rPr>
          <w:rFonts w:ascii="宋体" w:hAnsi="宋体" w:cs="宋体" w:eastAsia="宋体" w:hint="default"/>
        </w:rPr>
        <w:t>10</w:t>
      </w:r>
      <w:r>
        <w:rPr/>
        <w:t>、金融工具</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513" w:right="0"/>
        <w:jc w:val="left"/>
      </w:pPr>
      <w:r>
        <w:rPr/>
        <w:t>金融工具是指形成一个企业的金融资产，并形成其他单位的金融负债或权益工具的合同。</w:t>
      </w:r>
    </w:p>
    <w:p>
      <w:pPr>
        <w:pStyle w:val="BodyText"/>
        <w:spacing w:line="360" w:lineRule="auto" w:before="116"/>
        <w:ind w:left="513" w:right="4993"/>
        <w:jc w:val="left"/>
      </w:pPr>
      <w:r>
        <w:rPr/>
        <w:t>（</w:t>
      </w:r>
      <w:r>
        <w:rPr>
          <w:rFonts w:ascii="宋体" w:hAnsi="宋体" w:cs="宋体" w:eastAsia="宋体" w:hint="default"/>
        </w:rPr>
        <w:t>1</w:t>
      </w:r>
      <w:r>
        <w:rPr/>
        <w:t>）金融工具的确认和终止确认 本公司于成为金融工具合同的一方时确认一项金融资产或金融负债。 金融资产满足下列条件之一的，终止确认：</w:t>
      </w:r>
    </w:p>
    <w:p>
      <w:pPr>
        <w:pStyle w:val="BodyText"/>
        <w:spacing w:line="240" w:lineRule="auto" w:before="26"/>
        <w:ind w:left="513" w:right="0"/>
        <w:jc w:val="left"/>
      </w:pPr>
      <w:r>
        <w:rPr/>
        <w:t>① 收取该金融资产现金流量的合同权利终止；</w:t>
      </w:r>
    </w:p>
    <w:p>
      <w:pPr>
        <w:pStyle w:val="BodyText"/>
        <w:spacing w:line="357" w:lineRule="auto" w:before="116"/>
        <w:ind w:left="513" w:right="0"/>
        <w:jc w:val="left"/>
      </w:pPr>
      <w:r>
        <w:rPr/>
        <w:t>② 该金融资产已转移，且符合下述金融资产转移的终止确认条件。 </w:t>
      </w:r>
      <w:r>
        <w:rPr>
          <w:spacing w:val="-2"/>
        </w:rPr>
        <w:t>金融负债的现时义务全部或部分已经解除的，终止确认该金融负债或其一部分。本公司（债务人）与债权人之间签订协</w:t>
      </w:r>
    </w:p>
    <w:p>
      <w:pPr>
        <w:spacing w:after="0" w:line="357" w:lineRule="auto"/>
        <w:jc w:val="left"/>
        <w:sectPr>
          <w:footerReference w:type="default" r:id="rId159"/>
          <w:pgSz w:w="11910" w:h="16840"/>
          <w:pgMar w:footer="1187" w:header="877" w:top="1100" w:bottom="1380" w:left="980" w:right="0"/>
          <w:pgNumType w:start="120"/>
        </w:sectPr>
      </w:pPr>
    </w:p>
    <w:p>
      <w:pPr>
        <w:spacing w:line="240" w:lineRule="auto" w:before="12"/>
        <w:rPr>
          <w:rFonts w:ascii="宋体" w:hAnsi="宋体" w:cs="宋体" w:eastAsia="宋体" w:hint="default"/>
          <w:sz w:val="21"/>
          <w:szCs w:val="21"/>
        </w:rPr>
      </w:pPr>
    </w:p>
    <w:p>
      <w:pPr>
        <w:pStyle w:val="BodyText"/>
        <w:spacing w:line="319" w:lineRule="auto" w:before="44"/>
        <w:ind w:right="0"/>
        <w:jc w:val="left"/>
      </w:pPr>
      <w:r>
        <w:rPr>
          <w:spacing w:val="-2"/>
        </w:rPr>
        <w:t>议，以承担新金融负债方式替换现存金融负债，且新金融负债与现存金融负债的合同条款实质上不同的，终止确认现存金融</w:t>
      </w:r>
      <w:r>
        <w:rPr>
          <w:spacing w:val="-66"/>
        </w:rPr>
        <w:t> </w:t>
      </w:r>
      <w:r>
        <w:rPr>
          <w:spacing w:val="-66"/>
        </w:rPr>
      </w:r>
      <w:r>
        <w:rPr/>
        <w:t>负债，并同时确认新金融负债。</w:t>
      </w:r>
    </w:p>
    <w:p>
      <w:pPr>
        <w:pStyle w:val="BodyText"/>
        <w:spacing w:line="240" w:lineRule="auto" w:before="56"/>
        <w:ind w:left="514" w:right="0"/>
        <w:jc w:val="left"/>
      </w:pPr>
      <w:r>
        <w:rPr/>
        <w:t>以常规方式买卖金融资产，按交易日进行会计确认和终止确认。</w:t>
      </w:r>
    </w:p>
    <w:p>
      <w:pPr>
        <w:pStyle w:val="BodyText"/>
        <w:spacing w:line="357" w:lineRule="auto" w:before="117"/>
        <w:ind w:left="514" w:right="1032"/>
        <w:jc w:val="left"/>
      </w:pPr>
      <w:r>
        <w:rPr/>
        <w:t>（</w:t>
      </w:r>
      <w:r>
        <w:rPr>
          <w:rFonts w:ascii="宋体" w:hAnsi="宋体" w:cs="宋体" w:eastAsia="宋体" w:hint="default"/>
        </w:rPr>
        <w:t>2</w:t>
      </w:r>
      <w:r>
        <w:rPr/>
        <w:t>）金融资产分类和计量 本公司的金融资产于初始确认时分为以下四类：以公允价值计量且其变动计入当期损益的金融资产、持有至到期投资、</w:t>
      </w:r>
    </w:p>
    <w:p>
      <w:pPr>
        <w:pStyle w:val="BodyText"/>
        <w:spacing w:line="224" w:lineRule="exact"/>
        <w:ind w:right="0"/>
        <w:jc w:val="left"/>
      </w:pPr>
      <w:r>
        <w:rPr/>
        <w:t>贷款和应收款项和可供出售金融资产。金融资产在初始确认时以公允价值计量。对于以公允价值计量且其变动计入当期损益</w:t>
      </w:r>
    </w:p>
    <w:p>
      <w:pPr>
        <w:pStyle w:val="BodyText"/>
        <w:spacing w:line="357" w:lineRule="auto" w:before="77"/>
        <w:ind w:left="513" w:right="0" w:hanging="360"/>
        <w:jc w:val="left"/>
      </w:pPr>
      <w:r>
        <w:rPr/>
        <w:t>的金融资产，相关交易费用直接计入当期损益，其他类别的金融资产相关交易费用计入其初始确认金额。 以公允价值计量且其变动计入当期损益的金融资产 </w:t>
      </w:r>
      <w:r>
        <w:rPr>
          <w:spacing w:val="-2"/>
        </w:rPr>
        <w:t>以公允价值计量且其变动计入当期损益的金融资产，包括交易性金融资产和初始确认时指定为以公允价值计量且其变动</w:t>
      </w:r>
    </w:p>
    <w:p>
      <w:pPr>
        <w:pStyle w:val="BodyText"/>
        <w:spacing w:line="224" w:lineRule="exact"/>
        <w:ind w:right="0"/>
        <w:jc w:val="left"/>
      </w:pPr>
      <w:r>
        <w:rPr/>
        <w:t>计入当期损益的金融资产。对于此类金融资产，采用公允价值进行后续计量，公允价值变动形成的利得或损失以及与该等金</w:t>
      </w:r>
    </w:p>
    <w:p>
      <w:pPr>
        <w:pStyle w:val="BodyText"/>
        <w:spacing w:line="357" w:lineRule="auto" w:before="77"/>
        <w:ind w:left="514" w:right="7152" w:hanging="360"/>
        <w:jc w:val="left"/>
      </w:pPr>
      <w:r>
        <w:rPr/>
        <w:t>融资产相关的股利和利息收入计入当期损益。 持有至到期投资</w:t>
      </w:r>
    </w:p>
    <w:p>
      <w:pPr>
        <w:pStyle w:val="BodyText"/>
        <w:spacing w:line="319" w:lineRule="auto" w:before="26"/>
        <w:ind w:right="1032" w:firstLine="360"/>
        <w:jc w:val="left"/>
      </w:pPr>
      <w:r>
        <w:rPr>
          <w:spacing w:val="-4"/>
        </w:rPr>
        <w:t>持有至到期投资，是指到期日固定、回收金额固定或可确定，且本公司有明确意图和能力持有至到期的非衍生金融资产。</w:t>
      </w:r>
      <w:r>
        <w:rPr/>
        <w:t> </w:t>
      </w:r>
      <w:r>
        <w:rPr>
          <w:spacing w:val="-2"/>
        </w:rPr>
        <w:t>持有至到期投资采用实际利率法，按照摊余成本进行后续计量，其终止确认、发生减值或摊销产生的利得或损失，均计入当</w:t>
      </w:r>
      <w:r>
        <w:rPr>
          <w:spacing w:val="-66"/>
        </w:rPr>
        <w:t> </w:t>
      </w:r>
      <w:r>
        <w:rPr>
          <w:spacing w:val="-66"/>
        </w:rPr>
      </w:r>
      <w:r>
        <w:rPr/>
        <w:t>期损益。</w:t>
      </w:r>
    </w:p>
    <w:p>
      <w:pPr>
        <w:pStyle w:val="BodyText"/>
        <w:spacing w:line="357" w:lineRule="auto" w:before="58"/>
        <w:ind w:left="514" w:right="0"/>
        <w:jc w:val="left"/>
      </w:pPr>
      <w:r>
        <w:rPr/>
        <w:t>贷款和应收款项 </w:t>
      </w:r>
      <w:r>
        <w:rPr>
          <w:spacing w:val="-2"/>
        </w:rPr>
        <w:t>贷款和应收款项，是指在活跃市场中没有报价、回收金额固定或可确定的非衍生金融资产，本公司划分为贷款和应收款</w:t>
      </w:r>
    </w:p>
    <w:p>
      <w:pPr>
        <w:pStyle w:val="BodyText"/>
        <w:spacing w:line="357" w:lineRule="auto"/>
        <w:ind w:left="513" w:right="0" w:hanging="360"/>
        <w:jc w:val="left"/>
      </w:pPr>
      <w:r>
        <w:rPr>
          <w:spacing w:val="-5"/>
        </w:rPr>
        <w:t>项的金融资产主要包括发放贷款及垫款、应收账款和其他应收款等（附注五、</w:t>
      </w:r>
      <w:r>
        <w:rPr>
          <w:rFonts w:ascii="宋体" w:hAnsi="宋体" w:cs="宋体" w:eastAsia="宋体" w:hint="default"/>
          <w:spacing w:val="-5"/>
        </w:rPr>
        <w:t>11</w:t>
      </w:r>
      <w:r>
        <w:rPr>
          <w:spacing w:val="-5"/>
        </w:rPr>
        <w:t>）。</w:t>
      </w:r>
      <w:r>
        <w:rPr>
          <w:spacing w:val="-80"/>
        </w:rPr>
        <w:t> </w:t>
      </w:r>
      <w:r>
        <w:rPr>
          <w:spacing w:val="-2"/>
        </w:rPr>
        <w:t>贷款和应收款项采用实际利率法，按摊余成本进行后续计量，在终止确认、发生减值或摊销时产生的利得或损失，计入</w:t>
      </w:r>
    </w:p>
    <w:p>
      <w:pPr>
        <w:pStyle w:val="BodyText"/>
        <w:spacing w:line="225" w:lineRule="exact"/>
        <w:ind w:left="153" w:right="0"/>
        <w:jc w:val="left"/>
      </w:pPr>
      <w:r>
        <w:rPr/>
        <w:t>当期损益。</w:t>
      </w:r>
    </w:p>
    <w:p>
      <w:pPr>
        <w:pStyle w:val="BodyText"/>
        <w:spacing w:line="357" w:lineRule="auto" w:before="117"/>
        <w:ind w:left="514" w:right="1032"/>
        <w:jc w:val="left"/>
      </w:pPr>
      <w:r>
        <w:rPr/>
        <w:t>可供出售金融资产 可供出售金融资产，是指初始确认时即指定为可供出售的非衍生金融资产，以及除上述金融资产类别以外的金融资产。</w:t>
      </w:r>
    </w:p>
    <w:p>
      <w:pPr>
        <w:pStyle w:val="BodyText"/>
        <w:spacing w:line="224" w:lineRule="exact"/>
        <w:ind w:right="0"/>
        <w:jc w:val="left"/>
      </w:pPr>
      <w:r>
        <w:rPr/>
        <w:t>可供出售金融资产采用公允价值进行后续计量，其折溢价采用实际利率法摊销并确认为利息收入。除减值损失及外币货币性</w:t>
      </w:r>
    </w:p>
    <w:p>
      <w:pPr>
        <w:pStyle w:val="BodyText"/>
        <w:spacing w:line="319" w:lineRule="auto" w:before="76"/>
        <w:ind w:right="0"/>
        <w:jc w:val="left"/>
      </w:pPr>
      <w:r>
        <w:rPr>
          <w:spacing w:val="-2"/>
        </w:rPr>
        <w:t>金融资产的汇兑差额确认为当期损益外，可供出售金融资产的公允价值变动确认为其他综合收益，在该金融资产终止确认时</w:t>
      </w:r>
      <w:r>
        <w:rPr>
          <w:spacing w:val="-64"/>
        </w:rPr>
        <w:t> </w:t>
      </w:r>
      <w:r>
        <w:rPr>
          <w:spacing w:val="-64"/>
        </w:rPr>
      </w:r>
      <w:r>
        <w:rPr/>
        <w:t>转出，计入当期损益。与可供出售金融资产相关的股利或利息收入，计入当期损益。</w:t>
      </w:r>
    </w:p>
    <w:p>
      <w:pPr>
        <w:pStyle w:val="BodyText"/>
        <w:spacing w:line="319" w:lineRule="auto" w:before="55"/>
        <w:ind w:left="153" w:right="0" w:firstLine="360"/>
        <w:jc w:val="left"/>
      </w:pPr>
      <w:r>
        <w:rPr>
          <w:spacing w:val="-2"/>
        </w:rPr>
        <w:t>对于在活跃市场中没有报价且其公允价值不能可靠计量的权益工具投资，以及与该权益工具挂钩并须通过交付该权益工</w:t>
      </w:r>
      <w:r>
        <w:rPr/>
        <w:t> 具结算的衍生金融资产，按成本计量。</w:t>
      </w:r>
    </w:p>
    <w:p>
      <w:pPr>
        <w:pStyle w:val="BodyText"/>
        <w:spacing w:line="357" w:lineRule="auto" w:before="58"/>
        <w:ind w:left="514" w:right="0"/>
        <w:jc w:val="left"/>
      </w:pPr>
      <w:r>
        <w:rPr/>
        <w:t>（</w:t>
      </w:r>
      <w:r>
        <w:rPr>
          <w:rFonts w:ascii="宋体" w:hAnsi="宋体" w:cs="宋体" w:eastAsia="宋体" w:hint="default"/>
        </w:rPr>
        <w:t>3</w:t>
      </w:r>
      <w:r>
        <w:rPr/>
        <w:t>）金融负债分类和计量 </w:t>
      </w:r>
      <w:r>
        <w:rPr>
          <w:spacing w:val="-2"/>
        </w:rPr>
        <w:t>本公司的金融负债于初始确认时分类为：以公允价值计量且其变动计入当期损益的金融负债和其他金融负债。对于未划</w:t>
      </w:r>
    </w:p>
    <w:p>
      <w:pPr>
        <w:pStyle w:val="BodyText"/>
        <w:spacing w:line="357" w:lineRule="auto"/>
        <w:ind w:left="513" w:right="0" w:hanging="360"/>
        <w:jc w:val="left"/>
      </w:pPr>
      <w:r>
        <w:rPr/>
        <w:t>分为以公允价值计量且其变动计入当期损益的金融负债的，相关交易费用计入其初始确认金额。 以公允价值计量且其变动计入当期损益的金融负债 </w:t>
      </w:r>
      <w:r>
        <w:rPr>
          <w:spacing w:val="-2"/>
        </w:rPr>
        <w:t>以公允价值计量且其变动计入当期损益的金融负债，包括交易性金融负债和初始确认时指定为以公允价值计量且其变动</w:t>
      </w:r>
    </w:p>
    <w:p>
      <w:pPr>
        <w:pStyle w:val="BodyText"/>
        <w:spacing w:line="224" w:lineRule="exact"/>
        <w:ind w:right="0"/>
        <w:jc w:val="left"/>
      </w:pPr>
      <w:r>
        <w:rPr/>
        <w:t>计入当期损益的金融负债。对于此类金融负债，按照公允价值进行后续计量，公允价值变动形成的利得或损失以及与该等金</w:t>
      </w:r>
    </w:p>
    <w:p>
      <w:pPr>
        <w:pStyle w:val="BodyText"/>
        <w:spacing w:line="357" w:lineRule="auto" w:before="77"/>
        <w:ind w:left="514" w:right="7152" w:hanging="360"/>
        <w:jc w:val="left"/>
      </w:pPr>
      <w:r>
        <w:rPr/>
        <w:t>融负债相关的股利和利息支出计入当期损益。 其他金融负债</w:t>
      </w:r>
    </w:p>
    <w:p>
      <w:pPr>
        <w:pStyle w:val="BodyText"/>
        <w:spacing w:line="319" w:lineRule="auto" w:before="26"/>
        <w:ind w:right="1132" w:firstLine="360"/>
        <w:jc w:val="both"/>
      </w:pPr>
      <w:r>
        <w:rPr>
          <w:spacing w:val="-2"/>
        </w:rPr>
        <w:t>与在活跃市场中没有报价、公允价值不能可靠计量的权益工具挂钩并须通过交付该权益工具结算的衍生金融负债，按照</w:t>
      </w:r>
      <w:r>
        <w:rPr/>
        <w:t> </w:t>
      </w:r>
      <w:r>
        <w:rPr>
          <w:spacing w:val="-2"/>
        </w:rPr>
        <w:t>成本进行后续计量。其他金融负债采用实际利率法，按摊余成本进行后续计量，终止确认或摊销产生的利得或损失计入当期</w:t>
      </w:r>
      <w:r>
        <w:rPr>
          <w:spacing w:val="-66"/>
        </w:rPr>
        <w:t> </w:t>
      </w:r>
      <w:r>
        <w:rPr>
          <w:spacing w:val="-66"/>
        </w:rPr>
      </w:r>
      <w:r>
        <w:rPr/>
        <w:t>损益。</w:t>
      </w:r>
    </w:p>
    <w:p>
      <w:pPr>
        <w:pStyle w:val="BodyText"/>
        <w:spacing w:line="357" w:lineRule="auto" w:before="58"/>
        <w:ind w:left="514" w:right="6972"/>
        <w:jc w:val="left"/>
      </w:pPr>
      <w:r>
        <w:rPr/>
        <w:t>金融负债与权益工具的区分 金融负债，是指符合下列条件之一的负债：</w:t>
      </w:r>
    </w:p>
    <w:p>
      <w:pPr>
        <w:pStyle w:val="BodyText"/>
        <w:spacing w:line="240" w:lineRule="auto" w:before="28"/>
        <w:ind w:left="514" w:right="0"/>
        <w:jc w:val="left"/>
      </w:pPr>
      <w:r>
        <w:rPr/>
        <w:t>①向其他方交付现金或其他金融资产的合同义务；</w:t>
      </w:r>
    </w:p>
    <w:p>
      <w:pPr>
        <w:spacing w:after="0" w:line="240" w:lineRule="auto"/>
        <w:jc w:val="left"/>
        <w:sectPr>
          <w:pgSz w:w="11910" w:h="16840"/>
          <w:pgMar w:header="877" w:footer="1187" w:top="1100" w:bottom="1380" w:left="980" w:right="0"/>
        </w:sectPr>
      </w:pPr>
    </w:p>
    <w:p>
      <w:pPr>
        <w:spacing w:line="240" w:lineRule="auto" w:before="13"/>
        <w:rPr>
          <w:rFonts w:ascii="宋体" w:hAnsi="宋体" w:cs="宋体" w:eastAsia="宋体" w:hint="default"/>
          <w:sz w:val="21"/>
          <w:szCs w:val="21"/>
        </w:rPr>
      </w:pPr>
    </w:p>
    <w:p>
      <w:pPr>
        <w:pStyle w:val="BodyText"/>
        <w:spacing w:line="240" w:lineRule="auto" w:before="44"/>
        <w:ind w:left="514" w:right="0"/>
        <w:jc w:val="left"/>
      </w:pPr>
      <w:r>
        <w:rPr/>
        <w:t>②在潜在不利条件下，与其他方交换金融资产或金融负债的合同义务；</w:t>
      </w:r>
    </w:p>
    <w:p>
      <w:pPr>
        <w:pStyle w:val="BodyText"/>
        <w:spacing w:line="240" w:lineRule="auto" w:before="116"/>
        <w:ind w:left="514" w:right="0"/>
        <w:jc w:val="left"/>
      </w:pPr>
      <w:r>
        <w:rPr/>
        <w:t>③将来须用或可用企业自身权益工具进行结算的非衍生工具合同，且企业根据该合同将交付可变数量的自身权益工具；</w:t>
      </w:r>
    </w:p>
    <w:p>
      <w:pPr>
        <w:pStyle w:val="BodyText"/>
        <w:spacing w:line="319" w:lineRule="auto" w:before="116"/>
        <w:ind w:right="0" w:firstLine="360"/>
        <w:jc w:val="left"/>
      </w:pPr>
      <w:r>
        <w:rPr>
          <w:spacing w:val="-2"/>
        </w:rPr>
        <w:t>④将来须用或可用企业自身权益工具进行结算的衍生工具合同，但以固定数量的自身权益工具交换固定金额的现金或其</w:t>
      </w:r>
      <w:r>
        <w:rPr/>
        <w:t> 他金融资产的衍生工具合同除外。</w:t>
      </w:r>
    </w:p>
    <w:p>
      <w:pPr>
        <w:pStyle w:val="BodyText"/>
        <w:spacing w:line="357" w:lineRule="auto" w:before="57"/>
        <w:ind w:left="513" w:right="0"/>
        <w:jc w:val="left"/>
      </w:pPr>
      <w:r>
        <w:rPr/>
        <w:t>权益工具，是指能证明拥有某个企业在扣除所有负债后的资产中剩余权益的合同。 如果本公司不能无条件地避免以交付现金或其他金融资产来履行一项合同义务，则该合同义务符合金融负债的定义。 </w:t>
      </w:r>
      <w:r>
        <w:rPr>
          <w:spacing w:val="-2"/>
        </w:rPr>
        <w:t>如果一项金融工具须用或可用本公司自身权益工具进行结算，需要考虑用于结算该工具的本公司自身权益工具，是作为</w:t>
      </w:r>
    </w:p>
    <w:p>
      <w:pPr>
        <w:pStyle w:val="BodyText"/>
        <w:spacing w:line="224" w:lineRule="exact"/>
        <w:ind w:left="153" w:right="0"/>
        <w:jc w:val="left"/>
      </w:pPr>
      <w:r>
        <w:rPr/>
        <w:t>现金或其他金融资产的替代品，还是为了使该工具持有方享有在发行方扣除所有负债后的资产中的剩余权益。如果是前者，</w:t>
      </w:r>
    </w:p>
    <w:p>
      <w:pPr>
        <w:pStyle w:val="BodyText"/>
        <w:spacing w:line="240" w:lineRule="auto" w:before="77"/>
        <w:ind w:left="153" w:right="0"/>
        <w:jc w:val="left"/>
      </w:pPr>
      <w:r>
        <w:rPr/>
        <w:t>该工具是本公司的金融负债；如果是后者，该工具是本公司的权益工具。</w:t>
      </w:r>
    </w:p>
    <w:p>
      <w:pPr>
        <w:pStyle w:val="BodyText"/>
        <w:spacing w:line="357" w:lineRule="auto" w:before="116"/>
        <w:ind w:left="513" w:right="0"/>
        <w:jc w:val="left"/>
      </w:pPr>
      <w:r>
        <w:rPr/>
        <w:t>（</w:t>
      </w:r>
      <w:r>
        <w:rPr>
          <w:rFonts w:ascii="宋体" w:hAnsi="宋体" w:cs="宋体" w:eastAsia="宋体" w:hint="default"/>
        </w:rPr>
        <w:t>4</w:t>
      </w:r>
      <w:r>
        <w:rPr/>
        <w:t>）衍生金融工具及嵌入衍生工具 </w:t>
      </w:r>
      <w:r>
        <w:rPr>
          <w:spacing w:val="-2"/>
        </w:rPr>
        <w:t>本公司衍生金融工具初始以衍生交易合同签订当日的公允价值进行计量，并以其公允价值进行后续计量。公允价值为正</w:t>
      </w:r>
    </w:p>
    <w:p>
      <w:pPr>
        <w:pStyle w:val="BodyText"/>
        <w:spacing w:line="224" w:lineRule="exact"/>
        <w:ind w:left="153" w:right="0"/>
        <w:jc w:val="left"/>
      </w:pPr>
      <w:r>
        <w:rPr/>
        <w:t>数的衍生金融工具确认为一项资产，公允价值为负数的确认为一项负债。因公允价值变动而产生的任何不符合套期会计规定</w:t>
      </w:r>
    </w:p>
    <w:p>
      <w:pPr>
        <w:pStyle w:val="BodyText"/>
        <w:spacing w:line="357" w:lineRule="auto" w:before="77"/>
        <w:ind w:left="514" w:right="0" w:hanging="360"/>
        <w:jc w:val="left"/>
      </w:pPr>
      <w:r>
        <w:rPr/>
        <w:t>的利得或损失，直接计入当期损益。 </w:t>
      </w:r>
      <w:r>
        <w:rPr>
          <w:spacing w:val="-2"/>
        </w:rPr>
        <w:t>对包含嵌入衍生工具的混合工具，如未指定为以公允价值计量且其变动计入当期损益的金融资产或金融负债，嵌入衍生</w:t>
      </w:r>
    </w:p>
    <w:p>
      <w:pPr>
        <w:pStyle w:val="BodyText"/>
        <w:spacing w:line="224" w:lineRule="exact"/>
        <w:ind w:right="0"/>
        <w:jc w:val="left"/>
      </w:pPr>
      <w:r>
        <w:rPr/>
        <w:t>工具与该主合同在经济特征及风险方面不存在紧密关系</w:t>
      </w:r>
      <w:r>
        <w:rPr>
          <w:spacing w:val="-87"/>
        </w:rPr>
        <w:t>，</w:t>
      </w:r>
      <w:r>
        <w:rPr/>
        <w:t>且与嵌入衍生工具条件相同</w:t>
      </w:r>
      <w:r>
        <w:rPr>
          <w:spacing w:val="-87"/>
        </w:rPr>
        <w:t>，</w:t>
      </w:r>
      <w:r>
        <w:rPr/>
        <w:t>单独存在的工具符合衍生工具定义的，</w:t>
      </w:r>
    </w:p>
    <w:p>
      <w:pPr>
        <w:pStyle w:val="BodyText"/>
        <w:spacing w:line="319" w:lineRule="auto" w:before="76"/>
        <w:ind w:right="0"/>
        <w:jc w:val="left"/>
      </w:pPr>
      <w:r>
        <w:rPr>
          <w:spacing w:val="-2"/>
        </w:rPr>
        <w:t>嵌入衍生工具从混合工具中分拆，作为单独的衍生金融工具处理。如果无法在取得时或后续的资产负债表日对嵌入衍生工具</w:t>
      </w:r>
      <w:r>
        <w:rPr>
          <w:spacing w:val="-64"/>
        </w:rPr>
        <w:t> </w:t>
      </w:r>
      <w:r>
        <w:rPr>
          <w:spacing w:val="-64"/>
        </w:rPr>
      </w:r>
      <w:r>
        <w:rPr/>
        <w:t>进行单独计量，则将混合工具整体指定为以公允价值计量且其变动计入当期损益的金融资产或金融负债。</w:t>
      </w:r>
    </w:p>
    <w:p>
      <w:pPr>
        <w:pStyle w:val="BodyText"/>
        <w:spacing w:line="357" w:lineRule="auto" w:before="56"/>
        <w:ind w:left="514" w:right="5442"/>
        <w:jc w:val="left"/>
      </w:pPr>
      <w:r>
        <w:rPr/>
        <w:t>（</w:t>
      </w:r>
      <w:r>
        <w:rPr>
          <w:rFonts w:ascii="宋体" w:hAnsi="宋体" w:cs="宋体" w:eastAsia="宋体" w:hint="default"/>
        </w:rPr>
        <w:t>5</w:t>
      </w:r>
      <w:r>
        <w:rPr/>
        <w:t>）金融工具的公允价值 </w:t>
      </w:r>
      <w:r>
        <w:rPr>
          <w:spacing w:val="-6"/>
        </w:rPr>
        <w:t>金融资产和金融负债的公允价值确定方法见附注五、</w:t>
      </w:r>
      <w:r>
        <w:rPr>
          <w:rFonts w:ascii="宋体" w:hAnsi="宋体" w:cs="宋体" w:eastAsia="宋体" w:hint="default"/>
          <w:spacing w:val="-6"/>
        </w:rPr>
        <w:t>10</w:t>
      </w:r>
      <w:r>
        <w:rPr>
          <w:spacing w:val="-6"/>
        </w:rPr>
        <w:t>、（</w:t>
      </w:r>
      <w:r>
        <w:rPr>
          <w:rFonts w:ascii="宋体" w:hAnsi="宋体" w:cs="宋体" w:eastAsia="宋体" w:hint="default"/>
          <w:spacing w:val="-6"/>
        </w:rPr>
        <w:t>9</w:t>
      </w:r>
      <w:r>
        <w:rPr>
          <w:spacing w:val="-6"/>
        </w:rPr>
        <w:t>）。</w:t>
      </w:r>
    </w:p>
    <w:p>
      <w:pPr>
        <w:pStyle w:val="BodyText"/>
        <w:spacing w:line="357" w:lineRule="auto" w:before="29"/>
        <w:ind w:left="514" w:right="1212"/>
        <w:jc w:val="left"/>
      </w:pPr>
      <w:r>
        <w:rPr/>
        <w:t>（</w:t>
      </w:r>
      <w:r>
        <w:rPr>
          <w:rFonts w:ascii="宋体" w:hAnsi="宋体" w:cs="宋体" w:eastAsia="宋体" w:hint="default"/>
        </w:rPr>
        <w:t>6</w:t>
      </w:r>
      <w:r>
        <w:rPr/>
        <w:t>）金融资产减值 除了以公允价值计量且其变动计入当期损益的金融资产外，本公司于资产负债表日对其他金融资产的账面价值进行检</w:t>
      </w:r>
    </w:p>
    <w:p>
      <w:pPr>
        <w:pStyle w:val="BodyText"/>
        <w:spacing w:line="224" w:lineRule="exact"/>
        <w:ind w:right="0"/>
        <w:jc w:val="left"/>
      </w:pPr>
      <w:r>
        <w:rPr/>
        <w:t>查，有客观证据表明该金融资产发生减值的，计提减值准备。表明金融资产发生减值的客观证据，是指金融资产初始确认后</w:t>
      </w:r>
    </w:p>
    <w:p>
      <w:pPr>
        <w:pStyle w:val="BodyText"/>
        <w:spacing w:line="357" w:lineRule="auto" w:before="77"/>
        <w:ind w:left="513" w:right="2833" w:hanging="360"/>
        <w:jc w:val="left"/>
      </w:pPr>
      <w:r>
        <w:rPr/>
        <w:t>实际发生的、对该金融资产的预计未来现金流量有影响，且企业能够对该影响进行可靠计量的事项。 金融资产发生减值的客观证据，包括下列可观察到的情形：</w:t>
      </w:r>
    </w:p>
    <w:p>
      <w:pPr>
        <w:pStyle w:val="BodyText"/>
        <w:spacing w:line="240" w:lineRule="auto" w:before="29"/>
        <w:ind w:left="514" w:right="0"/>
        <w:jc w:val="left"/>
      </w:pPr>
      <w:r>
        <w:rPr/>
        <w:t>①发行方或债务人发生严重财务困难；</w:t>
      </w:r>
    </w:p>
    <w:p>
      <w:pPr>
        <w:pStyle w:val="BodyText"/>
        <w:spacing w:line="240" w:lineRule="auto" w:before="116"/>
        <w:ind w:left="514" w:right="0"/>
        <w:jc w:val="left"/>
      </w:pPr>
      <w:r>
        <w:rPr/>
        <w:t>②债务人违反了合同条款，如偿付利息或本金发生违约或逾期等；</w:t>
      </w:r>
    </w:p>
    <w:p>
      <w:pPr>
        <w:pStyle w:val="BodyText"/>
        <w:spacing w:line="240" w:lineRule="auto" w:before="116"/>
        <w:ind w:left="513" w:right="0"/>
        <w:jc w:val="left"/>
      </w:pPr>
      <w:r>
        <w:rPr/>
        <w:t>③本公司出于经济或法律等方面因素的考虑，对发生财务困难的债务人作出让步；</w:t>
      </w:r>
    </w:p>
    <w:p>
      <w:pPr>
        <w:pStyle w:val="BodyText"/>
        <w:spacing w:line="240" w:lineRule="auto" w:before="117"/>
        <w:ind w:left="513" w:right="0"/>
        <w:jc w:val="left"/>
      </w:pPr>
      <w:r>
        <w:rPr/>
        <w:t>④债务人很可能倒闭或者进行其他财务重组；</w:t>
      </w:r>
    </w:p>
    <w:p>
      <w:pPr>
        <w:pStyle w:val="BodyText"/>
        <w:spacing w:line="240" w:lineRule="auto" w:before="116"/>
        <w:ind w:left="513" w:right="0"/>
        <w:jc w:val="left"/>
      </w:pPr>
      <w:r>
        <w:rPr/>
        <w:t>⑤因发行方发生重大财务困难，导致金融资产无法在活跃市场继续交易；</w:t>
      </w:r>
    </w:p>
    <w:p>
      <w:pPr>
        <w:pStyle w:val="BodyText"/>
        <w:spacing w:line="319" w:lineRule="auto" w:before="115"/>
        <w:ind w:left="153" w:right="0" w:firstLine="360"/>
        <w:jc w:val="left"/>
      </w:pPr>
      <w:r>
        <w:rPr>
          <w:spacing w:val="-2"/>
        </w:rPr>
        <w:t>⑥无法辨认一组金融资产中的某项资产的现金流量是否已经减少，但根据公开的数据对其进行总体评价后发现，该组金</w:t>
      </w:r>
      <w:r>
        <w:rPr/>
        <w:t> 融资产自初始确认以来的预计未来现金流量确已减少且可计量，包括：</w:t>
      </w:r>
    </w:p>
    <w:p>
      <w:pPr>
        <w:pStyle w:val="BodyText"/>
        <w:spacing w:line="240" w:lineRule="auto" w:before="58"/>
        <w:ind w:left="573" w:right="0"/>
        <w:jc w:val="left"/>
      </w:pPr>
      <w:r>
        <w:rPr>
          <w:rFonts w:ascii="宋体" w:hAnsi="宋体" w:cs="宋体" w:eastAsia="宋体" w:hint="default"/>
        </w:rPr>
        <w:t>- </w:t>
      </w:r>
      <w:r>
        <w:rPr/>
        <w:t>该组金融资产的债务人支付能力逐步恶化；</w:t>
      </w:r>
    </w:p>
    <w:p>
      <w:pPr>
        <w:pStyle w:val="BodyText"/>
        <w:spacing w:line="240" w:lineRule="auto" w:before="116"/>
        <w:ind w:left="573" w:right="0"/>
        <w:jc w:val="left"/>
      </w:pPr>
      <w:r>
        <w:rPr>
          <w:rFonts w:ascii="宋体" w:hAnsi="宋体" w:cs="宋体" w:eastAsia="宋体" w:hint="default"/>
        </w:rPr>
        <w:t>- </w:t>
      </w:r>
      <w:r>
        <w:rPr/>
        <w:t>债务人所在国家或地区经济出现了可能导致该组金融资产无法支付的状况；</w:t>
      </w:r>
    </w:p>
    <w:p>
      <w:pPr>
        <w:pStyle w:val="BodyText"/>
        <w:spacing w:line="240" w:lineRule="auto" w:before="116"/>
        <w:ind w:left="513" w:right="0"/>
        <w:jc w:val="left"/>
      </w:pPr>
      <w:r>
        <w:rPr/>
        <w:t>⑦债务人经营所处的技术、市场、经济或法律环境等发生重大不利变化，使权益工具投资人可能无法收回投资成本；</w:t>
      </w:r>
    </w:p>
    <w:p>
      <w:pPr>
        <w:pStyle w:val="BodyText"/>
        <w:spacing w:line="319" w:lineRule="auto" w:before="116"/>
        <w:ind w:left="153" w:right="1115" w:firstLine="360"/>
        <w:jc w:val="left"/>
      </w:pPr>
      <w:r>
        <w:rPr/>
        <w:t>⑧权益工具投资的公允价值发生严重或非暂时性下跌</w:t>
      </w:r>
      <w:r>
        <w:rPr>
          <w:spacing w:val="-82"/>
        </w:rPr>
        <w:t>，</w:t>
      </w:r>
      <w:r>
        <w:rPr/>
        <w:t>如权益工具投资于资产负债表日的公允价值低于其初始投资成本</w:t>
      </w:r>
      <w:r>
        <w:rPr/>
        <w:t> 超过</w:t>
      </w:r>
      <w:r>
        <w:rPr>
          <w:spacing w:val="-46"/>
        </w:rPr>
        <w:t> </w:t>
      </w:r>
      <w:r>
        <w:rPr>
          <w:rFonts w:ascii="宋体" w:hAnsi="宋体" w:cs="宋体" w:eastAsia="宋体" w:hint="default"/>
        </w:rPr>
        <w:t>20%</w:t>
      </w:r>
      <w:r>
        <w:rPr/>
        <w:t>（含</w:t>
      </w:r>
      <w:r>
        <w:rPr>
          <w:spacing w:val="-46"/>
        </w:rPr>
        <w:t> </w:t>
      </w:r>
      <w:r>
        <w:rPr>
          <w:rFonts w:ascii="宋体" w:hAnsi="宋体" w:cs="宋体" w:eastAsia="宋体" w:hint="default"/>
          <w:spacing w:val="1"/>
        </w:rPr>
        <w:t>2</w:t>
      </w:r>
      <w:r>
        <w:rPr>
          <w:rFonts w:ascii="宋体" w:hAnsi="宋体" w:cs="宋体" w:eastAsia="宋体" w:hint="default"/>
        </w:rPr>
        <w:t>0%</w:t>
      </w:r>
      <w:r>
        <w:rPr/>
        <w:t>）或低于其初始投资成本持续时间超过</w:t>
      </w:r>
      <w:r>
        <w:rPr>
          <w:spacing w:val="-46"/>
        </w:rPr>
        <w:t> </w:t>
      </w:r>
      <w:r>
        <w:rPr>
          <w:rFonts w:ascii="宋体" w:hAnsi="宋体" w:cs="宋体" w:eastAsia="宋体" w:hint="default"/>
        </w:rPr>
        <w:t>12</w:t>
      </w:r>
      <w:r>
        <w:rPr>
          <w:rFonts w:ascii="宋体" w:hAnsi="宋体" w:cs="宋体" w:eastAsia="宋体" w:hint="default"/>
          <w:spacing w:val="-46"/>
        </w:rPr>
        <w:t> </w:t>
      </w:r>
      <w:r>
        <w:rPr/>
        <w:t>个月（含</w:t>
      </w:r>
      <w:r>
        <w:rPr>
          <w:spacing w:val="-46"/>
        </w:rPr>
        <w:t> </w:t>
      </w:r>
      <w:r>
        <w:rPr>
          <w:rFonts w:ascii="宋体" w:hAnsi="宋体" w:cs="宋体" w:eastAsia="宋体" w:hint="default"/>
        </w:rPr>
        <w:t>12</w:t>
      </w:r>
      <w:r>
        <w:rPr>
          <w:rFonts w:ascii="宋体" w:hAnsi="宋体" w:cs="宋体" w:eastAsia="宋体" w:hint="default"/>
          <w:spacing w:val="-45"/>
        </w:rPr>
        <w:t> </w:t>
      </w:r>
      <w:r>
        <w:rPr/>
        <w:t>个月</w:t>
      </w:r>
      <w:r>
        <w:rPr>
          <w:spacing w:val="-90"/>
        </w:rPr>
        <w:t>）</w:t>
      </w:r>
      <w:r>
        <w:rPr/>
        <w:t>。</w:t>
      </w:r>
    </w:p>
    <w:p>
      <w:pPr>
        <w:pStyle w:val="BodyText"/>
        <w:spacing w:line="319" w:lineRule="auto" w:before="55"/>
        <w:ind w:right="1128" w:firstLine="360"/>
        <w:jc w:val="left"/>
      </w:pPr>
      <w:r>
        <w:rPr/>
        <w:t>低于其初始投资成本持续时间超过</w:t>
      </w:r>
      <w:r>
        <w:rPr>
          <w:spacing w:val="-46"/>
        </w:rPr>
        <w:t> </w:t>
      </w:r>
      <w:r>
        <w:rPr>
          <w:rFonts w:ascii="宋体" w:hAnsi="宋体" w:cs="宋体" w:eastAsia="宋体" w:hint="default"/>
        </w:rPr>
        <w:t>12</w:t>
      </w:r>
      <w:r>
        <w:rPr>
          <w:rFonts w:ascii="宋体" w:hAnsi="宋体" w:cs="宋体" w:eastAsia="宋体" w:hint="default"/>
          <w:spacing w:val="-46"/>
        </w:rPr>
        <w:t> </w:t>
      </w:r>
      <w:r>
        <w:rPr/>
        <w:t>个月（含</w:t>
      </w:r>
      <w:r>
        <w:rPr>
          <w:spacing w:val="-46"/>
        </w:rPr>
        <w:t> </w:t>
      </w:r>
      <w:r>
        <w:rPr>
          <w:rFonts w:ascii="宋体" w:hAnsi="宋体" w:cs="宋体" w:eastAsia="宋体" w:hint="default"/>
        </w:rPr>
        <w:t>12</w:t>
      </w:r>
      <w:r>
        <w:rPr>
          <w:rFonts w:ascii="宋体" w:hAnsi="宋体" w:cs="宋体" w:eastAsia="宋体" w:hint="default"/>
          <w:spacing w:val="-46"/>
        </w:rPr>
        <w:t> </w:t>
      </w:r>
      <w:r>
        <w:rPr/>
        <w:t>个月）是指，权益工具投资公允价值月度均值连续</w:t>
      </w:r>
      <w:r>
        <w:rPr>
          <w:spacing w:val="-46"/>
        </w:rPr>
        <w:t> </w:t>
      </w:r>
      <w:r>
        <w:rPr>
          <w:rFonts w:ascii="宋体" w:hAnsi="宋体" w:cs="宋体" w:eastAsia="宋体" w:hint="default"/>
        </w:rPr>
        <w:t>12</w:t>
      </w:r>
      <w:r>
        <w:rPr>
          <w:rFonts w:ascii="宋体" w:hAnsi="宋体" w:cs="宋体" w:eastAsia="宋体" w:hint="default"/>
          <w:spacing w:val="-46"/>
        </w:rPr>
        <w:t> </w:t>
      </w:r>
      <w:r>
        <w:rPr/>
        <w:t>个月均低于其 初始投资成本。</w:t>
      </w:r>
    </w:p>
    <w:p>
      <w:pPr>
        <w:pStyle w:val="BodyText"/>
        <w:spacing w:line="360" w:lineRule="auto" w:before="56"/>
        <w:ind w:left="514" w:right="6972"/>
        <w:jc w:val="left"/>
      </w:pPr>
      <w:r>
        <w:rPr/>
        <w:t>⑨其他表明金融资产发生减值的客观证据。 以摊余成本计量的金融资产</w:t>
      </w:r>
    </w:p>
    <w:p>
      <w:pPr>
        <w:pStyle w:val="BodyText"/>
        <w:spacing w:line="240" w:lineRule="auto" w:before="25"/>
        <w:ind w:left="514" w:right="0"/>
        <w:jc w:val="left"/>
      </w:pPr>
      <w:r>
        <w:rPr/>
        <w:t>如果有客观证据表明该金融资产发生减值，则将该金融资产的账面价值减记至预计未来现金流量（不包括尚未发生的未</w:t>
      </w:r>
    </w:p>
    <w:p>
      <w:pPr>
        <w:spacing w:after="0" w:line="240" w:lineRule="auto"/>
        <w:jc w:val="left"/>
        <w:sectPr>
          <w:pgSz w:w="11910" w:h="16840"/>
          <w:pgMar w:header="877" w:footer="1187" w:top="1100" w:bottom="1380" w:left="980" w:right="0"/>
        </w:sectPr>
      </w:pPr>
    </w:p>
    <w:p>
      <w:pPr>
        <w:spacing w:line="240" w:lineRule="auto" w:before="12"/>
        <w:rPr>
          <w:rFonts w:ascii="宋体" w:hAnsi="宋体" w:cs="宋体" w:eastAsia="宋体" w:hint="default"/>
          <w:sz w:val="21"/>
          <w:szCs w:val="21"/>
        </w:rPr>
      </w:pPr>
    </w:p>
    <w:p>
      <w:pPr>
        <w:pStyle w:val="BodyText"/>
        <w:spacing w:line="319" w:lineRule="auto" w:before="44"/>
        <w:ind w:right="1118"/>
        <w:jc w:val="left"/>
      </w:pPr>
      <w:r>
        <w:rPr>
          <w:spacing w:val="-2"/>
        </w:rPr>
        <w:t>来信用损失）现值，减记金额计入当期损益。预计未来现金流量现值，按照该金融资产原实际利率折现确定，并考虑相关担</w:t>
      </w:r>
      <w:r>
        <w:rPr>
          <w:spacing w:val="-66"/>
        </w:rPr>
        <w:t> </w:t>
      </w:r>
      <w:r>
        <w:rPr>
          <w:spacing w:val="-66"/>
        </w:rPr>
      </w:r>
      <w:r>
        <w:rPr/>
        <w:t>保物的价值。</w:t>
      </w:r>
    </w:p>
    <w:p>
      <w:pPr>
        <w:pStyle w:val="BodyText"/>
        <w:spacing w:line="319" w:lineRule="auto" w:before="55"/>
        <w:ind w:right="1131" w:firstLine="360"/>
        <w:jc w:val="both"/>
      </w:pPr>
      <w:r>
        <w:rPr>
          <w:spacing w:val="-2"/>
        </w:rPr>
        <w:t>对单项金额重大的金融资产单独进行减值测试，如有客观证据表明其已发生减值，确认减值损失，计入当期损益。对单</w:t>
      </w:r>
      <w:r>
        <w:rPr/>
        <w:t> </w:t>
      </w:r>
      <w:r>
        <w:rPr>
          <w:spacing w:val="-2"/>
        </w:rPr>
        <w:t>项金额不重大的金融资产，单独进行减值测试或包括在具有类似信用风险特征的金融资产组合中进行减值测试。单独测试未</w:t>
      </w:r>
      <w:r>
        <w:rPr>
          <w:spacing w:val="-64"/>
        </w:rPr>
        <w:t> </w:t>
      </w:r>
      <w:r>
        <w:rPr>
          <w:spacing w:val="-64"/>
        </w:rPr>
      </w:r>
      <w:r>
        <w:rPr>
          <w:spacing w:val="-2"/>
        </w:rPr>
        <w:t>发生减值的金融资产（包括单项金额重大和不重大的金融资产），包括在具有类似信用风险特征的金融资产组合中再进行减</w:t>
      </w:r>
      <w:r>
        <w:rPr>
          <w:spacing w:val="-72"/>
        </w:rPr>
        <w:t> </w:t>
      </w:r>
      <w:r>
        <w:rPr>
          <w:spacing w:val="-72"/>
        </w:rPr>
      </w:r>
      <w:r>
        <w:rPr/>
        <w:t>值测试。已单项确认减值损失的金融资产，不包括在具有类似信用风险特征的金融资产组合中进行减值测试。</w:t>
      </w:r>
    </w:p>
    <w:p>
      <w:pPr>
        <w:pStyle w:val="BodyText"/>
        <w:spacing w:line="319" w:lineRule="auto" w:before="56"/>
        <w:ind w:right="1131" w:firstLine="360"/>
        <w:jc w:val="both"/>
      </w:pPr>
      <w:r>
        <w:rPr>
          <w:spacing w:val="-2"/>
        </w:rPr>
        <w:t>本公司对以摊余成本计量的金融资产确认减值损失后，如有客观证据表明该金融资产价值已恢复，且客观上与确认该损</w:t>
      </w:r>
      <w:r>
        <w:rPr/>
        <w:t> </w:t>
      </w:r>
      <w:r>
        <w:rPr>
          <w:spacing w:val="-2"/>
        </w:rPr>
        <w:t>失后发生的事项有关，原确认的减值损失予以转回，计入当期损益。但是，该转回后的账面价值不超过假定不计提减值准备</w:t>
      </w:r>
      <w:r>
        <w:rPr>
          <w:spacing w:val="-66"/>
        </w:rPr>
        <w:t> </w:t>
      </w:r>
      <w:r>
        <w:rPr>
          <w:spacing w:val="-66"/>
        </w:rPr>
      </w:r>
      <w:r>
        <w:rPr/>
        <w:t>情况下该金融资产在转回日的摊余成本。</w:t>
      </w:r>
    </w:p>
    <w:p>
      <w:pPr>
        <w:pStyle w:val="BodyText"/>
        <w:spacing w:line="357" w:lineRule="auto" w:before="56"/>
        <w:ind w:left="514" w:right="0"/>
        <w:jc w:val="left"/>
      </w:pPr>
      <w:r>
        <w:rPr/>
        <w:t>可供出售金融资产 </w:t>
      </w:r>
      <w:r>
        <w:rPr>
          <w:spacing w:val="-2"/>
        </w:rPr>
        <w:t>如果有客观证据表明该金融资产发生减值，原直接计入其他综合收益的因公允价值下降形成的累计损失，予以转出，计</w:t>
      </w:r>
    </w:p>
    <w:p>
      <w:pPr>
        <w:pStyle w:val="BodyText"/>
        <w:spacing w:line="224" w:lineRule="exact"/>
        <w:ind w:right="0"/>
        <w:jc w:val="left"/>
      </w:pPr>
      <w:r>
        <w:rPr/>
        <w:t>入当期损益。该转出的累计损失，为可供出售金融资产的初始取得成本扣除已收回本金和已摊销金额、当前公允价值和原已</w:t>
      </w:r>
    </w:p>
    <w:p>
      <w:pPr>
        <w:pStyle w:val="BodyText"/>
        <w:spacing w:line="357" w:lineRule="auto" w:before="77"/>
        <w:ind w:left="514" w:right="0" w:hanging="360"/>
        <w:jc w:val="left"/>
      </w:pPr>
      <w:r>
        <w:rPr/>
        <w:t>计入损益的减值损失后的余额。 </w:t>
      </w:r>
      <w:r>
        <w:rPr>
          <w:spacing w:val="-2"/>
        </w:rPr>
        <w:t>对于已确认减值损失的可供出售债务工具，在随后的会计期间公允价值已上升且客观上与确认原减值损失确认后发生的</w:t>
      </w:r>
    </w:p>
    <w:p>
      <w:pPr>
        <w:pStyle w:val="BodyText"/>
        <w:spacing w:line="357" w:lineRule="auto"/>
        <w:ind w:left="513" w:right="0" w:hanging="360"/>
        <w:jc w:val="left"/>
      </w:pPr>
      <w:r>
        <w:rPr/>
        <w:t>事项有关的，原确认的减值损失予以转回，计入当期损益。可供出售权益工具投资发生的减值损失，不通过损益转回。 以成本计量的金融资产 </w:t>
      </w:r>
      <w:r>
        <w:rPr>
          <w:spacing w:val="-2"/>
        </w:rPr>
        <w:t>在活跃市场中没有报价且其公允价值不能可靠计量的权益工具投资，或与该权益工具挂钩并须通过交付该权益工具结算</w:t>
      </w:r>
    </w:p>
    <w:p>
      <w:pPr>
        <w:pStyle w:val="BodyText"/>
        <w:spacing w:line="224" w:lineRule="exact"/>
        <w:ind w:left="153" w:right="0"/>
        <w:jc w:val="left"/>
      </w:pPr>
      <w:r>
        <w:rPr/>
        <w:t>的衍生金融资产发生减值时，将该金融资产的账面价值，与按照类似金融资产当时市场收益率对未来现金流量折现确定的现</w:t>
      </w:r>
    </w:p>
    <w:p>
      <w:pPr>
        <w:pStyle w:val="BodyText"/>
        <w:spacing w:line="240" w:lineRule="auto" w:before="77"/>
        <w:ind w:left="153" w:right="0"/>
        <w:jc w:val="left"/>
      </w:pPr>
      <w:r>
        <w:rPr/>
        <w:t>值之间的差额，确认为减值损失，计入当期损益。发生的减值损失一经确认，不得转回。</w:t>
      </w:r>
    </w:p>
    <w:p>
      <w:pPr>
        <w:pStyle w:val="BodyText"/>
        <w:spacing w:line="357" w:lineRule="auto" w:before="117"/>
        <w:ind w:left="514" w:right="2652"/>
        <w:jc w:val="left"/>
      </w:pPr>
      <w:r>
        <w:rPr/>
        <w:t>（</w:t>
      </w:r>
      <w:r>
        <w:rPr>
          <w:rFonts w:ascii="宋体" w:hAnsi="宋体" w:cs="宋体" w:eastAsia="宋体" w:hint="default"/>
        </w:rPr>
        <w:t>7</w:t>
      </w:r>
      <w:r>
        <w:rPr/>
        <w:t>）金融资产转移 </w:t>
      </w:r>
      <w:r>
        <w:rPr>
          <w:spacing w:val="-3"/>
        </w:rPr>
        <w:t>金融资产转移，是指将金融资产让与或交付给该金融资产发行方以外的另一方（转入方）。</w:t>
      </w:r>
    </w:p>
    <w:p>
      <w:pPr>
        <w:pStyle w:val="BodyText"/>
        <w:spacing w:line="319" w:lineRule="auto" w:before="27"/>
        <w:ind w:left="153" w:right="1132" w:firstLine="360"/>
        <w:jc w:val="both"/>
      </w:pPr>
      <w:r>
        <w:rPr>
          <w:spacing w:val="-2"/>
        </w:rPr>
        <w:t>本公司已将金融资产所有权上几乎所有的风险和报酬转移给转入方的，终止确认该金融资产；保留了金融资产所有权上</w:t>
      </w:r>
      <w:r>
        <w:rPr/>
        <w:t> 几乎所有的风险和报酬的，不终止确认该金融资产。</w:t>
      </w:r>
    </w:p>
    <w:p>
      <w:pPr>
        <w:pStyle w:val="BodyText"/>
        <w:spacing w:line="319" w:lineRule="auto" w:before="56"/>
        <w:ind w:right="1131" w:firstLine="360"/>
        <w:jc w:val="both"/>
      </w:pPr>
      <w:r>
        <w:rPr>
          <w:spacing w:val="-2"/>
        </w:rPr>
        <w:t>本公司既没有转移也没有保留金融资产所有权上几乎所有的风险和报酬的，分别下列情况处理：放弃了对该金融资产控</w:t>
      </w:r>
      <w:r>
        <w:rPr/>
        <w:t> </w:t>
      </w:r>
      <w:r>
        <w:rPr>
          <w:spacing w:val="-2"/>
        </w:rPr>
        <w:t>制的，终止确认该金融资产并确认产生的资产和负债；未放弃对该金融资产控制的，按照其继续涉入所转移金融资产的程度</w:t>
      </w:r>
      <w:r>
        <w:rPr>
          <w:spacing w:val="-66"/>
        </w:rPr>
        <w:t> </w:t>
      </w:r>
      <w:r>
        <w:rPr>
          <w:spacing w:val="-66"/>
        </w:rPr>
      </w:r>
      <w:r>
        <w:rPr/>
        <w:t>确认有关金融资产，并相应确认有关负债。</w:t>
      </w:r>
    </w:p>
    <w:p>
      <w:pPr>
        <w:pStyle w:val="BodyText"/>
        <w:spacing w:line="357" w:lineRule="auto" w:before="56"/>
        <w:ind w:left="513" w:right="0"/>
        <w:jc w:val="left"/>
      </w:pPr>
      <w:r>
        <w:rPr/>
        <w:t>（</w:t>
      </w:r>
      <w:r>
        <w:rPr>
          <w:rFonts w:ascii="宋体" w:hAnsi="宋体" w:cs="宋体" w:eastAsia="宋体" w:hint="default"/>
        </w:rPr>
        <w:t>8</w:t>
      </w:r>
      <w:r>
        <w:rPr/>
        <w:t>）金融资产和金融负债的抵销 </w:t>
      </w:r>
      <w:r>
        <w:rPr>
          <w:spacing w:val="-2"/>
        </w:rPr>
        <w:t>当本公司具有抵销已确认金融资产和金融负债的法定权利，且目前可执行该种法定权利，同时本公司计划以净额结算或</w:t>
      </w:r>
    </w:p>
    <w:p>
      <w:pPr>
        <w:pStyle w:val="BodyText"/>
        <w:spacing w:line="224" w:lineRule="exact"/>
        <w:ind w:left="153" w:right="0"/>
        <w:jc w:val="left"/>
      </w:pPr>
      <w:r>
        <w:rPr/>
        <w:t>同时变现该金融资产和清偿该金融负债时，金融资产和金融负债以相互抵销后的金额在资产负债表内列示。除此以外，金融</w:t>
      </w:r>
    </w:p>
    <w:p>
      <w:pPr>
        <w:pStyle w:val="BodyText"/>
        <w:spacing w:line="240" w:lineRule="auto" w:before="77"/>
        <w:ind w:left="153" w:right="0"/>
        <w:jc w:val="left"/>
      </w:pPr>
      <w:r>
        <w:rPr/>
        <w:t>资产和金融负债在资产负债表内分别列示，不予相互抵销。</w:t>
      </w:r>
    </w:p>
    <w:p>
      <w:pPr>
        <w:pStyle w:val="BodyText"/>
        <w:spacing w:line="357" w:lineRule="auto" w:before="117"/>
        <w:ind w:left="513" w:right="0"/>
        <w:jc w:val="left"/>
      </w:pPr>
      <w:r>
        <w:rPr/>
        <w:t>（</w:t>
      </w:r>
      <w:r>
        <w:rPr>
          <w:rFonts w:ascii="宋体" w:hAnsi="宋体" w:cs="宋体" w:eastAsia="宋体" w:hint="default"/>
        </w:rPr>
        <w:t>9</w:t>
      </w:r>
      <w:r>
        <w:rPr/>
        <w:t>）公允价值计量 公允价值是指市场参与者在计量日发生的有序交易中，出售一项资产所能收到或者转移一项负债所需支付的价格。 </w:t>
      </w:r>
      <w:r>
        <w:rPr>
          <w:spacing w:val="-2"/>
        </w:rPr>
        <w:t>本公司以公允价值计量相关资产或负债，假定出售资产或者转移负债的有序交易在相关资产或负债的主要市场进行；不</w:t>
      </w:r>
    </w:p>
    <w:p>
      <w:pPr>
        <w:pStyle w:val="BodyText"/>
        <w:spacing w:line="224" w:lineRule="exact"/>
        <w:ind w:left="153" w:right="0"/>
        <w:jc w:val="left"/>
      </w:pPr>
      <w:r>
        <w:rPr/>
        <w:t>存在主要市场的，本公司假定该交易在相关资产或负债的最有利市场进行。主要市场（或最有利市场）是本公司在计量日能</w:t>
      </w:r>
    </w:p>
    <w:p>
      <w:pPr>
        <w:pStyle w:val="BodyText"/>
        <w:spacing w:line="357" w:lineRule="auto" w:before="77"/>
        <w:ind w:left="513" w:right="0" w:hanging="360"/>
        <w:jc w:val="left"/>
      </w:pPr>
      <w:r>
        <w:rPr/>
        <w:t>够进入的交易市场。本公司采用市场参与者在对该资产或负债定价时为实现其经济利益最大化所使用的假设。 </w:t>
      </w:r>
      <w:r>
        <w:rPr>
          <w:spacing w:val="-3"/>
        </w:rPr>
        <w:t>存在活跃市场的金融资产或金融负债，本公司采用活跃市场中的报价确定其公允价值。金融工具不存在活跃市场的，本</w:t>
      </w:r>
      <w:r>
        <w:rPr/>
      </w:r>
    </w:p>
    <w:p>
      <w:pPr>
        <w:pStyle w:val="BodyText"/>
        <w:spacing w:line="357" w:lineRule="auto"/>
        <w:ind w:left="514" w:right="0" w:hanging="360"/>
        <w:jc w:val="left"/>
      </w:pPr>
      <w:r>
        <w:rPr/>
        <w:t>公司采用估值技术确定其公允价值。 </w:t>
      </w:r>
      <w:r>
        <w:rPr>
          <w:spacing w:val="-2"/>
        </w:rPr>
        <w:t>以公允价值计量非金融资产的，考虑市场参与者将该资产用于最佳用途产生经济利益的能力，或者将该资产出售给能够</w:t>
      </w:r>
    </w:p>
    <w:p>
      <w:pPr>
        <w:pStyle w:val="BodyText"/>
        <w:spacing w:line="357" w:lineRule="auto"/>
        <w:ind w:left="514" w:right="0" w:hanging="360"/>
        <w:jc w:val="left"/>
      </w:pPr>
      <w:r>
        <w:rPr/>
        <w:t>用于最佳用途的其他市场参与者产生经济利益的能力。 </w:t>
      </w:r>
      <w:r>
        <w:rPr>
          <w:spacing w:val="-2"/>
        </w:rPr>
        <w:t>本公司采用在当前情况下适用并且有足够可利用数据和其他信息支持的估值技术，优先使用相关可观察输入值，只有在</w:t>
      </w:r>
    </w:p>
    <w:p>
      <w:pPr>
        <w:pStyle w:val="BodyText"/>
        <w:spacing w:line="357" w:lineRule="auto"/>
        <w:ind w:left="513" w:right="0" w:hanging="360"/>
        <w:jc w:val="left"/>
      </w:pPr>
      <w:r>
        <w:rPr/>
        <w:t>可观察输入值无法取得或取得不切实可行的情况下，才使用不可观察输入值。 </w:t>
      </w:r>
      <w:r>
        <w:rPr>
          <w:spacing w:val="-2"/>
        </w:rPr>
        <w:t>在财务报表中以公允价值计量或披露的资产和负债，根据对公允价值计量整体而言具有重要意义的最低层次输入值，确</w:t>
      </w:r>
    </w:p>
    <w:p>
      <w:pPr>
        <w:spacing w:after="0" w:line="357" w:lineRule="auto"/>
        <w:jc w:val="left"/>
        <w:sectPr>
          <w:footerReference w:type="default" r:id="rId160"/>
          <w:pgSz w:w="11910" w:h="16840"/>
          <w:pgMar w:footer="1187" w:header="877" w:top="1100" w:bottom="1380" w:left="980" w:right="0"/>
          <w:pgNumType w:start="123"/>
        </w:sectPr>
      </w:pPr>
    </w:p>
    <w:p>
      <w:pPr>
        <w:spacing w:line="240" w:lineRule="auto" w:before="12"/>
        <w:rPr>
          <w:rFonts w:ascii="宋体" w:hAnsi="宋体" w:cs="宋体" w:eastAsia="宋体" w:hint="default"/>
          <w:sz w:val="21"/>
          <w:szCs w:val="21"/>
        </w:rPr>
      </w:pPr>
    </w:p>
    <w:p>
      <w:pPr>
        <w:pStyle w:val="BodyText"/>
        <w:spacing w:line="319" w:lineRule="auto" w:before="44"/>
        <w:ind w:right="1132"/>
        <w:jc w:val="both"/>
      </w:pPr>
      <w:r>
        <w:rPr>
          <w:spacing w:val="-2"/>
        </w:rPr>
        <w:t>定所属的公允价值层次：第一层次输入值，是在计量日能够取得的相同资产或负债在活跃市场上未经调整的报价；第二层次</w:t>
      </w:r>
      <w:r>
        <w:rPr>
          <w:spacing w:val="-66"/>
        </w:rPr>
        <w:t> </w:t>
      </w:r>
      <w:r>
        <w:rPr>
          <w:spacing w:val="-66"/>
        </w:rPr>
      </w:r>
      <w:r>
        <w:rPr>
          <w:spacing w:val="-2"/>
        </w:rPr>
        <w:t>输入值，是除第一层次输入值外相关资产或负债直接或间接可观察的输入值；第三层次输入值，是相关资产或负债的不可观</w:t>
      </w:r>
      <w:r>
        <w:rPr>
          <w:spacing w:val="-66"/>
        </w:rPr>
        <w:t> </w:t>
      </w:r>
      <w:r>
        <w:rPr>
          <w:spacing w:val="-66"/>
        </w:rPr>
      </w:r>
      <w:r>
        <w:rPr/>
        <w:t>察输入值。</w:t>
      </w:r>
    </w:p>
    <w:p>
      <w:pPr>
        <w:pStyle w:val="BodyText"/>
        <w:spacing w:line="319" w:lineRule="auto" w:before="55"/>
        <w:ind w:right="0" w:firstLine="360"/>
        <w:jc w:val="left"/>
      </w:pPr>
      <w:r>
        <w:rPr>
          <w:spacing w:val="-2"/>
        </w:rPr>
        <w:t>每个资产负债表日，本公司对在财务报表中确认的持续以公允价值计量的资产和负债进行重新评估，以确定是否在公允</w:t>
      </w:r>
      <w:r>
        <w:rPr/>
        <w:t> 价值计量层次之间发生转换。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3"/>
        <w:spacing w:line="240" w:lineRule="auto"/>
        <w:ind w:right="0"/>
        <w:jc w:val="both"/>
        <w:rPr>
          <w:b w:val="0"/>
          <w:bCs w:val="0"/>
        </w:rPr>
      </w:pPr>
      <w:bookmarkStart w:name="11、应收款项" w:id="182"/>
      <w:bookmarkEnd w:id="182"/>
      <w:r>
        <w:rPr>
          <w:b w:val="0"/>
          <w:bCs w:val="0"/>
        </w:rPr>
      </w:r>
      <w:r>
        <w:rPr>
          <w:rFonts w:ascii="宋体" w:hAnsi="宋体" w:cs="宋体" w:eastAsia="宋体" w:hint="default"/>
        </w:rPr>
        <w:t>11</w:t>
      </w:r>
      <w:r>
        <w:rPr/>
        <w:t>、应收款项</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both"/>
        <w:rPr>
          <w:b w:val="0"/>
          <w:bCs w:val="0"/>
        </w:rPr>
      </w:pPr>
      <w:bookmarkStart w:name="（1）单项金额重大并单独计提坏账准备的应收款项" w:id="183"/>
      <w:bookmarkEnd w:id="183"/>
      <w:r>
        <w:rPr>
          <w:b w:val="0"/>
          <w:bCs w:val="0"/>
        </w:rPr>
      </w:r>
      <w:r>
        <w:rPr/>
        <w:t>（</w:t>
      </w:r>
      <w:r>
        <w:rPr>
          <w:rFonts w:ascii="宋体" w:hAnsi="宋体" w:cs="宋体" w:eastAsia="宋体" w:hint="default"/>
        </w:rPr>
        <w:t>1</w:t>
      </w:r>
      <w:r>
        <w:rPr/>
        <w:t>）单项金额重大并单独计提坏账准备的应收款项</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期末余额达到</w:t>
            </w:r>
            <w:r>
              <w:rPr>
                <w:rFonts w:ascii="宋体" w:hAnsi="宋体" w:cs="宋体" w:eastAsia="宋体" w:hint="default"/>
                <w:spacing w:val="-46"/>
                <w:sz w:val="18"/>
                <w:szCs w:val="18"/>
              </w:rPr>
              <w:t> </w:t>
            </w:r>
            <w:r>
              <w:rPr>
                <w:rFonts w:ascii="宋体" w:hAnsi="宋体" w:cs="宋体" w:eastAsia="宋体" w:hint="default"/>
                <w:sz w:val="18"/>
                <w:szCs w:val="18"/>
              </w:rPr>
              <w:t>200</w:t>
            </w:r>
            <w:r>
              <w:rPr>
                <w:rFonts w:ascii="宋体" w:hAnsi="宋体" w:cs="宋体" w:eastAsia="宋体" w:hint="default"/>
                <w:spacing w:val="-46"/>
                <w:sz w:val="18"/>
                <w:szCs w:val="18"/>
              </w:rPr>
              <w:t>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宋体" w:hAnsi="宋体" w:cs="宋体" w:eastAsia="宋体" w:hint="default"/>
                <w:sz w:val="18"/>
                <w:szCs w:val="18"/>
              </w:rPr>
              <w:t>200</w:t>
            </w:r>
            <w:r>
              <w:rPr>
                <w:rFonts w:ascii="宋体" w:hAnsi="宋体" w:cs="宋体" w:eastAsia="宋体" w:hint="default"/>
                <w:spacing w:val="-46"/>
                <w:sz w:val="18"/>
                <w:szCs w:val="18"/>
              </w:rPr>
              <w:t> </w:t>
            </w:r>
            <w:r>
              <w:rPr>
                <w:rFonts w:ascii="宋体" w:hAnsi="宋体" w:cs="宋体" w:eastAsia="宋体" w:hint="default"/>
                <w:sz w:val="18"/>
                <w:szCs w:val="18"/>
              </w:rPr>
              <w:t>万元）以上的应收款项为单 项金额重大的应收款项。</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对于单项金额重大的应收款项单独进行减值测试，有客观证 据表明发生了减值，根据其未来现金流量现值低于其账面价 值的差额计提坏账准备。单项金额重大经单独测试未发生减 值的应收款项，再按组合计提坏账准备。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184"/>
      <w:bookmarkEnd w:id="184"/>
      <w:r>
        <w:rPr>
          <w:b w:val="0"/>
          <w:bCs w:val="0"/>
        </w:rPr>
      </w:r>
      <w:r>
        <w:rPr/>
        <w:t>（</w:t>
      </w:r>
      <w:r>
        <w:rPr>
          <w:rFonts w:ascii="宋体" w:hAnsi="宋体" w:cs="宋体" w:eastAsia="宋体" w:hint="default"/>
        </w:rPr>
        <w:t>2</w:t>
      </w:r>
      <w:r>
        <w:rPr/>
        <w:t>）按信用风险特征组合计提坏账准备的应收款项</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755"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22" w:right="3129"/>
              <w:jc w:val="left"/>
              <w:rPr>
                <w:rFonts w:ascii="宋体" w:hAnsi="宋体" w:cs="宋体" w:eastAsia="宋体" w:hint="default"/>
                <w:sz w:val="18"/>
                <w:szCs w:val="18"/>
              </w:rPr>
            </w:pPr>
            <w:r>
              <w:rPr>
                <w:rFonts w:ascii="宋体" w:hAnsi="宋体" w:cs="宋体" w:eastAsia="宋体" w:hint="default"/>
                <w:sz w:val="18"/>
                <w:szCs w:val="18"/>
              </w:rPr>
              <w:t>以历史损失率为基础 估计未来现金流量</w:t>
            </w:r>
          </w:p>
        </w:tc>
      </w:tr>
      <w:tr>
        <w:trPr>
          <w:trHeight w:val="75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押金及保证金组合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3129"/>
              <w:jc w:val="left"/>
              <w:rPr>
                <w:rFonts w:ascii="宋体" w:hAnsi="宋体" w:cs="宋体" w:eastAsia="宋体" w:hint="default"/>
                <w:sz w:val="18"/>
                <w:szCs w:val="18"/>
              </w:rPr>
            </w:pPr>
            <w:r>
              <w:rPr>
                <w:rFonts w:ascii="宋体" w:hAnsi="宋体" w:cs="宋体" w:eastAsia="宋体" w:hint="default"/>
                <w:sz w:val="18"/>
                <w:szCs w:val="18"/>
              </w:rPr>
              <w:t>以历史损失率为基础 估计未来现金流量</w:t>
            </w:r>
          </w:p>
        </w:tc>
      </w:tr>
    </w:tbl>
    <w:p>
      <w:pPr>
        <w:pStyle w:val="BodyText"/>
        <w:spacing w:line="240" w:lineRule="auto" w:before="51"/>
        <w:ind w:right="0"/>
        <w:jc w:val="left"/>
      </w:pPr>
      <w:r>
        <w:rPr/>
        <w:t>组合中，采用账龄分析法计提坏账准备的：</w:t>
      </w:r>
    </w:p>
    <w:p>
      <w:pPr>
        <w:pStyle w:val="BodyText"/>
        <w:spacing w:line="240" w:lineRule="auto" w:before="117"/>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个月内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23" w:right="0"/>
              <w:jc w:val="left"/>
              <w:rPr>
                <w:rFonts w:ascii="宋体" w:hAnsi="宋体" w:cs="宋体" w:eastAsia="宋体" w:hint="default"/>
                <w:sz w:val="18"/>
                <w:szCs w:val="18"/>
              </w:rPr>
            </w:pPr>
            <w:r>
              <w:rPr>
                <w:rFonts w:ascii="宋体" w:hAnsi="宋体" w:cs="宋体" w:eastAsia="宋体" w:hint="default"/>
                <w:sz w:val="18"/>
                <w:szCs w:val="18"/>
              </w:rPr>
              <w:t>4-12</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bl>
    <w:p>
      <w:pPr>
        <w:pStyle w:val="BodyText"/>
        <w:spacing w:line="240" w:lineRule="auto" w:before="51"/>
        <w:ind w:right="0"/>
        <w:jc w:val="left"/>
      </w:pPr>
      <w:r>
        <w:rPr/>
        <w:t>组合中，采用余额百分比法计提坏账准备的：</w:t>
      </w:r>
    </w:p>
    <w:p>
      <w:pPr>
        <w:spacing w:after="0" w:line="240" w:lineRule="auto"/>
        <w:jc w:val="left"/>
        <w:sectPr>
          <w:pgSz w:w="11910" w:h="16840"/>
          <w:pgMar w:header="877" w:footer="1187" w:top="1100" w:bottom="1380" w:left="980" w:right="0"/>
        </w:sectPr>
      </w:pPr>
    </w:p>
    <w:p>
      <w:pPr>
        <w:spacing w:line="240" w:lineRule="auto" w:before="13"/>
        <w:rPr>
          <w:rFonts w:ascii="宋体" w:hAnsi="宋体" w:cs="宋体" w:eastAsia="宋体" w:hint="default"/>
          <w:sz w:val="21"/>
          <w:szCs w:val="21"/>
        </w:rPr>
      </w:pPr>
    </w:p>
    <w:p>
      <w:pPr>
        <w:pStyle w:val="BodyText"/>
        <w:spacing w:line="357" w:lineRule="auto" w:before="44"/>
        <w:ind w:right="7512"/>
        <w:jc w:val="left"/>
      </w:pPr>
      <w:r>
        <w:rPr/>
        <w:t>□ 适用 √ 不适用 组合中，采用其他方法计提坏账准备的：</w:t>
      </w:r>
    </w:p>
    <w:p>
      <w:pPr>
        <w:pStyle w:val="BodyText"/>
        <w:spacing w:line="240" w:lineRule="auto" w:before="29"/>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单项金额不重大但单独计提坏账准备的应收款项" w:id="185"/>
      <w:bookmarkEnd w:id="185"/>
      <w:r>
        <w:rPr>
          <w:b w:val="0"/>
          <w:bCs w:val="0"/>
        </w:rPr>
      </w:r>
      <w:r>
        <w:rPr/>
        <w:t>（</w:t>
      </w:r>
      <w:r>
        <w:rPr>
          <w:rFonts w:ascii="宋体" w:hAnsi="宋体" w:cs="宋体" w:eastAsia="宋体" w:hint="default"/>
        </w:rPr>
        <w:t>3</w:t>
      </w:r>
      <w:r>
        <w:rPr/>
        <w:t>）单项金额不重大但单独计提坏账准备的应收款项</w:t>
      </w:r>
      <w:r>
        <w:rPr>
          <w:b w:val="0"/>
          <w:bCs w:val="0"/>
        </w:rPr>
      </w:r>
    </w:p>
    <w:p>
      <w:pPr>
        <w:spacing w:line="240" w:lineRule="auto" w:before="13"/>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涉诉款项、客户信用状况恶化的应收款项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 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12、存货" w:id="186"/>
      <w:bookmarkEnd w:id="186"/>
      <w:r>
        <w:rPr>
          <w:b w:val="0"/>
          <w:bCs w:val="0"/>
        </w:rPr>
      </w:r>
      <w:r>
        <w:rPr>
          <w:rFonts w:ascii="宋体" w:hAnsi="宋体" w:cs="宋体" w:eastAsia="宋体" w:hint="default"/>
        </w:rPr>
        <w:t>12</w:t>
      </w:r>
      <w:r>
        <w:rPr/>
        <w:t>、存货</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right="7692"/>
        <w:jc w:val="left"/>
      </w:pPr>
      <w:r>
        <w:rPr/>
        <w:t>公司是否需要遵守特殊行业的披露要求 否</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13、持有待售资产" w:id="187"/>
      <w:bookmarkEnd w:id="187"/>
      <w:r>
        <w:rPr>
          <w:b w:val="0"/>
          <w:bCs w:val="0"/>
        </w:rPr>
      </w:r>
      <w:r>
        <w:rPr>
          <w:rFonts w:ascii="宋体" w:hAnsi="宋体" w:cs="宋体" w:eastAsia="宋体" w:hint="default"/>
        </w:rPr>
        <w:t>13</w:t>
      </w:r>
      <w:r>
        <w:rPr/>
        <w:t>、持有待售资产</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4、长期股权投资" w:id="188"/>
      <w:bookmarkEnd w:id="188"/>
      <w:r>
        <w:rPr>
          <w:b w:val="0"/>
          <w:bCs w:val="0"/>
        </w:rPr>
      </w:r>
      <w:r>
        <w:rPr>
          <w:rFonts w:ascii="宋体" w:hAnsi="宋体" w:cs="宋体" w:eastAsia="宋体" w:hint="default"/>
        </w:rPr>
        <w:t>14</w:t>
      </w:r>
      <w:r>
        <w:rPr/>
        <w:t>、长期股权投资</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right="1133" w:firstLine="360"/>
        <w:jc w:val="both"/>
      </w:pPr>
      <w:r>
        <w:rPr>
          <w:spacing w:val="-2"/>
        </w:rPr>
        <w:t>长期股权投资包括对子公司、合营企业和联营企业的权益性投资。本公司能够对被投资单位施加重大影响的，为本公司</w:t>
      </w:r>
      <w:r>
        <w:rPr/>
        <w:t> 的联营企业。</w:t>
      </w:r>
    </w:p>
    <w:p>
      <w:pPr>
        <w:pStyle w:val="BodyText"/>
        <w:spacing w:line="357" w:lineRule="auto" w:before="57"/>
        <w:ind w:left="514" w:right="0"/>
        <w:jc w:val="left"/>
      </w:pPr>
      <w:r>
        <w:rPr/>
        <w:t>（</w:t>
      </w:r>
      <w:r>
        <w:rPr>
          <w:rFonts w:ascii="宋体" w:hAnsi="宋体" w:cs="宋体" w:eastAsia="宋体" w:hint="default"/>
        </w:rPr>
        <w:t>1</w:t>
      </w:r>
      <w:r>
        <w:rPr/>
        <w:t>）初始投资成本确定 </w:t>
      </w:r>
      <w:r>
        <w:rPr>
          <w:spacing w:val="-2"/>
        </w:rPr>
        <w:t>形成企业合并的长期股权投资：同一控制下企业合并取得的长期股权投资，在合并日按照取得被合并方所有者权益在最</w:t>
      </w:r>
    </w:p>
    <w:p>
      <w:pPr>
        <w:pStyle w:val="BodyText"/>
        <w:spacing w:line="224" w:lineRule="exact"/>
        <w:ind w:right="0"/>
        <w:jc w:val="left"/>
      </w:pPr>
      <w:r>
        <w:rPr/>
        <w:t>终控制方合并财务报表中的账面价值份额作为投资成本；非同一控制下企业合并取得的长期股权投资，按照合并成本作为长</w:t>
      </w:r>
    </w:p>
    <w:p>
      <w:pPr>
        <w:pStyle w:val="BodyText"/>
        <w:spacing w:line="357" w:lineRule="auto" w:before="77"/>
        <w:ind w:left="514" w:right="0" w:hanging="360"/>
        <w:jc w:val="left"/>
      </w:pPr>
      <w:r>
        <w:rPr/>
        <w:t>期股权投资的投资成本。 </w:t>
      </w:r>
      <w:r>
        <w:rPr>
          <w:spacing w:val="-2"/>
        </w:rPr>
        <w:t>对于其他方式取得的长期股权投资：支付现金取得的长期股权投资，按照实际支付的购买价款作为初始投资成本；发行</w:t>
      </w:r>
    </w:p>
    <w:p>
      <w:pPr>
        <w:pStyle w:val="BodyText"/>
        <w:spacing w:line="225" w:lineRule="exact"/>
        <w:ind w:right="0"/>
        <w:jc w:val="left"/>
      </w:pPr>
      <w:r>
        <w:rPr/>
        <w:t>权益性证券取得的长期股权投资，以发行权益性证券的公允价值作为初始投资成本。</w:t>
      </w:r>
    </w:p>
    <w:p>
      <w:pPr>
        <w:pStyle w:val="BodyText"/>
        <w:spacing w:line="357" w:lineRule="auto" w:before="116"/>
        <w:ind w:left="514" w:right="1032"/>
        <w:jc w:val="left"/>
      </w:pPr>
      <w:r>
        <w:rPr/>
        <w:t>（</w:t>
      </w:r>
      <w:r>
        <w:rPr>
          <w:rFonts w:ascii="宋体" w:hAnsi="宋体" w:cs="宋体" w:eastAsia="宋体" w:hint="default"/>
        </w:rPr>
        <w:t>2</w:t>
      </w:r>
      <w:r>
        <w:rPr/>
        <w:t>）后续计量及损益确认方法 对子公司的投资，采用成本法核算，除非投资符合持有待售的条件；对联营企业和合营企业的投资，采用权益法核算。 采用成本法核算的长期股权投资，除取得投资时实际支付的价款或对价中包含的已宣告但尚未发放的现金股利或利润</w:t>
      </w:r>
    </w:p>
    <w:p>
      <w:pPr>
        <w:pStyle w:val="BodyText"/>
        <w:spacing w:line="357" w:lineRule="auto"/>
        <w:ind w:left="514" w:right="0" w:hanging="360"/>
        <w:jc w:val="left"/>
      </w:pPr>
      <w:r>
        <w:rPr/>
        <w:t>外，被投资单位宣告分派的现金股利或利润，确认为投资收益计入当期损益。 </w:t>
      </w:r>
      <w:r>
        <w:rPr>
          <w:spacing w:val="-2"/>
        </w:rPr>
        <w:t>采用权益法核算的长期股权投资，初始投资成本大于投资时应享有被投资单位可辨认净资产公允价值份额的，不调整长</w:t>
      </w:r>
    </w:p>
    <w:p>
      <w:pPr>
        <w:pStyle w:val="BodyText"/>
        <w:spacing w:line="224" w:lineRule="exact"/>
        <w:ind w:right="0"/>
        <w:jc w:val="left"/>
      </w:pPr>
      <w:r>
        <w:rPr/>
        <w:t>期股权投资的投资成本；初始投资成本小于投资时应享有被投资单位可辨认净资产公允价值份额的，对长期股权投资的账面</w:t>
      </w:r>
    </w:p>
    <w:p>
      <w:pPr>
        <w:pStyle w:val="BodyText"/>
        <w:spacing w:line="357" w:lineRule="auto" w:before="77"/>
        <w:ind w:left="514" w:right="0" w:hanging="360"/>
        <w:jc w:val="left"/>
      </w:pPr>
      <w:r>
        <w:rPr/>
        <w:t>价值进行调整，差额计入投资当期的损益。 </w:t>
      </w:r>
      <w:r>
        <w:rPr>
          <w:spacing w:val="-2"/>
        </w:rPr>
        <w:t>采用权益法核算时，按照应享有或应分担的被投资单位实现的净损益和其他综合收益的份额，分别确认投资收益和其他</w:t>
      </w:r>
    </w:p>
    <w:p>
      <w:pPr>
        <w:pStyle w:val="BodyText"/>
        <w:spacing w:line="224" w:lineRule="exact"/>
        <w:ind w:right="0"/>
        <w:jc w:val="left"/>
      </w:pPr>
      <w:r>
        <w:rPr/>
        <w:t>综合收益，同时调整长期股权投资的账面价值；按照被投资单位宣告分派的利润或现金股利计算应享有的部分，相应减少长</w:t>
      </w:r>
    </w:p>
    <w:p>
      <w:pPr>
        <w:pStyle w:val="BodyText"/>
        <w:spacing w:line="319" w:lineRule="auto" w:before="76"/>
        <w:ind w:right="1133"/>
        <w:jc w:val="both"/>
      </w:pPr>
      <w:r>
        <w:rPr>
          <w:spacing w:val="-2"/>
        </w:rPr>
        <w:t>期股权投资的账面价值；被投资单位除净损益、其他综合收益和利润分配以外所有者权益的其他变动，调整长期股权投资的</w:t>
      </w:r>
      <w:r>
        <w:rPr>
          <w:spacing w:val="-66"/>
        </w:rPr>
        <w:t> </w:t>
      </w:r>
      <w:r>
        <w:rPr>
          <w:spacing w:val="-66"/>
        </w:rPr>
      </w:r>
      <w:r>
        <w:rPr>
          <w:spacing w:val="-2"/>
        </w:rPr>
        <w:t>账面价值并计入资本公积（其他资本公积）。在确认应享有被投资单位净损益的份额时，以取得投资时被投资单位各项可辨</w:t>
      </w:r>
      <w:r>
        <w:rPr>
          <w:spacing w:val="-72"/>
        </w:rPr>
        <w:t> </w:t>
      </w:r>
      <w:r>
        <w:rPr>
          <w:spacing w:val="-72"/>
        </w:rPr>
      </w:r>
      <w:r>
        <w:rPr/>
        <w:t>认资产等的公允价值为基础，并按照本公司的会计政策及会计期间，对被投资单位的净利润进行调整后确认。</w:t>
      </w:r>
    </w:p>
    <w:p>
      <w:pPr>
        <w:pStyle w:val="BodyText"/>
        <w:spacing w:line="319" w:lineRule="auto" w:before="56"/>
        <w:ind w:right="1131" w:firstLine="360"/>
        <w:jc w:val="both"/>
      </w:pPr>
      <w:r>
        <w:rPr>
          <w:spacing w:val="-2"/>
        </w:rPr>
        <w:t>因追加投资等原因能够对被投资单位施加重大影响或实施共同控制但不构成控制的，在转换日，按照原股权的公允价值</w:t>
      </w:r>
      <w:r>
        <w:rPr/>
        <w:t> </w:t>
      </w:r>
      <w:r>
        <w:rPr>
          <w:spacing w:val="-2"/>
        </w:rPr>
        <w:t>加上新增投资成本之和，作为改按权益法核算的初始投资成本。原股权于转换日的公允价值与账面价值之间的差额，以及原</w:t>
      </w:r>
      <w:r>
        <w:rPr>
          <w:spacing w:val="-66"/>
        </w:rPr>
        <w:t> </w:t>
      </w:r>
      <w:r>
        <w:rPr>
          <w:spacing w:val="-66"/>
        </w:rPr>
      </w:r>
      <w:r>
        <w:rPr/>
        <w:t>计入其他综合收益的累计公允价值变动转入改按权益法核算的当期损益。</w:t>
      </w:r>
    </w:p>
    <w:p>
      <w:pPr>
        <w:spacing w:after="0" w:line="319" w:lineRule="auto"/>
        <w:jc w:val="both"/>
        <w:sectPr>
          <w:pgSz w:w="11910" w:h="16840"/>
          <w:pgMar w:header="877" w:footer="1187" w:top="1100" w:bottom="1380" w:left="980" w:right="0"/>
        </w:sectPr>
      </w:pPr>
    </w:p>
    <w:p>
      <w:pPr>
        <w:spacing w:line="240" w:lineRule="auto" w:before="12"/>
        <w:rPr>
          <w:rFonts w:ascii="宋体" w:hAnsi="宋体" w:cs="宋体" w:eastAsia="宋体" w:hint="default"/>
          <w:sz w:val="21"/>
          <w:szCs w:val="21"/>
        </w:rPr>
      </w:pPr>
    </w:p>
    <w:p>
      <w:pPr>
        <w:pStyle w:val="BodyText"/>
        <w:spacing w:line="319" w:lineRule="auto" w:before="44"/>
        <w:ind w:left="153" w:right="1024" w:firstLine="360"/>
        <w:jc w:val="left"/>
      </w:pPr>
      <w:r>
        <w:rPr>
          <w:spacing w:val="-2"/>
        </w:rPr>
        <w:t>因处置部分股权投资等原因丧失了对被投资单位的共同控制或重大影响的，处置后的剩余股权在丧失共同控制或重大影</w:t>
      </w:r>
      <w:r>
        <w:rPr/>
        <w:t> </w:t>
      </w:r>
      <w:r>
        <w:rPr>
          <w:spacing w:val="-3"/>
        </w:rPr>
        <w:t>响之日改按《企业会计准则第</w:t>
      </w:r>
      <w:r>
        <w:rPr>
          <w:spacing w:val="-66"/>
        </w:rPr>
        <w:t> </w:t>
      </w:r>
      <w:r>
        <w:rPr>
          <w:rFonts w:ascii="宋体" w:hAnsi="宋体" w:cs="宋体" w:eastAsia="宋体" w:hint="default"/>
        </w:rPr>
        <w:t>22</w:t>
      </w:r>
      <w:r>
        <w:rPr>
          <w:rFonts w:ascii="宋体" w:hAnsi="宋体" w:cs="宋体" w:eastAsia="宋体" w:hint="default"/>
          <w:spacing w:val="-66"/>
        </w:rPr>
        <w:t> </w:t>
      </w:r>
      <w:r>
        <w:rPr/>
        <w:t>号—金融工具确认和计量》进行会计处理，公允价值与账面价值之间的差额计入当期损益。 </w:t>
      </w:r>
      <w:r>
        <w:rPr>
          <w:spacing w:val="-2"/>
        </w:rPr>
        <w:t>原股权投资因采用权益法核算而确认的其他综合收益，在终止采用权益法核算时采用与被投资单位直接处置相关资产或负债</w:t>
      </w:r>
      <w:r>
        <w:rPr>
          <w:spacing w:val="-64"/>
        </w:rPr>
        <w:t> </w:t>
      </w:r>
      <w:r>
        <w:rPr>
          <w:spacing w:val="-64"/>
        </w:rPr>
      </w:r>
      <w:r>
        <w:rPr/>
        <w:t>相同的基础进行会计处理；原股权投资相关的其他所有者权益变动转入当期损益。</w:t>
      </w:r>
    </w:p>
    <w:p>
      <w:pPr>
        <w:pStyle w:val="BodyText"/>
        <w:spacing w:line="319" w:lineRule="auto" w:before="56"/>
        <w:ind w:left="153" w:right="1131" w:firstLine="360"/>
        <w:jc w:val="both"/>
      </w:pPr>
      <w:r>
        <w:rPr>
          <w:spacing w:val="-2"/>
        </w:rPr>
        <w:t>因处置部分股权投资等原因丧失了对被投资单位的控制的，处置后的剩余股权能够对被投资单位实施共同控制或施加重</w:t>
      </w:r>
      <w:r>
        <w:rPr/>
        <w:t> </w:t>
      </w:r>
      <w:r>
        <w:rPr>
          <w:spacing w:val="-2"/>
        </w:rPr>
        <w:t>大影响的，改按权益法核算，并对该剩余股权视同自取得时即采用权益法核算进行调整；处置后的剩余股权不能对被投资单</w:t>
      </w:r>
      <w:r>
        <w:rPr>
          <w:spacing w:val="-66"/>
        </w:rPr>
        <w:t> </w:t>
      </w:r>
      <w:r>
        <w:rPr>
          <w:spacing w:val="-66"/>
        </w:rPr>
      </w:r>
      <w:r>
        <w:rPr/>
        <w:t>位实施共同控制或施加重大影响的，改按《企业会计准则第</w:t>
      </w:r>
      <w:r>
        <w:rPr>
          <w:spacing w:val="-45"/>
        </w:rPr>
        <w:t> </w:t>
      </w:r>
      <w:r>
        <w:rPr>
          <w:rFonts w:ascii="宋体" w:hAnsi="宋体" w:cs="宋体" w:eastAsia="宋体" w:hint="default"/>
        </w:rPr>
        <w:t>22</w:t>
      </w:r>
      <w:r>
        <w:rPr>
          <w:rFonts w:ascii="宋体" w:hAnsi="宋体" w:cs="宋体" w:eastAsia="宋体" w:hint="default"/>
          <w:spacing w:val="-46"/>
        </w:rPr>
        <w:t> </w:t>
      </w:r>
      <w:r>
        <w:rPr/>
        <w:t>号—金融工具确认和计量》的有关规定进行会计处理，其在 丧失控制之日的公允价值与账面价值之间的差额计入当期损益。</w:t>
      </w:r>
    </w:p>
    <w:p>
      <w:pPr>
        <w:pStyle w:val="BodyText"/>
        <w:spacing w:line="319" w:lineRule="auto" w:before="56"/>
        <w:ind w:right="1131" w:firstLine="360"/>
        <w:jc w:val="both"/>
      </w:pPr>
      <w:r>
        <w:rPr>
          <w:spacing w:val="-2"/>
        </w:rPr>
        <w:t>因其他投资方增资而导致本公司持股比例下降、从而丧失控制权但能对被投资单位实施共同控制或施加重大影响的，按</w:t>
      </w:r>
      <w:r>
        <w:rPr/>
        <w:t> </w:t>
      </w:r>
      <w:r>
        <w:rPr>
          <w:spacing w:val="-2"/>
        </w:rPr>
        <w:t>照新的持股比例确认本公司应享有的被投资单位因增资扩股而增加净资产的份额，与应结转持股比例下降部分所对应的长期</w:t>
      </w:r>
      <w:r>
        <w:rPr>
          <w:spacing w:val="-64"/>
        </w:rPr>
        <w:t> </w:t>
      </w:r>
      <w:r>
        <w:rPr>
          <w:spacing w:val="-64"/>
        </w:rPr>
      </w:r>
      <w:r>
        <w:rPr/>
        <w:t>股权投资原账面价值之间的差额计入当期损益；然后，按照新的持股比例视同自取得投资时即采用权益法核算进行调整。</w:t>
      </w:r>
    </w:p>
    <w:p>
      <w:pPr>
        <w:pStyle w:val="BodyText"/>
        <w:spacing w:line="319" w:lineRule="auto" w:before="55"/>
        <w:ind w:left="153" w:right="1131" w:firstLine="360"/>
        <w:jc w:val="both"/>
      </w:pPr>
      <w:r>
        <w:rPr>
          <w:spacing w:val="-2"/>
        </w:rPr>
        <w:t>本公司与联营企业及合营企业之间发生的未实现内部交易损益按照持股比例计算归属于本公司的部分，在抵销基础上确</w:t>
      </w:r>
      <w:r>
        <w:rPr/>
        <w:t> 认投资损益。但本公司与被投资单位发生的未实现内部交易损失，属于所转让资产减值损失的，不予以抵销。</w:t>
      </w:r>
    </w:p>
    <w:p>
      <w:pPr>
        <w:pStyle w:val="BodyText"/>
        <w:spacing w:line="357" w:lineRule="auto" w:before="56"/>
        <w:ind w:left="514" w:right="0"/>
        <w:jc w:val="left"/>
      </w:pPr>
      <w:r>
        <w:rPr/>
        <w:t>（</w:t>
      </w:r>
      <w:r>
        <w:rPr>
          <w:rFonts w:ascii="宋体" w:hAnsi="宋体" w:cs="宋体" w:eastAsia="宋体" w:hint="default"/>
        </w:rPr>
        <w:t>3</w:t>
      </w:r>
      <w:r>
        <w:rPr/>
        <w:t>）确定对被投资单位具有共同控制、重大影响的依据 </w:t>
      </w:r>
      <w:r>
        <w:rPr>
          <w:spacing w:val="-2"/>
        </w:rPr>
        <w:t>共同控制，是指按照相关约定对某项安排所共有的控制，并且该安排的相关活动必须经过分享控制权的参与方一致同意</w:t>
      </w:r>
    </w:p>
    <w:p>
      <w:pPr>
        <w:pStyle w:val="BodyText"/>
        <w:spacing w:line="224" w:lineRule="exact"/>
        <w:ind w:right="0"/>
        <w:jc w:val="both"/>
      </w:pPr>
      <w:r>
        <w:rPr/>
        <w:t>后才能决策。在判断是否存在共同控制时，首先判断是否由所有参与方或参与方组合集体控制该安排，其次再判断该安排相</w:t>
      </w:r>
    </w:p>
    <w:p>
      <w:pPr>
        <w:pStyle w:val="BodyText"/>
        <w:spacing w:line="319" w:lineRule="auto" w:before="76"/>
        <w:ind w:right="1131"/>
        <w:jc w:val="both"/>
      </w:pPr>
      <w:r>
        <w:rPr>
          <w:spacing w:val="-2"/>
        </w:rPr>
        <w:t>关活动的决策是否必须经过这些集体控制该安排的参与方一致同意。如果所有参与方或一组参与方必须一致行动才能决定某</w:t>
      </w:r>
      <w:r>
        <w:rPr>
          <w:spacing w:val="-64"/>
        </w:rPr>
        <w:t> </w:t>
      </w:r>
      <w:r>
        <w:rPr>
          <w:spacing w:val="-64"/>
        </w:rPr>
      </w:r>
      <w:r>
        <w:rPr>
          <w:spacing w:val="-2"/>
        </w:rPr>
        <w:t>项安排的相关活动，则认为所有参与方或一组参与方集体控制该安排；如果存在两个或两个以上的参与方组合能够集体控制</w:t>
      </w:r>
      <w:r>
        <w:rPr>
          <w:spacing w:val="-64"/>
        </w:rPr>
        <w:t> </w:t>
      </w:r>
      <w:r>
        <w:rPr>
          <w:spacing w:val="-64"/>
        </w:rPr>
      </w:r>
      <w:r>
        <w:rPr/>
        <w:t>某项安排的，不构成共同控制。判断是否存在共同控制时，不考虑享有的保护性权利。</w:t>
      </w:r>
    </w:p>
    <w:p>
      <w:pPr>
        <w:pStyle w:val="BodyText"/>
        <w:spacing w:line="319" w:lineRule="auto" w:before="55"/>
        <w:ind w:left="153" w:right="1131" w:firstLine="360"/>
        <w:jc w:val="both"/>
      </w:pPr>
      <w:r>
        <w:rPr>
          <w:spacing w:val="-2"/>
        </w:rPr>
        <w:t>重大影响，是指投资方对被投资单位的财务和经营政策有参与决策的权力，但并不能够控制或者与其他方一起共同控制</w:t>
      </w:r>
      <w:r>
        <w:rPr/>
        <w:t> </w:t>
      </w:r>
      <w:r>
        <w:rPr>
          <w:spacing w:val="-2"/>
        </w:rPr>
        <w:t>这些政策的制定。在确定能否对被投资单位施加重大影响时，考虑投资方直接或间接持有被投资单位的表决权股份以及投资</w:t>
      </w:r>
      <w:r>
        <w:rPr>
          <w:spacing w:val="-64"/>
        </w:rPr>
        <w:t> </w:t>
      </w:r>
      <w:r>
        <w:rPr>
          <w:spacing w:val="-64"/>
        </w:rPr>
      </w:r>
      <w:r>
        <w:rPr>
          <w:spacing w:val="-2"/>
        </w:rPr>
        <w:t>方及其他方持有的当期可执行潜在表决权在假定转换为对被投资方单位的股权后产生的影响，包括被投资单位发行的当期可</w:t>
      </w:r>
      <w:r>
        <w:rPr>
          <w:spacing w:val="-64"/>
        </w:rPr>
        <w:t> </w:t>
      </w:r>
      <w:r>
        <w:rPr>
          <w:spacing w:val="-64"/>
        </w:rPr>
      </w:r>
      <w:r>
        <w:rPr/>
        <w:t>转换的认股权证、股份期权及可转换公司债券等的影响。</w:t>
      </w:r>
    </w:p>
    <w:p>
      <w:pPr>
        <w:pStyle w:val="BodyText"/>
        <w:spacing w:line="319" w:lineRule="auto" w:before="55"/>
        <w:ind w:left="153" w:right="1132" w:firstLine="360"/>
        <w:jc w:val="both"/>
      </w:pPr>
      <w:r>
        <w:rPr/>
        <w:t>当本公司直接或通过子公司间接拥有被投资单位</w:t>
      </w:r>
      <w:r>
        <w:rPr>
          <w:spacing w:val="-45"/>
        </w:rPr>
        <w:t> </w:t>
      </w:r>
      <w:r>
        <w:rPr>
          <w:rFonts w:ascii="宋体" w:hAnsi="宋体" w:cs="宋体" w:eastAsia="宋体" w:hint="default"/>
        </w:rPr>
        <w:t>20%</w:t>
      </w:r>
      <w:r>
        <w:rPr/>
        <w:t>（含</w:t>
      </w:r>
      <w:r>
        <w:rPr>
          <w:spacing w:val="-46"/>
        </w:rPr>
        <w:t> </w:t>
      </w:r>
      <w:r>
        <w:rPr>
          <w:rFonts w:ascii="宋体" w:hAnsi="宋体" w:cs="宋体" w:eastAsia="宋体" w:hint="default"/>
        </w:rPr>
        <w:t>20%</w:t>
      </w:r>
      <w:r>
        <w:rPr/>
        <w:t>）以上但低于</w:t>
      </w:r>
      <w:r>
        <w:rPr>
          <w:spacing w:val="-46"/>
        </w:rPr>
        <w:t> </w:t>
      </w:r>
      <w:r>
        <w:rPr>
          <w:rFonts w:ascii="宋体" w:hAnsi="宋体" w:cs="宋体" w:eastAsia="宋体" w:hint="default"/>
        </w:rPr>
        <w:t>50%</w:t>
      </w:r>
      <w:r>
        <w:rPr/>
        <w:t>的表决权股份时，一般认为对被投资单 </w:t>
      </w:r>
      <w:r>
        <w:rPr>
          <w:spacing w:val="-2"/>
        </w:rPr>
        <w:t>位具有重大影响，除非有明确证据表明该种情况下不能参与被投资单位的生产经营决策，不形成重大影响；本公司拥有被投</w:t>
      </w:r>
      <w:r>
        <w:rPr>
          <w:spacing w:val="-66"/>
        </w:rPr>
        <w:t> </w:t>
      </w:r>
      <w:r>
        <w:rPr>
          <w:spacing w:val="-66"/>
        </w:rPr>
      </w:r>
      <w:r>
        <w:rPr/>
        <w:t>资单位</w:t>
      </w:r>
      <w:r>
        <w:rPr>
          <w:spacing w:val="-36"/>
        </w:rPr>
        <w:t> </w:t>
      </w:r>
      <w:r>
        <w:rPr>
          <w:rFonts w:ascii="宋体" w:hAnsi="宋体" w:cs="宋体" w:eastAsia="宋体" w:hint="default"/>
          <w:spacing w:val="-1"/>
        </w:rPr>
        <w:t>20%</w:t>
      </w:r>
      <w:r>
        <w:rPr>
          <w:spacing w:val="-1"/>
        </w:rPr>
        <w:t>（不含）以下的表决权股份时，一般不认为对被投资单位具有重大影响，除非有明确证据表明该种情况下能够参</w:t>
      </w:r>
      <w:r>
        <w:rPr>
          <w:spacing w:val="-88"/>
        </w:rPr>
        <w:t> </w:t>
      </w:r>
      <w:r>
        <w:rPr>
          <w:spacing w:val="-88"/>
        </w:rPr>
      </w:r>
      <w:r>
        <w:rPr/>
        <w:t>与被投资单位的生产经营决策，形成重大影响。</w:t>
      </w:r>
    </w:p>
    <w:p>
      <w:pPr>
        <w:pStyle w:val="BodyText"/>
        <w:spacing w:line="357" w:lineRule="auto" w:before="58"/>
        <w:ind w:left="513" w:right="4273"/>
        <w:jc w:val="left"/>
      </w:pPr>
      <w:r>
        <w:rPr/>
        <w:t>（</w:t>
      </w:r>
      <w:r>
        <w:rPr>
          <w:rFonts w:ascii="宋体" w:hAnsi="宋体" w:cs="宋体" w:eastAsia="宋体" w:hint="default"/>
        </w:rPr>
        <w:t>4</w:t>
      </w:r>
      <w:r>
        <w:rPr/>
        <w:t>）减值测试方法及减值准备计提方法 对子公司、联营企业及合营企业的投资，计提资产减值的方法见附注五、</w:t>
      </w:r>
      <w:r>
        <w:rPr>
          <w:rFonts w:ascii="宋体" w:hAnsi="宋体" w:cs="宋体" w:eastAsia="宋体" w:hint="default"/>
        </w:rPr>
        <w:t>22</w:t>
      </w:r>
      <w:r>
        <w:rPr/>
        <w:t>。</w:t>
      </w:r>
    </w:p>
    <w:p>
      <w:pPr>
        <w:spacing w:line="240" w:lineRule="auto" w:before="13"/>
        <w:rPr>
          <w:rFonts w:ascii="宋体" w:hAnsi="宋体" w:cs="宋体" w:eastAsia="宋体" w:hint="default"/>
          <w:sz w:val="19"/>
          <w:szCs w:val="19"/>
        </w:rPr>
      </w:pPr>
    </w:p>
    <w:p>
      <w:pPr>
        <w:pStyle w:val="Heading3"/>
        <w:spacing w:line="240" w:lineRule="auto"/>
        <w:ind w:left="153" w:right="0"/>
        <w:jc w:val="both"/>
        <w:rPr>
          <w:b w:val="0"/>
          <w:bCs w:val="0"/>
        </w:rPr>
      </w:pPr>
      <w:bookmarkStart w:name="15、投资性房地产" w:id="189"/>
      <w:bookmarkEnd w:id="189"/>
      <w:r>
        <w:rPr>
          <w:b w:val="0"/>
          <w:bCs w:val="0"/>
        </w:rPr>
      </w:r>
      <w:r>
        <w:rPr>
          <w:rFonts w:ascii="宋体" w:hAnsi="宋体" w:cs="宋体" w:eastAsia="宋体" w:hint="default"/>
        </w:rPr>
        <w:t>15</w:t>
      </w:r>
      <w:r>
        <w:rPr/>
        <w:t>、投资性房地产</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153" w:right="8953"/>
        <w:jc w:val="left"/>
      </w:pPr>
      <w:r>
        <w:rPr/>
        <w:t>投资性房地产计量模式 不适用</w:t>
      </w:r>
    </w:p>
    <w:p>
      <w:pPr>
        <w:spacing w:line="240" w:lineRule="auto" w:before="1"/>
        <w:rPr>
          <w:rFonts w:ascii="宋体" w:hAnsi="宋体" w:cs="宋体" w:eastAsia="宋体" w:hint="default"/>
          <w:sz w:val="20"/>
          <w:szCs w:val="20"/>
        </w:rPr>
      </w:pPr>
    </w:p>
    <w:p>
      <w:pPr>
        <w:pStyle w:val="Heading3"/>
        <w:spacing w:line="240" w:lineRule="auto"/>
        <w:ind w:left="153" w:right="0"/>
        <w:jc w:val="both"/>
        <w:rPr>
          <w:b w:val="0"/>
          <w:bCs w:val="0"/>
        </w:rPr>
      </w:pPr>
      <w:bookmarkStart w:name="16、固定资产" w:id="190"/>
      <w:bookmarkEnd w:id="190"/>
      <w:r>
        <w:rPr>
          <w:b w:val="0"/>
          <w:bCs w:val="0"/>
        </w:rPr>
      </w:r>
      <w:r>
        <w:rPr>
          <w:rFonts w:ascii="宋体" w:hAnsi="宋体" w:cs="宋体" w:eastAsia="宋体" w:hint="default"/>
        </w:rPr>
        <w:t>16</w:t>
      </w:r>
      <w:r>
        <w:rPr/>
        <w:t>、固定资产</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53" w:right="0"/>
        <w:jc w:val="both"/>
        <w:rPr>
          <w:b w:val="0"/>
          <w:bCs w:val="0"/>
        </w:rPr>
      </w:pPr>
      <w:bookmarkStart w:name="（1）确认条件" w:id="191"/>
      <w:bookmarkEnd w:id="191"/>
      <w:r>
        <w:rPr>
          <w:b w:val="0"/>
          <w:bCs w:val="0"/>
        </w:rPr>
      </w:r>
      <w:r>
        <w:rPr/>
        <w:t>（</w:t>
      </w:r>
      <w:r>
        <w:rPr>
          <w:rFonts w:ascii="宋体" w:hAnsi="宋体" w:cs="宋体" w:eastAsia="宋体" w:hint="default"/>
        </w:rPr>
        <w:t>1</w:t>
      </w:r>
      <w:r>
        <w:rPr/>
        <w:t>）确认条件</w:t>
      </w:r>
      <w:r>
        <w:rPr>
          <w:b w:val="0"/>
          <w:bCs w:val="0"/>
        </w:rPr>
      </w:r>
    </w:p>
    <w:p>
      <w:pPr>
        <w:spacing w:line="240" w:lineRule="auto" w:before="10"/>
        <w:rPr>
          <w:rFonts w:ascii="宋体" w:hAnsi="宋体" w:cs="宋体" w:eastAsia="宋体" w:hint="default"/>
          <w:b/>
          <w:bCs/>
          <w:sz w:val="27"/>
          <w:szCs w:val="27"/>
        </w:rPr>
      </w:pPr>
    </w:p>
    <w:p>
      <w:pPr>
        <w:pStyle w:val="BodyText"/>
        <w:spacing w:line="319" w:lineRule="auto"/>
        <w:ind w:left="153" w:right="1131"/>
        <w:jc w:val="both"/>
      </w:pPr>
      <w:r>
        <w:rPr>
          <w:spacing w:val="-2"/>
        </w:rPr>
        <w:t>本公司固定资产是指为生产商品、提供劳务、出租或经营管理而持有的，使用寿命超过一个会计年度的有形资产。与该固定</w:t>
      </w:r>
      <w:r>
        <w:rPr>
          <w:spacing w:val="-66"/>
        </w:rPr>
        <w:t> </w:t>
      </w:r>
      <w:r>
        <w:rPr>
          <w:spacing w:val="-66"/>
        </w:rPr>
      </w:r>
      <w:r>
        <w:rPr>
          <w:spacing w:val="-2"/>
        </w:rPr>
        <w:t>资产有关的经济利益很可能流入企业，并且该固定资产的成本能够可靠地计量时，固定资产才能予以确认。本公司固定资产</w:t>
      </w:r>
      <w:r>
        <w:rPr>
          <w:spacing w:val="-66"/>
        </w:rPr>
        <w:t> </w:t>
      </w:r>
      <w:r>
        <w:rPr>
          <w:spacing w:val="-66"/>
        </w:rPr>
      </w:r>
      <w:r>
        <w:rPr/>
        <w:t>按照取得时的实际成本进行初始计量。</w:t>
      </w:r>
    </w:p>
    <w:p>
      <w:pPr>
        <w:spacing w:after="0" w:line="319" w:lineRule="auto"/>
        <w:jc w:val="both"/>
        <w:sectPr>
          <w:pgSz w:w="11910" w:h="16840"/>
          <w:pgMar w:header="877" w:footer="1187" w:top="1100" w:bottom="138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2）折旧方法" w:id="192"/>
      <w:bookmarkEnd w:id="192"/>
      <w:r>
        <w:rPr>
          <w:b w:val="0"/>
          <w:bCs w:val="0"/>
        </w:rPr>
      </w:r>
      <w:r>
        <w:rPr/>
        <w:t>（</w:t>
      </w:r>
      <w:r>
        <w:rPr>
          <w:rFonts w:ascii="宋体" w:hAnsi="宋体" w:cs="宋体" w:eastAsia="宋体" w:hint="default"/>
        </w:rPr>
        <w:t>2</w:t>
      </w:r>
      <w:r>
        <w:rPr/>
        <w:t>）折旧方法</w:t>
      </w:r>
      <w:r>
        <w:rPr>
          <w:b w:val="0"/>
          <w:bCs w:val="0"/>
        </w:rPr>
      </w:r>
    </w:p>
    <w:p>
      <w:pPr>
        <w:spacing w:line="240" w:lineRule="auto" w:before="13"/>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19.00-9.50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9.50</w:t>
            </w:r>
          </w:p>
        </w:tc>
      </w:tr>
    </w:tbl>
    <w:p>
      <w:pPr>
        <w:pStyle w:val="BodyText"/>
        <w:spacing w:line="357" w:lineRule="auto" w:before="51"/>
        <w:ind w:left="513" w:right="0"/>
        <w:jc w:val="left"/>
      </w:pPr>
      <w:r>
        <w:rPr/>
        <w:t>其中，已计提减值准备的固定资产，还应扣除已计提的固定资产减值准备累计金额计算确定折旧率。 固定资产的减值测试方法、减值准备计提方法见附注五、</w:t>
      </w:r>
      <w:r>
        <w:rPr>
          <w:rFonts w:ascii="宋体" w:hAnsi="宋体" w:cs="宋体" w:eastAsia="宋体" w:hint="default"/>
        </w:rPr>
        <w:t>22 </w:t>
      </w:r>
      <w:r>
        <w:rPr/>
        <w:t>每年年度终了，本公司对固定资产的使用寿命、预计净残值和折旧方法进行复核。 </w:t>
      </w:r>
      <w:r>
        <w:rPr>
          <w:spacing w:val="-2"/>
        </w:rPr>
        <w:t>使用寿命预计数与原先估计数有差异的，调整固定资产使用寿命；预计净残值预计数与原先估计数有差异的，调整预计</w:t>
      </w:r>
    </w:p>
    <w:p>
      <w:pPr>
        <w:pStyle w:val="BodyText"/>
        <w:spacing w:line="225" w:lineRule="exact"/>
        <w:ind w:left="153" w:right="0"/>
        <w:jc w:val="left"/>
      </w:pPr>
      <w:r>
        <w:rPr/>
        <w:t>净残值。</w:t>
      </w:r>
    </w:p>
    <w:p>
      <w:pPr>
        <w:pStyle w:val="BodyText"/>
        <w:spacing w:line="319" w:lineRule="auto" w:before="115"/>
        <w:ind w:right="0" w:firstLine="360"/>
        <w:jc w:val="left"/>
      </w:pPr>
      <w:r>
        <w:rPr>
          <w:spacing w:val="-4"/>
        </w:rPr>
        <w:t>本公司对固定资产进行定期检查发生的大修理费用，有确凿证据表明符合固定资产确认条件的部分，计入固定资产成本，</w:t>
      </w:r>
      <w:r>
        <w:rPr/>
        <w:t> 不符合固定资产确认条件的计入当期损益。固定资产在定期大修理间隔期间，照提折旧。</w:t>
      </w:r>
    </w:p>
    <w:p>
      <w:pPr>
        <w:spacing w:line="240" w:lineRule="auto" w:before="3"/>
        <w:rPr>
          <w:rFonts w:ascii="宋体" w:hAnsi="宋体" w:cs="宋体" w:eastAsia="宋体" w:hint="default"/>
          <w:sz w:val="22"/>
          <w:szCs w:val="22"/>
        </w:rPr>
      </w:pPr>
    </w:p>
    <w:p>
      <w:pPr>
        <w:pStyle w:val="Heading3"/>
        <w:spacing w:line="240" w:lineRule="auto"/>
        <w:ind w:left="153" w:right="0"/>
        <w:jc w:val="left"/>
        <w:rPr>
          <w:b w:val="0"/>
          <w:bCs w:val="0"/>
        </w:rPr>
      </w:pPr>
      <w:bookmarkStart w:name="（3）融资租入固定资产的认定依据、计价和折旧方法" w:id="193"/>
      <w:bookmarkEnd w:id="193"/>
      <w:r>
        <w:rPr>
          <w:b w:val="0"/>
          <w:bCs w:val="0"/>
        </w:rPr>
      </w:r>
      <w:r>
        <w:rPr/>
        <w:t>（</w:t>
      </w:r>
      <w:r>
        <w:rPr>
          <w:rFonts w:ascii="宋体" w:hAnsi="宋体" w:cs="宋体" w:eastAsia="宋体" w:hint="default"/>
        </w:rPr>
        <w:t>3</w:t>
      </w:r>
      <w:r>
        <w:rPr/>
        <w:t>）融资租入固定资产的认定依据、计价和折旧方法</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ind w:left="153" w:right="1033" w:firstLine="360"/>
        <w:jc w:val="left"/>
      </w:pPr>
      <w:r>
        <w:rPr>
          <w:spacing w:val="-2"/>
        </w:rPr>
        <w:t>当本公司租入的固定资产符合下列一项或数项标准时，确认为融资租入固定资产：①在租赁期届满时，租赁资产的所有</w:t>
      </w:r>
      <w:r>
        <w:rPr/>
        <w:t> 权转移给本公司。②本公司有购买租赁资产的选择权，所订立的购买价款预计将远低于行使选择权时租赁资产的公允价值， </w:t>
      </w:r>
      <w:r>
        <w:rPr>
          <w:spacing w:val="-2"/>
        </w:rPr>
        <w:t>因而在租赁开始日就可以合理确定本公司将会行使这种选择权。③即使资产的所有权不转移，但租赁期占租赁资产使用寿命</w:t>
      </w:r>
      <w:r>
        <w:rPr>
          <w:spacing w:val="-64"/>
        </w:rPr>
        <w:t> </w:t>
      </w:r>
      <w:r>
        <w:rPr>
          <w:spacing w:val="-64"/>
        </w:rPr>
      </w:r>
      <w:r>
        <w:rPr>
          <w:spacing w:val="-4"/>
        </w:rPr>
        <w:t>的大部分。④本公司在租赁开始日的最低租赁付款额现值，几乎相当于租赁开始日租赁资产公允价值。⑤租赁资产性质特殊，</w:t>
      </w:r>
      <w:r>
        <w:rPr>
          <w:spacing w:val="-43"/>
        </w:rPr>
        <w:t> </w:t>
      </w:r>
      <w:r>
        <w:rPr>
          <w:spacing w:val="-43"/>
        </w:rPr>
      </w:r>
      <w:r>
        <w:rPr>
          <w:spacing w:val="-2"/>
        </w:rPr>
        <w:t>如果不作较大改造，只有本公司才能使用。融资租赁租入的固定资产，按租赁开始日租赁资产公允价值与最低租赁付款额的</w:t>
      </w:r>
      <w:r>
        <w:rPr>
          <w:spacing w:val="-66"/>
        </w:rPr>
        <w:t> </w:t>
      </w:r>
      <w:r>
        <w:rPr>
          <w:spacing w:val="-66"/>
        </w:rPr>
      </w:r>
      <w:r>
        <w:rPr>
          <w:spacing w:val="-2"/>
        </w:rPr>
        <w:t>现值两者中较低者，作为入账价值。最低租赁付款额作为长期应付款的入账价值，其差额作为未确认融资费用。在租赁谈判</w:t>
      </w:r>
      <w:r>
        <w:rPr>
          <w:spacing w:val="-66"/>
        </w:rPr>
        <w:t> </w:t>
      </w:r>
      <w:r>
        <w:rPr>
          <w:spacing w:val="-66"/>
        </w:rPr>
      </w:r>
      <w:r>
        <w:rPr>
          <w:spacing w:val="-4"/>
        </w:rPr>
        <w:t>和签订租赁合同过程中发生的，可归属于租赁项目的手续费、律师费、差旅费、印花税等初始直接费用，计入租入资产价值。</w:t>
      </w:r>
      <w:r>
        <w:rPr>
          <w:spacing w:val="-44"/>
        </w:rPr>
        <w:t> </w:t>
      </w:r>
      <w:r>
        <w:rPr>
          <w:spacing w:val="-44"/>
        </w:rPr>
      </w:r>
      <w:r>
        <w:rPr>
          <w:spacing w:val="-2"/>
        </w:rPr>
        <w:t>未确认融资费用在租赁期内各个期间采用实际利率法进行分摊。融资租入的固定资产采用与自有固定资产一致的政策计提租</w:t>
      </w:r>
      <w:r>
        <w:rPr>
          <w:spacing w:val="-64"/>
        </w:rPr>
        <w:t> </w:t>
      </w:r>
      <w:r>
        <w:rPr>
          <w:spacing w:val="-64"/>
        </w:rPr>
      </w:r>
      <w:r>
        <w:rPr>
          <w:spacing w:val="-2"/>
        </w:rPr>
        <w:t>赁资产折旧。能够合理确定租赁期届满时将会取得租赁资产所有权的，在租赁资产尚可使用年限内计提折旧；无法合理确定</w:t>
      </w:r>
      <w:r>
        <w:rPr>
          <w:spacing w:val="-66"/>
        </w:rPr>
        <w:t> </w:t>
      </w:r>
      <w:r>
        <w:rPr>
          <w:spacing w:val="-66"/>
        </w:rPr>
      </w:r>
      <w:r>
        <w:rPr/>
        <w:t>租赁期届满时能够取得租赁资产所有权的，在租赁期与租赁资产尚可使用年限两者中较短的期间内计提折旧。</w:t>
      </w:r>
    </w:p>
    <w:p>
      <w:pPr>
        <w:spacing w:line="240" w:lineRule="auto" w:before="3"/>
        <w:rPr>
          <w:rFonts w:ascii="宋体" w:hAnsi="宋体" w:cs="宋体" w:eastAsia="宋体" w:hint="default"/>
          <w:sz w:val="22"/>
          <w:szCs w:val="22"/>
        </w:rPr>
      </w:pPr>
    </w:p>
    <w:p>
      <w:pPr>
        <w:pStyle w:val="Heading3"/>
        <w:spacing w:line="240" w:lineRule="auto"/>
        <w:ind w:left="153" w:right="0"/>
        <w:jc w:val="left"/>
        <w:rPr>
          <w:b w:val="0"/>
          <w:bCs w:val="0"/>
        </w:rPr>
      </w:pPr>
      <w:bookmarkStart w:name="17、在建工程" w:id="194"/>
      <w:bookmarkEnd w:id="194"/>
      <w:r>
        <w:rPr>
          <w:b w:val="0"/>
          <w:bCs w:val="0"/>
        </w:rPr>
      </w:r>
      <w:r>
        <w:rPr>
          <w:rFonts w:ascii="宋体" w:hAnsi="宋体" w:cs="宋体" w:eastAsia="宋体" w:hint="default"/>
        </w:rPr>
        <w:t>17</w:t>
      </w:r>
      <w:r>
        <w:rPr/>
        <w:t>、在建工程</w:t>
      </w:r>
      <w:r>
        <w:rPr>
          <w:b w:val="0"/>
          <w:bCs w:val="0"/>
        </w:rPr>
      </w:r>
    </w:p>
    <w:p>
      <w:pPr>
        <w:spacing w:line="240" w:lineRule="auto" w:before="12"/>
        <w:rPr>
          <w:rFonts w:ascii="宋体" w:hAnsi="宋体" w:cs="宋体" w:eastAsia="宋体" w:hint="default"/>
          <w:b/>
          <w:bCs/>
          <w:sz w:val="27"/>
          <w:szCs w:val="27"/>
        </w:rPr>
      </w:pPr>
    </w:p>
    <w:p>
      <w:pPr>
        <w:pStyle w:val="BodyText"/>
        <w:spacing w:line="360" w:lineRule="auto"/>
        <w:ind w:left="153" w:right="7693"/>
        <w:jc w:val="left"/>
      </w:pPr>
      <w:r>
        <w:rPr/>
        <w:t>公司是否需要遵守特殊行业的披露要求 否</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18、借款费用" w:id="195"/>
      <w:bookmarkEnd w:id="195"/>
      <w:r>
        <w:rPr>
          <w:b w:val="0"/>
          <w:bCs w:val="0"/>
        </w:rPr>
      </w:r>
      <w:r>
        <w:rPr>
          <w:rFonts w:ascii="宋体" w:hAnsi="宋体" w:cs="宋体" w:eastAsia="宋体" w:hint="default"/>
        </w:rPr>
        <w:t>18</w:t>
      </w:r>
      <w:r>
        <w:rPr/>
        <w:t>、借款费用</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513" w:right="0"/>
        <w:jc w:val="left"/>
      </w:pPr>
      <w:r>
        <w:rPr/>
        <w:t>（</w:t>
      </w:r>
      <w:r>
        <w:rPr>
          <w:rFonts w:ascii="宋体" w:hAnsi="宋体" w:cs="宋体" w:eastAsia="宋体" w:hint="default"/>
        </w:rPr>
        <w:t>1</w:t>
      </w:r>
      <w:r>
        <w:rPr/>
        <w:t>）借款费用资本化的确认原则 </w:t>
      </w:r>
      <w:r>
        <w:rPr>
          <w:spacing w:val="-2"/>
        </w:rPr>
        <w:t>本公司发生的借款费用，可直接归属于符合资本化条件的资产的购建或者生产的，予以资本化，计入相关资产成本；其</w:t>
      </w:r>
    </w:p>
    <w:p>
      <w:pPr>
        <w:pStyle w:val="BodyText"/>
        <w:spacing w:line="225" w:lineRule="exact"/>
        <w:ind w:left="153" w:right="0"/>
        <w:jc w:val="left"/>
      </w:pPr>
      <w:r>
        <w:rPr/>
        <w:t>他借款费用，在发生时根据其发生额确认为费用，计入当期损益。借款费用同时满足下列条件的，开始资本化：</w:t>
      </w:r>
    </w:p>
    <w:p>
      <w:pPr>
        <w:pStyle w:val="BodyText"/>
        <w:spacing w:line="319" w:lineRule="auto" w:before="115"/>
        <w:ind w:right="1122" w:firstLine="360"/>
        <w:jc w:val="left"/>
      </w:pPr>
      <w:r>
        <w:rPr/>
        <w:t>① 资产支出已经发生，资产支出包括为购建或者生产符合资本化条件的资产而以支付现金、转移非现金资产或者承担 带息债务形式发生的支出；</w:t>
      </w:r>
    </w:p>
    <w:p>
      <w:pPr>
        <w:pStyle w:val="BodyText"/>
        <w:spacing w:line="240" w:lineRule="auto" w:before="58"/>
        <w:ind w:left="514" w:right="0"/>
        <w:jc w:val="left"/>
      </w:pPr>
      <w:r>
        <w:rPr/>
        <w:t>② 借款费用已经发生；</w:t>
      </w:r>
    </w:p>
    <w:p>
      <w:pPr>
        <w:pStyle w:val="BodyText"/>
        <w:spacing w:line="240" w:lineRule="auto" w:before="116"/>
        <w:ind w:left="514" w:right="0"/>
        <w:jc w:val="left"/>
      </w:pPr>
      <w:r>
        <w:rPr/>
        <w:t>③ 为使资产达到预定可使用或者可销售状态所必要的购建或者生产活动已经开始。</w:t>
      </w:r>
    </w:p>
    <w:p>
      <w:pPr>
        <w:pStyle w:val="BodyText"/>
        <w:spacing w:line="357" w:lineRule="auto" w:before="116"/>
        <w:ind w:left="514" w:right="0"/>
        <w:jc w:val="left"/>
      </w:pPr>
      <w:r>
        <w:rPr/>
        <w:t>（</w:t>
      </w:r>
      <w:r>
        <w:rPr>
          <w:rFonts w:ascii="宋体" w:hAnsi="宋体" w:cs="宋体" w:eastAsia="宋体" w:hint="default"/>
        </w:rPr>
        <w:t>2</w:t>
      </w:r>
      <w:r>
        <w:rPr/>
        <w:t>）借款费用资本化期间 </w:t>
      </w:r>
      <w:r>
        <w:rPr>
          <w:spacing w:val="-2"/>
        </w:rPr>
        <w:t>本公司购建或者生产符合资本化条件的资产达到预定可使用或者可销售状态时，借款费用停止资本化。在符合资本化条</w:t>
      </w:r>
    </w:p>
    <w:p>
      <w:pPr>
        <w:spacing w:after="0" w:line="357" w:lineRule="auto"/>
        <w:jc w:val="left"/>
        <w:sectPr>
          <w:pgSz w:w="11910" w:h="16840"/>
          <w:pgMar w:header="877" w:footer="1187" w:top="1100" w:bottom="1380" w:left="980" w:right="0"/>
        </w:sectPr>
      </w:pPr>
    </w:p>
    <w:p>
      <w:pPr>
        <w:spacing w:line="240" w:lineRule="auto" w:before="13"/>
        <w:rPr>
          <w:rFonts w:ascii="宋体" w:hAnsi="宋体" w:cs="宋体" w:eastAsia="宋体" w:hint="default"/>
          <w:sz w:val="21"/>
          <w:szCs w:val="21"/>
        </w:rPr>
      </w:pPr>
    </w:p>
    <w:p>
      <w:pPr>
        <w:pStyle w:val="BodyText"/>
        <w:spacing w:line="357" w:lineRule="auto" w:before="44"/>
        <w:ind w:left="513" w:right="1027" w:hanging="360"/>
        <w:jc w:val="left"/>
      </w:pPr>
      <w:r>
        <w:rPr/>
        <w:t>件的资产达到预定可使用或者可销售状态之后所发生的借款费用，在发生时根据其发生额确认为费用，计入当期损益。 </w:t>
      </w:r>
      <w:r>
        <w:rPr>
          <w:spacing w:val="-3"/>
        </w:rPr>
        <w:t>符合资本化条件的资产在购建或者生产过程中发生非正常中断、且中断时间连续超过</w:t>
      </w:r>
      <w:r>
        <w:rPr/>
        <w:t> </w:t>
      </w:r>
      <w:r>
        <w:rPr>
          <w:rFonts w:ascii="宋体" w:hAnsi="宋体" w:cs="宋体" w:eastAsia="宋体" w:hint="default"/>
        </w:rPr>
        <w:t>3</w:t>
      </w:r>
      <w:r>
        <w:rPr>
          <w:rFonts w:ascii="宋体" w:hAnsi="宋体" w:cs="宋体" w:eastAsia="宋体" w:hint="default"/>
          <w:spacing w:val="-63"/>
        </w:rPr>
        <w:t> </w:t>
      </w:r>
      <w:r>
        <w:rPr>
          <w:spacing w:val="-6"/>
        </w:rPr>
        <w:t>个月的，暂停借款费用的资本化；</w:t>
      </w:r>
    </w:p>
    <w:p>
      <w:pPr>
        <w:pStyle w:val="BodyText"/>
        <w:spacing w:line="225" w:lineRule="exact"/>
        <w:ind w:left="153" w:right="0"/>
        <w:jc w:val="left"/>
      </w:pPr>
      <w:r>
        <w:rPr/>
        <w:t>正常中断期间的借款费用继续资本化。</w:t>
      </w:r>
    </w:p>
    <w:p>
      <w:pPr>
        <w:pStyle w:val="BodyText"/>
        <w:spacing w:line="357" w:lineRule="auto" w:before="117"/>
        <w:ind w:left="514" w:right="0"/>
        <w:jc w:val="left"/>
      </w:pPr>
      <w:r>
        <w:rPr/>
        <w:t>（</w:t>
      </w:r>
      <w:r>
        <w:rPr>
          <w:rFonts w:ascii="宋体" w:hAnsi="宋体" w:cs="宋体" w:eastAsia="宋体" w:hint="default"/>
        </w:rPr>
        <w:t>3</w:t>
      </w:r>
      <w:r>
        <w:rPr/>
        <w:t>）借款费用资本化率以及资本化金额的计算方法 </w:t>
      </w:r>
      <w:r>
        <w:rPr>
          <w:spacing w:val="-2"/>
        </w:rPr>
        <w:t>专门借款当期实际发生的利息费用，减去尚未动用的借款资金存入银行取得的利息收入或进行暂时性投资取得的投资收</w:t>
      </w:r>
    </w:p>
    <w:p>
      <w:pPr>
        <w:pStyle w:val="BodyText"/>
        <w:spacing w:line="224" w:lineRule="exact"/>
        <w:ind w:right="0"/>
        <w:jc w:val="left"/>
      </w:pPr>
      <w:r>
        <w:rPr/>
        <w:t>益后的金额予以资本化</w:t>
      </w:r>
      <w:r>
        <w:rPr>
          <w:spacing w:val="-82"/>
        </w:rPr>
        <w:t>；</w:t>
      </w:r>
      <w:r>
        <w:rPr/>
        <w:t>一般借款根据累计资产支出超过专门借款部分的资产支出加权平均数乘以所占用一般借款的资本化</w:t>
      </w:r>
    </w:p>
    <w:p>
      <w:pPr>
        <w:pStyle w:val="BodyText"/>
        <w:spacing w:line="357" w:lineRule="auto" w:before="77"/>
        <w:ind w:left="513" w:right="2473" w:hanging="360"/>
        <w:jc w:val="left"/>
      </w:pPr>
      <w:r>
        <w:rPr/>
        <w:t>率，确定资本化金额。资本化率根据一般借款的加权平均利率计算确定。 资本化期间内，外币专门借款的汇兑差额全部予以资本化；外币一般借款的汇兑差额计入当期损益。</w:t>
      </w:r>
    </w:p>
    <w:p>
      <w:pPr>
        <w:spacing w:line="240" w:lineRule="auto" w:before="1"/>
        <w:rPr>
          <w:rFonts w:ascii="宋体" w:hAnsi="宋体" w:cs="宋体" w:eastAsia="宋体" w:hint="default"/>
          <w:sz w:val="20"/>
          <w:szCs w:val="20"/>
        </w:rPr>
      </w:pPr>
    </w:p>
    <w:p>
      <w:pPr>
        <w:pStyle w:val="Heading3"/>
        <w:spacing w:line="240" w:lineRule="auto"/>
        <w:ind w:left="153" w:right="0"/>
        <w:jc w:val="left"/>
        <w:rPr>
          <w:b w:val="0"/>
          <w:bCs w:val="0"/>
        </w:rPr>
      </w:pPr>
      <w:bookmarkStart w:name="19、生物资产" w:id="196"/>
      <w:bookmarkEnd w:id="196"/>
      <w:r>
        <w:rPr>
          <w:b w:val="0"/>
          <w:bCs w:val="0"/>
        </w:rPr>
      </w:r>
      <w:r>
        <w:rPr>
          <w:rFonts w:ascii="宋体" w:hAnsi="宋体" w:cs="宋体" w:eastAsia="宋体" w:hint="default"/>
        </w:rPr>
        <w:t>19</w:t>
      </w:r>
      <w:r>
        <w:rPr/>
        <w:t>、生物资产</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53" w:right="0"/>
        <w:jc w:val="left"/>
        <w:rPr>
          <w:b w:val="0"/>
          <w:bCs w:val="0"/>
        </w:rPr>
      </w:pPr>
      <w:bookmarkStart w:name="20、油气资产" w:id="197"/>
      <w:bookmarkEnd w:id="197"/>
      <w:r>
        <w:rPr>
          <w:b w:val="0"/>
          <w:bCs w:val="0"/>
        </w:rPr>
      </w:r>
      <w:r>
        <w:rPr>
          <w:rFonts w:ascii="宋体" w:hAnsi="宋体" w:cs="宋体" w:eastAsia="宋体" w:hint="default"/>
        </w:rPr>
        <w:t>20</w:t>
      </w:r>
      <w:r>
        <w:rPr/>
        <w:t>、油气资产</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53" w:right="0"/>
        <w:jc w:val="left"/>
        <w:rPr>
          <w:b w:val="0"/>
          <w:bCs w:val="0"/>
        </w:rPr>
      </w:pPr>
      <w:bookmarkStart w:name="21、无形资产" w:id="198"/>
      <w:bookmarkEnd w:id="198"/>
      <w:r>
        <w:rPr>
          <w:b w:val="0"/>
          <w:bCs w:val="0"/>
        </w:rPr>
      </w:r>
      <w:r>
        <w:rPr>
          <w:rFonts w:ascii="宋体" w:hAnsi="宋体" w:cs="宋体" w:eastAsia="宋体" w:hint="default"/>
        </w:rPr>
        <w:t>21</w:t>
      </w:r>
      <w:r>
        <w:rPr/>
        <w:t>、无形资产</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53" w:right="0"/>
        <w:jc w:val="left"/>
        <w:rPr>
          <w:b w:val="0"/>
          <w:bCs w:val="0"/>
        </w:rPr>
      </w:pPr>
      <w:bookmarkStart w:name="（1）计价方法、使用寿命、减值测试" w:id="199"/>
      <w:bookmarkEnd w:id="199"/>
      <w:r>
        <w:rPr>
          <w:b w:val="0"/>
          <w:bCs w:val="0"/>
        </w:rPr>
      </w:r>
      <w:r>
        <w:rPr/>
        <w:t>（</w:t>
      </w:r>
      <w:r>
        <w:rPr>
          <w:rFonts w:ascii="宋体" w:hAnsi="宋体" w:cs="宋体" w:eastAsia="宋体" w:hint="default"/>
        </w:rPr>
        <w:t>1</w:t>
      </w:r>
      <w:r>
        <w:rPr/>
        <w:t>）计价方法、使用寿命、减值测试</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left="513" w:right="0"/>
        <w:jc w:val="left"/>
      </w:pPr>
      <w:r>
        <w:rPr/>
        <w:t>本公司无形资产包括专利权、非专利技术、域名、商标、客户关系、技术研发、特许权和软件等。 </w:t>
      </w:r>
      <w:r>
        <w:rPr>
          <w:spacing w:val="-2"/>
        </w:rPr>
        <w:t>无形资产按照成本进行初始计量，并于取得无形资产时分析判断其使用寿命。使用寿命为有限的，自无形资产可供使用</w:t>
      </w:r>
    </w:p>
    <w:p>
      <w:pPr>
        <w:pStyle w:val="BodyText"/>
        <w:spacing w:line="224" w:lineRule="exact"/>
        <w:ind w:left="153" w:right="0"/>
        <w:jc w:val="left"/>
      </w:pPr>
      <w:r>
        <w:rPr/>
        <w:t>时起，采用能反映与该资产有关的经济利益的预期实现方式的摊销方法，在预计使用年限内摊销；无法可靠确定预期实现方</w:t>
      </w:r>
    </w:p>
    <w:p>
      <w:pPr>
        <w:pStyle w:val="BodyText"/>
        <w:spacing w:line="357" w:lineRule="auto" w:before="77"/>
        <w:ind w:left="514" w:right="5532" w:hanging="360"/>
        <w:jc w:val="left"/>
      </w:pPr>
      <w:r>
        <w:rPr/>
        <w:t>式的，采用直线法摊销；使用寿命不确定的无形资产，不作摊销。 使用寿命有限的无形资产摊销方法如下：</w:t>
      </w:r>
    </w:p>
    <w:tbl>
      <w:tblPr>
        <w:tblW w:w="0" w:type="auto"/>
        <w:jc w:val="left"/>
        <w:tblInd w:w="149" w:type="dxa"/>
        <w:tblLayout w:type="fixed"/>
        <w:tblCellMar>
          <w:top w:w="0" w:type="dxa"/>
          <w:left w:w="0" w:type="dxa"/>
          <w:bottom w:w="0" w:type="dxa"/>
          <w:right w:w="0" w:type="dxa"/>
        </w:tblCellMar>
        <w:tblLook w:val="01E0"/>
      </w:tblPr>
      <w:tblGrid>
        <w:gridCol w:w="3802"/>
        <w:gridCol w:w="2522"/>
        <w:gridCol w:w="2957"/>
      </w:tblGrid>
      <w:tr>
        <w:trPr>
          <w:trHeight w:val="342"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b/>
                <w:bCs/>
                <w:w w:val="95"/>
                <w:sz w:val="18"/>
                <w:szCs w:val="18"/>
              </w:rPr>
              <w:t>使用寿命</w:t>
            </w:r>
            <w:r>
              <w:rPr>
                <w:rFonts w:ascii="宋体" w:hAnsi="宋体" w:cs="宋体" w:eastAsia="宋体" w:hint="default"/>
                <w:sz w:val="18"/>
                <w:szCs w:val="18"/>
              </w:rPr>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b/>
                <w:bCs/>
                <w:w w:val="95"/>
                <w:sz w:val="18"/>
                <w:szCs w:val="18"/>
              </w:rPr>
              <w:t>摊销方法</w:t>
            </w:r>
            <w:r>
              <w:rPr>
                <w:rFonts w:ascii="宋体" w:hAnsi="宋体" w:cs="宋体" w:eastAsia="宋体" w:hint="default"/>
                <w:sz w:val="18"/>
                <w:szCs w:val="18"/>
              </w:rPr>
            </w:r>
          </w:p>
        </w:tc>
      </w:tr>
      <w:tr>
        <w:trPr>
          <w:trHeight w:val="342"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3-20</w:t>
            </w:r>
            <w:r>
              <w:rPr>
                <w:rFonts w:ascii="宋体" w:hAnsi="宋体" w:cs="宋体" w:eastAsia="宋体" w:hint="default"/>
                <w:sz w:val="18"/>
                <w:szCs w:val="18"/>
              </w:rPr>
              <w:t>年</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直线法</w:t>
            </w:r>
          </w:p>
        </w:tc>
      </w:tr>
      <w:tr>
        <w:trPr>
          <w:trHeight w:val="342"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z w:val="18"/>
                <w:szCs w:val="18"/>
              </w:rPr>
              <w:t>年</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直线法</w:t>
            </w:r>
          </w:p>
        </w:tc>
      </w:tr>
      <w:tr>
        <w:trPr>
          <w:trHeight w:val="342"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域名</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年</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直线法</w:t>
            </w:r>
          </w:p>
        </w:tc>
      </w:tr>
      <w:tr>
        <w:trPr>
          <w:trHeight w:val="342"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8-10</w:t>
            </w:r>
            <w:r>
              <w:rPr>
                <w:rFonts w:ascii="宋体" w:hAnsi="宋体" w:cs="宋体" w:eastAsia="宋体" w:hint="default"/>
                <w:sz w:val="18"/>
                <w:szCs w:val="18"/>
              </w:rPr>
              <w:t>年</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直线法</w:t>
            </w:r>
          </w:p>
        </w:tc>
      </w:tr>
      <w:tr>
        <w:trPr>
          <w:trHeight w:val="342"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客户关系</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8-10</w:t>
            </w:r>
            <w:r>
              <w:rPr>
                <w:rFonts w:ascii="宋体" w:hAnsi="宋体" w:cs="宋体" w:eastAsia="宋体" w:hint="default"/>
                <w:sz w:val="18"/>
                <w:szCs w:val="18"/>
              </w:rPr>
              <w:t>年</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直线法</w:t>
            </w:r>
          </w:p>
        </w:tc>
      </w:tr>
      <w:tr>
        <w:trPr>
          <w:trHeight w:val="342"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技术研发</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5-10</w:t>
            </w:r>
            <w:r>
              <w:rPr>
                <w:rFonts w:ascii="宋体" w:hAnsi="宋体" w:cs="宋体" w:eastAsia="宋体" w:hint="default"/>
                <w:sz w:val="18"/>
                <w:szCs w:val="18"/>
              </w:rPr>
              <w:t>年</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直线法</w:t>
            </w:r>
          </w:p>
        </w:tc>
      </w:tr>
      <w:tr>
        <w:trPr>
          <w:trHeight w:val="342"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特许权</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1-10</w:t>
            </w:r>
            <w:r>
              <w:rPr>
                <w:rFonts w:ascii="宋体" w:hAnsi="宋体" w:cs="宋体" w:eastAsia="宋体" w:hint="default"/>
                <w:sz w:val="18"/>
                <w:szCs w:val="18"/>
              </w:rPr>
              <w:t>年</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直线法</w:t>
            </w:r>
          </w:p>
        </w:tc>
      </w:tr>
      <w:tr>
        <w:trPr>
          <w:trHeight w:val="342"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1-10</w:t>
            </w:r>
            <w:r>
              <w:rPr>
                <w:rFonts w:ascii="宋体" w:hAnsi="宋体" w:cs="宋体" w:eastAsia="宋体" w:hint="default"/>
                <w:sz w:val="18"/>
                <w:szCs w:val="18"/>
              </w:rPr>
              <w:t>年</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直线法</w:t>
            </w:r>
          </w:p>
        </w:tc>
      </w:tr>
    </w:tbl>
    <w:p>
      <w:pPr>
        <w:pStyle w:val="BodyText"/>
        <w:spacing w:line="316" w:lineRule="auto" w:before="69"/>
        <w:ind w:right="0" w:firstLine="360"/>
        <w:jc w:val="left"/>
      </w:pPr>
      <w:r>
        <w:rPr>
          <w:spacing w:val="-2"/>
        </w:rPr>
        <w:t>本公司于每年年度终了，对使用寿命有限的无形资产的使用寿命及摊销方法进行复核，与以前估计不同的，调整原先估</w:t>
      </w:r>
      <w:r>
        <w:rPr/>
        <w:t> 计数，并按会计估计变更处理。</w:t>
      </w:r>
    </w:p>
    <w:p>
      <w:pPr>
        <w:pStyle w:val="BodyText"/>
        <w:spacing w:line="357" w:lineRule="auto" w:before="59"/>
        <w:ind w:left="514" w:right="1032"/>
        <w:jc w:val="left"/>
      </w:pPr>
      <w:r>
        <w:rPr/>
        <w:t>资产负债表日预计某项无形资产已经不能给企业带来未来经济利益的，将该项无形资产的账面价值全部转入当期损益。 无形资产计提资产减值方法见附注五、</w:t>
      </w:r>
      <w:r>
        <w:rPr>
          <w:rFonts w:ascii="宋体" w:hAnsi="宋体" w:cs="宋体" w:eastAsia="宋体" w:hint="default"/>
        </w:rPr>
        <w:t>22</w:t>
      </w:r>
      <w:r>
        <w:rPr/>
        <w:t>。</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2）内部研究开发支出会计政策" w:id="200"/>
      <w:bookmarkEnd w:id="200"/>
      <w:r>
        <w:rPr>
          <w:b w:val="0"/>
          <w:bCs w:val="0"/>
        </w:rPr>
      </w:r>
      <w:r>
        <w:rPr/>
        <w:t>（</w:t>
      </w:r>
      <w:r>
        <w:rPr>
          <w:rFonts w:ascii="宋体" w:hAnsi="宋体" w:cs="宋体" w:eastAsia="宋体" w:hint="default"/>
        </w:rPr>
        <w:t>2</w:t>
      </w:r>
      <w:r>
        <w:rPr/>
        <w:t>）内部研究开发支出会计政策</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513" w:right="1118"/>
        <w:jc w:val="left"/>
      </w:pPr>
      <w:r>
        <w:rPr/>
        <w:t>本公司将内部研究开发项目的支出，区分为研究阶段支出和开发阶段支出。 研究阶段的支出，于发生时计入当期损益。 </w:t>
      </w:r>
      <w:r>
        <w:rPr>
          <w:spacing w:val="-2"/>
        </w:rPr>
        <w:t>开发阶段的支出，同时满足下列条件的，才能予以资本化，即：完成该无形资产以使其能够使用或出售在技术上具有可</w:t>
      </w:r>
    </w:p>
    <w:p>
      <w:pPr>
        <w:pStyle w:val="BodyText"/>
        <w:spacing w:line="224" w:lineRule="exact"/>
        <w:ind w:left="153" w:right="0"/>
        <w:jc w:val="left"/>
      </w:pPr>
      <w:r>
        <w:rPr/>
        <w:t>行性；具有完成该无形资产并使用或出售的意图；无形资产产生经济利益的方式，包括能够证明运用该无形资产生产的产品</w:t>
      </w:r>
    </w:p>
    <w:p>
      <w:pPr>
        <w:spacing w:after="0" w:line="224" w:lineRule="exact"/>
        <w:jc w:val="left"/>
        <w:sectPr>
          <w:pgSz w:w="11910" w:h="16840"/>
          <w:pgMar w:header="877" w:footer="1187" w:top="1100" w:bottom="1380" w:left="980" w:right="0"/>
        </w:sectPr>
      </w:pPr>
    </w:p>
    <w:p>
      <w:pPr>
        <w:spacing w:line="240" w:lineRule="auto" w:before="12"/>
        <w:rPr>
          <w:rFonts w:ascii="宋体" w:hAnsi="宋体" w:cs="宋体" w:eastAsia="宋体" w:hint="default"/>
          <w:sz w:val="21"/>
          <w:szCs w:val="21"/>
        </w:rPr>
      </w:pPr>
    </w:p>
    <w:p>
      <w:pPr>
        <w:pStyle w:val="BodyText"/>
        <w:spacing w:line="319" w:lineRule="auto" w:before="44"/>
        <w:ind w:right="1131"/>
        <w:jc w:val="both"/>
      </w:pPr>
      <w:r>
        <w:rPr>
          <w:spacing w:val="-2"/>
        </w:rPr>
        <w:t>存在市场或无形资产自身存在市场，无形资产将在内部使用的，能够证明其有用性；有足够的技术、财务资源和其他资源支</w:t>
      </w:r>
      <w:r>
        <w:rPr>
          <w:spacing w:val="-66"/>
        </w:rPr>
        <w:t> </w:t>
      </w:r>
      <w:r>
        <w:rPr>
          <w:spacing w:val="-66"/>
        </w:rPr>
      </w:r>
      <w:r>
        <w:rPr>
          <w:spacing w:val="-2"/>
        </w:rPr>
        <w:t>持，以完成该无形资产的开发，并有能力使用或出售该无形资产；归属于该无形资产开发阶段的支出能够可靠地计量。不满</w:t>
      </w:r>
      <w:r>
        <w:rPr>
          <w:spacing w:val="-66"/>
        </w:rPr>
        <w:t> </w:t>
      </w:r>
      <w:r>
        <w:rPr>
          <w:spacing w:val="-66"/>
        </w:rPr>
      </w:r>
      <w:r>
        <w:rPr/>
        <w:t>足上述条件的开发支出计入当期损益。</w:t>
      </w:r>
    </w:p>
    <w:p>
      <w:pPr>
        <w:pStyle w:val="BodyText"/>
        <w:spacing w:line="360" w:lineRule="auto" w:before="56"/>
        <w:ind w:left="514" w:right="1752"/>
        <w:jc w:val="left"/>
      </w:pPr>
      <w:r>
        <w:rPr/>
        <w:t>本公司研究开发项目在满足上述条件，通过技术可行性及经济可行性研究，形成项目立项后，进入开发阶段。 已资本化的开发阶段的支出在资产负债表上列示为开发支出，自该项目达到预定用途之日转为无形资产。</w:t>
      </w:r>
    </w:p>
    <w:p>
      <w:pPr>
        <w:spacing w:line="240" w:lineRule="auto" w:before="11"/>
        <w:rPr>
          <w:rFonts w:ascii="宋体" w:hAnsi="宋体" w:cs="宋体" w:eastAsia="宋体" w:hint="default"/>
          <w:sz w:val="19"/>
          <w:szCs w:val="19"/>
        </w:rPr>
      </w:pPr>
    </w:p>
    <w:p>
      <w:pPr>
        <w:pStyle w:val="Heading3"/>
        <w:spacing w:line="240" w:lineRule="auto"/>
        <w:ind w:right="0"/>
        <w:jc w:val="both"/>
        <w:rPr>
          <w:b w:val="0"/>
          <w:bCs w:val="0"/>
        </w:rPr>
      </w:pPr>
      <w:bookmarkStart w:name="22、长期资产减值" w:id="201"/>
      <w:bookmarkEnd w:id="201"/>
      <w:r>
        <w:rPr>
          <w:b w:val="0"/>
          <w:bCs w:val="0"/>
        </w:rPr>
      </w:r>
      <w:r>
        <w:rPr>
          <w:rFonts w:ascii="宋体" w:hAnsi="宋体" w:cs="宋体" w:eastAsia="宋体" w:hint="default"/>
        </w:rPr>
        <w:t>22</w:t>
      </w:r>
      <w:r>
        <w:rPr/>
        <w:t>、长期资产减值</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ind w:right="1050" w:firstLine="360"/>
        <w:jc w:val="both"/>
      </w:pPr>
      <w:r>
        <w:rPr/>
        <w:t>对子公司、联营企业的长期股权投资、固定资产、无形资产和商誉等（递延所得税资产、金融资产除外）的资产减值， 按以下方法确定：</w:t>
      </w:r>
    </w:p>
    <w:p>
      <w:pPr>
        <w:pStyle w:val="BodyText"/>
        <w:spacing w:line="319" w:lineRule="auto" w:before="55"/>
        <w:ind w:right="0" w:firstLine="360"/>
        <w:jc w:val="left"/>
      </w:pPr>
      <w:r>
        <w:rPr>
          <w:spacing w:val="-4"/>
        </w:rPr>
        <w:t>于资产负债表日判断资产是否存在可能发生减值的迹象，存在减值迹象的，本公司将估计其可收回金额，进行减值测试。</w:t>
      </w:r>
      <w:r>
        <w:rPr/>
        <w:t> </w:t>
      </w:r>
      <w:r>
        <w:rPr>
          <w:spacing w:val="-2"/>
        </w:rPr>
        <w:t>对因企业合并所形成的商誉、使用寿命不确定的无形资产和尚未达到可使用状态的无形资产无论是否存在减值迹象，每年都</w:t>
      </w:r>
      <w:r>
        <w:rPr>
          <w:spacing w:val="-64"/>
        </w:rPr>
        <w:t> </w:t>
      </w:r>
      <w:r>
        <w:rPr>
          <w:spacing w:val="-64"/>
        </w:rPr>
      </w:r>
      <w:r>
        <w:rPr/>
        <w:t>进行减值测试。</w:t>
      </w:r>
    </w:p>
    <w:p>
      <w:pPr>
        <w:pStyle w:val="BodyText"/>
        <w:spacing w:line="319" w:lineRule="auto" w:before="55"/>
        <w:ind w:right="1130" w:firstLine="360"/>
        <w:jc w:val="both"/>
      </w:pPr>
      <w:r>
        <w:rPr>
          <w:spacing w:val="-2"/>
        </w:rPr>
        <w:t>可收回金额根据资产的公允价值减去处置费用后的净额与资产预计未来现金流量的现值两者之间较高者确定。本公司以</w:t>
      </w:r>
      <w:r>
        <w:rPr/>
        <w:t> </w:t>
      </w:r>
      <w:r>
        <w:rPr>
          <w:spacing w:val="-2"/>
        </w:rPr>
        <w:t>单项资产为基础估计其可收回金额；难以对单项资产的可收回金额进行估计的，以该资产所属的资产组为基础确定资产组的</w:t>
      </w:r>
      <w:r>
        <w:rPr>
          <w:spacing w:val="-64"/>
        </w:rPr>
        <w:t> </w:t>
      </w:r>
      <w:r>
        <w:rPr>
          <w:spacing w:val="-64"/>
        </w:rPr>
      </w:r>
      <w:r>
        <w:rPr/>
        <w:t>可收回金额。资产组的认定，以资产组产生的主要现金流入是否独立于其他资产或者资产组的现金流入为依据。</w:t>
      </w:r>
    </w:p>
    <w:p>
      <w:pPr>
        <w:pStyle w:val="BodyText"/>
        <w:spacing w:line="319" w:lineRule="auto" w:before="56"/>
        <w:ind w:left="153" w:right="1050" w:firstLine="360"/>
        <w:jc w:val="both"/>
      </w:pPr>
      <w:r>
        <w:rPr/>
        <w:t>当资产或资产组的可收回金额低于其账面价值时，本公司将其账面价值减记至可收回金额，减记的金额计入当期损益， 同时计提相应的资产减值准备。</w:t>
      </w:r>
    </w:p>
    <w:p>
      <w:pPr>
        <w:pStyle w:val="BodyText"/>
        <w:spacing w:line="319" w:lineRule="auto" w:before="55"/>
        <w:ind w:left="153" w:right="1132" w:firstLine="360"/>
        <w:jc w:val="both"/>
      </w:pPr>
      <w:r>
        <w:rPr>
          <w:spacing w:val="-2"/>
        </w:rPr>
        <w:t>就商誉的减值测试而言，对于因企业合并形成的商誉的账面价值，自购买日起按照合理的方法分摊至相关的资产组；难</w:t>
      </w:r>
      <w:r>
        <w:rPr/>
        <w:t> </w:t>
      </w:r>
      <w:r>
        <w:rPr>
          <w:spacing w:val="-2"/>
        </w:rPr>
        <w:t>以分摊至相关的资产组的，将其分摊至相关的资产组组合。相关的资产组或资产组组合，是能够从企业合并的协同效应中受</w:t>
      </w:r>
      <w:r>
        <w:rPr>
          <w:spacing w:val="-66"/>
        </w:rPr>
        <w:t> </w:t>
      </w:r>
      <w:r>
        <w:rPr>
          <w:spacing w:val="-66"/>
        </w:rPr>
      </w:r>
      <w:r>
        <w:rPr/>
        <w:t>益的资产组或者资产组组合，且不大于本公司确定的报告分部。</w:t>
      </w:r>
    </w:p>
    <w:p>
      <w:pPr>
        <w:pStyle w:val="BodyText"/>
        <w:spacing w:line="319" w:lineRule="auto" w:before="56"/>
        <w:ind w:left="153" w:right="1131" w:firstLine="360"/>
        <w:jc w:val="both"/>
      </w:pPr>
      <w:r>
        <w:rPr>
          <w:spacing w:val="-2"/>
        </w:rPr>
        <w:t>减值测试时，如与商誉相关的资产组或者资产组组合存在减值迹象的，首先对不包含商誉的资产组或者资产组组合进行</w:t>
      </w:r>
      <w:r>
        <w:rPr/>
        <w:t> </w:t>
      </w:r>
      <w:r>
        <w:rPr>
          <w:spacing w:val="-2"/>
        </w:rPr>
        <w:t>减值测试，计算可收回金额，确认相应的减值损失。然后对包含商誉的资产组或者资产组组合进行减值测试，比较其账面价</w:t>
      </w:r>
      <w:r>
        <w:rPr>
          <w:spacing w:val="-66"/>
        </w:rPr>
        <w:t> </w:t>
      </w:r>
      <w:r>
        <w:rPr>
          <w:spacing w:val="-66"/>
        </w:rPr>
      </w:r>
      <w:r>
        <w:rPr/>
        <w:t>值与可收回金额，如可收回金额低于账面价值的，确认商誉的减值损失。</w:t>
      </w:r>
    </w:p>
    <w:p>
      <w:pPr>
        <w:pStyle w:val="BodyText"/>
        <w:spacing w:line="240" w:lineRule="auto" w:before="58"/>
        <w:ind w:left="513" w:right="0"/>
        <w:jc w:val="left"/>
      </w:pPr>
      <w:r>
        <w:rPr/>
        <w:t>资产减值损失一经确认，在以后会计期间不再转回。</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bookmarkStart w:name="23、长期待摊费用" w:id="202"/>
      <w:bookmarkEnd w:id="202"/>
      <w:r>
        <w:rPr>
          <w:b w:val="0"/>
          <w:bCs w:val="0"/>
        </w:rPr>
      </w:r>
      <w:r>
        <w:rPr>
          <w:rFonts w:ascii="宋体" w:hAnsi="宋体" w:cs="宋体" w:eastAsia="宋体" w:hint="default"/>
        </w:rPr>
        <w:t>23</w:t>
      </w:r>
      <w:r>
        <w:rPr/>
        <w:t>、长期待摊费用</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ind w:right="1131" w:firstLine="360"/>
        <w:jc w:val="both"/>
      </w:pPr>
      <w:r>
        <w:rPr>
          <w:spacing w:val="-2"/>
        </w:rPr>
        <w:t>本公司发生的长期待摊费用按实际成本计价，并按预计受益期限分期摊销。对不能使以后会计期间受益的长期待摊费用</w:t>
      </w:r>
      <w:r>
        <w:rPr/>
        <w:t> 项目，其摊余价值全部计入当期损益。</w:t>
      </w: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bookmarkStart w:name="24、职工薪酬" w:id="203"/>
      <w:bookmarkEnd w:id="203"/>
      <w:r>
        <w:rPr>
          <w:b w:val="0"/>
          <w:bCs w:val="0"/>
        </w:rPr>
      </w:r>
      <w:r>
        <w:rPr>
          <w:rFonts w:ascii="宋体" w:hAnsi="宋体" w:cs="宋体" w:eastAsia="宋体" w:hint="default"/>
        </w:rPr>
        <w:t>24</w:t>
      </w:r>
      <w:r>
        <w:rPr/>
        <w:t>、职工薪酬</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both"/>
        <w:rPr>
          <w:b w:val="0"/>
          <w:bCs w:val="0"/>
        </w:rPr>
      </w:pPr>
      <w:bookmarkStart w:name="（1）短期薪酬的会计处理方法" w:id="204"/>
      <w:bookmarkEnd w:id="204"/>
      <w:r>
        <w:rPr>
          <w:b w:val="0"/>
          <w:bCs w:val="0"/>
        </w:rPr>
      </w:r>
      <w:r>
        <w:rPr/>
        <w:t>（</w:t>
      </w:r>
      <w:r>
        <w:rPr>
          <w:rFonts w:ascii="宋体" w:hAnsi="宋体" w:cs="宋体" w:eastAsia="宋体" w:hint="default"/>
        </w:rPr>
        <w:t>1</w:t>
      </w:r>
      <w:r>
        <w:rPr/>
        <w:t>）短期薪酬的会计处理方法</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right="1131" w:firstLine="360"/>
        <w:jc w:val="both"/>
      </w:pPr>
      <w:r>
        <w:rPr>
          <w:spacing w:val="-2"/>
        </w:rPr>
        <w:t>本公司在职工提供服务的会计期间，将实际发生的职工工资、奖金、按规定的基准和比例为职工缴纳的医疗保险费、工</w:t>
      </w:r>
      <w:r>
        <w:rPr/>
        <w:t> </w:t>
      </w:r>
      <w:r>
        <w:rPr>
          <w:spacing w:val="-2"/>
        </w:rPr>
        <w:t>伤保险费和生育保险费等社会保险费和住房公积金，确认为负债，并计入当期损益或相关资产成本。如果该负债预期在职工</w:t>
      </w:r>
      <w:r>
        <w:rPr>
          <w:spacing w:val="-66"/>
        </w:rPr>
        <w:t> </w:t>
      </w:r>
      <w:r>
        <w:rPr>
          <w:spacing w:val="-66"/>
        </w:rPr>
      </w:r>
      <w:r>
        <w:rPr/>
        <w:t>提供相关服务的年度报告期结束后十二个月内不能完全支付，且财务影响重大的，则该负债将以折现后的金额计量。</w:t>
      </w:r>
    </w:p>
    <w:p>
      <w:pPr>
        <w:spacing w:line="240" w:lineRule="auto" w:before="3"/>
        <w:rPr>
          <w:rFonts w:ascii="宋体" w:hAnsi="宋体" w:cs="宋体" w:eastAsia="宋体" w:hint="default"/>
          <w:sz w:val="22"/>
          <w:szCs w:val="22"/>
        </w:rPr>
      </w:pPr>
    </w:p>
    <w:p>
      <w:pPr>
        <w:pStyle w:val="Heading3"/>
        <w:spacing w:line="240" w:lineRule="auto"/>
        <w:ind w:left="153" w:right="0"/>
        <w:jc w:val="both"/>
        <w:rPr>
          <w:b w:val="0"/>
          <w:bCs w:val="0"/>
        </w:rPr>
      </w:pPr>
      <w:bookmarkStart w:name="（2）离职后福利的会计处理方法" w:id="205"/>
      <w:bookmarkEnd w:id="205"/>
      <w:r>
        <w:rPr>
          <w:b w:val="0"/>
          <w:bCs w:val="0"/>
        </w:rPr>
      </w:r>
      <w:r>
        <w:rPr/>
        <w:t>（</w:t>
      </w:r>
      <w:r>
        <w:rPr>
          <w:rFonts w:ascii="宋体" w:hAnsi="宋体" w:cs="宋体" w:eastAsia="宋体" w:hint="default"/>
        </w:rPr>
        <w:t>2</w:t>
      </w:r>
      <w:r>
        <w:rPr/>
        <w:t>）离职后福利的会计处理方法</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ind w:left="153" w:right="1131" w:firstLine="360"/>
        <w:jc w:val="both"/>
      </w:pPr>
      <w:r>
        <w:rPr>
          <w:spacing w:val="-2"/>
        </w:rPr>
        <w:t>离职后福利计划包括设定提存计划和设定受益计划。其中，设定提存计划，是指向独立的基金缴存固定费用后，企业不</w:t>
      </w:r>
      <w:r>
        <w:rPr/>
        <w:t> 再承担进一步支付义务的离职后福利计划；设定受益计划，是指除设定提存计划以外的离职后福利计划。</w:t>
      </w:r>
    </w:p>
    <w:p>
      <w:pPr>
        <w:pStyle w:val="BodyText"/>
        <w:spacing w:line="240" w:lineRule="auto" w:before="56"/>
        <w:ind w:left="513" w:right="0"/>
        <w:jc w:val="left"/>
      </w:pPr>
      <w:r>
        <w:rPr/>
        <w:t>设定提存计划</w:t>
      </w:r>
    </w:p>
    <w:p>
      <w:pPr>
        <w:spacing w:after="0" w:line="240" w:lineRule="auto"/>
        <w:jc w:val="left"/>
        <w:sectPr>
          <w:pgSz w:w="11910" w:h="16840"/>
          <w:pgMar w:header="877" w:footer="1187" w:top="1100" w:bottom="1380" w:left="980" w:right="0"/>
        </w:sectPr>
      </w:pPr>
    </w:p>
    <w:p>
      <w:pPr>
        <w:spacing w:line="240" w:lineRule="auto" w:before="13"/>
        <w:rPr>
          <w:rFonts w:ascii="宋体" w:hAnsi="宋体" w:cs="宋体" w:eastAsia="宋体" w:hint="default"/>
          <w:sz w:val="21"/>
          <w:szCs w:val="21"/>
        </w:rPr>
      </w:pPr>
    </w:p>
    <w:p>
      <w:pPr>
        <w:pStyle w:val="BodyText"/>
        <w:spacing w:line="360" w:lineRule="auto" w:before="44"/>
        <w:ind w:left="513" w:right="1393"/>
        <w:jc w:val="left"/>
      </w:pPr>
      <w:r>
        <w:rPr/>
        <w:t>设定提存计划包括基本养老保险、失业保险等。 在职工提供服务的会计期间，根据设定提存计划计算的应缴存金额确认为负债，并计入当期损益或相关资产成本。 设定受益计划</w:t>
      </w:r>
    </w:p>
    <w:p>
      <w:pPr>
        <w:pStyle w:val="BodyText"/>
        <w:spacing w:line="240" w:lineRule="auto" w:before="26"/>
        <w:ind w:left="513" w:right="0"/>
        <w:jc w:val="left"/>
      </w:pPr>
      <w:r>
        <w:rPr/>
        <w:t>本公司目前无设定受益计划。</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3）辞退福利的会计处理方法" w:id="206"/>
      <w:bookmarkEnd w:id="206"/>
      <w:r>
        <w:rPr>
          <w:b w:val="0"/>
          <w:bCs w:val="0"/>
        </w:rPr>
      </w:r>
      <w:r>
        <w:rPr/>
        <w:t>（</w:t>
      </w:r>
      <w:r>
        <w:rPr>
          <w:rFonts w:ascii="宋体" w:hAnsi="宋体" w:cs="宋体" w:eastAsia="宋体" w:hint="default"/>
        </w:rPr>
        <w:t>3</w:t>
      </w:r>
      <w:r>
        <w:rPr/>
        <w:t>）辞退福利的会计处理方法</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ind w:left="153" w:right="1118" w:firstLine="360"/>
        <w:jc w:val="left"/>
      </w:pPr>
      <w:r>
        <w:rPr>
          <w:spacing w:val="-2"/>
        </w:rPr>
        <w:t>本公司向职工提供辞退福利的，在下列两者孰早日确认辞退福利产生的职工薪酬负债，并计入当期损益：本公司不能单</w:t>
      </w:r>
      <w:r>
        <w:rPr/>
        <w:t> 方面撤回因解除劳动关系计划或裁减建议所提供的辞退福利时；本公司确认与涉及支付辞退福利的重组相关的成本或费用 时。</w:t>
      </w:r>
    </w:p>
    <w:p>
      <w:pPr>
        <w:pStyle w:val="BodyText"/>
        <w:spacing w:line="319" w:lineRule="auto" w:before="55"/>
        <w:ind w:right="1032" w:firstLine="360"/>
        <w:jc w:val="left"/>
      </w:pPr>
      <w:r>
        <w:rPr/>
        <w:t>实行职工内部退休计划的，在正式退休日之前的经济补偿，属于辞退福利，自职工停止提供服务日至正常退休日期间， </w:t>
      </w:r>
      <w:r>
        <w:rPr>
          <w:spacing w:val="-2"/>
        </w:rPr>
        <w:t>拟支付的内退职工工资和缴纳的社会保险费等一次性计入当期损益。正式退休日期之后的经济补偿（如正常养老退休金），</w:t>
      </w:r>
      <w:r>
        <w:rPr>
          <w:spacing w:val="-72"/>
        </w:rPr>
        <w:t> </w:t>
      </w:r>
      <w:r>
        <w:rPr>
          <w:spacing w:val="-72"/>
        </w:rPr>
      </w:r>
      <w:r>
        <w:rPr/>
        <w:t>按照离职后福利处理。</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4）其他长期职工福利的会计处理方法" w:id="207"/>
      <w:bookmarkEnd w:id="207"/>
      <w:r>
        <w:rPr>
          <w:b w:val="0"/>
          <w:bCs w:val="0"/>
        </w:rPr>
      </w:r>
      <w:r>
        <w:rPr/>
        <w:t>（</w:t>
      </w:r>
      <w:r>
        <w:rPr>
          <w:rFonts w:ascii="宋体" w:hAnsi="宋体" w:cs="宋体" w:eastAsia="宋体" w:hint="default"/>
        </w:rPr>
        <w:t>4</w:t>
      </w:r>
      <w:r>
        <w:rPr/>
        <w:t>）其他长期职工福利的会计处理方法</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left="153" w:right="1033" w:firstLine="360"/>
        <w:jc w:val="left"/>
      </w:pPr>
      <w:r>
        <w:rPr/>
        <w:t>本公司向职工提供的其他长期职工福利，符合设定提存计划条件的，按照上述关于设定提存计划的有关规定进行处理。 </w:t>
      </w:r>
      <w:r>
        <w:rPr>
          <w:spacing w:val="-2"/>
        </w:rPr>
        <w:t>符合设定受益计划的，按照上述关于设定受益计划的有关规定进行处理，但相关职工薪酬成本中“重新计量设定受益计划净</w:t>
      </w:r>
      <w:r>
        <w:rPr>
          <w:spacing w:val="-64"/>
        </w:rPr>
        <w:t> </w:t>
      </w:r>
      <w:r>
        <w:rPr>
          <w:spacing w:val="-64"/>
        </w:rPr>
      </w:r>
      <w:r>
        <w:rPr/>
        <w:t>负债或净资产所产生的变动”部分计入当期损益或相关资产成本。</w:t>
      </w:r>
    </w:p>
    <w:p>
      <w:pPr>
        <w:spacing w:line="240" w:lineRule="auto" w:before="4"/>
        <w:rPr>
          <w:rFonts w:ascii="宋体" w:hAnsi="宋体" w:cs="宋体" w:eastAsia="宋体" w:hint="default"/>
          <w:sz w:val="22"/>
          <w:szCs w:val="22"/>
        </w:rPr>
      </w:pPr>
    </w:p>
    <w:p>
      <w:pPr>
        <w:pStyle w:val="Heading3"/>
        <w:spacing w:line="240" w:lineRule="auto"/>
        <w:ind w:left="153" w:right="0"/>
        <w:jc w:val="left"/>
        <w:rPr>
          <w:b w:val="0"/>
          <w:bCs w:val="0"/>
        </w:rPr>
      </w:pPr>
      <w:bookmarkStart w:name="25、预计负债" w:id="208"/>
      <w:bookmarkEnd w:id="208"/>
      <w:r>
        <w:rPr>
          <w:b w:val="0"/>
          <w:bCs w:val="0"/>
        </w:rPr>
      </w:r>
      <w:r>
        <w:rPr>
          <w:rFonts w:ascii="宋体" w:hAnsi="宋体" w:cs="宋体" w:eastAsia="宋体" w:hint="default"/>
        </w:rPr>
        <w:t>25</w:t>
      </w:r>
      <w:r>
        <w:rPr/>
        <w:t>、预计负债</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513" w:right="0"/>
        <w:jc w:val="left"/>
      </w:pPr>
      <w:r>
        <w:rPr/>
        <w:t>如果与或有事项相关的义务同时符合以下条件，本公司将其确认为预计负债：</w:t>
      </w:r>
    </w:p>
    <w:p>
      <w:pPr>
        <w:pStyle w:val="BodyText"/>
        <w:spacing w:line="240" w:lineRule="auto" w:before="116"/>
        <w:ind w:left="513" w:right="0"/>
        <w:jc w:val="left"/>
      </w:pPr>
      <w:r>
        <w:rPr/>
        <w:t>（</w:t>
      </w:r>
      <w:r>
        <w:rPr>
          <w:rFonts w:ascii="宋体" w:hAnsi="宋体" w:cs="宋体" w:eastAsia="宋体" w:hint="default"/>
        </w:rPr>
        <w:t>1</w:t>
      </w:r>
      <w:r>
        <w:rPr/>
        <w:t>）该义务是本公司承担的现时义务；</w:t>
      </w:r>
    </w:p>
    <w:p>
      <w:pPr>
        <w:pStyle w:val="BodyText"/>
        <w:spacing w:line="240" w:lineRule="auto" w:before="116"/>
        <w:ind w:left="513" w:right="0"/>
        <w:jc w:val="left"/>
      </w:pPr>
      <w:r>
        <w:rPr/>
        <w:t>（</w:t>
      </w:r>
      <w:r>
        <w:rPr>
          <w:rFonts w:ascii="宋体" w:hAnsi="宋体" w:cs="宋体" w:eastAsia="宋体" w:hint="default"/>
        </w:rPr>
        <w:t>2</w:t>
      </w:r>
      <w:r>
        <w:rPr/>
        <w:t>）该义务的履行很可能导致经济利益流出本公司；</w:t>
      </w:r>
    </w:p>
    <w:p>
      <w:pPr>
        <w:pStyle w:val="BodyText"/>
        <w:spacing w:line="357" w:lineRule="auto" w:before="117"/>
        <w:ind w:left="513" w:right="0"/>
        <w:jc w:val="left"/>
      </w:pPr>
      <w:r>
        <w:rPr/>
        <w:t>（</w:t>
      </w:r>
      <w:r>
        <w:rPr>
          <w:rFonts w:ascii="宋体" w:hAnsi="宋体" w:cs="宋体" w:eastAsia="宋体" w:hint="default"/>
        </w:rPr>
        <w:t>3</w:t>
      </w:r>
      <w:r>
        <w:rPr/>
        <w:t>）该义务的金额能够可靠地计量。 </w:t>
      </w:r>
      <w:r>
        <w:rPr>
          <w:spacing w:val="-2"/>
        </w:rPr>
        <w:t>预计负债按照履行相关现时义务所需支出的最佳估计数进行初始计量，并综合考虑与或有事项有关的风险、不确定性和</w:t>
      </w:r>
    </w:p>
    <w:p>
      <w:pPr>
        <w:pStyle w:val="BodyText"/>
        <w:spacing w:line="224" w:lineRule="exact"/>
        <w:ind w:left="153" w:right="0"/>
        <w:jc w:val="left"/>
      </w:pPr>
      <w:r>
        <w:rPr/>
        <w:t>货币时间价值等因素。货币时间价值影响重大的，通过对相关未来现金流出进行折现后确定最佳估计数。本公司于资产负债</w:t>
      </w:r>
    </w:p>
    <w:p>
      <w:pPr>
        <w:pStyle w:val="BodyText"/>
        <w:spacing w:line="357" w:lineRule="auto" w:before="77"/>
        <w:ind w:left="513" w:right="0" w:hanging="360"/>
        <w:jc w:val="left"/>
      </w:pPr>
      <w:r>
        <w:rPr/>
        <w:t>表日对预计负债的账面价值进行复核，并对账面价值进行调整以反映当前最佳估计数。 </w:t>
      </w:r>
      <w:r>
        <w:rPr>
          <w:spacing w:val="-2"/>
        </w:rPr>
        <w:t>如果清偿已确认预计负债所需支出全部或部分预期由第三方或其他方补偿，则补偿金额只能在基本确定能收到时，作为</w:t>
      </w:r>
    </w:p>
    <w:p>
      <w:pPr>
        <w:pStyle w:val="BodyText"/>
        <w:spacing w:line="225" w:lineRule="exact"/>
        <w:ind w:left="153" w:right="0"/>
        <w:jc w:val="left"/>
      </w:pPr>
      <w:r>
        <w:rPr/>
        <w:t>资产单独确认。确认的补偿金额不超过所确认负债的账面价值。</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6、股份支付" w:id="209"/>
      <w:bookmarkEnd w:id="209"/>
      <w:r>
        <w:rPr>
          <w:b w:val="0"/>
          <w:bCs w:val="0"/>
        </w:rPr>
      </w:r>
      <w:r>
        <w:rPr>
          <w:rFonts w:ascii="宋体" w:hAnsi="宋体" w:cs="宋体" w:eastAsia="宋体" w:hint="default"/>
        </w:rPr>
        <w:t>26</w:t>
      </w:r>
      <w:r>
        <w:rPr/>
        <w:t>、股份支付</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27、优先股、永续债等其他金融工具" w:id="210"/>
      <w:bookmarkEnd w:id="210"/>
      <w:r>
        <w:rPr>
          <w:b w:val="0"/>
          <w:bCs w:val="0"/>
        </w:rPr>
      </w:r>
      <w:r>
        <w:rPr>
          <w:rFonts w:ascii="宋体" w:hAnsi="宋体" w:cs="宋体" w:eastAsia="宋体" w:hint="default"/>
        </w:rPr>
        <w:t>27</w:t>
      </w:r>
      <w:r>
        <w:rPr/>
        <w:t>、优先股、永续债等其他金融工具</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28、收入" w:id="211"/>
      <w:bookmarkEnd w:id="211"/>
      <w:r>
        <w:rPr>
          <w:b w:val="0"/>
          <w:bCs w:val="0"/>
        </w:rPr>
      </w:r>
      <w:r>
        <w:rPr>
          <w:rFonts w:ascii="宋体" w:hAnsi="宋体" w:cs="宋体" w:eastAsia="宋体" w:hint="default"/>
        </w:rPr>
        <w:t>28</w:t>
      </w:r>
      <w:r>
        <w:rPr/>
        <w:t>、收入</w:t>
      </w:r>
      <w:r>
        <w:rPr>
          <w:b w:val="0"/>
          <w:bCs w:val="0"/>
        </w:rPr>
      </w:r>
    </w:p>
    <w:p>
      <w:pPr>
        <w:spacing w:line="240" w:lineRule="auto" w:before="11"/>
        <w:rPr>
          <w:rFonts w:ascii="宋体" w:hAnsi="宋体" w:cs="宋体" w:eastAsia="宋体" w:hint="default"/>
          <w:b/>
          <w:bCs/>
          <w:sz w:val="27"/>
          <w:szCs w:val="27"/>
        </w:rPr>
      </w:pPr>
    </w:p>
    <w:p>
      <w:pPr>
        <w:pStyle w:val="BodyText"/>
        <w:spacing w:line="360" w:lineRule="auto"/>
        <w:ind w:right="7692"/>
        <w:jc w:val="left"/>
      </w:pPr>
      <w:r>
        <w:rPr/>
        <w:t>公司是否需要遵守特殊行业的披露要求 否</w:t>
      </w:r>
    </w:p>
    <w:p>
      <w:pPr>
        <w:pStyle w:val="BodyText"/>
        <w:spacing w:line="240" w:lineRule="auto" w:before="26"/>
        <w:ind w:left="514" w:right="0"/>
        <w:jc w:val="left"/>
      </w:pPr>
      <w:r>
        <w:rPr/>
        <w:t>（</w:t>
      </w:r>
      <w:r>
        <w:rPr>
          <w:rFonts w:ascii="宋体" w:hAnsi="宋体" w:cs="宋体" w:eastAsia="宋体" w:hint="default"/>
        </w:rPr>
        <w:t>1</w:t>
      </w:r>
      <w:r>
        <w:rPr/>
        <w:t>）一般原则</w:t>
      </w:r>
    </w:p>
    <w:p>
      <w:pPr>
        <w:pStyle w:val="BodyText"/>
        <w:spacing w:line="357" w:lineRule="auto" w:before="116"/>
        <w:ind w:left="513" w:right="1118"/>
        <w:jc w:val="left"/>
      </w:pPr>
      <w:r>
        <w:rPr/>
        <w:t>①销售商品 </w:t>
      </w:r>
      <w:r>
        <w:rPr>
          <w:spacing w:val="-2"/>
        </w:rPr>
        <w:t>在已将商品所有权上的主要风险和报酬转移给购货方，既没有保留通常与所有权相联系的继续管理权，也没有对已售商</w:t>
      </w:r>
    </w:p>
    <w:p>
      <w:pPr>
        <w:spacing w:after="0" w:line="357" w:lineRule="auto"/>
        <w:jc w:val="left"/>
        <w:sectPr>
          <w:pgSz w:w="11910" w:h="16840"/>
          <w:pgMar w:header="877" w:footer="1187" w:top="1100" w:bottom="1380" w:left="980" w:right="0"/>
        </w:sectPr>
      </w:pPr>
    </w:p>
    <w:p>
      <w:pPr>
        <w:spacing w:line="240" w:lineRule="auto" w:before="12"/>
        <w:rPr>
          <w:rFonts w:ascii="宋体" w:hAnsi="宋体" w:cs="宋体" w:eastAsia="宋体" w:hint="default"/>
          <w:sz w:val="21"/>
          <w:szCs w:val="21"/>
        </w:rPr>
      </w:pPr>
    </w:p>
    <w:p>
      <w:pPr>
        <w:pStyle w:val="BodyText"/>
        <w:spacing w:line="319" w:lineRule="auto" w:before="44"/>
        <w:ind w:right="0"/>
        <w:jc w:val="left"/>
      </w:pPr>
      <w:r>
        <w:rPr>
          <w:spacing w:val="-2"/>
        </w:rPr>
        <w:t>品实施有效控制，收入的金额能够可靠地计量，相关的经济利益很可能流入企业，相关的已发生或将发生的成本能够可靠地</w:t>
      </w:r>
      <w:r>
        <w:rPr>
          <w:spacing w:val="-66"/>
        </w:rPr>
        <w:t> </w:t>
      </w:r>
      <w:r>
        <w:rPr>
          <w:spacing w:val="-66"/>
        </w:rPr>
      </w:r>
      <w:r>
        <w:rPr/>
        <w:t>计量时，确认商品销售收入的实现。</w:t>
      </w:r>
    </w:p>
    <w:p>
      <w:pPr>
        <w:pStyle w:val="BodyText"/>
        <w:spacing w:line="360" w:lineRule="auto" w:before="56"/>
        <w:ind w:left="514" w:right="2472"/>
        <w:jc w:val="left"/>
      </w:pPr>
      <w:r>
        <w:rPr/>
        <w:t>②提供劳务 对在提供劳务交易的结果能够可靠估计的情况下，本公司于资产负债表日按完工百分比法确认收入。 劳务交易的完工进度按已经发生的劳务成本占估计总成本的比例确定。</w:t>
      </w:r>
    </w:p>
    <w:p>
      <w:pPr>
        <w:pStyle w:val="BodyText"/>
        <w:spacing w:line="319" w:lineRule="auto" w:before="25"/>
        <w:ind w:left="153" w:right="0" w:firstLine="360"/>
        <w:jc w:val="left"/>
      </w:pPr>
      <w:r>
        <w:rPr>
          <w:spacing w:val="-4"/>
        </w:rPr>
        <w:t>提供劳务交易的结果能够可靠估计是指同时满足：</w:t>
      </w:r>
      <w:r>
        <w:rPr>
          <w:rFonts w:ascii="宋体" w:hAnsi="宋体" w:cs="宋体" w:eastAsia="宋体" w:hint="default"/>
          <w:spacing w:val="-4"/>
        </w:rPr>
        <w:t>A</w:t>
      </w:r>
      <w:r>
        <w:rPr>
          <w:spacing w:val="-4"/>
        </w:rPr>
        <w:t>、收入的金额能够可靠地计量；</w:t>
      </w:r>
      <w:r>
        <w:rPr>
          <w:rFonts w:ascii="宋体" w:hAnsi="宋体" w:cs="宋体" w:eastAsia="宋体" w:hint="default"/>
          <w:spacing w:val="-4"/>
        </w:rPr>
        <w:t>B</w:t>
      </w:r>
      <w:r>
        <w:rPr>
          <w:spacing w:val="-4"/>
        </w:rPr>
        <w:t>、相关的经济利益很可能流入企业；</w:t>
      </w:r>
      <w:r>
        <w:rPr/>
        <w:t> </w:t>
      </w:r>
      <w:r>
        <w:rPr>
          <w:rFonts w:ascii="宋体" w:hAnsi="宋体" w:cs="宋体" w:eastAsia="宋体" w:hint="default"/>
        </w:rPr>
        <w:t>C</w:t>
      </w:r>
      <w:r>
        <w:rPr/>
        <w:t>、交易的完工程度能够可靠地确定；</w:t>
      </w:r>
      <w:r>
        <w:rPr>
          <w:rFonts w:ascii="宋体" w:hAnsi="宋体" w:cs="宋体" w:eastAsia="宋体" w:hint="default"/>
        </w:rPr>
        <w:t>D</w:t>
      </w:r>
      <w:r>
        <w:rPr/>
        <w:t>、交易中已发生和将发生的成本能够可靠地计量。</w:t>
      </w:r>
    </w:p>
    <w:p>
      <w:pPr>
        <w:pStyle w:val="BodyText"/>
        <w:spacing w:line="319" w:lineRule="auto" w:before="56"/>
        <w:ind w:left="153" w:right="0" w:firstLine="360"/>
        <w:jc w:val="left"/>
      </w:pPr>
      <w:r>
        <w:rPr>
          <w:spacing w:val="-2"/>
        </w:rPr>
        <w:t>如果提供劳务交易的结果不能够可靠估计，则按已经发生并预计能够得到补偿的劳务成本金额确认提供的劳务收入，并</w:t>
      </w:r>
      <w:r>
        <w:rPr/>
        <w:t> 将已发生的劳务成本作为当期费用。已经发生的劳务成本如预计不能得到补偿的，则不确认收入。</w:t>
      </w:r>
    </w:p>
    <w:p>
      <w:pPr>
        <w:pStyle w:val="BodyText"/>
        <w:spacing w:line="357" w:lineRule="auto" w:before="56"/>
        <w:ind w:left="513" w:right="2833"/>
        <w:jc w:val="left"/>
      </w:pPr>
      <w:r>
        <w:rPr/>
        <w:t>③让渡资产使用权 与资产使用权让渡相关的经济利益能够流入及收入的金额能够可靠地计量时，本公司确认收入。</w:t>
      </w:r>
    </w:p>
    <w:p>
      <w:pPr>
        <w:pStyle w:val="BodyText"/>
        <w:spacing w:line="357" w:lineRule="auto" w:before="29"/>
        <w:ind w:left="513" w:right="6613"/>
        <w:jc w:val="left"/>
      </w:pPr>
      <w:r>
        <w:rPr/>
        <w:t>④使用费收入 根据有关合同或协议，按权责发生制确认收入。</w:t>
      </w:r>
    </w:p>
    <w:p>
      <w:pPr>
        <w:pStyle w:val="BodyText"/>
        <w:spacing w:line="360" w:lineRule="auto" w:before="28"/>
        <w:ind w:left="514" w:right="5712"/>
        <w:jc w:val="left"/>
      </w:pPr>
      <w:r>
        <w:rPr/>
        <w:t>⑤利息收入 按照他人使用本公司货币资金的时间和实际利率计算确定。</w:t>
      </w:r>
    </w:p>
    <w:p>
      <w:pPr>
        <w:pStyle w:val="BodyText"/>
        <w:spacing w:line="240" w:lineRule="auto" w:before="26"/>
        <w:ind w:left="514" w:right="0"/>
        <w:jc w:val="left"/>
      </w:pPr>
      <w:r>
        <w:rPr/>
        <w:t>（</w:t>
      </w:r>
      <w:r>
        <w:rPr>
          <w:rFonts w:ascii="宋体" w:hAnsi="宋体" w:cs="宋体" w:eastAsia="宋体" w:hint="default"/>
        </w:rPr>
        <w:t>2</w:t>
      </w:r>
      <w:r>
        <w:rPr/>
        <w:t>）收入确认的具体方法：</w:t>
      </w:r>
    </w:p>
    <w:p>
      <w:pPr>
        <w:pStyle w:val="BodyText"/>
        <w:spacing w:line="357" w:lineRule="auto" w:before="116"/>
        <w:ind w:left="514" w:right="0"/>
        <w:jc w:val="left"/>
      </w:pPr>
      <w:r>
        <w:rPr/>
        <w:t>①互联网媒体业务 </w:t>
      </w:r>
      <w:r>
        <w:rPr>
          <w:spacing w:val="-2"/>
        </w:rPr>
        <w:t>本公司依托自有流量和技术平台提供广告投放及互联网应用分发服务，营业收入基于广告实际投放量及互联网应用分发</w:t>
      </w:r>
    </w:p>
    <w:p>
      <w:pPr>
        <w:pStyle w:val="BodyText"/>
        <w:spacing w:line="224" w:lineRule="exact"/>
        <w:ind w:right="0"/>
        <w:jc w:val="left"/>
      </w:pPr>
      <w:r>
        <w:rPr/>
        <w:t>量，按照合同约定的计算方式（通常包括点击、下载、激活、展示等）经与客户（广告主或代理商）核对后，依据双方确认</w:t>
      </w:r>
    </w:p>
    <w:p>
      <w:pPr>
        <w:pStyle w:val="BodyText"/>
        <w:spacing w:line="319" w:lineRule="auto" w:before="76"/>
        <w:ind w:right="0"/>
        <w:jc w:val="left"/>
      </w:pPr>
      <w:r>
        <w:rPr>
          <w:spacing w:val="-2"/>
        </w:rPr>
        <w:t>的结算单确认收入；营业成本按合同约定的结算方式（通常包括分成、点击、下载、激活、展示等）经与媒体核对后，依据</w:t>
      </w:r>
      <w:r>
        <w:rPr>
          <w:spacing w:val="-67"/>
        </w:rPr>
        <w:t> </w:t>
      </w:r>
      <w:r>
        <w:rPr>
          <w:spacing w:val="-67"/>
        </w:rPr>
      </w:r>
      <w:r>
        <w:rPr/>
        <w:t>双方确认的结算金额确认成本。</w:t>
      </w:r>
    </w:p>
    <w:p>
      <w:pPr>
        <w:pStyle w:val="BodyText"/>
        <w:spacing w:line="357" w:lineRule="auto" w:before="56"/>
        <w:ind w:left="513" w:right="0"/>
        <w:jc w:val="left"/>
      </w:pPr>
      <w:r>
        <w:rPr/>
        <w:t>②数字营销业务 </w:t>
      </w:r>
      <w:r>
        <w:rPr>
          <w:spacing w:val="-2"/>
        </w:rPr>
        <w:t>本公司提供广告投放代理服务，本公司分别与媒体和客户核对该媒体的广告有效投放量，并结合合同条款预估媒体返点</w:t>
      </w:r>
    </w:p>
    <w:p>
      <w:pPr>
        <w:pStyle w:val="BodyText"/>
        <w:spacing w:line="224" w:lineRule="exact"/>
        <w:ind w:left="153" w:right="0"/>
        <w:jc w:val="left"/>
      </w:pPr>
      <w:r>
        <w:rPr/>
        <w:t>和客户返点。根据合同的约定，需经双方确认具体结算数量的，以结算数量乘以合同中约定的单价确认收入；固定费用结算</w:t>
      </w:r>
    </w:p>
    <w:p>
      <w:pPr>
        <w:pStyle w:val="BodyText"/>
        <w:spacing w:line="240" w:lineRule="auto" w:before="77"/>
        <w:ind w:left="153" w:right="0"/>
        <w:jc w:val="left"/>
      </w:pPr>
      <w:r>
        <w:rPr/>
        <w:t>的，按照公司已提供服务并经客户确认的进度确认收入。涉及商业折扣的，按照扣除商业折扣后的金额确认收入。</w:t>
      </w:r>
    </w:p>
    <w:p>
      <w:pPr>
        <w:pStyle w:val="BodyText"/>
        <w:spacing w:line="357" w:lineRule="auto" w:before="117"/>
        <w:ind w:left="513" w:right="9133"/>
        <w:jc w:val="left"/>
      </w:pPr>
      <w:r>
        <w:rPr/>
        <w:t>③其他业务 互联网游戏业务</w:t>
      </w:r>
    </w:p>
    <w:p>
      <w:pPr>
        <w:pStyle w:val="BodyText"/>
        <w:spacing w:line="319" w:lineRule="auto" w:before="26"/>
        <w:ind w:left="153" w:right="1132" w:firstLine="360"/>
        <w:jc w:val="both"/>
      </w:pPr>
      <w:r>
        <w:rPr>
          <w:spacing w:val="-2"/>
        </w:rPr>
        <w:t>自主运营模式下的游戏服务收入，公司通过自主研发获得网络游戏产品的经营权后，利用其自有游戏平台发布并运营游</w:t>
      </w:r>
      <w:r>
        <w:rPr/>
        <w:t> </w:t>
      </w:r>
      <w:r>
        <w:rPr>
          <w:spacing w:val="-2"/>
        </w:rPr>
        <w:t>戏产品，全面负责游戏产品的推广、客户服务、技术支持和维护等工作。游戏玩家直接在上述平台注册并进入游戏，通过对</w:t>
      </w:r>
      <w:r>
        <w:rPr>
          <w:spacing w:val="-66"/>
        </w:rPr>
        <w:t> </w:t>
      </w:r>
      <w:r>
        <w:rPr>
          <w:spacing w:val="-66"/>
        </w:rPr>
      </w:r>
      <w:r>
        <w:rPr>
          <w:spacing w:val="-2"/>
        </w:rPr>
        <w:t>游戏充值获得游戏内的虚拟货币，使用虚拟货币进行游戏道具的购买，公司将游戏玩家实际充值并消费的金额确认为营业收</w:t>
      </w:r>
      <w:r>
        <w:rPr>
          <w:spacing w:val="-64"/>
        </w:rPr>
        <w:t> </w:t>
      </w:r>
      <w:r>
        <w:rPr>
          <w:spacing w:val="-64"/>
        </w:rPr>
      </w:r>
      <w:r>
        <w:rPr/>
        <w:t>入。</w:t>
      </w:r>
    </w:p>
    <w:p>
      <w:pPr>
        <w:pStyle w:val="BodyText"/>
        <w:spacing w:line="319" w:lineRule="auto" w:before="56"/>
        <w:ind w:right="1032" w:firstLine="360"/>
        <w:jc w:val="left"/>
      </w:pPr>
      <w:r>
        <w:rPr>
          <w:spacing w:val="-2"/>
        </w:rPr>
        <w:t>联合运营模式下的游戏服务收入，联合运营模式指将网络游戏产品与第三方游戏平台公司进行合作，共同联合运营的一</w:t>
      </w:r>
      <w:r>
        <w:rPr/>
        <w:t> </w:t>
      </w:r>
      <w:r>
        <w:rPr>
          <w:spacing w:val="-2"/>
        </w:rPr>
        <w:t>种网络游戏运营方式。游戏玩家需要注册成为第三方游戏平台公司的用户，在第三方平台公司的充值系统中进行充值从而获</w:t>
      </w:r>
      <w:r>
        <w:rPr>
          <w:spacing w:val="-64"/>
        </w:rPr>
        <w:t> </w:t>
      </w:r>
      <w:r>
        <w:rPr>
          <w:spacing w:val="-64"/>
        </w:rPr>
      </w:r>
      <w:r>
        <w:rPr/>
        <w:t>得虚拟货币后，再在游戏中购买虚拟道具。在联合运营模式下，通常第三方游戏平台公司负责网络游戏平台的提供和推广、 </w:t>
      </w:r>
      <w:r>
        <w:rPr>
          <w:spacing w:val="-2"/>
        </w:rPr>
        <w:t>充值服务以及计费系统的管理，公司负责游戏版本的更新及技术支持和维护，并提供客户服务。公司同时与多个游戏平台公</w:t>
      </w:r>
      <w:r>
        <w:rPr>
          <w:spacing w:val="-66"/>
        </w:rPr>
        <w:t> </w:t>
      </w:r>
      <w:r>
        <w:rPr>
          <w:spacing w:val="-66"/>
        </w:rPr>
      </w:r>
      <w:r>
        <w:rPr>
          <w:spacing w:val="-2"/>
        </w:rPr>
        <w:t>司合作，这些平台的折扣力度各不相同，公司无法追踪这些玩家在平台实际支付的金额，公司按照与第三方游戏平台公司合</w:t>
      </w:r>
      <w:r>
        <w:rPr>
          <w:spacing w:val="-66"/>
        </w:rPr>
        <w:t> </w:t>
      </w:r>
      <w:r>
        <w:rPr>
          <w:spacing w:val="-66"/>
        </w:rPr>
      </w:r>
      <w:r>
        <w:rPr/>
        <w:t>作协议所计算的分成金额确认收入。</w:t>
      </w:r>
    </w:p>
    <w:p>
      <w:pPr>
        <w:pStyle w:val="BodyText"/>
        <w:spacing w:line="357" w:lineRule="auto" w:before="57"/>
        <w:ind w:left="513" w:right="7693"/>
        <w:jc w:val="left"/>
      </w:pPr>
      <w:r>
        <w:rPr/>
        <w:t>互联网金融业务 利息收入，按照实际利率法确认。</w:t>
      </w:r>
    </w:p>
    <w:p>
      <w:pPr>
        <w:pStyle w:val="BodyText"/>
        <w:spacing w:line="316" w:lineRule="auto" w:before="28"/>
        <w:ind w:left="153" w:right="1033" w:firstLine="360"/>
        <w:jc w:val="left"/>
      </w:pPr>
      <w:r>
        <w:rPr/>
        <w:t>实际利率法，是指按照金融资产或金融负债的实际利率计算其摊余成本及各期利息收入或利息支出的方法。实际利率， </w:t>
      </w:r>
      <w:r>
        <w:rPr>
          <w:spacing w:val="-2"/>
        </w:rPr>
        <w:t>是指将金融资产或金融负债在预期存续期间或适用的更短期间内的未来现金流量，折现为该金融资产或金融负债当前账面价</w:t>
      </w:r>
    </w:p>
    <w:p>
      <w:pPr>
        <w:spacing w:after="0" w:line="316" w:lineRule="auto"/>
        <w:jc w:val="left"/>
        <w:sectPr>
          <w:pgSz w:w="11910" w:h="16840"/>
          <w:pgMar w:header="877" w:footer="1187" w:top="1100" w:bottom="1380" w:left="980" w:right="0"/>
        </w:sectPr>
      </w:pPr>
    </w:p>
    <w:p>
      <w:pPr>
        <w:spacing w:line="240" w:lineRule="auto" w:before="12"/>
        <w:rPr>
          <w:rFonts w:ascii="宋体" w:hAnsi="宋体" w:cs="宋体" w:eastAsia="宋体" w:hint="default"/>
          <w:sz w:val="21"/>
          <w:szCs w:val="21"/>
        </w:rPr>
      </w:pPr>
    </w:p>
    <w:p>
      <w:pPr>
        <w:pStyle w:val="BodyText"/>
        <w:spacing w:line="319" w:lineRule="auto" w:before="44"/>
        <w:ind w:right="1131"/>
        <w:jc w:val="both"/>
      </w:pPr>
      <w:r>
        <w:rPr>
          <w:spacing w:val="-2"/>
        </w:rPr>
        <w:t>值所使用的利率。在确定实际利率时，本公司在考虑金融资产或金融负债所有合同条款的基础上预计未来现金流量，但不考</w:t>
      </w:r>
      <w:r>
        <w:rPr>
          <w:spacing w:val="-66"/>
        </w:rPr>
        <w:t> </w:t>
      </w:r>
      <w:r>
        <w:rPr>
          <w:spacing w:val="-66"/>
        </w:rPr>
      </w:r>
      <w:r>
        <w:rPr>
          <w:spacing w:val="-2"/>
        </w:rPr>
        <w:t>虑未来信用损失。本公司支付或收取的、属于实际利率组成部分的各项收费、交易费用及溢价或折价等，在确定实际利率时</w:t>
      </w:r>
      <w:r>
        <w:rPr>
          <w:spacing w:val="-66"/>
        </w:rPr>
        <w:t> </w:t>
      </w:r>
      <w:r>
        <w:rPr>
          <w:spacing w:val="-66"/>
        </w:rPr>
      </w:r>
      <w:r>
        <w:rPr/>
        <w:t>予以考虑。</w:t>
      </w:r>
    </w:p>
    <w:p>
      <w:pPr>
        <w:pStyle w:val="BodyText"/>
        <w:spacing w:line="360" w:lineRule="auto" w:before="56"/>
        <w:ind w:left="514" w:right="1212"/>
        <w:jc w:val="left"/>
      </w:pPr>
      <w:r>
        <w:rPr/>
        <w:t>金融资产发生减值后，利息收入应当按照确定减值损失时对未来现金流量进行折现采用的折现率作为利率计算确认。 手续费及佣金收入，按权责发生制原则在提供相关服务时确认。</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9、政府补助" w:id="212"/>
      <w:bookmarkEnd w:id="212"/>
      <w:r>
        <w:rPr>
          <w:b w:val="0"/>
          <w:bCs w:val="0"/>
        </w:rPr>
      </w:r>
      <w:r>
        <w:rPr>
          <w:rFonts w:ascii="宋体" w:hAnsi="宋体" w:cs="宋体" w:eastAsia="宋体" w:hint="default"/>
        </w:rPr>
        <w:t>29</w:t>
      </w:r>
      <w:r>
        <w:rPr/>
        <w:t>、政府补助</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与资产相关的政府补助判断依据及会计处理方法" w:id="213"/>
      <w:bookmarkEnd w:id="213"/>
      <w:r>
        <w:rPr>
          <w:b w:val="0"/>
          <w:bCs w:val="0"/>
        </w:rPr>
      </w:r>
      <w:r>
        <w:rPr/>
        <w:t>（</w:t>
      </w:r>
      <w:r>
        <w:rPr>
          <w:rFonts w:ascii="宋体" w:hAnsi="宋体" w:cs="宋体" w:eastAsia="宋体" w:hint="default"/>
        </w:rPr>
        <w:t>1</w:t>
      </w:r>
      <w:r>
        <w:rPr/>
        <w:t>）与资产相关的政府补助判断依据及会计处理方法</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left="514" w:right="0"/>
        <w:jc w:val="left"/>
      </w:pPr>
      <w:r>
        <w:rPr/>
        <w:t>政府补助在满足政府补助所附条件并能够收到时确认。 </w:t>
      </w:r>
      <w:r>
        <w:rPr>
          <w:spacing w:val="-2"/>
        </w:rPr>
        <w:t>对于货币性资产的政府补助，按照收到或应收的金额计量。对于非货币性资产的政府补助，按照公允价值计量；公允价</w:t>
      </w:r>
    </w:p>
    <w:p>
      <w:pPr>
        <w:pStyle w:val="BodyText"/>
        <w:spacing w:line="357" w:lineRule="auto"/>
        <w:ind w:left="514" w:right="0" w:hanging="360"/>
        <w:jc w:val="left"/>
      </w:pPr>
      <w:r>
        <w:rPr/>
        <w:t>值不能够可靠取得的，按照名义金额</w:t>
      </w:r>
      <w:r>
        <w:rPr>
          <w:spacing w:val="-46"/>
        </w:rPr>
        <w:t> </w:t>
      </w:r>
      <w:r>
        <w:rPr>
          <w:rFonts w:ascii="宋体" w:hAnsi="宋体" w:cs="宋体" w:eastAsia="宋体" w:hint="default"/>
        </w:rPr>
        <w:t>1</w:t>
      </w:r>
      <w:r>
        <w:rPr>
          <w:rFonts w:ascii="宋体" w:hAnsi="宋体" w:cs="宋体" w:eastAsia="宋体" w:hint="default"/>
          <w:spacing w:val="-46"/>
        </w:rPr>
        <w:t> </w:t>
      </w:r>
      <w:r>
        <w:rPr/>
        <w:t>元计量。 </w:t>
      </w:r>
      <w:r>
        <w:rPr>
          <w:spacing w:val="-2"/>
        </w:rPr>
        <w:t>与资产相关的政府补助，是指本公司取得的、用于购建或以其他方式形成长期资产的政府补助；除此之外，作为与收益</w:t>
      </w:r>
    </w:p>
    <w:p>
      <w:pPr>
        <w:pStyle w:val="BodyText"/>
        <w:spacing w:line="357" w:lineRule="auto"/>
        <w:ind w:left="514" w:right="1118" w:hanging="360"/>
        <w:jc w:val="left"/>
      </w:pPr>
      <w:r>
        <w:rPr/>
        <w:t>相关的政府补助。 </w:t>
      </w:r>
      <w:r>
        <w:rPr>
          <w:spacing w:val="-2"/>
        </w:rPr>
        <w:t>对于政府文件未明确规定补助对象的，能够形成长期资产的，与资产价值相对应的政府补助部分作为与资产相关的政府</w:t>
      </w:r>
    </w:p>
    <w:p>
      <w:pPr>
        <w:pStyle w:val="BodyText"/>
        <w:spacing w:line="357" w:lineRule="auto"/>
        <w:ind w:left="514" w:right="2292" w:hanging="360"/>
        <w:jc w:val="left"/>
      </w:pPr>
      <w:r>
        <w:rPr/>
        <w:t>补助，其余部分作为与收益相关的政府补助；难以区分的，将政府补助整体作为与收益相关的政府补助。 与资产相关的政府补助，确认为递延收益在相关资产使用期限内按照合理、系统的方法分期计入损益。</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2）与收益相关的政府补助判断依据及会计处理方法" w:id="214"/>
      <w:bookmarkEnd w:id="214"/>
      <w:r>
        <w:rPr>
          <w:b w:val="0"/>
          <w:bCs w:val="0"/>
        </w:rPr>
      </w:r>
      <w:r>
        <w:rPr/>
        <w:t>（</w:t>
      </w:r>
      <w:r>
        <w:rPr>
          <w:rFonts w:ascii="宋体" w:hAnsi="宋体" w:cs="宋体" w:eastAsia="宋体" w:hint="default"/>
        </w:rPr>
        <w:t>2</w:t>
      </w:r>
      <w:r>
        <w:rPr/>
        <w:t>）与收益相关的政府补助判断依据及会计处理方法</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ind w:right="1131" w:firstLine="360"/>
        <w:jc w:val="both"/>
      </w:pPr>
      <w:r>
        <w:rPr>
          <w:spacing w:val="-2"/>
        </w:rPr>
        <w:t>与收益相关的政府补助，用于补偿已发生的相关成本费用或损失的，计入当期损益；用于补偿以后期间的相关成本费用</w:t>
      </w:r>
      <w:r>
        <w:rPr/>
        <w:t> </w:t>
      </w:r>
      <w:r>
        <w:rPr>
          <w:spacing w:val="-2"/>
        </w:rPr>
        <w:t>或损失的，则计入递延收益，于相关成本费用或损失确认期间计入当期损益。按照名义金额计量的政府补助，直接计入当期</w:t>
      </w:r>
      <w:r>
        <w:rPr>
          <w:spacing w:val="-66"/>
        </w:rPr>
        <w:t> </w:t>
      </w:r>
      <w:r>
        <w:rPr>
          <w:spacing w:val="-66"/>
        </w:rPr>
      </w:r>
      <w:r>
        <w:rPr/>
        <w:t>损益。本公司对相同或类似的政府补助业务，采用一致的方法处理。</w:t>
      </w:r>
    </w:p>
    <w:p>
      <w:pPr>
        <w:pStyle w:val="BodyText"/>
        <w:spacing w:line="357" w:lineRule="auto" w:before="58"/>
        <w:ind w:left="514" w:right="0"/>
        <w:jc w:val="left"/>
      </w:pPr>
      <w:r>
        <w:rPr/>
        <w:t>与日常活动相关的政府补助，按照经济业务实质，计入其他收益。与日常活动无关的政府补助，计入营业外收支。 </w:t>
      </w:r>
      <w:r>
        <w:rPr>
          <w:spacing w:val="-2"/>
        </w:rPr>
        <w:t>已确认的政府补助需要返还时，存在相关递延收益余额的，冲减相关递延收益账面余额，超出部分计入当期损益；属于</w:t>
      </w:r>
    </w:p>
    <w:p>
      <w:pPr>
        <w:pStyle w:val="BodyText"/>
        <w:spacing w:line="225" w:lineRule="exact"/>
        <w:ind w:right="0"/>
        <w:jc w:val="left"/>
      </w:pPr>
      <w:r>
        <w:rPr/>
        <w:t>其他情况的，直接计入当期损益。</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0、递延所得税资产/递延所得税负债" w:id="215"/>
      <w:bookmarkEnd w:id="215"/>
      <w:r>
        <w:rPr>
          <w:b w:val="0"/>
          <w:bCs w:val="0"/>
        </w:rPr>
      </w:r>
      <w:r>
        <w:rPr>
          <w:rFonts w:ascii="宋体" w:hAnsi="宋体" w:cs="宋体" w:eastAsia="宋体" w:hint="default"/>
        </w:rPr>
        <w:t>30</w:t>
      </w:r>
      <w:r>
        <w:rPr/>
        <w:t>、递延所得税资产</w:t>
      </w:r>
      <w:r>
        <w:rPr>
          <w:rFonts w:ascii="宋体" w:hAnsi="宋体" w:cs="宋体" w:eastAsia="宋体" w:hint="default"/>
        </w:rPr>
        <w:t>/</w:t>
      </w:r>
      <w:r>
        <w:rPr/>
        <w:t>递延所得税负债</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ind w:right="0" w:firstLine="360"/>
        <w:jc w:val="left"/>
      </w:pPr>
      <w:r>
        <w:rPr>
          <w:spacing w:val="-2"/>
        </w:rPr>
        <w:t>所得税包括当期所得税和递延所得税。除由于企业合并产生的调整商誉，或与直接计入所有者权益的交易或者事项相关</w:t>
      </w:r>
      <w:r>
        <w:rPr/>
        <w:t> 的递延所得税计入所有者权益外，均作为所得税费用计入当期损益。</w:t>
      </w:r>
    </w:p>
    <w:p>
      <w:pPr>
        <w:pStyle w:val="BodyText"/>
        <w:spacing w:line="319" w:lineRule="auto" w:before="55"/>
        <w:ind w:right="1118" w:firstLine="360"/>
        <w:jc w:val="left"/>
      </w:pPr>
      <w:r>
        <w:rPr>
          <w:spacing w:val="-2"/>
        </w:rPr>
        <w:t>本公司根据资产、负债于资产负债表日的账面价值与计税基础之间的暂时性差异，采用资产负债表债务法确认递延所得</w:t>
      </w:r>
      <w:r>
        <w:rPr/>
        <w:t> 税。</w:t>
      </w:r>
    </w:p>
    <w:p>
      <w:pPr>
        <w:pStyle w:val="BodyText"/>
        <w:spacing w:line="240" w:lineRule="auto" w:before="58"/>
        <w:ind w:left="514" w:right="0"/>
        <w:jc w:val="left"/>
      </w:pPr>
      <w:r>
        <w:rPr/>
        <w:t>各项应纳税暂时性差异均确认相关的递延所得税负债，除非该应纳税暂时性差异是在以下交易中产生的：</w:t>
      </w:r>
    </w:p>
    <w:p>
      <w:pPr>
        <w:pStyle w:val="BodyText"/>
        <w:spacing w:line="319" w:lineRule="auto" w:before="115"/>
        <w:ind w:right="1122" w:firstLine="360"/>
        <w:jc w:val="left"/>
      </w:pPr>
      <w:r>
        <w:rPr/>
        <w:t>（</w:t>
      </w:r>
      <w:r>
        <w:rPr>
          <w:rFonts w:ascii="宋体" w:hAnsi="宋体" w:cs="宋体" w:eastAsia="宋体" w:hint="default"/>
        </w:rPr>
        <w:t>1</w:t>
      </w:r>
      <w:r>
        <w:rPr/>
        <w:t>）商誉的初始确认，或者具有以下特征的交易中产生的资产或负债的初始确认：该交易不是企业合并，并且交易发 生时既不影响会计利润也不影响应纳税所得额；</w:t>
      </w:r>
    </w:p>
    <w:p>
      <w:pPr>
        <w:pStyle w:val="BodyText"/>
        <w:spacing w:line="319" w:lineRule="auto" w:before="55"/>
        <w:ind w:left="153" w:right="1123" w:firstLine="360"/>
        <w:jc w:val="left"/>
      </w:pPr>
      <w:r>
        <w:rPr/>
        <w:t>（</w:t>
      </w:r>
      <w:r>
        <w:rPr>
          <w:rFonts w:ascii="宋体" w:hAnsi="宋体" w:cs="宋体" w:eastAsia="宋体" w:hint="default"/>
        </w:rPr>
        <w:t>2</w:t>
      </w:r>
      <w:r>
        <w:rPr/>
        <w:t>）对于与子公司及联营企业投资相关的应纳税暂时性差异，该暂时性差异转回的时间能够控制并且该暂时性差异在 可预见的未来很可能不会转回。</w:t>
      </w:r>
    </w:p>
    <w:p>
      <w:pPr>
        <w:pStyle w:val="BodyText"/>
        <w:spacing w:line="319" w:lineRule="auto" w:before="57"/>
        <w:ind w:left="153" w:right="1032" w:firstLine="360"/>
        <w:jc w:val="left"/>
      </w:pPr>
      <w:r>
        <w:rPr>
          <w:spacing w:val="-4"/>
        </w:rPr>
        <w:t>对于可抵扣暂时性差异、能够结转以后年度的可抵扣亏损和税款抵减，本公司以很可能取得用来抵扣可抵扣暂时性差异、</w:t>
      </w:r>
      <w:r>
        <w:rPr/>
        <w:t> </w:t>
      </w:r>
      <w:r>
        <w:rPr>
          <w:spacing w:val="-2"/>
        </w:rPr>
        <w:t>可抵扣亏损和税款抵减的未来应纳税所得额为限，确认由此产生的递延所得税资产，除非该可抵扣暂时性差异是在以下交易</w:t>
      </w:r>
      <w:r>
        <w:rPr>
          <w:spacing w:val="-64"/>
        </w:rPr>
        <w:t> </w:t>
      </w:r>
      <w:r>
        <w:rPr>
          <w:spacing w:val="-64"/>
        </w:rPr>
      </w:r>
      <w:r>
        <w:rPr/>
        <w:t>中产生的：</w:t>
      </w:r>
    </w:p>
    <w:p>
      <w:pPr>
        <w:pStyle w:val="BodyText"/>
        <w:spacing w:line="240" w:lineRule="auto" w:before="56"/>
        <w:ind w:left="513" w:right="0"/>
        <w:jc w:val="left"/>
      </w:pPr>
      <w:r>
        <w:rPr/>
        <w:t>（</w:t>
      </w:r>
      <w:r>
        <w:rPr>
          <w:rFonts w:ascii="宋体" w:hAnsi="宋体" w:cs="宋体" w:eastAsia="宋体" w:hint="default"/>
        </w:rPr>
        <w:t>1</w:t>
      </w:r>
      <w:r>
        <w:rPr/>
        <w:t>）该交易不是企业合并，并且交易发生时既不影响会计利润也不影响应纳税所得额；</w:t>
      </w:r>
    </w:p>
    <w:p>
      <w:pPr>
        <w:spacing w:after="0" w:line="240" w:lineRule="auto"/>
        <w:jc w:val="left"/>
        <w:sectPr>
          <w:pgSz w:w="11910" w:h="16840"/>
          <w:pgMar w:header="877" w:footer="1187" w:top="1100" w:bottom="1380" w:left="980" w:right="0"/>
        </w:sectPr>
      </w:pPr>
    </w:p>
    <w:p>
      <w:pPr>
        <w:spacing w:line="240" w:lineRule="auto" w:before="12"/>
        <w:rPr>
          <w:rFonts w:ascii="宋体" w:hAnsi="宋体" w:cs="宋体" w:eastAsia="宋体" w:hint="default"/>
          <w:sz w:val="21"/>
          <w:szCs w:val="21"/>
        </w:rPr>
      </w:pPr>
    </w:p>
    <w:p>
      <w:pPr>
        <w:pStyle w:val="BodyText"/>
        <w:spacing w:line="319" w:lineRule="auto" w:before="44"/>
        <w:ind w:right="1141" w:firstLine="360"/>
        <w:jc w:val="both"/>
      </w:pPr>
      <w:r>
        <w:rPr/>
        <w:t>（</w:t>
      </w:r>
      <w:r>
        <w:rPr>
          <w:rFonts w:ascii="宋体" w:hAnsi="宋体" w:cs="宋体" w:eastAsia="宋体" w:hint="default"/>
        </w:rPr>
        <w:t>2</w:t>
      </w:r>
      <w:r>
        <w:rPr/>
        <w:t>）对于与子公司及联营企业投资相关的可抵扣暂时性差异，同时满足下列条件的，确认相应的递延所得税资产：暂 时性差异在可预见的未来很可能转回，且未来很可能获得用来抵扣可抵扣暂时性差异的应纳税所得额。</w:t>
      </w:r>
    </w:p>
    <w:p>
      <w:pPr>
        <w:pStyle w:val="BodyText"/>
        <w:spacing w:line="319" w:lineRule="auto" w:before="55"/>
        <w:ind w:left="153" w:right="1043" w:firstLine="360"/>
        <w:jc w:val="both"/>
      </w:pPr>
      <w:r>
        <w:rPr>
          <w:spacing w:val="-4"/>
        </w:rPr>
        <w:t>于资产负债表日，本公司对递延所得税资产和递延所得税负债，按照预期收回该资产或清偿该负债期间的适用税率计量，</w:t>
      </w:r>
      <w:r>
        <w:rPr/>
        <w:t> 并反映资产负债表日预期收回资产或清偿负债方式的所得税影响。</w:t>
      </w:r>
    </w:p>
    <w:p>
      <w:pPr>
        <w:pStyle w:val="BodyText"/>
        <w:spacing w:line="319" w:lineRule="auto" w:before="57"/>
        <w:ind w:right="1132" w:firstLine="360"/>
        <w:jc w:val="both"/>
      </w:pPr>
      <w:r>
        <w:rPr>
          <w:spacing w:val="-2"/>
        </w:rPr>
        <w:t>于资产负债表日，本公司对递延所得税资产的账面价值进行复核。如果未来期间很可能无法获得足够的应纳税所得额用</w:t>
      </w:r>
      <w:r>
        <w:rPr/>
        <w:t> </w:t>
      </w:r>
      <w:r>
        <w:rPr>
          <w:spacing w:val="-2"/>
        </w:rPr>
        <w:t>以抵扣递延所得税资产的利益，减记递延所得税资产的账面价值。在很可能获得足够的应纳税所得额时，减记的金额予以转</w:t>
      </w:r>
      <w:r>
        <w:rPr>
          <w:spacing w:val="-66"/>
        </w:rPr>
        <w:t> </w:t>
      </w:r>
      <w:r>
        <w:rPr>
          <w:spacing w:val="-66"/>
        </w:rPr>
      </w:r>
      <w:r>
        <w:rPr/>
        <w:t>回。</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31、租赁" w:id="216"/>
      <w:bookmarkEnd w:id="216"/>
      <w:r>
        <w:rPr>
          <w:b w:val="0"/>
          <w:bCs w:val="0"/>
        </w:rPr>
      </w:r>
      <w:r>
        <w:rPr>
          <w:rFonts w:ascii="宋体" w:hAnsi="宋体" w:cs="宋体" w:eastAsia="宋体" w:hint="default"/>
        </w:rPr>
        <w:t>31</w:t>
      </w:r>
      <w:r>
        <w:rPr/>
        <w:t>、租赁</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经营租赁的会计处理方法" w:id="217"/>
      <w:bookmarkEnd w:id="217"/>
      <w:r>
        <w:rPr>
          <w:b w:val="0"/>
          <w:bCs w:val="0"/>
        </w:rPr>
      </w:r>
      <w:r>
        <w:rPr/>
        <w:t>（</w:t>
      </w:r>
      <w:r>
        <w:rPr>
          <w:rFonts w:ascii="宋体" w:hAnsi="宋体" w:cs="宋体" w:eastAsia="宋体" w:hint="default"/>
        </w:rPr>
        <w:t>1</w:t>
      </w:r>
      <w:r>
        <w:rPr/>
        <w:t>）经营租赁的会计处理方法</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right="1131" w:firstLine="360"/>
        <w:jc w:val="both"/>
      </w:pPr>
      <w:r>
        <w:rPr>
          <w:spacing w:val="-2"/>
        </w:rPr>
        <w:t>本公司将实质上转移了与资产所有权有关的全部风险和报酬的租赁确认为融资租赁，除融资租赁之外的其他租赁确认为</w:t>
      </w:r>
      <w:r>
        <w:rPr/>
        <w:t> 经营租赁。</w:t>
      </w:r>
    </w:p>
    <w:p>
      <w:pPr>
        <w:pStyle w:val="BodyText"/>
        <w:spacing w:line="357" w:lineRule="auto" w:before="56"/>
        <w:ind w:left="514" w:right="0"/>
        <w:jc w:val="left"/>
      </w:pPr>
      <w:r>
        <w:rPr/>
        <w:t>本公司作为承租人 </w:t>
      </w:r>
      <w:r>
        <w:rPr>
          <w:spacing w:val="-2"/>
        </w:rPr>
        <w:t>经营租赁中的租金，本公司在租赁期内各个期间按照直线法计入相关资产成本或当期损益；发生的初始直接费用，计入</w:t>
      </w:r>
    </w:p>
    <w:p>
      <w:pPr>
        <w:pStyle w:val="BodyText"/>
        <w:spacing w:line="225" w:lineRule="exact"/>
        <w:ind w:right="0"/>
        <w:jc w:val="left"/>
      </w:pPr>
      <w:r>
        <w:rPr/>
        <w:t>当期损益。</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融资租赁的会计处理方法" w:id="218"/>
      <w:bookmarkEnd w:id="218"/>
      <w:r>
        <w:rPr>
          <w:b w:val="0"/>
          <w:bCs w:val="0"/>
        </w:rPr>
      </w:r>
      <w:r>
        <w:rPr/>
        <w:t>（</w:t>
      </w:r>
      <w:r>
        <w:rPr>
          <w:rFonts w:ascii="宋体" w:hAnsi="宋体" w:cs="宋体" w:eastAsia="宋体" w:hint="default"/>
        </w:rPr>
        <w:t>2</w:t>
      </w:r>
      <w:r>
        <w:rPr/>
        <w:t>）融资租赁的会计处理方法</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ind w:right="1131" w:firstLine="360"/>
        <w:jc w:val="both"/>
      </w:pPr>
      <w:r>
        <w:rPr>
          <w:spacing w:val="-2"/>
        </w:rPr>
        <w:t>本公司将实质上转移了与资产所有权有关的全部风险和报酬的租赁确认为融资租赁，除融资租赁之外的其他租赁确认为</w:t>
      </w:r>
      <w:r>
        <w:rPr/>
        <w:t> 经营租赁。</w:t>
      </w:r>
    </w:p>
    <w:p>
      <w:pPr>
        <w:pStyle w:val="BodyText"/>
        <w:spacing w:line="357" w:lineRule="auto" w:before="57"/>
        <w:ind w:left="514" w:right="1212"/>
        <w:jc w:val="left"/>
      </w:pPr>
      <w:r>
        <w:rPr/>
        <w:t>本公司作为承租人 融资租赁中，在租赁期开始日本公司将租赁资产公允价值与最低租赁付款额现值两者中较低者作为租入资产的入账价</w:t>
      </w:r>
    </w:p>
    <w:p>
      <w:pPr>
        <w:pStyle w:val="BodyText"/>
        <w:spacing w:line="224" w:lineRule="exact"/>
        <w:ind w:right="0"/>
        <w:jc w:val="left"/>
      </w:pPr>
      <w:r>
        <w:rPr/>
        <w:t>值，将最低租赁付款额作为长期应付款的入账价值，其差额作为未确认融资费用。初始直接费用计入租入资产价值。未确认</w:t>
      </w:r>
    </w:p>
    <w:p>
      <w:pPr>
        <w:pStyle w:val="BodyText"/>
        <w:spacing w:line="319" w:lineRule="auto" w:before="76"/>
        <w:ind w:right="0"/>
        <w:jc w:val="left"/>
      </w:pPr>
      <w:r>
        <w:rPr>
          <w:spacing w:val="-2"/>
        </w:rPr>
        <w:t>融资费用在租赁期内各个期间采用实际利率法计算确认当期的融资费用。本公司采用与自有固定资产相一致的折旧政策计提</w:t>
      </w:r>
      <w:r>
        <w:rPr>
          <w:spacing w:val="-64"/>
        </w:rPr>
        <w:t> </w:t>
      </w:r>
      <w:r>
        <w:rPr>
          <w:spacing w:val="-64"/>
        </w:rPr>
      </w:r>
      <w:r>
        <w:rPr/>
        <w:t>租赁资产折旧。</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32、其他重要的会计政策和会计估计" w:id="219"/>
      <w:bookmarkEnd w:id="219"/>
      <w:r>
        <w:rPr>
          <w:b w:val="0"/>
          <w:bCs w:val="0"/>
        </w:rPr>
      </w:r>
      <w:r>
        <w:rPr>
          <w:rFonts w:ascii="宋体" w:hAnsi="宋体" w:cs="宋体" w:eastAsia="宋体" w:hint="default"/>
        </w:rPr>
        <w:t>32</w:t>
      </w:r>
      <w:r>
        <w:rPr/>
        <w:t>、其他重要的会计政策和会计估计</w:t>
      </w:r>
      <w:r>
        <w:rPr>
          <w:b w:val="0"/>
          <w:bCs w:val="0"/>
        </w:rPr>
      </w:r>
    </w:p>
    <w:p>
      <w:pPr>
        <w:spacing w:line="240" w:lineRule="auto" w:before="11"/>
        <w:rPr>
          <w:rFonts w:ascii="宋体" w:hAnsi="宋体" w:cs="宋体" w:eastAsia="宋体" w:hint="default"/>
          <w:b/>
          <w:bCs/>
          <w:sz w:val="27"/>
          <w:szCs w:val="27"/>
        </w:rPr>
      </w:pPr>
    </w:p>
    <w:p>
      <w:pPr>
        <w:pStyle w:val="BodyText"/>
        <w:spacing w:line="360" w:lineRule="auto"/>
        <w:ind w:left="514" w:right="1032"/>
        <w:jc w:val="left"/>
      </w:pPr>
      <w:r>
        <w:rPr/>
        <w:t>本公司根据历史经验和其它因素，包括对未来事项的合理预期，对所采用的重要会计估计和关键假设进行持续的评价。 很可能导致下一会计年度资产和负债的账面价值出现重大调整风险的重要会计估计和关键假设列示如下：</w:t>
      </w:r>
    </w:p>
    <w:p>
      <w:pPr>
        <w:pStyle w:val="BodyText"/>
        <w:spacing w:line="357" w:lineRule="auto" w:before="26"/>
        <w:ind w:left="513" w:right="1118"/>
        <w:jc w:val="left"/>
      </w:pPr>
      <w:r>
        <w:rPr/>
        <w:t>（</w:t>
      </w:r>
      <w:r>
        <w:rPr>
          <w:rFonts w:ascii="宋体" w:hAnsi="宋体" w:cs="宋体" w:eastAsia="宋体" w:hint="default"/>
        </w:rPr>
        <w:t>1</w:t>
      </w:r>
      <w:r>
        <w:rPr/>
        <w:t>）资产减值 </w:t>
      </w:r>
      <w:r>
        <w:rPr>
          <w:spacing w:val="-2"/>
        </w:rPr>
        <w:t>本公司于资产负债表日对除金融资产之外的非流动资产判断是否存在可能发生减值的迹象。对使用寿命不确定的无形资</w:t>
      </w:r>
    </w:p>
    <w:p>
      <w:pPr>
        <w:pStyle w:val="BodyText"/>
        <w:spacing w:line="224" w:lineRule="exact"/>
        <w:ind w:left="153" w:right="0"/>
        <w:jc w:val="left"/>
      </w:pPr>
      <w:r>
        <w:rPr/>
        <w:t>产，除每年进行的减值测试外，当其存在减值迹象时，也进行减值测试。其他除金融资产之外的非流动资产，当存在迹象表</w:t>
      </w:r>
    </w:p>
    <w:p>
      <w:pPr>
        <w:pStyle w:val="BodyText"/>
        <w:spacing w:line="357" w:lineRule="auto" w:before="77"/>
        <w:ind w:left="513" w:right="1213" w:hanging="360"/>
        <w:jc w:val="left"/>
      </w:pPr>
      <w:r>
        <w:rPr/>
        <w:t>明其账面金额不可收回时，进行减值测试。 当资产或资产组的账面价值高于可收回金额，即公允价值减去处置费用后的净额和预计未来现金流量的现值中的较高</w:t>
      </w:r>
    </w:p>
    <w:p>
      <w:pPr>
        <w:pStyle w:val="BodyText"/>
        <w:spacing w:line="357" w:lineRule="auto"/>
        <w:ind w:left="513" w:right="0" w:hanging="360"/>
        <w:jc w:val="left"/>
      </w:pPr>
      <w:r>
        <w:rPr/>
        <w:t>者，表明发生了减值。 </w:t>
      </w:r>
      <w:r>
        <w:rPr>
          <w:spacing w:val="-2"/>
        </w:rPr>
        <w:t>公允价值减去处置费用后的净额，参考公平交易中类似资产的销售协议价格或可观察到的市场价格，减去可直接归属于</w:t>
      </w:r>
    </w:p>
    <w:p>
      <w:pPr>
        <w:pStyle w:val="BodyText"/>
        <w:spacing w:line="357" w:lineRule="auto"/>
        <w:ind w:left="513" w:right="0" w:hanging="360"/>
        <w:jc w:val="left"/>
      </w:pPr>
      <w:r>
        <w:rPr/>
        <w:t>该资产处置的增量成本确定。 </w:t>
      </w:r>
      <w:r>
        <w:rPr>
          <w:spacing w:val="-2"/>
        </w:rPr>
        <w:t>在预计未来现金流量现值时，需要对该资产（或资产组）售价、相关经营成本以及计算现值时使用的折现率等作出重大</w:t>
      </w:r>
    </w:p>
    <w:p>
      <w:pPr>
        <w:pStyle w:val="BodyText"/>
        <w:spacing w:line="224" w:lineRule="exact"/>
        <w:ind w:left="153" w:right="0"/>
        <w:jc w:val="left"/>
      </w:pPr>
      <w:r>
        <w:rPr/>
        <w:t>判断。本公司在估计可收回金额时会采用所有能够获得的相关资料，包括根据合理和可支持的假设所作出有关售价和相关经</w:t>
      </w:r>
    </w:p>
    <w:p>
      <w:pPr>
        <w:pStyle w:val="BodyText"/>
        <w:spacing w:line="240" w:lineRule="auto" w:before="77"/>
        <w:ind w:left="153" w:right="0"/>
        <w:jc w:val="left"/>
      </w:pPr>
      <w:r>
        <w:rPr/>
        <w:t>营成本的预测。</w:t>
      </w:r>
    </w:p>
    <w:p>
      <w:pPr>
        <w:spacing w:after="0" w:line="240" w:lineRule="auto"/>
        <w:jc w:val="left"/>
        <w:sectPr>
          <w:pgSz w:w="11910" w:h="16840"/>
          <w:pgMar w:header="877" w:footer="1187" w:top="1100" w:bottom="1380" w:left="980" w:right="0"/>
        </w:sectPr>
      </w:pPr>
    </w:p>
    <w:p>
      <w:pPr>
        <w:spacing w:line="240" w:lineRule="auto" w:before="12"/>
        <w:rPr>
          <w:rFonts w:ascii="宋体" w:hAnsi="宋体" w:cs="宋体" w:eastAsia="宋体" w:hint="default"/>
          <w:sz w:val="21"/>
          <w:szCs w:val="21"/>
        </w:rPr>
      </w:pPr>
    </w:p>
    <w:p>
      <w:pPr>
        <w:pStyle w:val="BodyText"/>
        <w:spacing w:line="319" w:lineRule="auto" w:before="44"/>
        <w:ind w:right="0" w:firstLine="360"/>
        <w:jc w:val="left"/>
      </w:pPr>
      <w:r>
        <w:rPr/>
        <w:t>本公司至少每年测试商誉是否发生减值。这要求对分配了商誉的资产组或者资产组组合的未来现金流量的现值进行预 </w:t>
      </w:r>
      <w:r>
        <w:rPr>
          <w:spacing w:val="-2"/>
        </w:rPr>
        <w:t>计。对未来现金流量的现值进行预计时，本公司需要预计未来资产组或者资产组组合产生的现金流量，同时选择恰当的折现</w:t>
      </w:r>
      <w:r>
        <w:rPr>
          <w:spacing w:val="-66"/>
        </w:rPr>
        <w:t> </w:t>
      </w:r>
      <w:r>
        <w:rPr>
          <w:spacing w:val="-66"/>
        </w:rPr>
      </w:r>
      <w:r>
        <w:rPr/>
        <w:t>率确定未来现金流量的现值。</w:t>
      </w:r>
    </w:p>
    <w:p>
      <w:pPr>
        <w:pStyle w:val="BodyText"/>
        <w:spacing w:line="357" w:lineRule="auto" w:before="56"/>
        <w:ind w:left="514" w:right="0"/>
        <w:jc w:val="left"/>
      </w:pPr>
      <w:r>
        <w:rPr/>
        <w:t>（</w:t>
      </w:r>
      <w:r>
        <w:rPr>
          <w:rFonts w:ascii="宋体" w:hAnsi="宋体" w:cs="宋体" w:eastAsia="宋体" w:hint="default"/>
        </w:rPr>
        <w:t>2</w:t>
      </w:r>
      <w:r>
        <w:rPr/>
        <w:t>）递延所得税资产 </w:t>
      </w:r>
      <w:r>
        <w:rPr>
          <w:spacing w:val="-2"/>
        </w:rPr>
        <w:t>在很有可能有足够的应纳税利润来抵扣亏损的限度内，应就所有未利用的税务亏损确认递延所得税资产。这需要管理层</w:t>
      </w:r>
    </w:p>
    <w:p>
      <w:pPr>
        <w:pStyle w:val="BodyText"/>
        <w:spacing w:line="225" w:lineRule="exact"/>
        <w:ind w:right="0"/>
        <w:jc w:val="left"/>
      </w:pPr>
      <w:r>
        <w:rPr/>
        <w:t>运用大量的判断来估计未来应纳税利润发生的时间和金额，结合纳税筹划策略，以决定应确认的递延所得税资产的金额。</w:t>
      </w:r>
    </w:p>
    <w:p>
      <w:pPr>
        <w:pStyle w:val="BodyText"/>
        <w:spacing w:line="357" w:lineRule="auto" w:before="116"/>
        <w:ind w:left="514" w:right="0"/>
        <w:jc w:val="left"/>
      </w:pPr>
      <w:r>
        <w:rPr/>
        <w:t>（</w:t>
      </w:r>
      <w:r>
        <w:rPr>
          <w:rFonts w:ascii="宋体" w:hAnsi="宋体" w:cs="宋体" w:eastAsia="宋体" w:hint="default"/>
        </w:rPr>
        <w:t>3</w:t>
      </w:r>
      <w:r>
        <w:rPr/>
        <w:t>）一般风险准备 </w:t>
      </w:r>
      <w:r>
        <w:rPr>
          <w:spacing w:val="-2"/>
        </w:rPr>
        <w:t>一般风险准备是从净利润中计提的、用于部分弥补尚未识别的可能性损失的准备金。本公司运用动态拨备原理，采用标</w:t>
      </w:r>
    </w:p>
    <w:p>
      <w:pPr>
        <w:pStyle w:val="BodyText"/>
        <w:spacing w:line="224" w:lineRule="exact"/>
        <w:ind w:right="0"/>
        <w:jc w:val="left"/>
      </w:pPr>
      <w:r>
        <w:rPr/>
        <w:t>准法对风险资产所面临的风险状况定量分析，确定潜在风险估计值。计算风险资产的潜在风险估计值后，对于潜在风险估计</w:t>
      </w:r>
    </w:p>
    <w:p>
      <w:pPr>
        <w:pStyle w:val="BodyText"/>
        <w:spacing w:line="319" w:lineRule="auto" w:before="76"/>
        <w:ind w:right="0"/>
        <w:jc w:val="left"/>
      </w:pPr>
      <w:r>
        <w:rPr>
          <w:spacing w:val="-2"/>
        </w:rPr>
        <w:t>值高于资产减值准备的，扣减已计提的资产减值准备，计提一般风险准备。当潜在风险估计值低于资产减值准备时，不计提</w:t>
      </w:r>
      <w:r>
        <w:rPr>
          <w:spacing w:val="-66"/>
        </w:rPr>
        <w:t> </w:t>
      </w:r>
      <w:r>
        <w:rPr>
          <w:spacing w:val="-66"/>
        </w:rPr>
      </w:r>
      <w:r>
        <w:rPr/>
        <w:t>一般风险准备。</w:t>
      </w:r>
    </w:p>
    <w:p>
      <w:pPr>
        <w:pStyle w:val="BodyText"/>
        <w:spacing w:line="319" w:lineRule="auto" w:before="56"/>
        <w:ind w:left="153" w:right="1033" w:firstLine="360"/>
        <w:jc w:val="left"/>
      </w:pPr>
      <w:r>
        <w:rPr/>
        <w:t>本公司采用标准法确定潜在风险估计值，信贷资产根据金融监管部门的有关规定进行风险分类，标准风险系数暂定为： 正常类</w:t>
      </w:r>
      <w:r>
        <w:rPr>
          <w:spacing w:val="-46"/>
        </w:rPr>
        <w:t> </w:t>
      </w:r>
      <w:r>
        <w:rPr>
          <w:rFonts w:ascii="宋体" w:hAnsi="宋体" w:cs="宋体" w:eastAsia="宋体" w:hint="default"/>
        </w:rPr>
        <w:t>1.5%</w:t>
      </w:r>
      <w:r>
        <w:rPr/>
        <w:t>，关注类</w:t>
      </w:r>
      <w:r>
        <w:rPr>
          <w:spacing w:val="-46"/>
        </w:rPr>
        <w:t> </w:t>
      </w:r>
      <w:r>
        <w:rPr>
          <w:rFonts w:ascii="宋体" w:hAnsi="宋体" w:cs="宋体" w:eastAsia="宋体" w:hint="default"/>
        </w:rPr>
        <w:t>3%</w:t>
      </w:r>
      <w:r>
        <w:rPr/>
        <w:t>，次级类</w:t>
      </w:r>
      <w:r>
        <w:rPr>
          <w:spacing w:val="-46"/>
        </w:rPr>
        <w:t> </w:t>
      </w:r>
      <w:r>
        <w:rPr>
          <w:rFonts w:ascii="宋体" w:hAnsi="宋体" w:cs="宋体" w:eastAsia="宋体" w:hint="default"/>
        </w:rPr>
        <w:t>30%</w:t>
      </w:r>
      <w:r>
        <w:rPr/>
        <w:t>，可疑类</w:t>
      </w:r>
      <w:r>
        <w:rPr>
          <w:spacing w:val="-46"/>
        </w:rPr>
        <w:t> </w:t>
      </w:r>
      <w:r>
        <w:rPr>
          <w:rFonts w:ascii="宋体" w:hAnsi="宋体" w:cs="宋体" w:eastAsia="宋体" w:hint="default"/>
        </w:rPr>
        <w:t>60%</w:t>
      </w:r>
      <w:r>
        <w:rPr/>
        <w:t>，损失类</w:t>
      </w:r>
      <w:r>
        <w:rPr>
          <w:spacing w:val="-46"/>
        </w:rPr>
        <w:t> </w:t>
      </w:r>
      <w:r>
        <w:rPr>
          <w:rFonts w:ascii="宋体" w:hAnsi="宋体" w:cs="宋体" w:eastAsia="宋体" w:hint="default"/>
        </w:rPr>
        <w:t>100%</w:t>
      </w:r>
      <w:r>
        <w:rPr/>
        <w:t>。其他风险资产参照信贷资产进行风险分类，采用的标准 风险系数同上述信贷资产标准风险系数。</w:t>
      </w:r>
    </w:p>
    <w:p>
      <w:pPr>
        <w:spacing w:line="240" w:lineRule="auto" w:before="3"/>
        <w:rPr>
          <w:rFonts w:ascii="宋体" w:hAnsi="宋体" w:cs="宋体" w:eastAsia="宋体" w:hint="default"/>
          <w:sz w:val="22"/>
          <w:szCs w:val="22"/>
        </w:rPr>
      </w:pPr>
    </w:p>
    <w:p>
      <w:pPr>
        <w:pStyle w:val="Heading3"/>
        <w:spacing w:line="240" w:lineRule="auto"/>
        <w:ind w:left="153" w:right="0"/>
        <w:jc w:val="left"/>
        <w:rPr>
          <w:b w:val="0"/>
          <w:bCs w:val="0"/>
        </w:rPr>
      </w:pPr>
      <w:bookmarkStart w:name="33、重要会计政策和会计估计变更" w:id="220"/>
      <w:bookmarkEnd w:id="220"/>
      <w:r>
        <w:rPr>
          <w:b w:val="0"/>
          <w:bCs w:val="0"/>
        </w:rPr>
      </w:r>
      <w:r>
        <w:rPr>
          <w:rFonts w:ascii="宋体" w:hAnsi="宋体" w:cs="宋体" w:eastAsia="宋体" w:hint="default"/>
        </w:rPr>
        <w:t>33</w:t>
      </w:r>
      <w:r>
        <w:rPr/>
        <w:t>、重要会计政策和会计估计变更</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53" w:right="0"/>
        <w:jc w:val="left"/>
        <w:rPr>
          <w:b w:val="0"/>
          <w:bCs w:val="0"/>
        </w:rPr>
      </w:pPr>
      <w:bookmarkStart w:name="（1）重要会计政策变更" w:id="221"/>
      <w:bookmarkEnd w:id="221"/>
      <w:r>
        <w:rPr>
          <w:b w:val="0"/>
          <w:bCs w:val="0"/>
        </w:rPr>
      </w:r>
      <w:r>
        <w:rPr/>
        <w:t>（</w:t>
      </w:r>
      <w:r>
        <w:rPr>
          <w:rFonts w:ascii="宋体" w:hAnsi="宋体" w:cs="宋体" w:eastAsia="宋体" w:hint="default"/>
        </w:rPr>
        <w:t>1</w:t>
      </w:r>
      <w:r>
        <w:rPr/>
        <w:t>）重要会计政策变更</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53"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1346"/>
        <w:gridCol w:w="709"/>
        <w:gridCol w:w="1135"/>
        <w:gridCol w:w="424"/>
        <w:gridCol w:w="1560"/>
        <w:gridCol w:w="1276"/>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26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654" w:hRule="exact"/>
        </w:trPr>
        <w:tc>
          <w:tcPr>
            <w:tcW w:w="45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57" w:right="77" w:hanging="180"/>
              <w:jc w:val="left"/>
              <w:rPr>
                <w:rFonts w:ascii="宋体" w:hAnsi="宋体" w:cs="宋体" w:eastAsia="宋体" w:hint="default"/>
                <w:sz w:val="18"/>
                <w:szCs w:val="18"/>
              </w:rPr>
            </w:pPr>
            <w:r>
              <w:rPr>
                <w:rFonts w:ascii="宋体" w:hAnsi="宋体" w:cs="宋体" w:eastAsia="宋体" w:hint="default"/>
                <w:b/>
                <w:bCs/>
                <w:sz w:val="18"/>
                <w:szCs w:val="18"/>
              </w:rPr>
              <w:t>审批程</w:t>
            </w:r>
            <w:r>
              <w:rPr>
                <w:rFonts w:ascii="宋体" w:hAnsi="宋体" w:cs="宋体" w:eastAsia="宋体" w:hint="default"/>
                <w:b/>
                <w:bCs/>
                <w:spacing w:val="1"/>
                <w:w w:val="99"/>
                <w:sz w:val="18"/>
                <w:szCs w:val="18"/>
              </w:rPr>
              <w:t> </w:t>
            </w:r>
            <w:r>
              <w:rPr>
                <w:rFonts w:ascii="宋体" w:hAnsi="宋体" w:cs="宋体" w:eastAsia="宋体" w:hint="default"/>
                <w:b/>
                <w:bCs/>
                <w:sz w:val="18"/>
                <w:szCs w:val="18"/>
              </w:rPr>
              <w:t>序</w:t>
            </w:r>
            <w:r>
              <w:rPr>
                <w:rFonts w:ascii="宋体" w:hAnsi="宋体" w:cs="宋体" w:eastAsia="宋体" w:hint="default"/>
                <w:sz w:val="18"/>
                <w:szCs w:val="18"/>
              </w:rPr>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820"/>
              <w:jc w:val="left"/>
              <w:rPr>
                <w:rFonts w:ascii="宋体" w:hAnsi="宋体" w:cs="宋体" w:eastAsia="宋体" w:hint="default"/>
                <w:sz w:val="18"/>
                <w:szCs w:val="18"/>
              </w:rPr>
            </w:pPr>
            <w:r>
              <w:rPr>
                <w:rFonts w:ascii="宋体" w:hAnsi="宋体" w:cs="宋体" w:eastAsia="宋体" w:hint="default"/>
                <w:b/>
                <w:bCs/>
                <w:sz w:val="18"/>
                <w:szCs w:val="18"/>
              </w:rPr>
              <w:t>受影响的</w:t>
            </w:r>
            <w:r>
              <w:rPr>
                <w:rFonts w:ascii="宋体" w:hAnsi="宋体" w:cs="宋体" w:eastAsia="宋体" w:hint="default"/>
                <w:b/>
                <w:bCs/>
                <w:w w:val="99"/>
                <w:sz w:val="18"/>
                <w:szCs w:val="18"/>
              </w:rPr>
              <w:t> </w:t>
            </w:r>
            <w:r>
              <w:rPr>
                <w:rFonts w:ascii="宋体" w:hAnsi="宋体" w:cs="宋体" w:eastAsia="宋体" w:hint="default"/>
                <w:b/>
                <w:bCs/>
                <w:sz w:val="18"/>
                <w:szCs w:val="18"/>
              </w:rPr>
              <w:t>报表项目</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61" w:right="0"/>
              <w:jc w:val="left"/>
              <w:rPr>
                <w:rFonts w:ascii="宋体" w:hAnsi="宋体" w:cs="宋体" w:eastAsia="宋体" w:hint="default"/>
                <w:sz w:val="18"/>
                <w:szCs w:val="18"/>
              </w:rPr>
            </w:pPr>
            <w:r>
              <w:rPr>
                <w:rFonts w:ascii="宋体" w:hAnsi="宋体" w:cs="宋体" w:eastAsia="宋体" w:hint="default"/>
                <w:b/>
                <w:bCs/>
                <w:sz w:val="18"/>
                <w:szCs w:val="18"/>
              </w:rPr>
              <w:t>当期影响金额</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76" w:right="0"/>
              <w:jc w:val="left"/>
              <w:rPr>
                <w:rFonts w:ascii="宋体" w:hAnsi="宋体" w:cs="宋体" w:eastAsia="宋体" w:hint="default"/>
                <w:sz w:val="18"/>
                <w:szCs w:val="18"/>
              </w:rPr>
            </w:pPr>
            <w:r>
              <w:rPr>
                <w:rFonts w:ascii="宋体" w:hAnsi="宋体" w:cs="宋体" w:eastAsia="宋体" w:hint="default"/>
                <w:b/>
                <w:bCs/>
                <w:sz w:val="18"/>
                <w:szCs w:val="18"/>
              </w:rPr>
              <w:t>上期影响金额</w:t>
            </w:r>
            <w:r>
              <w:rPr>
                <w:rFonts w:ascii="宋体" w:hAnsi="宋体" w:cs="宋体" w:eastAsia="宋体" w:hint="default"/>
                <w:sz w:val="18"/>
                <w:szCs w:val="18"/>
              </w:rPr>
            </w:r>
          </w:p>
        </w:tc>
      </w:tr>
      <w:tr>
        <w:trPr>
          <w:trHeight w:val="2838" w:hRule="exact"/>
        </w:trPr>
        <w:tc>
          <w:tcPr>
            <w:tcW w:w="453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4"/>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z w:val="18"/>
                <w:szCs w:val="18"/>
              </w:rPr>
              <w:t>42</w:t>
            </w:r>
            <w:r>
              <w:rPr>
                <w:rFonts w:ascii="宋体" w:hAnsi="宋体" w:cs="宋体" w:eastAsia="宋体" w:hint="default"/>
                <w:sz w:val="18"/>
                <w:szCs w:val="18"/>
              </w:rPr>
              <w:t>号——持有待售的非流动资产、处置 </w:t>
            </w:r>
            <w:r>
              <w:rPr>
                <w:rFonts w:ascii="宋体" w:hAnsi="宋体" w:cs="宋体" w:eastAsia="宋体" w:hint="default"/>
                <w:spacing w:val="-3"/>
                <w:sz w:val="18"/>
                <w:szCs w:val="18"/>
              </w:rPr>
              <w:t>组和终止经营》对于</w:t>
            </w:r>
            <w:r>
              <w:rPr>
                <w:rFonts w:ascii="宋体" w:hAnsi="宋体" w:cs="宋体" w:eastAsia="宋体" w:hint="default"/>
                <w:spacing w:val="-3"/>
                <w:sz w:val="18"/>
                <w:szCs w:val="18"/>
              </w:rPr>
              <w:t>2017</w:t>
            </w:r>
            <w:r>
              <w:rPr>
                <w:rFonts w:ascii="宋体" w:hAnsi="宋体" w:cs="宋体" w:eastAsia="宋体" w:hint="default"/>
                <w:spacing w:val="-3"/>
                <w:sz w:val="18"/>
                <w:szCs w:val="18"/>
              </w:rPr>
              <w:t>年</w:t>
            </w:r>
            <w:r>
              <w:rPr>
                <w:rFonts w:ascii="宋体" w:hAnsi="宋体" w:cs="宋体" w:eastAsia="宋体" w:hint="default"/>
                <w:spacing w:val="-3"/>
                <w:sz w:val="18"/>
                <w:szCs w:val="18"/>
              </w:rPr>
              <w:t>5</w:t>
            </w:r>
            <w:r>
              <w:rPr>
                <w:rFonts w:ascii="宋体" w:hAnsi="宋体" w:cs="宋体" w:eastAsia="宋体" w:hint="default"/>
                <w:spacing w:val="-3"/>
                <w:sz w:val="18"/>
                <w:szCs w:val="18"/>
              </w:rPr>
              <w:t>月</w:t>
            </w:r>
            <w:r>
              <w:rPr>
                <w:rFonts w:ascii="宋体" w:hAnsi="宋体" w:cs="宋体" w:eastAsia="宋体" w:hint="default"/>
                <w:spacing w:val="-3"/>
                <w:sz w:val="18"/>
                <w:szCs w:val="18"/>
              </w:rPr>
              <w:t>28</w:t>
            </w:r>
            <w:r>
              <w:rPr>
                <w:rFonts w:ascii="宋体" w:hAnsi="宋体" w:cs="宋体" w:eastAsia="宋体" w:hint="default"/>
                <w:spacing w:val="-3"/>
                <w:sz w:val="18"/>
                <w:szCs w:val="18"/>
              </w:rPr>
              <w:t>日之后持有待售的非流动</w:t>
            </w:r>
            <w:r>
              <w:rPr>
                <w:rFonts w:ascii="宋体" w:hAnsi="宋体" w:cs="宋体" w:eastAsia="宋体" w:hint="default"/>
                <w:spacing w:val="-78"/>
                <w:sz w:val="18"/>
                <w:szCs w:val="18"/>
              </w:rPr>
              <w:t> </w:t>
            </w:r>
            <w:r>
              <w:rPr>
                <w:rFonts w:ascii="宋体" w:hAnsi="宋体" w:cs="宋体" w:eastAsia="宋体" w:hint="default"/>
                <w:sz w:val="18"/>
                <w:szCs w:val="18"/>
              </w:rPr>
              <w:t>资产或处置组的分类、计量和列报，以及终止经营的列报 等进行了规定，并采用未来适用法进行处理； 修改了财务报表的列报，在合并利润表和个别利润表中分 别列示持续经营损益和终止经营损益等。 对比较报表的列报进行了相应调整：对于当期列报的终止 经营，原来作为持续经营损益列报的信息重新在比较报表 中作为终止经营损益列报。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52"/>
              <w:jc w:val="both"/>
              <w:rPr>
                <w:rFonts w:ascii="宋体" w:hAnsi="宋体" w:cs="宋体" w:eastAsia="宋体" w:hint="default"/>
                <w:sz w:val="18"/>
                <w:szCs w:val="18"/>
              </w:rPr>
            </w:pPr>
            <w:r>
              <w:rPr>
                <w:rFonts w:ascii="宋体" w:hAnsi="宋体" w:cs="宋体" w:eastAsia="宋体" w:hint="default"/>
                <w:sz w:val="18"/>
                <w:szCs w:val="18"/>
              </w:rPr>
              <w:t>第七届 董事会 第三十 五次会 议</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364" w:right="5" w:hanging="36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89"/>
                <w:sz w:val="18"/>
                <w:szCs w:val="18"/>
              </w:rPr>
              <w:t> </w:t>
            </w:r>
            <w:r>
              <w:rPr>
                <w:rFonts w:ascii="宋体" w:hAnsi="宋体" w:cs="宋体" w:eastAsia="宋体" w:hint="default"/>
                <w:spacing w:val="16"/>
                <w:sz w:val="18"/>
                <w:szCs w:val="18"/>
              </w:rPr>
              <w:t>持续经营净利</w:t>
            </w:r>
            <w:r>
              <w:rPr>
                <w:rFonts w:ascii="宋体" w:hAnsi="宋体" w:cs="宋体" w:eastAsia="宋体" w:hint="default"/>
                <w:sz w:val="18"/>
                <w:szCs w:val="18"/>
              </w:rPr>
              <w:t> 润</w:t>
            </w:r>
          </w:p>
          <w:p>
            <w:pPr>
              <w:pStyle w:val="TableParagraph"/>
              <w:spacing w:line="316" w:lineRule="auto" w:before="19"/>
              <w:ind w:left="364" w:right="5" w:hanging="36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89"/>
                <w:sz w:val="18"/>
                <w:szCs w:val="18"/>
              </w:rPr>
              <w:t> </w:t>
            </w:r>
            <w:r>
              <w:rPr>
                <w:rFonts w:ascii="宋体" w:hAnsi="宋体" w:cs="宋体" w:eastAsia="宋体" w:hint="default"/>
                <w:spacing w:val="16"/>
                <w:sz w:val="18"/>
                <w:szCs w:val="18"/>
              </w:rPr>
              <w:t>终止经营净利</w:t>
            </w:r>
            <w:r>
              <w:rPr>
                <w:rFonts w:ascii="宋体" w:hAnsi="宋体" w:cs="宋体" w:eastAsia="宋体" w:hint="default"/>
                <w:sz w:val="18"/>
                <w:szCs w:val="18"/>
              </w:rPr>
              <w:t> 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p>
            <w:pPr>
              <w:pStyle w:val="TableParagraph"/>
              <w:spacing w:line="240" w:lineRule="auto" w:before="76"/>
              <w:ind w:right="5"/>
              <w:jc w:val="right"/>
              <w:rPr>
                <w:rFonts w:ascii="宋体" w:hAnsi="宋体" w:cs="宋体" w:eastAsia="宋体" w:hint="default"/>
                <w:sz w:val="18"/>
                <w:szCs w:val="18"/>
              </w:rPr>
            </w:pPr>
            <w:r>
              <w:rPr>
                <w:rFonts w:ascii="宋体"/>
                <w:sz w:val="18"/>
              </w:rPr>
              <w:t>--</w:t>
            </w: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838" w:hRule="exact"/>
        </w:trPr>
        <w:tc>
          <w:tcPr>
            <w:tcW w:w="453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5"/>
              <w:jc w:val="left"/>
              <w:rPr>
                <w:rFonts w:ascii="宋体" w:hAnsi="宋体" w:cs="宋体" w:eastAsia="宋体" w:hint="default"/>
                <w:sz w:val="18"/>
                <w:szCs w:val="18"/>
              </w:rPr>
            </w:pPr>
            <w:r>
              <w:rPr>
                <w:rFonts w:ascii="宋体" w:hAnsi="宋体" w:cs="宋体" w:eastAsia="宋体" w:hint="default"/>
                <w:sz w:val="18"/>
                <w:szCs w:val="18"/>
              </w:rPr>
              <w:t>根据《企业会计准则第</w:t>
            </w:r>
            <w:r>
              <w:rPr>
                <w:rFonts w:ascii="宋体" w:hAnsi="宋体" w:cs="宋体" w:eastAsia="宋体" w:hint="default"/>
                <w:sz w:val="18"/>
                <w:szCs w:val="18"/>
              </w:rPr>
              <w:t>16</w:t>
            </w:r>
            <w:r>
              <w:rPr>
                <w:rFonts w:ascii="宋体" w:hAnsi="宋体" w:cs="宋体" w:eastAsia="宋体" w:hint="default"/>
                <w:sz w:val="18"/>
                <w:szCs w:val="18"/>
              </w:rPr>
              <w:t>号——政府补助》（</w:t>
            </w:r>
            <w:r>
              <w:rPr>
                <w:rFonts w:ascii="宋体" w:hAnsi="宋体" w:cs="宋体" w:eastAsia="宋体" w:hint="default"/>
                <w:sz w:val="18"/>
                <w:szCs w:val="18"/>
              </w:rPr>
              <w:t>2017</w:t>
            </w:r>
            <w:r>
              <w:rPr>
                <w:rFonts w:ascii="宋体" w:hAnsi="宋体" w:cs="宋体" w:eastAsia="宋体" w:hint="default"/>
                <w:sz w:val="18"/>
                <w:szCs w:val="18"/>
              </w:rPr>
              <w:t>），政 府补助的会计处理方法从总额法改为允许采用净额法，将 与资产相关的政府补助相关递延收益的摊销方式从在相关 </w:t>
            </w:r>
            <w:r>
              <w:rPr>
                <w:rFonts w:ascii="宋体" w:hAnsi="宋体" w:cs="宋体" w:eastAsia="宋体" w:hint="default"/>
                <w:spacing w:val="-6"/>
                <w:sz w:val="18"/>
                <w:szCs w:val="18"/>
              </w:rPr>
              <w:t>资产使用寿命内平均分配改为按照合理、系统的方法分配，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并修改了政府补助的列报项目。</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日尚未摊销完 毕的政府补助和</w:t>
            </w:r>
            <w:r>
              <w:rPr>
                <w:rFonts w:ascii="宋体" w:hAnsi="宋体" w:cs="宋体" w:eastAsia="宋体" w:hint="default"/>
                <w:sz w:val="18"/>
                <w:szCs w:val="18"/>
              </w:rPr>
              <w:t>2017</w:t>
            </w:r>
            <w:r>
              <w:rPr>
                <w:rFonts w:ascii="宋体" w:hAnsi="宋体" w:cs="宋体" w:eastAsia="宋体" w:hint="default"/>
                <w:sz w:val="18"/>
                <w:szCs w:val="18"/>
              </w:rPr>
              <w:t>年取得的政府补助适用修订后的准 则。 对新的披露要求不需提供比较信息，不对比较报表中其他 收益的列报进行相应调整。</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52"/>
              <w:jc w:val="both"/>
              <w:rPr>
                <w:rFonts w:ascii="宋体" w:hAnsi="宋体" w:cs="宋体" w:eastAsia="宋体" w:hint="default"/>
                <w:sz w:val="18"/>
                <w:szCs w:val="18"/>
              </w:rPr>
            </w:pPr>
            <w:r>
              <w:rPr>
                <w:rFonts w:ascii="宋体" w:hAnsi="宋体" w:cs="宋体" w:eastAsia="宋体" w:hint="default"/>
                <w:sz w:val="18"/>
                <w:szCs w:val="18"/>
              </w:rPr>
              <w:t>第七届 董事会 第三十 五次会 议</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其他收益</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4.  </w:t>
            </w:r>
            <w:r>
              <w:rPr>
                <w:rFonts w:ascii="宋体" w:hAnsi="宋体" w:cs="宋体" w:eastAsia="宋体" w:hint="default"/>
                <w:sz w:val="18"/>
                <w:szCs w:val="18"/>
              </w:rPr>
              <w:t>营业外收入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74" w:right="0"/>
              <w:jc w:val="left"/>
              <w:rPr>
                <w:rFonts w:ascii="宋体" w:hAnsi="宋体" w:cs="宋体" w:eastAsia="宋体" w:hint="default"/>
                <w:sz w:val="18"/>
                <w:szCs w:val="18"/>
              </w:rPr>
            </w:pPr>
            <w:r>
              <w:rPr>
                <w:rFonts w:ascii="宋体"/>
                <w:sz w:val="18"/>
              </w:rPr>
              <w:t>11,274,920.46</w:t>
            </w:r>
          </w:p>
          <w:p>
            <w:pPr>
              <w:pStyle w:val="TableParagraph"/>
              <w:spacing w:line="240" w:lineRule="auto" w:before="76"/>
              <w:ind w:left="284" w:right="0"/>
              <w:jc w:val="left"/>
              <w:rPr>
                <w:rFonts w:ascii="宋体" w:hAnsi="宋体" w:cs="宋体" w:eastAsia="宋体" w:hint="default"/>
                <w:sz w:val="18"/>
                <w:szCs w:val="18"/>
              </w:rPr>
            </w:pPr>
            <w:r>
              <w:rPr>
                <w:rFonts w:ascii="宋体"/>
                <w:sz w:val="18"/>
              </w:rPr>
              <w:t>-11,274,920.46</w:t>
            </w: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453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9"/>
              <w:jc w:val="left"/>
              <w:rPr>
                <w:rFonts w:ascii="宋体" w:hAnsi="宋体" w:cs="宋体" w:eastAsia="宋体" w:hint="default"/>
                <w:sz w:val="18"/>
                <w:szCs w:val="18"/>
              </w:rPr>
            </w:pPr>
            <w:r>
              <w:rPr>
                <w:rFonts w:ascii="宋体" w:hAnsi="宋体" w:cs="宋体" w:eastAsia="宋体" w:hint="default"/>
                <w:sz w:val="18"/>
                <w:szCs w:val="18"/>
              </w:rPr>
              <w:t>根据《关于修订印发一般企业财务报表格式的通知》（财 会</w:t>
            </w:r>
            <w:r>
              <w:rPr>
                <w:rFonts w:ascii="宋体" w:hAnsi="宋体" w:cs="宋体" w:eastAsia="宋体" w:hint="default"/>
                <w:sz w:val="18"/>
                <w:szCs w:val="18"/>
              </w:rPr>
              <w:t>[2017]30</w:t>
            </w:r>
            <w:r>
              <w:rPr>
                <w:rFonts w:ascii="宋体" w:hAnsi="宋体" w:cs="宋体" w:eastAsia="宋体" w:hint="default"/>
                <w:sz w:val="18"/>
                <w:szCs w:val="18"/>
              </w:rPr>
              <w:t>号），在利润表中新增“资产处置收益”行项</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52"/>
              <w:jc w:val="left"/>
              <w:rPr>
                <w:rFonts w:ascii="宋体" w:hAnsi="宋体" w:cs="宋体" w:eastAsia="宋体" w:hint="default"/>
                <w:sz w:val="18"/>
                <w:szCs w:val="18"/>
              </w:rPr>
            </w:pPr>
            <w:r>
              <w:rPr>
                <w:rFonts w:ascii="宋体" w:hAnsi="宋体" w:cs="宋体" w:eastAsia="宋体" w:hint="default"/>
                <w:sz w:val="18"/>
                <w:szCs w:val="18"/>
              </w:rPr>
              <w:t>第七届 董事会</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5.  </w:t>
            </w:r>
            <w:r>
              <w:rPr>
                <w:rFonts w:ascii="宋体" w:hAnsi="宋体" w:cs="宋体" w:eastAsia="宋体" w:hint="default"/>
                <w:sz w:val="18"/>
                <w:szCs w:val="18"/>
              </w:rPr>
              <w:t>资产处置收益</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6.  </w:t>
            </w:r>
            <w:r>
              <w:rPr>
                <w:rFonts w:ascii="宋体" w:hAnsi="宋体" w:cs="宋体" w:eastAsia="宋体" w:hint="default"/>
                <w:sz w:val="18"/>
                <w:szCs w:val="18"/>
              </w:rPr>
              <w:t>营业外收入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28" w:right="0"/>
              <w:jc w:val="center"/>
              <w:rPr>
                <w:rFonts w:ascii="宋体" w:hAnsi="宋体" w:cs="宋体" w:eastAsia="宋体" w:hint="default"/>
                <w:sz w:val="18"/>
                <w:szCs w:val="18"/>
              </w:rPr>
            </w:pPr>
            <w:r>
              <w:rPr>
                <w:rFonts w:ascii="宋体"/>
                <w:sz w:val="18"/>
              </w:rPr>
              <w:t>54,259.77</w:t>
            </w:r>
          </w:p>
          <w:p>
            <w:pPr>
              <w:pStyle w:val="TableParagraph"/>
              <w:spacing w:line="240" w:lineRule="auto" w:before="76"/>
              <w:ind w:left="548" w:right="0"/>
              <w:jc w:val="center"/>
              <w:rPr>
                <w:rFonts w:ascii="宋体" w:hAnsi="宋体" w:cs="宋体" w:eastAsia="宋体" w:hint="default"/>
                <w:sz w:val="18"/>
                <w:szCs w:val="18"/>
              </w:rPr>
            </w:pPr>
            <w:r>
              <w:rPr>
                <w:rFonts w:ascii="宋体"/>
                <w:sz w:val="18"/>
              </w:rPr>
              <w:t>-131,098.80</w:t>
            </w:r>
          </w:p>
        </w:tc>
        <w:tc>
          <w:tcPr>
            <w:tcW w:w="1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537"/>
        <w:gridCol w:w="709"/>
        <w:gridCol w:w="1559"/>
        <w:gridCol w:w="1560"/>
        <w:gridCol w:w="1276"/>
      </w:tblGrid>
      <w:tr>
        <w:trPr>
          <w:trHeight w:val="4086"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9"/>
              <w:jc w:val="left"/>
              <w:rPr>
                <w:rFonts w:ascii="宋体" w:hAnsi="宋体" w:cs="宋体" w:eastAsia="宋体" w:hint="default"/>
                <w:sz w:val="18"/>
                <w:szCs w:val="18"/>
              </w:rPr>
            </w:pPr>
            <w:r>
              <w:rPr>
                <w:rFonts w:ascii="宋体" w:hAnsi="宋体" w:cs="宋体" w:eastAsia="宋体" w:hint="default"/>
                <w:sz w:val="18"/>
                <w:szCs w:val="18"/>
              </w:rPr>
              <w:t>目，反映企业出售划分为持有待售的非流动资产（金融工 具、长期股权投资和投资性房地产除外）或处置组时确认 的处置利得或损失，处置未划分为持有待售的固定资产、 在建工程、生产性生物资产及无形资产而产生的处置利得 或损失，以及债务重组中因处置非流动资产产生的利得或 损失和非货币性资产交换产生的利得或损失。 相应的删除“营业外收入”和“营业外支出”项下的“其 中：非流动资产处置利得”和“其中：非流动资产处置损 失”项目，修正后的营业外收支反映企业发生的营业利润 以外的收益，主要包括债务重组利得或损失、与企业日常 活动无关的政府补助、公益性捐赠支出、非常损失、盘盈 利得或损失、捐赠利得、非流动资产毁损报废损失等。 对比较报表的列报进行了相应调整。</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52"/>
              <w:jc w:val="both"/>
              <w:rPr>
                <w:rFonts w:ascii="宋体" w:hAnsi="宋体" w:cs="宋体" w:eastAsia="宋体" w:hint="default"/>
                <w:sz w:val="18"/>
                <w:szCs w:val="18"/>
              </w:rPr>
            </w:pPr>
            <w:r>
              <w:rPr>
                <w:rFonts w:ascii="宋体" w:hAnsi="宋体" w:cs="宋体" w:eastAsia="宋体" w:hint="default"/>
                <w:sz w:val="18"/>
                <w:szCs w:val="18"/>
              </w:rPr>
              <w:t>第三十 五次会 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7.  </w:t>
            </w:r>
            <w:r>
              <w:rPr>
                <w:rFonts w:ascii="宋体" w:hAnsi="宋体" w:cs="宋体" w:eastAsia="宋体" w:hint="default"/>
                <w:sz w:val="18"/>
                <w:szCs w:val="18"/>
              </w:rPr>
              <w:t>营业外支出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44" w:right="0"/>
              <w:jc w:val="left"/>
              <w:rPr>
                <w:rFonts w:ascii="宋体" w:hAnsi="宋体" w:cs="宋体" w:eastAsia="宋体" w:hint="default"/>
                <w:sz w:val="18"/>
                <w:szCs w:val="18"/>
              </w:rPr>
            </w:pPr>
            <w:r>
              <w:rPr>
                <w:rFonts w:ascii="宋体"/>
                <w:sz w:val="18"/>
              </w:rPr>
              <w:t>-76,839.03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359" w:right="0"/>
              <w:jc w:val="left"/>
              <w:rPr>
                <w:rFonts w:ascii="宋体" w:hAnsi="宋体" w:cs="宋体" w:eastAsia="宋体" w:hint="default"/>
                <w:sz w:val="18"/>
                <w:szCs w:val="18"/>
              </w:rPr>
            </w:pPr>
            <w:r>
              <w:rPr>
                <w:rFonts w:ascii="宋体"/>
                <w:sz w:val="18"/>
              </w:rPr>
              <w:t>626,080.46</w:t>
            </w:r>
          </w:p>
          <w:p>
            <w:pPr>
              <w:pStyle w:val="TableParagraph"/>
              <w:spacing w:line="240" w:lineRule="auto" w:before="76"/>
              <w:ind w:left="269" w:right="0"/>
              <w:jc w:val="left"/>
              <w:rPr>
                <w:rFonts w:ascii="宋体" w:hAnsi="宋体" w:cs="宋体" w:eastAsia="宋体" w:hint="default"/>
                <w:sz w:val="18"/>
                <w:szCs w:val="18"/>
              </w:rPr>
            </w:pPr>
            <w:r>
              <w:rPr>
                <w:rFonts w:ascii="宋体"/>
                <w:sz w:val="18"/>
              </w:rPr>
              <w:t>-952,082.82</w:t>
            </w:r>
          </w:p>
          <w:p>
            <w:pPr>
              <w:pStyle w:val="TableParagraph"/>
              <w:spacing w:line="240" w:lineRule="auto" w:before="76"/>
              <w:ind w:left="269" w:right="0"/>
              <w:jc w:val="left"/>
              <w:rPr>
                <w:rFonts w:ascii="宋体" w:hAnsi="宋体" w:cs="宋体" w:eastAsia="宋体" w:hint="default"/>
                <w:sz w:val="18"/>
                <w:szCs w:val="18"/>
              </w:rPr>
            </w:pPr>
            <w:r>
              <w:rPr>
                <w:rFonts w:ascii="宋体"/>
                <w:sz w:val="18"/>
              </w:rPr>
              <w:t>-326,002.36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会计估计变更" w:id="222"/>
      <w:bookmarkEnd w:id="222"/>
      <w:r>
        <w:rPr>
          <w:b w:val="0"/>
          <w:bCs w:val="0"/>
        </w:rPr>
      </w:r>
      <w:r>
        <w:rPr/>
        <w:t>（</w:t>
      </w:r>
      <w:r>
        <w:rPr>
          <w:rFonts w:ascii="宋体" w:hAnsi="宋体" w:cs="宋体" w:eastAsia="宋体" w:hint="default"/>
        </w:rPr>
        <w:t>2</w:t>
      </w:r>
      <w:r>
        <w:rPr/>
        <w:t>）重要会计估计变更</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六、税项" w:id="223"/>
      <w:bookmarkEnd w:id="223"/>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224"/>
      <w:bookmarkEnd w:id="224"/>
      <w:r>
        <w:rPr>
          <w:b w:val="0"/>
          <w:bCs w:val="0"/>
        </w:rPr>
      </w:r>
      <w:r>
        <w:rPr>
          <w:rFonts w:ascii="宋体" w:hAnsi="宋体" w:cs="宋体" w:eastAsia="宋体" w:hint="default"/>
        </w:rPr>
        <w:t>1</w:t>
      </w:r>
      <w:r>
        <w:rPr/>
        <w:t>、主要税种及税率</w:t>
      </w:r>
      <w:r>
        <w:rPr>
          <w:b w:val="0"/>
          <w:bCs w:val="0"/>
        </w:rPr>
      </w:r>
    </w:p>
    <w:p>
      <w:pPr>
        <w:spacing w:line="240" w:lineRule="auto" w:before="13"/>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w:t>
            </w:r>
            <w:r>
              <w:rPr>
                <w:rFonts w:ascii="宋体" w:hAnsi="宋体" w:cs="宋体" w:eastAsia="宋体" w:hint="default"/>
                <w:sz w:val="18"/>
                <w:szCs w:val="18"/>
              </w:rPr>
              <w:t>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文化建设事业费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提供广告服务取得的销售额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w:t>
            </w:r>
          </w:p>
        </w:tc>
      </w:tr>
    </w:tbl>
    <w:p>
      <w:pPr>
        <w:pStyle w:val="BodyText"/>
        <w:spacing w:line="240" w:lineRule="auto" w:before="51"/>
        <w:ind w:right="0"/>
        <w:jc w:val="left"/>
      </w:pPr>
      <w:r>
        <w:rPr/>
        <w:pict>
          <v:group style="position:absolute;margin-left:297.220001pt;margin-top:95.981728pt;width:236.55pt;height:39.75pt;mso-position-horizontal-relative:page;mso-position-vertical-relative:paragraph;z-index:-1181392" coordorigin="5944,1920" coordsize="4731,795">
            <v:group style="position:absolute;left:5944;top:1920;width:4731;height:393" coordorigin="5944,1920" coordsize="4731,393">
              <v:shape style="position:absolute;left:5944;top:1920;width:4731;height:393" coordorigin="5944,1920" coordsize="4731,393" path="m5944,2312l10675,2312,10675,1920,5944,1920,5944,2312xe" filled="true" fillcolor="#ffffff" stroked="false">
                <v:path arrowok="t"/>
                <v:fill type="solid"/>
              </v:shape>
            </v:group>
            <v:group style="position:absolute;left:5944;top:2322;width:4731;height:393" coordorigin="5944,2322" coordsize="4731,393">
              <v:shape style="position:absolute;left:5944;top:2322;width:4731;height:393" coordorigin="5944,2322" coordsize="4731,393" path="m5944,2714l10675,2714,10675,2322,5944,2322,5944,2714xe" filled="true" fillcolor="#ffffff" stroked="false">
                <v:path arrowok="t"/>
                <v:fill type="solid"/>
              </v:shape>
            </v:group>
            <w10:wrap type="none"/>
          </v:group>
        </w:pict>
      </w: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上海猎鹰网络有限公司（以下简称“上海猎鹰公司”）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15.00%</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9"/>
              <w:jc w:val="left"/>
              <w:rPr>
                <w:rFonts w:ascii="宋体" w:hAnsi="宋体" w:cs="宋体" w:eastAsia="宋体" w:hint="default"/>
                <w:sz w:val="18"/>
                <w:szCs w:val="18"/>
              </w:rPr>
            </w:pPr>
            <w:r>
              <w:rPr>
                <w:rFonts w:ascii="宋体" w:hAnsi="宋体" w:cs="宋体" w:eastAsia="宋体" w:hint="default"/>
                <w:sz w:val="18"/>
                <w:szCs w:val="18"/>
              </w:rPr>
              <w:t>北京掌汇天下科技有限公司（以下简称“北京掌汇天下公 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15.00%</w:t>
            </w:r>
          </w:p>
        </w:tc>
      </w:tr>
      <w:tr>
        <w:trPr>
          <w:trHeight w:val="402" w:hRule="exact"/>
        </w:trPr>
        <w:tc>
          <w:tcPr>
            <w:tcW w:w="4783"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51"/>
              <w:ind w:left="22" w:right="-39"/>
              <w:jc w:val="left"/>
              <w:rPr>
                <w:rFonts w:ascii="宋体" w:hAnsi="宋体" w:cs="宋体" w:eastAsia="宋体" w:hint="default"/>
                <w:sz w:val="18"/>
                <w:szCs w:val="18"/>
              </w:rPr>
            </w:pPr>
            <w:r>
              <w:rPr>
                <w:rFonts w:ascii="宋体" w:hAnsi="宋体" w:cs="宋体" w:eastAsia="宋体" w:hint="default"/>
                <w:spacing w:val="-3"/>
                <w:sz w:val="18"/>
                <w:szCs w:val="18"/>
              </w:rPr>
              <w:t>深圳市范特西科技有限公司（以下简称“深圳范特西公司”）</w:t>
            </w:r>
            <w:r>
              <w:rPr>
                <w:rFonts w:ascii="宋体" w:hAnsi="宋体" w:cs="宋体" w:eastAsia="宋体" w:hint="default"/>
                <w:sz w:val="18"/>
                <w:szCs w:val="18"/>
              </w:rPr>
            </w:r>
          </w:p>
        </w:tc>
        <w:tc>
          <w:tcPr>
            <w:tcW w:w="478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sz w:val="18"/>
              </w:rPr>
              <w:t>15.00%</w:t>
            </w:r>
          </w:p>
        </w:tc>
      </w:tr>
      <w:tr>
        <w:trPr>
          <w:trHeight w:val="402" w:hRule="exact"/>
        </w:trPr>
        <w:tc>
          <w:tcPr>
            <w:tcW w:w="4783"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51"/>
              <w:ind w:left="22" w:right="-39"/>
              <w:jc w:val="left"/>
              <w:rPr>
                <w:rFonts w:ascii="宋体" w:hAnsi="宋体" w:cs="宋体" w:eastAsia="宋体" w:hint="default"/>
                <w:sz w:val="18"/>
                <w:szCs w:val="18"/>
              </w:rPr>
            </w:pPr>
            <w:r>
              <w:rPr>
                <w:rFonts w:ascii="宋体" w:hAnsi="宋体" w:cs="宋体" w:eastAsia="宋体" w:hint="default"/>
                <w:spacing w:val="-3"/>
                <w:sz w:val="18"/>
                <w:szCs w:val="18"/>
              </w:rPr>
              <w:t>上海范特西网络科技有限公司（以下简称</w:t>
            </w:r>
            <w:r>
              <w:rPr>
                <w:rFonts w:ascii="宋体" w:hAnsi="宋体" w:cs="宋体" w:eastAsia="宋体" w:hint="default"/>
                <w:spacing w:val="-3"/>
                <w:sz w:val="18"/>
                <w:szCs w:val="18"/>
              </w:rPr>
              <w:t>"</w:t>
            </w:r>
            <w:r>
              <w:rPr>
                <w:rFonts w:ascii="宋体" w:hAnsi="宋体" w:cs="宋体" w:eastAsia="宋体" w:hint="default"/>
                <w:spacing w:val="-3"/>
                <w:sz w:val="18"/>
                <w:szCs w:val="18"/>
              </w:rPr>
              <w:t>上海范特西公司</w:t>
            </w:r>
            <w:r>
              <w:rPr>
                <w:rFonts w:ascii="宋体" w:hAnsi="宋体" w:cs="宋体" w:eastAsia="宋体"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r>
          </w:p>
        </w:tc>
        <w:tc>
          <w:tcPr>
            <w:tcW w:w="478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sz w:val="18"/>
              </w:rPr>
              <w:t>12.50%</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深圳市核聚创新科技有限公司（以下简称</w:t>
            </w:r>
            <w:r>
              <w:rPr>
                <w:rFonts w:ascii="宋体" w:hAnsi="宋体" w:cs="宋体" w:eastAsia="宋体" w:hint="default"/>
                <w:spacing w:val="-2"/>
                <w:sz w:val="18"/>
                <w:szCs w:val="18"/>
              </w:rPr>
              <w:t>"</w:t>
            </w:r>
            <w:r>
              <w:rPr>
                <w:rFonts w:ascii="宋体" w:hAnsi="宋体" w:cs="宋体" w:eastAsia="宋体" w:hint="default"/>
                <w:spacing w:val="-2"/>
                <w:sz w:val="18"/>
                <w:szCs w:val="18"/>
              </w:rPr>
              <w:t>深圳核聚创新公司</w:t>
            </w:r>
            <w:r>
              <w:rPr>
                <w:rFonts w:ascii="宋体" w:hAnsi="宋体" w:cs="宋体" w:eastAsia="宋体" w:hint="default"/>
                <w:spacing w:val="-81"/>
                <w:sz w:val="18"/>
                <w:szCs w:val="18"/>
              </w:rPr>
              <w:t> </w:t>
            </w:r>
            <w:r>
              <w:rPr>
                <w:rFonts w:ascii="宋体" w:hAnsi="宋体" w:cs="宋体" w:eastAsia="宋体"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15.00%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深圳市部落格科技有限公司（以下简称</w:t>
            </w:r>
            <w:r>
              <w:rPr>
                <w:rFonts w:ascii="宋体" w:hAnsi="宋体" w:cs="宋体" w:eastAsia="宋体" w:hint="default"/>
                <w:sz w:val="18"/>
                <w:szCs w:val="18"/>
              </w:rPr>
              <w:t>"</w:t>
            </w:r>
            <w:r>
              <w:rPr>
                <w:rFonts w:ascii="宋体" w:hAnsi="宋体" w:cs="宋体" w:eastAsia="宋体" w:hint="default"/>
                <w:sz w:val="18"/>
                <w:szCs w:val="18"/>
              </w:rPr>
              <w:t>深圳部落格公司</w:t>
            </w:r>
            <w:r>
              <w:rPr>
                <w:rFonts w:ascii="宋体" w:hAnsi="宋体" w:cs="宋体" w:eastAsia="宋体"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0.00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西藏亦复广告有限公司（以下简称</w:t>
            </w:r>
            <w:r>
              <w:rPr>
                <w:rFonts w:ascii="宋体" w:hAnsi="宋体" w:cs="宋体" w:eastAsia="宋体" w:hint="default"/>
                <w:sz w:val="18"/>
                <w:szCs w:val="18"/>
              </w:rPr>
              <w:t>"</w:t>
            </w:r>
            <w:r>
              <w:rPr>
                <w:rFonts w:ascii="宋体" w:hAnsi="宋体" w:cs="宋体" w:eastAsia="宋体" w:hint="default"/>
                <w:sz w:val="18"/>
                <w:szCs w:val="18"/>
              </w:rPr>
              <w:t>西藏亦复公司</w:t>
            </w:r>
            <w:r>
              <w:rPr>
                <w:rFonts w:ascii="宋体" w:hAnsi="宋体" w:cs="宋体" w:eastAsia="宋体"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9.00%</w:t>
            </w:r>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西藏智媒网络科技有限公司（以下简称</w:t>
            </w:r>
            <w:r>
              <w:rPr>
                <w:rFonts w:ascii="宋体" w:hAnsi="宋体" w:cs="宋体" w:eastAsia="宋体" w:hint="default"/>
                <w:sz w:val="18"/>
                <w:szCs w:val="18"/>
              </w:rPr>
              <w:t>"</w:t>
            </w:r>
            <w:r>
              <w:rPr>
                <w:rFonts w:ascii="宋体" w:hAnsi="宋体" w:cs="宋体" w:eastAsia="宋体" w:hint="default"/>
                <w:sz w:val="18"/>
                <w:szCs w:val="18"/>
              </w:rPr>
              <w:t>西藏智媒公司</w:t>
            </w:r>
            <w:r>
              <w:rPr>
                <w:rFonts w:ascii="宋体" w:hAnsi="宋体" w:cs="宋体" w:eastAsia="宋体"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9.00%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万乾网络有限公司（以下简称“万乾网络公司”）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适用香港特别行政区所得税率</w:t>
            </w:r>
            <w:r>
              <w:rPr>
                <w:rFonts w:ascii="宋体" w:hAnsi="宋体" w:cs="宋体" w:eastAsia="宋体" w:hint="default"/>
                <w:spacing w:val="-46"/>
                <w:sz w:val="18"/>
                <w:szCs w:val="18"/>
              </w:rPr>
              <w:t> </w:t>
            </w:r>
            <w:r>
              <w:rPr>
                <w:rFonts w:ascii="宋体" w:hAnsi="宋体" w:cs="宋体" w:eastAsia="宋体" w:hint="default"/>
                <w:sz w:val="18"/>
                <w:szCs w:val="18"/>
              </w:rPr>
              <w:t>16.50%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智度投资（香港）有限公司（以下简称</w:t>
            </w:r>
            <w:r>
              <w:rPr>
                <w:rFonts w:ascii="宋体" w:hAnsi="宋体" w:cs="宋体" w:eastAsia="宋体" w:hint="default"/>
                <w:sz w:val="18"/>
                <w:szCs w:val="18"/>
              </w:rPr>
              <w:t>"</w:t>
            </w:r>
            <w:r>
              <w:rPr>
                <w:rFonts w:ascii="宋体" w:hAnsi="宋体" w:cs="宋体" w:eastAsia="宋体" w:hint="default"/>
                <w:sz w:val="18"/>
                <w:szCs w:val="18"/>
              </w:rPr>
              <w:t>智度香港公司</w:t>
            </w:r>
            <w:r>
              <w:rPr>
                <w:rFonts w:ascii="宋体" w:hAnsi="宋体" w:cs="宋体" w:eastAsia="宋体"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适用香港特别行政区所得税率</w:t>
            </w:r>
            <w:r>
              <w:rPr>
                <w:rFonts w:ascii="宋体" w:hAnsi="宋体" w:cs="宋体" w:eastAsia="宋体" w:hint="default"/>
                <w:spacing w:val="-46"/>
                <w:sz w:val="18"/>
                <w:szCs w:val="18"/>
              </w:rPr>
              <w:t> </w:t>
            </w:r>
            <w:r>
              <w:rPr>
                <w:rFonts w:ascii="宋体" w:hAnsi="宋体" w:cs="宋体" w:eastAsia="宋体" w:hint="default"/>
                <w:sz w:val="18"/>
                <w:szCs w:val="18"/>
              </w:rPr>
              <w:t>16.50%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Spigot,Inc.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适用美国联邦所得税率</w:t>
            </w:r>
            <w:r>
              <w:rPr>
                <w:rFonts w:ascii="宋体" w:hAnsi="宋体" w:cs="宋体" w:eastAsia="宋体" w:hint="default"/>
                <w:spacing w:val="-46"/>
                <w:sz w:val="18"/>
                <w:szCs w:val="18"/>
              </w:rPr>
              <w:t> </w:t>
            </w:r>
            <w:r>
              <w:rPr>
                <w:rFonts w:ascii="宋体" w:hAnsi="宋体" w:cs="宋体" w:eastAsia="宋体" w:hint="default"/>
                <w:sz w:val="18"/>
                <w:szCs w:val="18"/>
              </w:rPr>
              <w:t>33.00%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Polarity Technologies Ltd.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适用塞浦路斯共和国所得税率</w:t>
            </w:r>
            <w:r>
              <w:rPr>
                <w:rFonts w:ascii="宋体" w:hAnsi="宋体" w:cs="宋体" w:eastAsia="宋体" w:hint="default"/>
                <w:spacing w:val="-46"/>
                <w:sz w:val="18"/>
                <w:szCs w:val="18"/>
              </w:rPr>
              <w:t> </w:t>
            </w:r>
            <w:r>
              <w:rPr>
                <w:rFonts w:ascii="宋体" w:hAnsi="宋体" w:cs="宋体" w:eastAsia="宋体" w:hint="default"/>
                <w:sz w:val="18"/>
                <w:szCs w:val="18"/>
              </w:rPr>
              <w:t>12.50%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Springtech Ltd.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适用塞浦路斯共和国所得税率</w:t>
            </w:r>
            <w:r>
              <w:rPr>
                <w:rFonts w:ascii="宋体" w:hAnsi="宋体" w:cs="宋体" w:eastAsia="宋体" w:hint="default"/>
                <w:spacing w:val="-46"/>
                <w:sz w:val="18"/>
                <w:szCs w:val="18"/>
              </w:rPr>
              <w:t> </w:t>
            </w:r>
            <w:r>
              <w:rPr>
                <w:rFonts w:ascii="宋体" w:hAnsi="宋体" w:cs="宋体" w:eastAsia="宋体" w:hint="default"/>
                <w:sz w:val="18"/>
                <w:szCs w:val="18"/>
              </w:rPr>
              <w:t>12.50%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Better Cloud Solutions Ltd.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适用塞浦路斯共和国所得税率</w:t>
            </w:r>
            <w:r>
              <w:rPr>
                <w:rFonts w:ascii="宋体" w:hAnsi="宋体" w:cs="宋体" w:eastAsia="宋体" w:hint="default"/>
                <w:spacing w:val="-46"/>
                <w:sz w:val="18"/>
                <w:szCs w:val="18"/>
              </w:rPr>
              <w:t> </w:t>
            </w:r>
            <w:r>
              <w:rPr>
                <w:rFonts w:ascii="宋体" w:hAnsi="宋体" w:cs="宋体" w:eastAsia="宋体" w:hint="default"/>
                <w:sz w:val="18"/>
                <w:szCs w:val="18"/>
              </w:rPr>
              <w:t>12.50%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Polarity Internet Technologies SRL</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适用罗马尼亚所得税率</w:t>
            </w:r>
            <w:r>
              <w:rPr>
                <w:rFonts w:ascii="宋体" w:hAnsi="宋体" w:cs="宋体" w:eastAsia="宋体" w:hint="default"/>
                <w:spacing w:val="-46"/>
                <w:sz w:val="18"/>
                <w:szCs w:val="18"/>
              </w:rPr>
              <w:t> </w:t>
            </w:r>
            <w:r>
              <w:rPr>
                <w:rFonts w:ascii="宋体" w:hAnsi="宋体" w:cs="宋体" w:eastAsia="宋体" w:hint="default"/>
                <w:sz w:val="18"/>
                <w:szCs w:val="18"/>
              </w:rPr>
              <w:t>16.00%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Eightpoint Technologies Ltd.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适用开曼群岛所得税率</w:t>
            </w:r>
            <w:r>
              <w:rPr>
                <w:rFonts w:ascii="宋体" w:hAnsi="宋体" w:cs="宋体" w:eastAsia="宋体" w:hint="default"/>
                <w:spacing w:val="-46"/>
                <w:sz w:val="18"/>
                <w:szCs w:val="18"/>
              </w:rPr>
              <w:t> </w:t>
            </w:r>
            <w:r>
              <w:rPr>
                <w:rFonts w:ascii="宋体" w:hAnsi="宋体" w:cs="宋体" w:eastAsia="宋体" w:hint="default"/>
                <w:sz w:val="18"/>
                <w:szCs w:val="18"/>
              </w:rPr>
              <w:t>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Genimous Interactive Investment Co., Ltd.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适用美国联邦所得税率</w:t>
            </w:r>
            <w:r>
              <w:rPr>
                <w:rFonts w:ascii="宋体" w:hAnsi="宋体" w:cs="宋体" w:eastAsia="宋体" w:hint="default"/>
                <w:spacing w:val="-46"/>
                <w:sz w:val="18"/>
                <w:szCs w:val="18"/>
              </w:rPr>
              <w:t> </w:t>
            </w:r>
            <w:r>
              <w:rPr>
                <w:rFonts w:ascii="宋体" w:hAnsi="宋体" w:cs="宋体" w:eastAsia="宋体" w:hint="default"/>
                <w:sz w:val="18"/>
                <w:szCs w:val="18"/>
              </w:rPr>
              <w:t>33.00%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GreenTree Applications SRL</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适用罗马尼亚所得税率</w:t>
            </w:r>
            <w:r>
              <w:rPr>
                <w:rFonts w:ascii="宋体" w:hAnsi="宋体" w:cs="宋体" w:eastAsia="宋体" w:hint="default"/>
                <w:spacing w:val="-46"/>
                <w:sz w:val="18"/>
                <w:szCs w:val="18"/>
              </w:rPr>
              <w:t> </w:t>
            </w:r>
            <w:r>
              <w:rPr>
                <w:rFonts w:ascii="宋体" w:hAnsi="宋体" w:cs="宋体" w:eastAsia="宋体" w:hint="default"/>
                <w:sz w:val="18"/>
                <w:szCs w:val="18"/>
              </w:rPr>
              <w:t>16.00%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Azureus Software, Inc.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适用美国联邦所得税率</w:t>
            </w:r>
            <w:r>
              <w:rPr>
                <w:rFonts w:ascii="宋体" w:hAnsi="宋体" w:cs="宋体" w:eastAsia="宋体" w:hint="default"/>
                <w:spacing w:val="-46"/>
                <w:sz w:val="18"/>
                <w:szCs w:val="18"/>
              </w:rPr>
              <w:t> </w:t>
            </w:r>
            <w:r>
              <w:rPr>
                <w:rFonts w:ascii="宋体" w:hAnsi="宋体" w:cs="宋体" w:eastAsia="宋体" w:hint="default"/>
                <w:sz w:val="18"/>
                <w:szCs w:val="18"/>
              </w:rPr>
              <w:t>33.00%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GMGP LLC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适用美国联邦所得税率</w:t>
            </w:r>
            <w:r>
              <w:rPr>
                <w:rFonts w:ascii="宋体" w:hAnsi="宋体" w:cs="宋体" w:eastAsia="宋体" w:hint="default"/>
                <w:spacing w:val="-46"/>
                <w:sz w:val="18"/>
                <w:szCs w:val="18"/>
              </w:rPr>
              <w:t> </w:t>
            </w:r>
            <w:r>
              <w:rPr>
                <w:rFonts w:ascii="宋体" w:hAnsi="宋体" w:cs="宋体" w:eastAsia="宋体" w:hint="default"/>
                <w:sz w:val="18"/>
                <w:szCs w:val="18"/>
              </w:rPr>
              <w:t>33.00%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Search Me Technologies, Inc.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适用美国联邦所得税率</w:t>
            </w:r>
            <w:r>
              <w:rPr>
                <w:rFonts w:ascii="宋体" w:hAnsi="宋体" w:cs="宋体" w:eastAsia="宋体" w:hint="default"/>
                <w:spacing w:val="-46"/>
                <w:sz w:val="18"/>
                <w:szCs w:val="18"/>
              </w:rPr>
              <w:t> </w:t>
            </w:r>
            <w:r>
              <w:rPr>
                <w:rFonts w:ascii="宋体" w:hAnsi="宋体" w:cs="宋体" w:eastAsia="宋体" w:hint="default"/>
                <w:sz w:val="18"/>
                <w:szCs w:val="18"/>
              </w:rPr>
              <w:t>33.00%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225"/>
      <w:bookmarkEnd w:id="225"/>
      <w:r>
        <w:rPr>
          <w:b w:val="0"/>
          <w:bCs w:val="0"/>
        </w:rPr>
      </w:r>
      <w:r>
        <w:rPr>
          <w:rFonts w:ascii="宋体" w:hAnsi="宋体" w:cs="宋体" w:eastAsia="宋体" w:hint="default"/>
        </w:rPr>
        <w:t>2</w:t>
      </w:r>
      <w:r>
        <w:rPr/>
        <w:t>、税收优惠</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left="153" w:right="1130" w:firstLine="360"/>
        <w:jc w:val="both"/>
      </w:pPr>
      <w:r>
        <w:rPr>
          <w:spacing w:val="-2"/>
        </w:rPr>
        <w:t>（</w:t>
      </w:r>
      <w:r>
        <w:rPr>
          <w:rFonts w:ascii="宋体" w:hAnsi="宋体" w:cs="宋体" w:eastAsia="宋体" w:hint="default"/>
          <w:spacing w:val="-2"/>
        </w:rPr>
        <w:t>1</w:t>
      </w:r>
      <w:r>
        <w:rPr>
          <w:spacing w:val="-2"/>
        </w:rPr>
        <w:t>）根据《科技部财政部国家税务总局关于印发</w:t>
      </w:r>
      <w:r>
        <w:rPr>
          <w:rFonts w:ascii="宋体" w:hAnsi="宋体" w:cs="宋体" w:eastAsia="宋体" w:hint="default"/>
          <w:spacing w:val="-2"/>
        </w:rPr>
        <w:t>&lt;</w:t>
      </w:r>
      <w:r>
        <w:rPr>
          <w:spacing w:val="-2"/>
        </w:rPr>
        <w:t>高新技术企业认定管理办法</w:t>
      </w:r>
      <w:r>
        <w:rPr>
          <w:rFonts w:ascii="宋体" w:hAnsi="宋体" w:cs="宋体" w:eastAsia="宋体" w:hint="default"/>
          <w:spacing w:val="-2"/>
        </w:rPr>
        <w:t>&gt;</w:t>
      </w:r>
      <w:r>
        <w:rPr>
          <w:spacing w:val="-2"/>
        </w:rPr>
        <w:t>的通知》（国科发火〔</w:t>
      </w:r>
      <w:r>
        <w:rPr>
          <w:rFonts w:ascii="宋体" w:hAnsi="宋体" w:cs="宋体" w:eastAsia="宋体" w:hint="default"/>
          <w:spacing w:val="-2"/>
        </w:rPr>
        <w:t>2008</w:t>
      </w:r>
      <w:r>
        <w:rPr>
          <w:spacing w:val="-2"/>
        </w:rPr>
        <w:t>〕</w:t>
      </w:r>
      <w:r>
        <w:rPr>
          <w:rFonts w:ascii="宋体" w:hAnsi="宋体" w:cs="宋体" w:eastAsia="宋体" w:hint="default"/>
          <w:spacing w:val="-2"/>
        </w:rPr>
        <w:t>172</w:t>
      </w:r>
      <w:r>
        <w:rPr>
          <w:rFonts w:ascii="宋体" w:hAnsi="宋体" w:cs="宋体" w:eastAsia="宋体" w:hint="default"/>
          <w:spacing w:val="-39"/>
        </w:rPr>
        <w:t> </w:t>
      </w:r>
      <w:r>
        <w:rPr>
          <w:spacing w:val="-30"/>
        </w:rPr>
        <w:t>号），</w:t>
      </w:r>
      <w:r>
        <w:rPr/>
        <w:t> 上海猎鹰公司被认定为高新技术企业，文件号为</w:t>
      </w:r>
      <w:r>
        <w:rPr>
          <w:spacing w:val="-51"/>
        </w:rPr>
        <w:t> </w:t>
      </w:r>
      <w:r>
        <w:rPr>
          <w:rFonts w:ascii="宋体" w:hAnsi="宋体" w:cs="宋体" w:eastAsia="宋体" w:hint="default"/>
        </w:rPr>
        <w:t>GR201631000584</w:t>
      </w:r>
      <w:r>
        <w:rPr/>
        <w:t>，发证日期为</w:t>
      </w:r>
      <w:r>
        <w:rPr>
          <w:spacing w:val="-52"/>
        </w:rPr>
        <w:t> </w:t>
      </w:r>
      <w:r>
        <w:rPr>
          <w:rFonts w:ascii="宋体" w:hAnsi="宋体" w:cs="宋体" w:eastAsia="宋体" w:hint="default"/>
        </w:rPr>
        <w:t>2016</w:t>
      </w:r>
      <w:r>
        <w:rPr>
          <w:rFonts w:ascii="宋体" w:hAnsi="宋体" w:cs="宋体" w:eastAsia="宋体" w:hint="default"/>
          <w:spacing w:val="-52"/>
        </w:rPr>
        <w:t> </w:t>
      </w:r>
      <w:r>
        <w:rPr/>
        <w:t>年</w:t>
      </w:r>
      <w:r>
        <w:rPr>
          <w:spacing w:val="-51"/>
        </w:rPr>
        <w:t> </w:t>
      </w:r>
      <w:r>
        <w:rPr>
          <w:rFonts w:ascii="宋体" w:hAnsi="宋体" w:cs="宋体" w:eastAsia="宋体" w:hint="default"/>
        </w:rPr>
        <w:t>11</w:t>
      </w:r>
      <w:r>
        <w:rPr>
          <w:rFonts w:ascii="宋体" w:hAnsi="宋体" w:cs="宋体" w:eastAsia="宋体" w:hint="default"/>
          <w:spacing w:val="-52"/>
        </w:rPr>
        <w:t> </w:t>
      </w:r>
      <w:r>
        <w:rPr/>
        <w:t>月</w:t>
      </w:r>
      <w:r>
        <w:rPr>
          <w:spacing w:val="-52"/>
        </w:rPr>
        <w:t> </w:t>
      </w:r>
      <w:r>
        <w:rPr>
          <w:rFonts w:ascii="宋体" w:hAnsi="宋体" w:cs="宋体" w:eastAsia="宋体" w:hint="default"/>
        </w:rPr>
        <w:t>24</w:t>
      </w:r>
      <w:r>
        <w:rPr>
          <w:rFonts w:ascii="宋体" w:hAnsi="宋体" w:cs="宋体" w:eastAsia="宋体" w:hint="default"/>
          <w:spacing w:val="-52"/>
        </w:rPr>
        <w:t> </w:t>
      </w:r>
      <w:r>
        <w:rPr/>
        <w:t>日，有效期三年，根据《中 </w:t>
      </w:r>
      <w:r>
        <w:rPr>
          <w:spacing w:val="-5"/>
        </w:rPr>
        <w:t>华人民共和国企业所得税法》、《中华人民共和国企业所得税法实施条例》有关高新技术企业税收优惠的规定，减按</w:t>
      </w:r>
      <w:r>
        <w:rPr>
          <w:spacing w:val="-17"/>
        </w:rPr>
        <w:t> </w:t>
      </w:r>
      <w:r>
        <w:rPr>
          <w:rFonts w:ascii="宋体" w:hAnsi="宋体" w:cs="宋体" w:eastAsia="宋体" w:hint="default"/>
        </w:rPr>
        <w:t>15%</w:t>
      </w:r>
      <w:r>
        <w:rPr/>
        <w:t>的税</w:t>
      </w:r>
      <w:r>
        <w:rPr>
          <w:spacing w:val="-83"/>
        </w:rPr>
        <w:t> </w:t>
      </w:r>
      <w:r>
        <w:rPr/>
        <w:t>率计缴企业所得税。</w:t>
      </w:r>
    </w:p>
    <w:p>
      <w:pPr>
        <w:pStyle w:val="BodyText"/>
        <w:spacing w:line="319" w:lineRule="auto" w:before="56"/>
        <w:ind w:right="1122" w:firstLine="360"/>
        <w:jc w:val="left"/>
      </w:pPr>
      <w:r>
        <w:rPr>
          <w:spacing w:val="-2"/>
        </w:rPr>
        <w:t>（</w:t>
      </w:r>
      <w:r>
        <w:rPr>
          <w:rFonts w:ascii="宋体" w:hAnsi="宋体" w:cs="宋体" w:eastAsia="宋体" w:hint="default"/>
          <w:spacing w:val="-2"/>
        </w:rPr>
        <w:t>2</w:t>
      </w:r>
      <w:r>
        <w:rPr>
          <w:spacing w:val="-2"/>
        </w:rPr>
        <w:t>）根据《科技部财政部国家税务总局关于印发</w:t>
      </w:r>
      <w:r>
        <w:rPr>
          <w:rFonts w:ascii="宋体" w:hAnsi="宋体" w:cs="宋体" w:eastAsia="宋体" w:hint="default"/>
          <w:spacing w:val="-2"/>
        </w:rPr>
        <w:t>&lt;</w:t>
      </w:r>
      <w:r>
        <w:rPr>
          <w:spacing w:val="-2"/>
        </w:rPr>
        <w:t>高新技术企业认定管理办法</w:t>
      </w:r>
      <w:r>
        <w:rPr>
          <w:rFonts w:ascii="宋体" w:hAnsi="宋体" w:cs="宋体" w:eastAsia="宋体" w:hint="default"/>
          <w:spacing w:val="-2"/>
        </w:rPr>
        <w:t>&gt;</w:t>
      </w:r>
      <w:r>
        <w:rPr>
          <w:spacing w:val="-2"/>
        </w:rPr>
        <w:t>的通知》（国科发火〔</w:t>
      </w:r>
      <w:r>
        <w:rPr>
          <w:rFonts w:ascii="宋体" w:hAnsi="宋体" w:cs="宋体" w:eastAsia="宋体" w:hint="default"/>
          <w:spacing w:val="-2"/>
        </w:rPr>
        <w:t>2008</w:t>
      </w:r>
      <w:r>
        <w:rPr>
          <w:spacing w:val="-2"/>
        </w:rPr>
        <w:t>〕</w:t>
      </w:r>
      <w:r>
        <w:rPr>
          <w:rFonts w:ascii="宋体" w:hAnsi="宋体" w:cs="宋体" w:eastAsia="宋体" w:hint="default"/>
          <w:spacing w:val="-2"/>
        </w:rPr>
        <w:t>172</w:t>
      </w:r>
      <w:r>
        <w:rPr>
          <w:rFonts w:ascii="宋体" w:hAnsi="宋体" w:cs="宋体" w:eastAsia="宋体" w:hint="default"/>
          <w:spacing w:val="-39"/>
        </w:rPr>
        <w:t> </w:t>
      </w:r>
      <w:r>
        <w:rPr>
          <w:spacing w:val="-30"/>
        </w:rPr>
        <w:t>号），</w:t>
      </w:r>
      <w:r>
        <w:rPr/>
        <w:t> 北京掌汇天下公司被认定为高新技术企业，证书编号为</w:t>
      </w:r>
      <w:r>
        <w:rPr>
          <w:spacing w:val="-47"/>
        </w:rPr>
        <w:t> </w:t>
      </w:r>
      <w:r>
        <w:rPr>
          <w:rFonts w:ascii="宋体" w:hAnsi="宋体" w:cs="宋体" w:eastAsia="宋体" w:hint="default"/>
        </w:rPr>
        <w:t>GR201711002877</w:t>
      </w:r>
      <w:r>
        <w:rPr/>
        <w:t>，发证日期为</w:t>
      </w:r>
      <w:r>
        <w:rPr>
          <w:spacing w:val="-48"/>
        </w:rPr>
        <w:t> </w:t>
      </w:r>
      <w:r>
        <w:rPr>
          <w:rFonts w:ascii="宋体" w:hAnsi="宋体" w:cs="宋体" w:eastAsia="宋体" w:hint="default"/>
        </w:rPr>
        <w:t>2017</w:t>
      </w:r>
      <w:r>
        <w:rPr>
          <w:rFonts w:ascii="宋体" w:hAnsi="宋体" w:cs="宋体" w:eastAsia="宋体" w:hint="default"/>
          <w:spacing w:val="-48"/>
        </w:rPr>
        <w:t> </w:t>
      </w:r>
      <w:r>
        <w:rPr/>
        <w:t>年</w:t>
      </w:r>
      <w:r>
        <w:rPr>
          <w:spacing w:val="-48"/>
        </w:rPr>
        <w:t> </w:t>
      </w:r>
      <w:r>
        <w:rPr>
          <w:rFonts w:ascii="宋体" w:hAnsi="宋体" w:cs="宋体" w:eastAsia="宋体" w:hint="default"/>
        </w:rPr>
        <w:t>10</w:t>
      </w:r>
      <w:r>
        <w:rPr>
          <w:rFonts w:ascii="宋体" w:hAnsi="宋体" w:cs="宋体" w:eastAsia="宋体" w:hint="default"/>
          <w:spacing w:val="-47"/>
        </w:rPr>
        <w:t> </w:t>
      </w:r>
      <w:r>
        <w:rPr/>
        <w:t>月</w:t>
      </w:r>
      <w:r>
        <w:rPr>
          <w:spacing w:val="-48"/>
        </w:rPr>
        <w:t> </w:t>
      </w:r>
      <w:r>
        <w:rPr>
          <w:rFonts w:ascii="宋体" w:hAnsi="宋体" w:cs="宋体" w:eastAsia="宋体" w:hint="default"/>
        </w:rPr>
        <w:t>25</w:t>
      </w:r>
      <w:r>
        <w:rPr>
          <w:rFonts w:ascii="宋体" w:hAnsi="宋体" w:cs="宋体" w:eastAsia="宋体" w:hint="default"/>
          <w:spacing w:val="-47"/>
        </w:rPr>
        <w:t> </w:t>
      </w:r>
      <w:r>
        <w:rPr>
          <w:spacing w:val="-3"/>
        </w:rPr>
        <w:t>日，有效期三年，根</w:t>
      </w:r>
      <w:r>
        <w:rPr/>
        <w:t> </w:t>
      </w:r>
      <w:r>
        <w:rPr>
          <w:spacing w:val="-4"/>
        </w:rPr>
        <w:t>据《中华人民共和国企业所得税法》、《中华人民共和国企业所得税法实施条例》有关高新技术企业税收优惠的规定，减按</w:t>
      </w:r>
      <w:r>
        <w:rPr>
          <w:spacing w:val="-54"/>
        </w:rPr>
        <w:t> </w:t>
      </w:r>
      <w:r>
        <w:rPr>
          <w:spacing w:val="-54"/>
        </w:rPr>
      </w:r>
      <w:r>
        <w:rPr>
          <w:rFonts w:ascii="宋体" w:hAnsi="宋体" w:cs="宋体" w:eastAsia="宋体" w:hint="default"/>
        </w:rPr>
        <w:t>15%</w:t>
      </w:r>
      <w:r>
        <w:rPr/>
        <w:t>的税率计缴企业所得税。</w:t>
      </w:r>
    </w:p>
    <w:p>
      <w:pPr>
        <w:pStyle w:val="BodyText"/>
        <w:spacing w:line="316" w:lineRule="auto" w:before="55"/>
        <w:ind w:right="1184" w:firstLine="360"/>
        <w:jc w:val="both"/>
      </w:pPr>
      <w:r>
        <w:rPr>
          <w:spacing w:val="-2"/>
        </w:rPr>
        <w:t>（</w:t>
      </w:r>
      <w:r>
        <w:rPr>
          <w:rFonts w:ascii="宋体" w:hAnsi="宋体" w:cs="宋体" w:eastAsia="宋体" w:hint="default"/>
          <w:spacing w:val="-2"/>
        </w:rPr>
        <w:t>3</w:t>
      </w:r>
      <w:r>
        <w:rPr>
          <w:spacing w:val="-2"/>
        </w:rPr>
        <w:t>）根据《科技部财政部国家税务总局关于印发</w:t>
      </w:r>
      <w:r>
        <w:rPr>
          <w:rFonts w:ascii="宋体" w:hAnsi="宋体" w:cs="宋体" w:eastAsia="宋体" w:hint="default"/>
          <w:spacing w:val="-2"/>
        </w:rPr>
        <w:t>&lt;</w:t>
      </w:r>
      <w:r>
        <w:rPr>
          <w:spacing w:val="-2"/>
        </w:rPr>
        <w:t>高新技术企业认定管理办法</w:t>
      </w:r>
      <w:r>
        <w:rPr>
          <w:rFonts w:ascii="宋体" w:hAnsi="宋体" w:cs="宋体" w:eastAsia="宋体" w:hint="default"/>
          <w:spacing w:val="-2"/>
        </w:rPr>
        <w:t>&gt;</w:t>
      </w:r>
      <w:r>
        <w:rPr>
          <w:spacing w:val="-2"/>
        </w:rPr>
        <w:t>的通知》（国科发火〔</w:t>
      </w:r>
      <w:r>
        <w:rPr>
          <w:rFonts w:ascii="宋体" w:hAnsi="宋体" w:cs="宋体" w:eastAsia="宋体" w:hint="default"/>
          <w:spacing w:val="-2"/>
        </w:rPr>
        <w:t>2008</w:t>
      </w:r>
      <w:r>
        <w:rPr>
          <w:spacing w:val="-2"/>
        </w:rPr>
        <w:t>〕</w:t>
      </w:r>
      <w:r>
        <w:rPr>
          <w:rFonts w:ascii="宋体" w:hAnsi="宋体" w:cs="宋体" w:eastAsia="宋体" w:hint="default"/>
          <w:spacing w:val="-2"/>
        </w:rPr>
        <w:t>172</w:t>
      </w:r>
      <w:r>
        <w:rPr>
          <w:rFonts w:ascii="宋体" w:hAnsi="宋体" w:cs="宋体" w:eastAsia="宋体" w:hint="default"/>
          <w:spacing w:val="-31"/>
        </w:rPr>
        <w:t> </w:t>
      </w:r>
      <w:r>
        <w:rPr>
          <w:spacing w:val="-30"/>
        </w:rPr>
        <w:t>号），</w:t>
      </w:r>
      <w:r>
        <w:rPr/>
        <w:t> 深圳范特西公司被认定为高新技术企业，证书编号为</w:t>
      </w:r>
      <w:r>
        <w:rPr>
          <w:spacing w:val="-45"/>
        </w:rPr>
        <w:t> </w:t>
      </w:r>
      <w:r>
        <w:rPr>
          <w:rFonts w:ascii="宋体" w:hAnsi="宋体" w:cs="宋体" w:eastAsia="宋体" w:hint="default"/>
        </w:rPr>
        <w:t>GF201544200101</w:t>
      </w:r>
      <w:r>
        <w:rPr/>
        <w:t>，发证日期为</w:t>
      </w:r>
      <w:r>
        <w:rPr>
          <w:spacing w:val="-46"/>
        </w:rPr>
        <w:t> </w:t>
      </w:r>
      <w:r>
        <w:rPr>
          <w:rFonts w:ascii="宋体" w:hAnsi="宋体" w:cs="宋体" w:eastAsia="宋体" w:hint="default"/>
        </w:rPr>
        <w:t>2015</w:t>
      </w:r>
      <w:r>
        <w:rPr>
          <w:rFonts w:ascii="宋体" w:hAnsi="宋体" w:cs="宋体" w:eastAsia="宋体" w:hint="default"/>
          <w:spacing w:val="-46"/>
        </w:rPr>
        <w:t> </w:t>
      </w:r>
      <w:r>
        <w:rPr/>
        <w:t>年</w:t>
      </w:r>
      <w:r>
        <w:rPr>
          <w:spacing w:val="-46"/>
        </w:rPr>
        <w:t> </w:t>
      </w:r>
      <w:r>
        <w:rPr>
          <w:rFonts w:ascii="宋体" w:hAnsi="宋体" w:cs="宋体" w:eastAsia="宋体" w:hint="default"/>
        </w:rPr>
        <w:t>11</w:t>
      </w:r>
      <w:r>
        <w:rPr>
          <w:rFonts w:ascii="宋体" w:hAnsi="宋体" w:cs="宋体" w:eastAsia="宋体" w:hint="default"/>
          <w:spacing w:val="-45"/>
        </w:rPr>
        <w:t> </w:t>
      </w:r>
      <w:r>
        <w:rPr/>
        <w:t>月</w:t>
      </w:r>
      <w:r>
        <w:rPr>
          <w:spacing w:val="-46"/>
        </w:rPr>
        <w:t> </w:t>
      </w:r>
      <w:r>
        <w:rPr>
          <w:rFonts w:ascii="宋体" w:hAnsi="宋体" w:cs="宋体" w:eastAsia="宋体" w:hint="default"/>
        </w:rPr>
        <w:t>2</w:t>
      </w:r>
      <w:r>
        <w:rPr>
          <w:rFonts w:ascii="宋体" w:hAnsi="宋体" w:cs="宋体" w:eastAsia="宋体" w:hint="default"/>
          <w:spacing w:val="-46"/>
        </w:rPr>
        <w:t> </w:t>
      </w:r>
      <w:r>
        <w:rPr/>
        <w:t>日，有效期三年，根据</w:t>
      </w:r>
    </w:p>
    <w:p>
      <w:pPr>
        <w:pStyle w:val="BodyText"/>
        <w:spacing w:line="319" w:lineRule="auto" w:before="19"/>
        <w:ind w:right="1125"/>
        <w:jc w:val="left"/>
      </w:pPr>
      <w:r>
        <w:rPr>
          <w:spacing w:val="-5"/>
        </w:rPr>
        <w:t>《中华人民共和国企业所得税法》、《中华人民共和国企业所得税法实施条例》有关高新技术企业税收优惠的规定，减按</w:t>
      </w:r>
      <w:r>
        <w:rPr>
          <w:spacing w:val="-8"/>
        </w:rPr>
        <w:t> </w:t>
      </w:r>
      <w:r>
        <w:rPr>
          <w:rFonts w:ascii="宋体" w:hAnsi="宋体" w:cs="宋体" w:eastAsia="宋体" w:hint="default"/>
        </w:rPr>
        <w:t>15%</w:t>
      </w:r>
      <w:r>
        <w:rPr>
          <w:rFonts w:ascii="宋体" w:hAnsi="宋体" w:cs="宋体" w:eastAsia="宋体" w:hint="default"/>
          <w:spacing w:val="-82"/>
        </w:rPr>
        <w:t> </w:t>
      </w:r>
      <w:r>
        <w:rPr/>
        <w:t>的税率计缴企业所得税。</w:t>
      </w:r>
    </w:p>
    <w:p>
      <w:pPr>
        <w:pStyle w:val="BodyText"/>
        <w:spacing w:line="319" w:lineRule="auto" w:before="55"/>
        <w:ind w:left="153" w:right="1036" w:firstLine="360"/>
        <w:jc w:val="left"/>
      </w:pPr>
      <w:r>
        <w:rPr/>
        <w:t>（</w:t>
      </w:r>
      <w:r>
        <w:rPr>
          <w:rFonts w:ascii="宋体" w:hAnsi="宋体" w:cs="宋体" w:eastAsia="宋体" w:hint="default"/>
        </w:rPr>
        <w:t>4</w:t>
      </w:r>
      <w:r>
        <w:rPr/>
        <w:t>）根据财税〔</w:t>
      </w:r>
      <w:r>
        <w:rPr>
          <w:rFonts w:ascii="宋体" w:hAnsi="宋体" w:cs="宋体" w:eastAsia="宋体" w:hint="default"/>
        </w:rPr>
        <w:t>2012</w:t>
      </w:r>
      <w:r>
        <w:rPr/>
        <w:t>〕</w:t>
      </w:r>
      <w:r>
        <w:rPr>
          <w:rFonts w:ascii="宋体" w:hAnsi="宋体" w:cs="宋体" w:eastAsia="宋体" w:hint="default"/>
        </w:rPr>
        <w:t>27</w:t>
      </w:r>
      <w:r>
        <w:rPr>
          <w:rFonts w:ascii="宋体" w:hAnsi="宋体" w:cs="宋体" w:eastAsia="宋体" w:hint="default"/>
          <w:spacing w:val="-58"/>
        </w:rPr>
        <w:t> </w:t>
      </w:r>
      <w:r>
        <w:rPr/>
        <w:t>号《财政部、国家税务总局关于进一步鼓励软件产业和集成电路产业发展企业所得税政策的 </w:t>
      </w:r>
      <w:r>
        <w:rPr>
          <w:spacing w:val="-3"/>
        </w:rPr>
        <w:t>通知》，上海范特西公司软件企业所得税减免申请已得到审批，企业所得税优惠审批通知书编号为沪地税嘉六</w:t>
      </w:r>
      <w:r>
        <w:rPr>
          <w:rFonts w:ascii="宋体" w:hAnsi="宋体" w:cs="宋体" w:eastAsia="宋体" w:hint="default"/>
          <w:spacing w:val="-3"/>
        </w:rPr>
        <w:t>[2016]000024</w:t>
      </w:r>
      <w:r>
        <w:rPr>
          <w:spacing w:val="-3"/>
        </w:rPr>
        <w:t>，</w:t>
      </w:r>
      <w:r>
        <w:rPr>
          <w:spacing w:val="-78"/>
        </w:rPr>
        <w:t> </w:t>
      </w:r>
      <w:r>
        <w:rPr>
          <w:spacing w:val="-3"/>
        </w:rPr>
        <w:t>上海范特西公司自开始获利年度起两年免征企业所得税，三年减半征收企业所得税，</w:t>
      </w:r>
      <w:r>
        <w:rPr>
          <w:rFonts w:ascii="宋体" w:hAnsi="宋体" w:cs="宋体" w:eastAsia="宋体" w:hint="default"/>
          <w:spacing w:val="-3"/>
        </w:rPr>
        <w:t>2015</w:t>
      </w:r>
      <w:r>
        <w:rPr>
          <w:rFonts w:ascii="宋体" w:hAnsi="宋体" w:cs="宋体" w:eastAsia="宋体" w:hint="default"/>
          <w:spacing w:val="-35"/>
        </w:rPr>
        <w:t> </w:t>
      </w:r>
      <w:r>
        <w:rPr>
          <w:spacing w:val="-4"/>
        </w:rPr>
        <w:t>年为首个获利年度，</w:t>
      </w:r>
      <w:r>
        <w:rPr>
          <w:rFonts w:ascii="宋体" w:hAnsi="宋体" w:cs="宋体" w:eastAsia="宋体" w:hint="default"/>
          <w:spacing w:val="-4"/>
        </w:rPr>
        <w:t>2015</w:t>
      </w:r>
      <w:r>
        <w:rPr>
          <w:rFonts w:ascii="宋体" w:hAnsi="宋体" w:cs="宋体" w:eastAsia="宋体" w:hint="default"/>
          <w:spacing w:val="-34"/>
        </w:rPr>
        <w:t> </w:t>
      </w:r>
      <w:r>
        <w:rPr>
          <w:spacing w:val="-8"/>
        </w:rPr>
        <w:t>年、</w:t>
      </w:r>
      <w:r>
        <w:rPr>
          <w:rFonts w:ascii="宋体" w:hAnsi="宋体" w:cs="宋体" w:eastAsia="宋体" w:hint="default"/>
          <w:spacing w:val="-8"/>
        </w:rPr>
        <w:t>2016</w:t>
      </w:r>
      <w:r>
        <w:rPr>
          <w:rFonts w:ascii="宋体" w:hAnsi="宋体" w:cs="宋体" w:eastAsia="宋体" w:hint="default"/>
          <w:spacing w:val="-64"/>
        </w:rPr>
        <w:t> </w:t>
      </w:r>
      <w:r>
        <w:rPr/>
        <w:t>年免征企业所得税，</w:t>
      </w:r>
      <w:r>
        <w:rPr>
          <w:rFonts w:ascii="宋体" w:hAnsi="宋体" w:cs="宋体" w:eastAsia="宋体" w:hint="default"/>
        </w:rPr>
        <w:t>2017</w:t>
      </w:r>
      <w:r>
        <w:rPr>
          <w:rFonts w:ascii="宋体" w:hAnsi="宋体" w:cs="宋体" w:eastAsia="宋体" w:hint="default"/>
          <w:spacing w:val="-46"/>
        </w:rPr>
        <w:t> </w:t>
      </w:r>
      <w:r>
        <w:rPr/>
        <w:t>年、</w:t>
      </w:r>
      <w:r>
        <w:rPr>
          <w:rFonts w:ascii="宋体" w:hAnsi="宋体" w:cs="宋体" w:eastAsia="宋体" w:hint="default"/>
        </w:rPr>
        <w:t>2018</w:t>
      </w:r>
      <w:r>
        <w:rPr>
          <w:rFonts w:ascii="宋体" w:hAnsi="宋体" w:cs="宋体" w:eastAsia="宋体" w:hint="default"/>
          <w:spacing w:val="-46"/>
        </w:rPr>
        <w:t> </w:t>
      </w:r>
      <w:r>
        <w:rPr/>
        <w:t>年、</w:t>
      </w:r>
      <w:r>
        <w:rPr>
          <w:rFonts w:ascii="宋体" w:hAnsi="宋体" w:cs="宋体" w:eastAsia="宋体" w:hint="default"/>
        </w:rPr>
        <w:t>2019</w:t>
      </w:r>
      <w:r>
        <w:rPr>
          <w:rFonts w:ascii="宋体" w:hAnsi="宋体" w:cs="宋体" w:eastAsia="宋体" w:hint="default"/>
          <w:spacing w:val="-46"/>
        </w:rPr>
        <w:t> </w:t>
      </w:r>
      <w:r>
        <w:rPr/>
        <w:t>年减按</w:t>
      </w:r>
      <w:r>
        <w:rPr>
          <w:spacing w:val="-46"/>
        </w:rPr>
        <w:t> </w:t>
      </w:r>
      <w:r>
        <w:rPr>
          <w:rFonts w:ascii="宋体" w:hAnsi="宋体" w:cs="宋体" w:eastAsia="宋体" w:hint="default"/>
        </w:rPr>
        <w:t>12.5%</w:t>
      </w:r>
      <w:r>
        <w:rPr/>
        <w:t>的税率征收企业所得税。</w:t>
      </w:r>
    </w:p>
    <w:p>
      <w:pPr>
        <w:pStyle w:val="BodyText"/>
        <w:spacing w:line="319" w:lineRule="auto" w:before="56"/>
        <w:ind w:left="153" w:right="1131" w:firstLine="360"/>
        <w:jc w:val="both"/>
      </w:pPr>
      <w:r>
        <w:rPr>
          <w:spacing w:val="-2"/>
        </w:rPr>
        <w:t>（</w:t>
      </w:r>
      <w:r>
        <w:rPr>
          <w:rFonts w:ascii="宋体" w:hAnsi="宋体" w:cs="宋体" w:eastAsia="宋体" w:hint="default"/>
          <w:spacing w:val="-2"/>
        </w:rPr>
        <w:t>5</w:t>
      </w:r>
      <w:r>
        <w:rPr>
          <w:spacing w:val="-2"/>
        </w:rPr>
        <w:t>）根据财税〔</w:t>
      </w:r>
      <w:r>
        <w:rPr>
          <w:rFonts w:ascii="宋体" w:hAnsi="宋体" w:cs="宋体" w:eastAsia="宋体" w:hint="default"/>
          <w:spacing w:val="-2"/>
        </w:rPr>
        <w:t>2014</w:t>
      </w:r>
      <w:r>
        <w:rPr>
          <w:spacing w:val="-2"/>
        </w:rPr>
        <w:t>〕</w:t>
      </w:r>
      <w:r>
        <w:rPr>
          <w:rFonts w:ascii="宋体" w:hAnsi="宋体" w:cs="宋体" w:eastAsia="宋体" w:hint="default"/>
          <w:spacing w:val="-2"/>
        </w:rPr>
        <w:t>26</w:t>
      </w:r>
      <w:r>
        <w:rPr>
          <w:rFonts w:ascii="宋体" w:hAnsi="宋体" w:cs="宋体" w:eastAsia="宋体" w:hint="default"/>
          <w:spacing w:val="-23"/>
        </w:rPr>
        <w:t> </w:t>
      </w:r>
      <w:r>
        <w:rPr>
          <w:spacing w:val="-1"/>
        </w:rPr>
        <w:t>号《财政部、国家税务总局关于广东横琴新区福建平潭综合实验区深圳前海深港现代服务业</w:t>
      </w:r>
      <w:r>
        <w:rPr/>
        <w:t> </w:t>
      </w:r>
      <w:r>
        <w:rPr>
          <w:spacing w:val="-6"/>
        </w:rPr>
        <w:t>合作区企业所得税优惠政策及优惠目录的通知》（本通知自</w:t>
      </w:r>
      <w:r>
        <w:rPr>
          <w:spacing w:val="-43"/>
        </w:rPr>
        <w:t> </w:t>
      </w:r>
      <w:r>
        <w:rPr>
          <w:rFonts w:ascii="宋体" w:hAnsi="宋体" w:cs="宋体" w:eastAsia="宋体" w:hint="default"/>
        </w:rPr>
        <w:t>2014</w:t>
      </w:r>
      <w:r>
        <w:rPr>
          <w:rFonts w:ascii="宋体" w:hAnsi="宋体" w:cs="宋体" w:eastAsia="宋体" w:hint="default"/>
          <w:spacing w:val="-44"/>
        </w:rPr>
        <w:t> </w:t>
      </w:r>
      <w:r>
        <w:rPr/>
        <w:t>年</w:t>
      </w:r>
      <w:r>
        <w:rPr>
          <w:spacing w:val="-43"/>
        </w:rPr>
        <w:t> </w:t>
      </w:r>
      <w:r>
        <w:rPr>
          <w:rFonts w:ascii="宋体" w:hAnsi="宋体" w:cs="宋体" w:eastAsia="宋体" w:hint="default"/>
        </w:rPr>
        <w:t>1</w:t>
      </w:r>
      <w:r>
        <w:rPr>
          <w:rFonts w:ascii="宋体" w:hAnsi="宋体" w:cs="宋体" w:eastAsia="宋体" w:hint="default"/>
          <w:spacing w:val="-44"/>
        </w:rPr>
        <w:t> </w:t>
      </w:r>
      <w:r>
        <w:rPr/>
        <w:t>月</w:t>
      </w:r>
      <w:r>
        <w:rPr>
          <w:spacing w:val="-43"/>
        </w:rPr>
        <w:t> </w:t>
      </w:r>
      <w:r>
        <w:rPr>
          <w:rFonts w:ascii="宋体" w:hAnsi="宋体" w:cs="宋体" w:eastAsia="宋体" w:hint="default"/>
        </w:rPr>
        <w:t>1</w:t>
      </w:r>
      <w:r>
        <w:rPr>
          <w:rFonts w:ascii="宋体" w:hAnsi="宋体" w:cs="宋体" w:eastAsia="宋体" w:hint="default"/>
          <w:spacing w:val="-44"/>
        </w:rPr>
        <w:t> </w:t>
      </w:r>
      <w:r>
        <w:rPr/>
        <w:t>日起至</w:t>
      </w:r>
      <w:r>
        <w:rPr>
          <w:spacing w:val="-44"/>
        </w:rPr>
        <w:t> </w:t>
      </w:r>
      <w:r>
        <w:rPr>
          <w:rFonts w:ascii="宋体" w:hAnsi="宋体" w:cs="宋体" w:eastAsia="宋体" w:hint="default"/>
        </w:rPr>
        <w:t>2020</w:t>
      </w:r>
      <w:r>
        <w:rPr>
          <w:rFonts w:ascii="宋体" w:hAnsi="宋体" w:cs="宋体" w:eastAsia="宋体" w:hint="default"/>
          <w:spacing w:val="-43"/>
        </w:rPr>
        <w:t> </w:t>
      </w:r>
      <w:r>
        <w:rPr/>
        <w:t>年</w:t>
      </w:r>
      <w:r>
        <w:rPr>
          <w:spacing w:val="-44"/>
        </w:rPr>
        <w:t> </w:t>
      </w:r>
      <w:r>
        <w:rPr>
          <w:rFonts w:ascii="宋体" w:hAnsi="宋体" w:cs="宋体" w:eastAsia="宋体" w:hint="default"/>
        </w:rPr>
        <w:t>12</w:t>
      </w:r>
      <w:r>
        <w:rPr>
          <w:rFonts w:ascii="宋体" w:hAnsi="宋体" w:cs="宋体" w:eastAsia="宋体" w:hint="default"/>
          <w:spacing w:val="-44"/>
        </w:rPr>
        <w:t> </w:t>
      </w:r>
      <w:r>
        <w:rPr/>
        <w:t>月</w:t>
      </w:r>
      <w:r>
        <w:rPr>
          <w:spacing w:val="-44"/>
        </w:rPr>
        <w:t> </w:t>
      </w:r>
      <w:r>
        <w:rPr>
          <w:rFonts w:ascii="宋体" w:hAnsi="宋体" w:cs="宋体" w:eastAsia="宋体" w:hint="default"/>
        </w:rPr>
        <w:t>31</w:t>
      </w:r>
      <w:r>
        <w:rPr>
          <w:rFonts w:ascii="宋体" w:hAnsi="宋体" w:cs="宋体" w:eastAsia="宋体" w:hint="default"/>
          <w:spacing w:val="-44"/>
        </w:rPr>
        <w:t> </w:t>
      </w:r>
      <w:r>
        <w:rPr>
          <w:spacing w:val="-11"/>
        </w:rPr>
        <w:t>日止执行），深圳核聚创新</w:t>
      </w:r>
      <w:r>
        <w:rPr/>
        <w:t> </w:t>
      </w:r>
      <w:r>
        <w:rPr>
          <w:spacing w:val="-2"/>
        </w:rPr>
        <w:t>公司符合关于前海深港现代服务业合作区内鼓励类产业企业（信息服务业）的税收优惠有关规定，</w:t>
      </w:r>
      <w:r>
        <w:rPr>
          <w:rFonts w:ascii="宋体" w:hAnsi="宋体" w:cs="宋体" w:eastAsia="宋体" w:hint="default"/>
          <w:spacing w:val="-2"/>
        </w:rPr>
        <w:t>2017</w:t>
      </w:r>
      <w:r>
        <w:rPr>
          <w:rFonts w:ascii="宋体" w:hAnsi="宋体" w:cs="宋体" w:eastAsia="宋体" w:hint="default"/>
          <w:spacing w:val="-42"/>
        </w:rPr>
        <w:t> </w:t>
      </w:r>
      <w:r>
        <w:rPr/>
        <w:t>年减按</w:t>
      </w:r>
      <w:r>
        <w:rPr>
          <w:spacing w:val="-40"/>
        </w:rPr>
        <w:t> </w:t>
      </w:r>
      <w:r>
        <w:rPr>
          <w:rFonts w:ascii="宋体" w:hAnsi="宋体" w:cs="宋体" w:eastAsia="宋体" w:hint="default"/>
        </w:rPr>
        <w:t>15%</w:t>
      </w:r>
      <w:r>
        <w:rPr/>
        <w:t>的税率征 收企业所得税。</w:t>
      </w:r>
    </w:p>
    <w:p>
      <w:pPr>
        <w:pStyle w:val="BodyText"/>
        <w:spacing w:line="316" w:lineRule="auto" w:before="55"/>
        <w:ind w:left="153" w:right="1140" w:firstLine="360"/>
        <w:jc w:val="both"/>
      </w:pPr>
      <w:r>
        <w:rPr/>
        <w:t>（</w:t>
      </w:r>
      <w:r>
        <w:rPr>
          <w:rFonts w:ascii="宋体" w:hAnsi="宋体" w:cs="宋体" w:eastAsia="宋体" w:hint="default"/>
        </w:rPr>
        <w:t>6</w:t>
      </w:r>
      <w:r>
        <w:rPr/>
        <w:t>）根据财税〔</w:t>
      </w:r>
      <w:r>
        <w:rPr>
          <w:rFonts w:ascii="宋体" w:hAnsi="宋体" w:cs="宋体" w:eastAsia="宋体" w:hint="default"/>
        </w:rPr>
        <w:t>2012</w:t>
      </w:r>
      <w:r>
        <w:rPr/>
        <w:t>〕</w:t>
      </w:r>
      <w:r>
        <w:rPr>
          <w:rFonts w:ascii="宋体" w:hAnsi="宋体" w:cs="宋体" w:eastAsia="宋体" w:hint="default"/>
        </w:rPr>
        <w:t>27</w:t>
      </w:r>
      <w:r>
        <w:rPr>
          <w:rFonts w:ascii="宋体" w:hAnsi="宋体" w:cs="宋体" w:eastAsia="宋体" w:hint="default"/>
          <w:spacing w:val="-46"/>
        </w:rPr>
        <w:t> </w:t>
      </w:r>
      <w:r>
        <w:rPr/>
        <w:t>号文件，我国境内新办的集成电路设计企业和符合条件的软件企业，经认定后，在</w:t>
      </w:r>
      <w:r>
        <w:rPr>
          <w:spacing w:val="-46"/>
        </w:rPr>
        <w:t> </w:t>
      </w:r>
      <w:r>
        <w:rPr>
          <w:rFonts w:ascii="宋体" w:hAnsi="宋体" w:cs="宋体" w:eastAsia="宋体" w:hint="default"/>
        </w:rPr>
        <w:t>2017</w:t>
      </w:r>
      <w:r>
        <w:rPr>
          <w:rFonts w:ascii="宋体" w:hAnsi="宋体" w:cs="宋体" w:eastAsia="宋体" w:hint="default"/>
          <w:spacing w:val="-46"/>
        </w:rPr>
        <w:t> </w:t>
      </w:r>
      <w:r>
        <w:rPr/>
        <w:t>年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日前自获利年度起计算优惠期，第一年至第二年免征企业所得税，第三年至第五年按照</w:t>
      </w:r>
      <w:r>
        <w:rPr>
          <w:spacing w:val="-45"/>
        </w:rPr>
        <w:t> </w:t>
      </w:r>
      <w:r>
        <w:rPr>
          <w:rFonts w:ascii="宋体" w:hAnsi="宋体" w:cs="宋体" w:eastAsia="宋体" w:hint="default"/>
        </w:rPr>
        <w:t>25%</w:t>
      </w:r>
      <w:r>
        <w:rPr/>
        <w:t>的法定税率减半征收企 业所得税，并享受至期满为止。深圳部落格公司符合上述条件，享受优惠期间为</w:t>
      </w:r>
      <w:r>
        <w:rPr>
          <w:spacing w:val="-45"/>
        </w:rPr>
        <w:t> </w:t>
      </w:r>
      <w:r>
        <w:rPr>
          <w:rFonts w:ascii="宋体" w:hAnsi="宋体" w:cs="宋体" w:eastAsia="宋体" w:hint="default"/>
        </w:rPr>
        <w:t>2017</w:t>
      </w:r>
      <w:r>
        <w:rPr>
          <w:rFonts w:ascii="宋体" w:hAnsi="宋体" w:cs="宋体" w:eastAsia="宋体" w:hint="default"/>
          <w:spacing w:val="-46"/>
        </w:rPr>
        <w:t> </w:t>
      </w:r>
      <w:r>
        <w:rPr/>
        <w:t>年、</w:t>
      </w:r>
      <w:r>
        <w:rPr>
          <w:rFonts w:ascii="宋体" w:hAnsi="宋体" w:cs="宋体" w:eastAsia="宋体" w:hint="default"/>
        </w:rPr>
        <w:t>2018</w:t>
      </w:r>
      <w:r>
        <w:rPr>
          <w:rFonts w:ascii="宋体" w:hAnsi="宋体" w:cs="宋体" w:eastAsia="宋体" w:hint="default"/>
          <w:spacing w:val="-46"/>
        </w:rPr>
        <w:t> </w:t>
      </w:r>
      <w:r>
        <w:rPr/>
        <w:t>年免税，</w:t>
      </w:r>
      <w:r>
        <w:rPr>
          <w:rFonts w:ascii="宋体" w:hAnsi="宋体" w:cs="宋体" w:eastAsia="宋体" w:hint="default"/>
        </w:rPr>
        <w:t>2019-2021</w:t>
      </w:r>
      <w:r>
        <w:rPr>
          <w:rFonts w:ascii="宋体" w:hAnsi="宋体" w:cs="宋体" w:eastAsia="宋体" w:hint="default"/>
          <w:spacing w:val="-46"/>
        </w:rPr>
        <w:t> </w:t>
      </w:r>
      <w:r>
        <w:rPr/>
        <w:t>年减半</w:t>
      </w:r>
    </w:p>
    <w:p>
      <w:pPr>
        <w:spacing w:after="0" w:line="316" w:lineRule="auto"/>
        <w:jc w:val="both"/>
        <w:sectPr>
          <w:pgSz w:w="11910" w:h="16840"/>
          <w:pgMar w:header="877" w:footer="1187" w:top="1100" w:bottom="138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征收。</w:t>
      </w:r>
    </w:p>
    <w:p>
      <w:pPr>
        <w:pStyle w:val="BodyText"/>
        <w:spacing w:line="319" w:lineRule="auto" w:before="115"/>
        <w:ind w:right="1130" w:firstLine="360"/>
        <w:jc w:val="both"/>
      </w:pPr>
      <w:r>
        <w:rPr/>
        <w:t>（</w:t>
      </w:r>
      <w:r>
        <w:rPr>
          <w:rFonts w:ascii="宋体" w:hAnsi="宋体" w:cs="宋体" w:eastAsia="宋体" w:hint="default"/>
        </w:rPr>
        <w:t>7</w:t>
      </w:r>
      <w:r>
        <w:rPr>
          <w:spacing w:val="-21"/>
        </w:rPr>
        <w:t>）</w:t>
      </w:r>
      <w:r>
        <w:rPr/>
        <w:t>根</w:t>
      </w:r>
      <w:r>
        <w:rPr>
          <w:spacing w:val="-21"/>
        </w:rPr>
        <w:t>据</w:t>
      </w:r>
      <w:r>
        <w:rPr/>
        <w:t>《中华人民共和国企业所得税法</w:t>
      </w:r>
      <w:r>
        <w:rPr>
          <w:spacing w:val="-90"/>
        </w:rPr>
        <w:t>》</w:t>
      </w:r>
      <w:r>
        <w:rPr>
          <w:spacing w:val="-111"/>
        </w:rPr>
        <w:t>、</w:t>
      </w:r>
      <w:r>
        <w:rPr/>
        <w:t>《关于深入实施西部大开发战略有关企业所得税问题的公告</w:t>
      </w:r>
      <w:r>
        <w:rPr>
          <w:spacing w:val="-111"/>
        </w:rPr>
        <w:t>》</w:t>
      </w:r>
      <w:r>
        <w:rPr/>
        <w:t>（国家税务总</w:t>
      </w:r>
      <w:r>
        <w:rPr/>
        <w:t> 局公告</w:t>
      </w:r>
      <w:r>
        <w:rPr>
          <w:spacing w:val="-66"/>
        </w:rPr>
        <w:t> </w:t>
      </w:r>
      <w:r>
        <w:rPr>
          <w:rFonts w:ascii="宋体" w:hAnsi="宋体" w:cs="宋体" w:eastAsia="宋体" w:hint="default"/>
        </w:rPr>
        <w:t>2012</w:t>
      </w:r>
      <w:r>
        <w:rPr>
          <w:rFonts w:ascii="宋体" w:hAnsi="宋体" w:cs="宋体" w:eastAsia="宋体" w:hint="default"/>
          <w:spacing w:val="-66"/>
        </w:rPr>
        <w:t> </w:t>
      </w:r>
      <w:r>
        <w:rPr>
          <w:spacing w:val="1"/>
        </w:rPr>
        <w:t>年</w:t>
      </w:r>
      <w:r>
        <w:rPr/>
        <w:t>第</w:t>
      </w:r>
      <w:r>
        <w:rPr>
          <w:spacing w:val="-66"/>
        </w:rPr>
        <w:t> </w:t>
      </w:r>
      <w:r>
        <w:rPr>
          <w:rFonts w:ascii="宋体" w:hAnsi="宋体" w:cs="宋体" w:eastAsia="宋体" w:hint="default"/>
        </w:rPr>
        <w:t>12</w:t>
      </w:r>
      <w:r>
        <w:rPr>
          <w:rFonts w:ascii="宋体" w:hAnsi="宋体" w:cs="宋体" w:eastAsia="宋体" w:hint="default"/>
          <w:spacing w:val="-66"/>
        </w:rPr>
        <w:t> </w:t>
      </w:r>
      <w:r>
        <w:rPr/>
        <w:t>号</w:t>
      </w:r>
      <w:r>
        <w:rPr>
          <w:spacing w:val="-90"/>
        </w:rPr>
        <w:t>）</w:t>
      </w:r>
      <w:r>
        <w:rPr/>
        <w:t>第二</w:t>
      </w:r>
      <w:r>
        <w:rPr>
          <w:spacing w:val="1"/>
        </w:rPr>
        <w:t>条</w:t>
      </w:r>
      <w:r>
        <w:rPr/>
        <w:t>第二款</w:t>
      </w:r>
      <w:r>
        <w:rPr>
          <w:spacing w:val="-180"/>
        </w:rPr>
        <w:t>、</w:t>
      </w:r>
      <w:r>
        <w:rPr/>
        <w:t>《财政部</w:t>
      </w:r>
      <w:r>
        <w:rPr>
          <w:spacing w:val="-90"/>
        </w:rPr>
        <w:t>、</w:t>
      </w:r>
      <w:r>
        <w:rPr/>
        <w:t>国家税务总局关于执行企业所得税优惠政策若干问题的通知</w:t>
      </w:r>
      <w:r>
        <w:rPr>
          <w:spacing w:val="-180"/>
        </w:rPr>
        <w:t>》</w:t>
      </w:r>
      <w:r>
        <w:rPr/>
        <w:t>（财税</w:t>
      </w:r>
      <w:r>
        <w:rPr>
          <w:rFonts w:ascii="宋体" w:hAnsi="宋体" w:cs="宋体" w:eastAsia="宋体" w:hint="default"/>
        </w:rPr>
        <w:t>[2009]69 </w:t>
      </w:r>
      <w:r>
        <w:rPr/>
        <w:t>号</w:t>
      </w:r>
      <w:r>
        <w:rPr>
          <w:spacing w:val="-90"/>
        </w:rPr>
        <w:t>）</w:t>
      </w:r>
      <w:r>
        <w:rPr>
          <w:spacing w:val="-102"/>
        </w:rPr>
        <w:t>、</w:t>
      </w:r>
      <w:r>
        <w:rPr/>
        <w:t>《关于深入实施西部大开发战略有关税收政策问题的通知</w:t>
      </w:r>
      <w:r>
        <w:rPr>
          <w:spacing w:val="-103"/>
        </w:rPr>
        <w:t>》</w:t>
      </w:r>
      <w:r>
        <w:rPr/>
        <w:t>（财税</w:t>
      </w:r>
      <w:r>
        <w:rPr>
          <w:rFonts w:ascii="宋体" w:hAnsi="宋体" w:cs="宋体" w:eastAsia="宋体" w:hint="default"/>
        </w:rPr>
        <w:t>[2011]58</w:t>
      </w:r>
      <w:r>
        <w:rPr>
          <w:rFonts w:ascii="宋体" w:hAnsi="宋体" w:cs="宋体" w:eastAsia="宋体" w:hint="default"/>
          <w:spacing w:val="-46"/>
        </w:rPr>
        <w:t> </w:t>
      </w:r>
      <w:r>
        <w:rPr/>
        <w:t>号</w:t>
      </w:r>
      <w:r>
        <w:rPr>
          <w:spacing w:val="-13"/>
        </w:rPr>
        <w:t>）</w:t>
      </w:r>
      <w:r>
        <w:rPr/>
        <w:t>中“对设在西部地区国家鼓励类的内资</w:t>
      </w:r>
      <w:r>
        <w:rPr/>
        <w:t> 企业和外商投资企业，在</w:t>
      </w:r>
      <w:r>
        <w:rPr>
          <w:spacing w:val="-46"/>
        </w:rPr>
        <w:t> </w:t>
      </w:r>
      <w:r>
        <w:rPr>
          <w:rFonts w:ascii="宋体" w:hAnsi="宋体" w:cs="宋体" w:eastAsia="宋体" w:hint="default"/>
        </w:rPr>
        <w:t>2011</w:t>
      </w:r>
      <w:r>
        <w:rPr>
          <w:rFonts w:ascii="宋体" w:hAnsi="宋体" w:cs="宋体" w:eastAsia="宋体" w:hint="default"/>
          <w:spacing w:val="-46"/>
        </w:rPr>
        <w:t> </w:t>
      </w:r>
      <w:r>
        <w:rPr/>
        <w:t>年至</w:t>
      </w:r>
      <w:r>
        <w:rPr>
          <w:spacing w:val="-46"/>
        </w:rPr>
        <w:t> </w:t>
      </w:r>
      <w:r>
        <w:rPr>
          <w:rFonts w:ascii="宋体" w:hAnsi="宋体" w:cs="宋体" w:eastAsia="宋体" w:hint="default"/>
        </w:rPr>
        <w:t>2020</w:t>
      </w:r>
      <w:r>
        <w:rPr>
          <w:rFonts w:ascii="宋体" w:hAnsi="宋体" w:cs="宋体" w:eastAsia="宋体" w:hint="default"/>
          <w:spacing w:val="-46"/>
        </w:rPr>
        <w:t> </w:t>
      </w:r>
      <w:r>
        <w:rPr>
          <w:spacing w:val="1"/>
        </w:rPr>
        <w:t>年</w:t>
      </w:r>
      <w:r>
        <w:rPr/>
        <w:t>期间，减按</w:t>
      </w:r>
      <w:r>
        <w:rPr>
          <w:spacing w:val="-46"/>
        </w:rPr>
        <w:t> </w:t>
      </w:r>
      <w:r>
        <w:rPr>
          <w:rFonts w:ascii="宋体" w:hAnsi="宋体" w:cs="宋体" w:eastAsia="宋体" w:hint="default"/>
        </w:rPr>
        <w:t>15%</w:t>
      </w:r>
      <w:r>
        <w:rPr/>
        <w:t>的税率征收企业所得税”</w:t>
      </w:r>
      <w:r>
        <w:rPr>
          <w:spacing w:val="-90"/>
        </w:rPr>
        <w:t>，</w:t>
      </w:r>
      <w:r>
        <w:rPr/>
        <w:t>《西藏自治区企业所得税政策实施办</w:t>
      </w:r>
    </w:p>
    <w:p>
      <w:pPr>
        <w:pStyle w:val="BodyText"/>
        <w:spacing w:line="319" w:lineRule="auto" w:before="17"/>
        <w:ind w:left="153" w:right="1030"/>
        <w:jc w:val="left"/>
      </w:pPr>
      <w:r>
        <w:rPr>
          <w:spacing w:val="-8"/>
        </w:rPr>
        <w:t>法》（藏政发</w:t>
      </w:r>
      <w:r>
        <w:rPr>
          <w:rFonts w:ascii="宋体" w:hAnsi="宋体" w:cs="宋体" w:eastAsia="宋体" w:hint="default"/>
          <w:spacing w:val="-8"/>
        </w:rPr>
        <w:t>[2014]51</w:t>
      </w:r>
      <w:r>
        <w:rPr>
          <w:rFonts w:ascii="宋体" w:hAnsi="宋体" w:cs="宋体" w:eastAsia="宋体" w:hint="default"/>
          <w:spacing w:val="-45"/>
        </w:rPr>
        <w:t> </w:t>
      </w:r>
      <w:r>
        <w:rPr>
          <w:spacing w:val="-2"/>
        </w:rPr>
        <w:t>号）第四条“自</w:t>
      </w:r>
      <w:r>
        <w:rPr>
          <w:spacing w:val="-45"/>
        </w:rPr>
        <w:t> </w:t>
      </w:r>
      <w:r>
        <w:rPr>
          <w:rFonts w:ascii="宋体" w:hAnsi="宋体" w:cs="宋体" w:eastAsia="宋体" w:hint="default"/>
        </w:rPr>
        <w:t>2015</w:t>
      </w:r>
      <w:r>
        <w:rPr>
          <w:rFonts w:ascii="宋体" w:hAnsi="宋体" w:cs="宋体" w:eastAsia="宋体" w:hint="default"/>
          <w:spacing w:val="-44"/>
        </w:rPr>
        <w:t> </w:t>
      </w:r>
      <w:r>
        <w:rPr/>
        <w:t>年</w:t>
      </w:r>
      <w:r>
        <w:rPr>
          <w:spacing w:val="-45"/>
        </w:rPr>
        <w:t> </w:t>
      </w:r>
      <w:r>
        <w:rPr>
          <w:rFonts w:ascii="宋体" w:hAnsi="宋体" w:cs="宋体" w:eastAsia="宋体" w:hint="default"/>
        </w:rPr>
        <w:t>1</w:t>
      </w:r>
      <w:r>
        <w:rPr>
          <w:rFonts w:ascii="宋体" w:hAnsi="宋体" w:cs="宋体" w:eastAsia="宋体" w:hint="default"/>
          <w:spacing w:val="-45"/>
        </w:rPr>
        <w:t> </w:t>
      </w:r>
      <w:r>
        <w:rPr/>
        <w:t>月</w:t>
      </w:r>
      <w:r>
        <w:rPr>
          <w:spacing w:val="-44"/>
        </w:rPr>
        <w:t> </w:t>
      </w:r>
      <w:r>
        <w:rPr>
          <w:rFonts w:ascii="宋体" w:hAnsi="宋体" w:cs="宋体" w:eastAsia="宋体" w:hint="default"/>
        </w:rPr>
        <w:t>1</w:t>
      </w:r>
      <w:r>
        <w:rPr>
          <w:rFonts w:ascii="宋体" w:hAnsi="宋体" w:cs="宋体" w:eastAsia="宋体" w:hint="default"/>
          <w:spacing w:val="-45"/>
        </w:rPr>
        <w:t> </w:t>
      </w:r>
      <w:r>
        <w:rPr/>
        <w:t>日起至</w:t>
      </w:r>
      <w:r>
        <w:rPr>
          <w:spacing w:val="-45"/>
        </w:rPr>
        <w:t> </w:t>
      </w:r>
      <w:r>
        <w:rPr>
          <w:rFonts w:ascii="宋体" w:hAnsi="宋体" w:cs="宋体" w:eastAsia="宋体" w:hint="default"/>
        </w:rPr>
        <w:t>2017</w:t>
      </w:r>
      <w:r>
        <w:rPr>
          <w:rFonts w:ascii="宋体" w:hAnsi="宋体" w:cs="宋体" w:eastAsia="宋体" w:hint="default"/>
          <w:spacing w:val="-45"/>
        </w:rPr>
        <w:t> </w:t>
      </w:r>
      <w:r>
        <w:rPr/>
        <w:t>年</w:t>
      </w:r>
      <w:r>
        <w:rPr>
          <w:spacing w:val="-45"/>
        </w:rPr>
        <w:t> </w:t>
      </w:r>
      <w:r>
        <w:rPr>
          <w:rFonts w:ascii="宋体" w:hAnsi="宋体" w:cs="宋体" w:eastAsia="宋体" w:hint="default"/>
        </w:rPr>
        <w:t>12</w:t>
      </w:r>
      <w:r>
        <w:rPr>
          <w:rFonts w:ascii="宋体" w:hAnsi="宋体" w:cs="宋体" w:eastAsia="宋体" w:hint="default"/>
          <w:spacing w:val="-44"/>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spacing w:val="-1"/>
        </w:rPr>
        <w:t>日止，暂免征收我区企业应缴纳的企业所得税</w:t>
      </w:r>
      <w:r>
        <w:rPr>
          <w:spacing w:val="-87"/>
        </w:rPr>
        <w:t> </w:t>
      </w:r>
      <w:r>
        <w:rPr>
          <w:spacing w:val="-87"/>
        </w:rPr>
      </w:r>
      <w:r>
        <w:rPr>
          <w:spacing w:val="-6"/>
        </w:rPr>
        <w:t>中属于地方分享的部分”、《国务院关于明确中央与地方所得税收入分享比例的通知》（国发</w:t>
      </w:r>
      <w:r>
        <w:rPr>
          <w:rFonts w:ascii="宋体" w:hAnsi="宋体" w:cs="宋体" w:eastAsia="宋体" w:hint="default"/>
          <w:spacing w:val="-6"/>
        </w:rPr>
        <w:t>[2003]26</w:t>
      </w:r>
      <w:r>
        <w:rPr>
          <w:rFonts w:ascii="宋体" w:hAnsi="宋体" w:cs="宋体" w:eastAsia="宋体" w:hint="default"/>
          <w:spacing w:val="-36"/>
        </w:rPr>
        <w:t> </w:t>
      </w:r>
      <w:r>
        <w:rPr>
          <w:spacing w:val="-9"/>
        </w:rPr>
        <w:t>号）中“从</w:t>
      </w:r>
      <w:r>
        <w:rPr>
          <w:spacing w:val="-36"/>
        </w:rPr>
        <w:t> </w:t>
      </w:r>
      <w:r>
        <w:rPr>
          <w:rFonts w:ascii="宋体" w:hAnsi="宋体" w:cs="宋体" w:eastAsia="宋体" w:hint="default"/>
        </w:rPr>
        <w:t>2004</w:t>
      </w:r>
      <w:r>
        <w:rPr>
          <w:rFonts w:ascii="宋体" w:hAnsi="宋体" w:cs="宋体" w:eastAsia="宋体" w:hint="default"/>
          <w:spacing w:val="-36"/>
        </w:rPr>
        <w:t> </w:t>
      </w:r>
      <w:r>
        <w:rPr/>
        <w:t>年起，</w:t>
      </w:r>
      <w:r>
        <w:rPr>
          <w:spacing w:val="-88"/>
        </w:rPr>
        <w:t> </w:t>
      </w:r>
      <w:r>
        <w:rPr/>
        <w:t>中央与地方所得税收入分享比例继续按中央分享</w:t>
      </w:r>
      <w:r>
        <w:rPr>
          <w:spacing w:val="-49"/>
        </w:rPr>
        <w:t> </w:t>
      </w:r>
      <w:r>
        <w:rPr>
          <w:rFonts w:ascii="宋体" w:hAnsi="宋体" w:cs="宋体" w:eastAsia="宋体" w:hint="default"/>
          <w:spacing w:val="-3"/>
        </w:rPr>
        <w:t>60%</w:t>
      </w:r>
      <w:r>
        <w:rPr>
          <w:spacing w:val="-3"/>
        </w:rPr>
        <w:t>，地方分享</w:t>
      </w:r>
      <w:r>
        <w:rPr>
          <w:spacing w:val="-49"/>
        </w:rPr>
        <w:t> </w:t>
      </w:r>
      <w:r>
        <w:rPr>
          <w:rFonts w:ascii="宋体" w:hAnsi="宋体" w:cs="宋体" w:eastAsia="宋体" w:hint="default"/>
        </w:rPr>
        <w:t>40%</w:t>
      </w:r>
      <w:r>
        <w:rPr/>
        <w:t>执行”的规定，西藏亦复公司和西藏智媒公司减按</w:t>
      </w:r>
      <w:r>
        <w:rPr>
          <w:spacing w:val="-49"/>
        </w:rPr>
        <w:t> </w:t>
      </w:r>
      <w:r>
        <w:rPr>
          <w:rFonts w:ascii="宋体" w:hAnsi="宋体" w:cs="宋体" w:eastAsia="宋体" w:hint="default"/>
        </w:rPr>
        <w:t>9%</w:t>
      </w:r>
      <w:r>
        <w:rPr/>
        <w:t>的 税率征收企业所得税。</w:t>
      </w:r>
    </w:p>
    <w:p>
      <w:pPr>
        <w:spacing w:line="240" w:lineRule="auto" w:before="4"/>
        <w:rPr>
          <w:rFonts w:ascii="宋体" w:hAnsi="宋体" w:cs="宋体" w:eastAsia="宋体" w:hint="default"/>
          <w:sz w:val="22"/>
          <w:szCs w:val="22"/>
        </w:rPr>
      </w:pPr>
    </w:p>
    <w:p>
      <w:pPr>
        <w:spacing w:line="501" w:lineRule="auto" w:before="0"/>
        <w:ind w:left="153" w:right="7693" w:firstLine="0"/>
        <w:jc w:val="left"/>
        <w:rPr>
          <w:rFonts w:ascii="宋体" w:hAnsi="宋体" w:cs="宋体" w:eastAsia="宋体" w:hint="default"/>
          <w:sz w:val="21"/>
          <w:szCs w:val="21"/>
        </w:rPr>
      </w:pPr>
      <w:bookmarkStart w:name="3、其他" w:id="226"/>
      <w:bookmarkEnd w:id="226"/>
      <w:r>
        <w:rPr/>
      </w:r>
      <w:r>
        <w:rPr>
          <w:rFonts w:ascii="宋体" w:hAnsi="宋体" w:cs="宋体" w:eastAsia="宋体"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七、合并财务报表项目注释" w:id="227"/>
      <w:bookmarkEnd w:id="227"/>
      <w:r>
        <w:rPr>
          <w:rFonts w:ascii="宋体" w:hAnsi="宋体" w:cs="宋体" w:eastAsia="宋体" w:hint="default"/>
          <w:b/>
          <w:bCs/>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28"/>
      <w:bookmarkEnd w:id="228"/>
      <w:r>
        <w:rPr>
          <w:rFonts w:ascii="宋体" w:hAnsi="宋体" w:cs="宋体" w:eastAsia="宋体" w:hint="default"/>
          <w:b/>
          <w:bCs/>
          <w:spacing w:val="18"/>
          <w:w w:val="95"/>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36"/>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89,293.04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127,258.61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513,243,661.48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492,196,727.90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207,791,084.37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36,399,239.14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721,124,038.89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528,723,225.65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134,323,288.95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55,309,182.29</w:t>
            </w:r>
          </w:p>
        </w:tc>
      </w:tr>
    </w:tbl>
    <w:p>
      <w:pPr>
        <w:pStyle w:val="BodyText"/>
        <w:spacing w:line="240" w:lineRule="auto" w:before="51"/>
        <w:ind w:right="0"/>
        <w:jc w:val="left"/>
      </w:pPr>
      <w:r>
        <w:rPr/>
        <w:t>其他说明</w:t>
      </w:r>
    </w:p>
    <w:p>
      <w:pPr>
        <w:pStyle w:val="BodyText"/>
        <w:spacing w:line="319" w:lineRule="auto" w:before="116"/>
        <w:ind w:left="153" w:right="1117" w:firstLine="360"/>
        <w:jc w:val="left"/>
      </w:pPr>
      <w:r>
        <w:rPr>
          <w:spacing w:val="-3"/>
        </w:rPr>
        <w:t>（</w:t>
      </w:r>
      <w:r>
        <w:rPr>
          <w:rFonts w:ascii="宋体" w:hAnsi="宋体" w:cs="宋体" w:eastAsia="宋体" w:hint="default"/>
          <w:spacing w:val="-3"/>
        </w:rPr>
        <w:t>1</w:t>
      </w:r>
      <w:r>
        <w:rPr>
          <w:spacing w:val="-3"/>
        </w:rPr>
        <w:t>）其他货币资金期末余额中，保函保证金</w:t>
      </w:r>
      <w:r>
        <w:rPr>
          <w:spacing w:val="-57"/>
        </w:rPr>
        <w:t> </w:t>
      </w:r>
      <w:r>
        <w:rPr>
          <w:rFonts w:ascii="宋体" w:hAnsi="宋体" w:cs="宋体" w:eastAsia="宋体" w:hint="default"/>
        </w:rPr>
        <w:t>196,480,000.00</w:t>
      </w:r>
      <w:r>
        <w:rPr>
          <w:rFonts w:ascii="宋体" w:hAnsi="宋体" w:cs="宋体" w:eastAsia="宋体" w:hint="default"/>
          <w:spacing w:val="-57"/>
        </w:rPr>
        <w:t> </w:t>
      </w:r>
      <w:r>
        <w:rPr/>
        <w:t>元，该等款项使用受到限制；其余款项均为存放于其他支 付平台（支付宝、泛联）可随意支取的款项。</w:t>
      </w:r>
    </w:p>
    <w:p>
      <w:pPr>
        <w:pStyle w:val="BodyText"/>
        <w:spacing w:line="240" w:lineRule="auto" w:before="56"/>
        <w:ind w:left="513" w:right="0"/>
        <w:jc w:val="left"/>
      </w:pPr>
      <w:r>
        <w:rPr/>
        <w:t>（</w:t>
      </w:r>
      <w:r>
        <w:rPr>
          <w:rFonts w:ascii="宋体" w:hAnsi="宋体" w:cs="宋体" w:eastAsia="宋体" w:hint="default"/>
        </w:rPr>
        <w:t>2</w:t>
      </w:r>
      <w:r>
        <w:rPr/>
        <w:t>）本公司期末存放在境外资金汇回未受到限制。</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以公允价值计量且其变动计入当期损益的金融资产" w:id="229"/>
      <w:bookmarkEnd w:id="229"/>
      <w:r>
        <w:rPr>
          <w:b w:val="0"/>
          <w:bCs w:val="0"/>
        </w:rPr>
      </w:r>
      <w:r>
        <w:rPr>
          <w:rFonts w:ascii="宋体" w:hAnsi="宋体" w:cs="宋体" w:eastAsia="宋体" w:hint="default"/>
        </w:rPr>
        <w:t>2</w:t>
      </w:r>
      <w:r>
        <w:rPr/>
        <w:t>、以公允价值计量且其变动计入当期损益的金融资产</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衍生金融资产" w:id="230"/>
      <w:bookmarkEnd w:id="230"/>
      <w:r>
        <w:rPr>
          <w:b w:val="0"/>
          <w:bCs w:val="0"/>
        </w:rPr>
      </w:r>
      <w:r>
        <w:rPr>
          <w:rFonts w:ascii="宋体" w:hAnsi="宋体" w:cs="宋体" w:eastAsia="宋体" w:hint="default"/>
        </w:rPr>
        <w:t>3</w:t>
      </w:r>
      <w:r>
        <w:rPr/>
        <w:t>、衍生金融资产</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after="0" w:line="240" w:lineRule="auto"/>
        <w:jc w:val="left"/>
        <w:sectPr>
          <w:pgSz w:w="11910" w:h="16840"/>
          <w:pgMar w:header="877" w:footer="1187" w:top="1100" w:bottom="138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4、应收票据" w:id="231"/>
      <w:bookmarkEnd w:id="231"/>
      <w:r>
        <w:rPr>
          <w:b w:val="0"/>
          <w:bCs w:val="0"/>
        </w:rPr>
      </w:r>
      <w:r>
        <w:rPr>
          <w:rFonts w:ascii="宋体" w:hAnsi="宋体" w:cs="宋体" w:eastAsia="宋体" w:hint="default"/>
        </w:rPr>
        <w:t>4</w:t>
      </w:r>
      <w:r>
        <w:rPr/>
        <w:t>、应收票据</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应收票据分类列示" w:id="232"/>
      <w:bookmarkEnd w:id="232"/>
      <w:r>
        <w:rPr>
          <w:b w:val="0"/>
          <w:bCs w:val="0"/>
        </w:rPr>
      </w:r>
      <w:r>
        <w:rPr/>
        <w:t>（</w:t>
      </w:r>
      <w:r>
        <w:rPr>
          <w:rFonts w:ascii="宋体" w:hAnsi="宋体" w:cs="宋体" w:eastAsia="宋体" w:hint="default"/>
        </w:rPr>
        <w:t>1</w:t>
      </w:r>
      <w:r>
        <w:rPr/>
        <w:t>）应收票据分类列示</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6,911,570.00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4,016,130.00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6,911,570.00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4,016,130.00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公司已质押的应收票据" w:id="233"/>
      <w:bookmarkEnd w:id="233"/>
      <w:r>
        <w:rPr>
          <w:b w:val="0"/>
          <w:bCs w:val="0"/>
        </w:rPr>
      </w:r>
      <w:r>
        <w:rPr/>
        <w:t>（</w:t>
      </w:r>
      <w:r>
        <w:rPr>
          <w:rFonts w:ascii="宋体" w:hAnsi="宋体" w:cs="宋体" w:eastAsia="宋体" w:hint="default"/>
        </w:rPr>
        <w:t>2</w:t>
      </w:r>
      <w:r>
        <w:rPr/>
        <w:t>）期末公司已质押的应收票据</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期末公司已背书或贴现且在资产负债表日尚未到期的应收票据" w:id="234"/>
      <w:bookmarkEnd w:id="234"/>
      <w:r>
        <w:rPr>
          <w:b w:val="0"/>
          <w:bCs w:val="0"/>
        </w:rPr>
      </w:r>
      <w:r>
        <w:rPr/>
        <w:t>（</w:t>
      </w:r>
      <w:r>
        <w:rPr>
          <w:rFonts w:ascii="宋体" w:hAnsi="宋体" w:cs="宋体" w:eastAsia="宋体" w:hint="default"/>
        </w:rPr>
        <w:t>3</w:t>
      </w:r>
      <w:r>
        <w:rPr/>
        <w:t>）期末公司已背书或贴现且在资产负债表日尚未到期的应收票据</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期末公司因出票人未履约而将其转应收账款的票据" w:id="235"/>
      <w:bookmarkEnd w:id="235"/>
      <w:r>
        <w:rPr>
          <w:b w:val="0"/>
          <w:bCs w:val="0"/>
        </w:rPr>
      </w:r>
      <w:r>
        <w:rPr/>
        <w:t>（</w:t>
      </w:r>
      <w:r>
        <w:rPr>
          <w:rFonts w:ascii="宋体" w:hAnsi="宋体" w:cs="宋体" w:eastAsia="宋体" w:hint="default"/>
        </w:rPr>
        <w:t>4</w:t>
      </w:r>
      <w:r>
        <w:rPr/>
        <w:t>）期末公司因出票人未履约而将其转应收账款的票据</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right="0"/>
        <w:jc w:val="left"/>
      </w:pPr>
      <w:r>
        <w:rPr/>
        <w:t>其他说明</w:t>
      </w:r>
    </w:p>
    <w:p>
      <w:pPr>
        <w:pStyle w:val="BodyText"/>
        <w:spacing w:line="240" w:lineRule="auto" w:before="117"/>
        <w:ind w:left="514" w:right="0"/>
        <w:jc w:val="left"/>
      </w:pPr>
      <w:r>
        <w:rPr/>
        <w:t>（</w:t>
      </w:r>
      <w:r>
        <w:rPr>
          <w:rFonts w:ascii="宋体" w:hAnsi="宋体" w:cs="宋体" w:eastAsia="宋体" w:hint="default"/>
        </w:rPr>
        <w:t>1</w:t>
      </w:r>
      <w:r>
        <w:rPr/>
        <w:t>）不存在客观证据表明本公司应收票据发生减值，未计提应收票据减值准备。</w:t>
      </w:r>
    </w:p>
    <w:p>
      <w:pPr>
        <w:pStyle w:val="BodyText"/>
        <w:spacing w:line="240" w:lineRule="auto" w:before="116"/>
        <w:ind w:left="513" w:right="0"/>
        <w:jc w:val="left"/>
      </w:pPr>
      <w:r>
        <w:rPr/>
        <w:t>（</w:t>
      </w:r>
      <w:r>
        <w:rPr>
          <w:rFonts w:ascii="宋体" w:hAnsi="宋体" w:cs="宋体" w:eastAsia="宋体" w:hint="default"/>
        </w:rPr>
        <w:t>2</w:t>
      </w:r>
      <w:r>
        <w:rPr/>
        <w:t>）期末本公司无逾期的应收票据，无已质押的应收票据，无因出票人未履约而转为应收账款的票据。</w:t>
      </w:r>
    </w:p>
    <w:p>
      <w:pPr>
        <w:pStyle w:val="BodyText"/>
        <w:spacing w:line="240" w:lineRule="auto" w:before="116"/>
        <w:ind w:left="513" w:right="0"/>
        <w:jc w:val="left"/>
      </w:pPr>
      <w:r>
        <w:rPr/>
        <w:t>（</w:t>
      </w:r>
      <w:r>
        <w:rPr>
          <w:rFonts w:ascii="宋体" w:hAnsi="宋体" w:cs="宋体" w:eastAsia="宋体" w:hint="default"/>
        </w:rPr>
        <w:t>3</w:t>
      </w:r>
      <w:r>
        <w:rPr/>
        <w:t>）期末本公司无已背书或贴现但尚未到期的应收票据。</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应收账款" w:id="236"/>
      <w:bookmarkEnd w:id="236"/>
      <w:r>
        <w:rPr>
          <w:b w:val="0"/>
          <w:bCs w:val="0"/>
        </w:rPr>
      </w:r>
      <w:r>
        <w:rPr>
          <w:rFonts w:ascii="宋体" w:hAnsi="宋体" w:cs="宋体" w:eastAsia="宋体" w:hint="default"/>
        </w:rPr>
        <w:t>5</w:t>
      </w:r>
      <w:r>
        <w:rPr/>
        <w:t>、应收账款</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应收账款分类披露" w:id="237"/>
      <w:bookmarkEnd w:id="237"/>
      <w:r>
        <w:rPr>
          <w:b w:val="0"/>
          <w:bCs w:val="0"/>
        </w:rPr>
      </w:r>
      <w:r>
        <w:rPr/>
        <w:t>（</w:t>
      </w:r>
      <w:r>
        <w:rPr>
          <w:rFonts w:ascii="宋体" w:hAnsi="宋体" w:cs="宋体" w:eastAsia="宋体" w:hint="default"/>
        </w:rPr>
        <w:t>1</w:t>
      </w:r>
      <w:r>
        <w:rPr/>
        <w:t>）应收账款分类披露</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1,400,9</w:t>
            </w:r>
          </w:p>
          <w:p>
            <w:pPr>
              <w:pStyle w:val="TableParagraph"/>
              <w:spacing w:line="240" w:lineRule="auto" w:before="76"/>
              <w:ind w:right="23"/>
              <w:jc w:val="right"/>
              <w:rPr>
                <w:rFonts w:ascii="宋体" w:hAnsi="宋体" w:cs="宋体" w:eastAsia="宋体" w:hint="default"/>
                <w:sz w:val="18"/>
                <w:szCs w:val="18"/>
              </w:rPr>
            </w:pPr>
            <w:r>
              <w:rPr>
                <w:rFonts w:ascii="宋体"/>
                <w:sz w:val="18"/>
              </w:rPr>
              <w:t>98,916.</w:t>
            </w:r>
          </w:p>
          <w:p>
            <w:pPr>
              <w:pStyle w:val="TableParagraph"/>
              <w:spacing w:line="240" w:lineRule="auto" w:before="77"/>
              <w:ind w:right="23"/>
              <w:jc w:val="right"/>
              <w:rPr>
                <w:rFonts w:ascii="宋体" w:hAnsi="宋体" w:cs="宋体" w:eastAsia="宋体" w:hint="default"/>
                <w:sz w:val="18"/>
                <w:szCs w:val="18"/>
              </w:rPr>
            </w:pPr>
            <w:r>
              <w:rPr>
                <w:rFonts w:ascii="宋体"/>
                <w:sz w:val="18"/>
              </w:rPr>
              <w:t>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8" w:right="0"/>
              <w:jc w:val="left"/>
              <w:rPr>
                <w:rFonts w:ascii="宋体" w:hAnsi="宋体" w:cs="宋体" w:eastAsia="宋体" w:hint="default"/>
                <w:sz w:val="18"/>
                <w:szCs w:val="18"/>
              </w:rPr>
            </w:pPr>
            <w:r>
              <w:rPr>
                <w:rFonts w:ascii="宋体"/>
                <w:sz w:val="18"/>
              </w:rPr>
              <w:t>99.96%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20,883,</w:t>
            </w:r>
          </w:p>
          <w:p>
            <w:pPr>
              <w:pStyle w:val="TableParagraph"/>
              <w:spacing w:line="240" w:lineRule="auto" w:before="77"/>
              <w:ind w:left="188" w:right="0"/>
              <w:jc w:val="left"/>
              <w:rPr>
                <w:rFonts w:ascii="宋体" w:hAnsi="宋体" w:cs="宋体" w:eastAsia="宋体" w:hint="default"/>
                <w:sz w:val="18"/>
                <w:szCs w:val="18"/>
              </w:rPr>
            </w:pPr>
            <w:r>
              <w:rPr>
                <w:rFonts w:ascii="宋体"/>
                <w:sz w:val="18"/>
              </w:rPr>
              <w:t>730.47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9" w:right="0"/>
              <w:jc w:val="left"/>
              <w:rPr>
                <w:rFonts w:ascii="宋体" w:hAnsi="宋体" w:cs="宋体" w:eastAsia="宋体" w:hint="default"/>
                <w:sz w:val="18"/>
                <w:szCs w:val="18"/>
              </w:rPr>
            </w:pPr>
            <w:r>
              <w:rPr>
                <w:rFonts w:ascii="宋体"/>
                <w:sz w:val="18"/>
              </w:rPr>
              <w:t>1.49%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sz w:val="18"/>
              </w:rPr>
              <w:t>1,380,11</w:t>
            </w:r>
          </w:p>
          <w:p>
            <w:pPr>
              <w:pStyle w:val="TableParagraph"/>
              <w:spacing w:line="240" w:lineRule="auto" w:before="77"/>
              <w:ind w:left="37" w:right="0"/>
              <w:jc w:val="left"/>
              <w:rPr>
                <w:rFonts w:ascii="宋体" w:hAnsi="宋体" w:cs="宋体" w:eastAsia="宋体" w:hint="default"/>
                <w:sz w:val="18"/>
                <w:szCs w:val="18"/>
              </w:rPr>
            </w:pPr>
            <w:r>
              <w:rPr>
                <w:rFonts w:ascii="宋体"/>
                <w:sz w:val="18"/>
              </w:rPr>
              <w:t>5,186.11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752,83</w:t>
            </w:r>
          </w:p>
          <w:p>
            <w:pPr>
              <w:pStyle w:val="TableParagraph"/>
              <w:spacing w:line="240" w:lineRule="auto" w:before="76"/>
              <w:ind w:right="23"/>
              <w:jc w:val="right"/>
              <w:rPr>
                <w:rFonts w:ascii="宋体" w:hAnsi="宋体" w:cs="宋体" w:eastAsia="宋体" w:hint="default"/>
                <w:sz w:val="18"/>
                <w:szCs w:val="18"/>
              </w:rPr>
            </w:pPr>
            <w:r>
              <w:rPr>
                <w:rFonts w:ascii="宋体"/>
                <w:sz w:val="18"/>
              </w:rPr>
              <w:t>1,204.</w:t>
            </w:r>
          </w:p>
          <w:p>
            <w:pPr>
              <w:pStyle w:val="TableParagraph"/>
              <w:spacing w:line="240" w:lineRule="auto" w:before="77"/>
              <w:ind w:right="23"/>
              <w:jc w:val="right"/>
              <w:rPr>
                <w:rFonts w:ascii="宋体" w:hAnsi="宋体" w:cs="宋体" w:eastAsia="宋体" w:hint="default"/>
                <w:sz w:val="18"/>
                <w:szCs w:val="18"/>
              </w:rPr>
            </w:pPr>
            <w:r>
              <w:rPr>
                <w:rFonts w:ascii="宋体"/>
                <w:sz w:val="18"/>
              </w:rPr>
              <w:t>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8" w:right="0"/>
              <w:jc w:val="left"/>
              <w:rPr>
                <w:rFonts w:ascii="宋体" w:hAnsi="宋体" w:cs="宋体" w:eastAsia="宋体" w:hint="default"/>
                <w:sz w:val="18"/>
                <w:szCs w:val="18"/>
              </w:rPr>
            </w:pPr>
            <w:r>
              <w:rPr>
                <w:rFonts w:ascii="宋体"/>
                <w:sz w:val="18"/>
              </w:rPr>
              <w:t>99.92%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7,827,07</w:t>
            </w:r>
          </w:p>
          <w:p>
            <w:pPr>
              <w:pStyle w:val="TableParagraph"/>
              <w:spacing w:line="240" w:lineRule="auto" w:before="77"/>
              <w:ind w:left="420" w:right="0"/>
              <w:jc w:val="left"/>
              <w:rPr>
                <w:rFonts w:ascii="宋体" w:hAnsi="宋体" w:cs="宋体" w:eastAsia="宋体" w:hint="default"/>
                <w:sz w:val="18"/>
                <w:szCs w:val="18"/>
              </w:rPr>
            </w:pPr>
            <w:r>
              <w:rPr>
                <w:rFonts w:ascii="宋体"/>
                <w:sz w:val="18"/>
              </w:rPr>
              <w:t>6.06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49" w:right="0"/>
              <w:jc w:val="left"/>
              <w:rPr>
                <w:rFonts w:ascii="宋体" w:hAnsi="宋体" w:cs="宋体" w:eastAsia="宋体" w:hint="default"/>
                <w:sz w:val="18"/>
                <w:szCs w:val="18"/>
              </w:rPr>
            </w:pPr>
            <w:r>
              <w:rPr>
                <w:rFonts w:ascii="宋体"/>
                <w:sz w:val="18"/>
              </w:rPr>
              <w:t>1.04%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745,004,1</w:t>
            </w:r>
          </w:p>
          <w:p>
            <w:pPr>
              <w:pStyle w:val="TableParagraph"/>
              <w:spacing w:line="240" w:lineRule="auto" w:before="77"/>
              <w:ind w:left="448" w:right="0"/>
              <w:jc w:val="left"/>
              <w:rPr>
                <w:rFonts w:ascii="宋体" w:hAnsi="宋体" w:cs="宋体" w:eastAsia="宋体" w:hint="default"/>
                <w:sz w:val="18"/>
                <w:szCs w:val="18"/>
              </w:rPr>
            </w:pPr>
            <w:r>
              <w:rPr>
                <w:rFonts w:ascii="宋体"/>
                <w:sz w:val="18"/>
              </w:rPr>
              <w:t>28.17</w:t>
            </w:r>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591,625</w:t>
            </w:r>
          </w:p>
          <w:p>
            <w:pPr>
              <w:pStyle w:val="TableParagraph"/>
              <w:spacing w:line="240" w:lineRule="auto" w:before="77"/>
              <w:ind w:left="460" w:right="0"/>
              <w:jc w:val="left"/>
              <w:rPr>
                <w:rFonts w:ascii="宋体" w:hAnsi="宋体" w:cs="宋体" w:eastAsia="宋体" w:hint="default"/>
                <w:sz w:val="18"/>
                <w:szCs w:val="18"/>
              </w:rPr>
            </w:pPr>
            <w:r>
              <w:rPr>
                <w:rFonts w:ascii="宋体"/>
                <w:sz w:val="18"/>
              </w:rPr>
              <w:t>.44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591,625</w:t>
            </w:r>
          </w:p>
          <w:p>
            <w:pPr>
              <w:pStyle w:val="TableParagraph"/>
              <w:spacing w:line="240" w:lineRule="auto" w:before="77"/>
              <w:ind w:left="458" w:right="0"/>
              <w:jc w:val="left"/>
              <w:rPr>
                <w:rFonts w:ascii="宋体" w:hAnsi="宋体" w:cs="宋体" w:eastAsia="宋体" w:hint="default"/>
                <w:sz w:val="18"/>
                <w:szCs w:val="18"/>
              </w:rPr>
            </w:pPr>
            <w:r>
              <w:rPr>
                <w:rFonts w:ascii="宋体"/>
                <w:sz w:val="18"/>
              </w:rPr>
              <w:t>.44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97" w:right="0"/>
              <w:jc w:val="left"/>
              <w:rPr>
                <w:rFonts w:ascii="宋体" w:hAnsi="宋体" w:cs="宋体" w:eastAsia="宋体" w:hint="default"/>
                <w:sz w:val="18"/>
                <w:szCs w:val="18"/>
              </w:rPr>
            </w:pPr>
            <w:r>
              <w:rPr>
                <w:rFonts w:ascii="宋体"/>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 w:right="0"/>
              <w:jc w:val="center"/>
              <w:rPr>
                <w:rFonts w:ascii="宋体" w:hAnsi="宋体" w:cs="宋体" w:eastAsia="宋体" w:hint="default"/>
                <w:sz w:val="18"/>
                <w:szCs w:val="18"/>
              </w:rPr>
            </w:pPr>
            <w:r>
              <w:rPr>
                <w:rFonts w:ascii="宋体"/>
                <w:sz w:val="18"/>
              </w:rPr>
              <w:t>591,49</w:t>
            </w:r>
          </w:p>
          <w:p>
            <w:pPr>
              <w:pStyle w:val="TableParagraph"/>
              <w:spacing w:line="240" w:lineRule="auto" w:before="77"/>
              <w:ind w:left="236" w:right="0"/>
              <w:jc w:val="center"/>
              <w:rPr>
                <w:rFonts w:ascii="宋体" w:hAnsi="宋体" w:cs="宋体" w:eastAsia="宋体" w:hint="default"/>
                <w:sz w:val="18"/>
                <w:szCs w:val="18"/>
              </w:rPr>
            </w:pPr>
            <w:r>
              <w:rPr>
                <w:rFonts w:ascii="宋体"/>
                <w:sz w:val="18"/>
              </w:rPr>
              <w:t>1.53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0.08%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591,491.</w:t>
            </w:r>
          </w:p>
          <w:p>
            <w:pPr>
              <w:pStyle w:val="TableParagraph"/>
              <w:spacing w:line="240" w:lineRule="auto" w:before="77"/>
              <w:ind w:right="20"/>
              <w:jc w:val="right"/>
              <w:rPr>
                <w:rFonts w:ascii="宋体" w:hAnsi="宋体" w:cs="宋体" w:eastAsia="宋体" w:hint="default"/>
                <w:sz w:val="18"/>
                <w:szCs w:val="18"/>
              </w:rPr>
            </w:pPr>
            <w:r>
              <w:rPr>
                <w:rFonts w:ascii="宋体"/>
                <w:sz w:val="18"/>
              </w:rPr>
              <w:t>53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1,401,5</w:t>
            </w:r>
          </w:p>
          <w:p>
            <w:pPr>
              <w:pStyle w:val="TableParagraph"/>
              <w:spacing w:line="240" w:lineRule="auto" w:before="77"/>
              <w:ind w:right="23"/>
              <w:jc w:val="right"/>
              <w:rPr>
                <w:rFonts w:ascii="宋体" w:hAnsi="宋体" w:cs="宋体" w:eastAsia="宋体" w:hint="default"/>
                <w:sz w:val="18"/>
                <w:szCs w:val="18"/>
              </w:rPr>
            </w:pPr>
            <w:r>
              <w:rPr>
                <w:rFonts w:ascii="宋体"/>
                <w:sz w:val="18"/>
              </w:rPr>
              <w:t>90,542.</w:t>
            </w:r>
          </w:p>
          <w:p>
            <w:pPr>
              <w:pStyle w:val="TableParagraph"/>
              <w:spacing w:line="240" w:lineRule="auto" w:before="77"/>
              <w:ind w:right="23"/>
              <w:jc w:val="right"/>
              <w:rPr>
                <w:rFonts w:ascii="宋体" w:hAnsi="宋体" w:cs="宋体" w:eastAsia="宋体" w:hint="default"/>
                <w:sz w:val="18"/>
                <w:szCs w:val="18"/>
              </w:rPr>
            </w:pPr>
            <w:r>
              <w:rPr>
                <w:rFonts w:ascii="宋体"/>
                <w:sz w:val="18"/>
              </w:rPr>
              <w:t>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21,475,</w:t>
            </w:r>
          </w:p>
          <w:p>
            <w:pPr>
              <w:pStyle w:val="TableParagraph"/>
              <w:spacing w:line="240" w:lineRule="auto" w:before="77"/>
              <w:ind w:left="188" w:right="0"/>
              <w:jc w:val="left"/>
              <w:rPr>
                <w:rFonts w:ascii="宋体" w:hAnsi="宋体" w:cs="宋体" w:eastAsia="宋体" w:hint="default"/>
                <w:sz w:val="18"/>
                <w:szCs w:val="18"/>
              </w:rPr>
            </w:pPr>
            <w:r>
              <w:rPr>
                <w:rFonts w:ascii="宋体"/>
                <w:sz w:val="18"/>
              </w:rPr>
              <w:t>355.91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1.53%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sz w:val="18"/>
              </w:rPr>
              <w:t>1,380,11</w:t>
            </w:r>
          </w:p>
          <w:p>
            <w:pPr>
              <w:pStyle w:val="TableParagraph"/>
              <w:spacing w:line="240" w:lineRule="auto" w:before="77"/>
              <w:ind w:left="37" w:right="0"/>
              <w:jc w:val="left"/>
              <w:rPr>
                <w:rFonts w:ascii="宋体" w:hAnsi="宋体" w:cs="宋体" w:eastAsia="宋体" w:hint="default"/>
                <w:sz w:val="18"/>
                <w:szCs w:val="18"/>
              </w:rPr>
            </w:pPr>
            <w:r>
              <w:rPr>
                <w:rFonts w:ascii="宋体"/>
                <w:sz w:val="18"/>
              </w:rPr>
              <w:t>5,186.11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753,42</w:t>
            </w:r>
          </w:p>
          <w:p>
            <w:pPr>
              <w:pStyle w:val="TableParagraph"/>
              <w:spacing w:line="240" w:lineRule="auto" w:before="77"/>
              <w:ind w:right="23"/>
              <w:jc w:val="right"/>
              <w:rPr>
                <w:rFonts w:ascii="宋体" w:hAnsi="宋体" w:cs="宋体" w:eastAsia="宋体" w:hint="default"/>
                <w:sz w:val="18"/>
                <w:szCs w:val="18"/>
              </w:rPr>
            </w:pPr>
            <w:r>
              <w:rPr>
                <w:rFonts w:ascii="宋体"/>
                <w:sz w:val="18"/>
              </w:rPr>
              <w:t>2,695.</w:t>
            </w:r>
          </w:p>
          <w:p>
            <w:pPr>
              <w:pStyle w:val="TableParagraph"/>
              <w:spacing w:line="240" w:lineRule="auto" w:before="77"/>
              <w:ind w:right="23"/>
              <w:jc w:val="right"/>
              <w:rPr>
                <w:rFonts w:ascii="宋体" w:hAnsi="宋体" w:cs="宋体" w:eastAsia="宋体" w:hint="default"/>
                <w:sz w:val="18"/>
                <w:szCs w:val="18"/>
              </w:rPr>
            </w:pPr>
            <w:r>
              <w:rPr>
                <w:rFonts w:ascii="宋体"/>
                <w:sz w:val="18"/>
              </w:rPr>
              <w:t>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8,418,56</w:t>
            </w:r>
          </w:p>
          <w:p>
            <w:pPr>
              <w:pStyle w:val="TableParagraph"/>
              <w:spacing w:line="240" w:lineRule="auto" w:before="77"/>
              <w:ind w:left="420" w:right="0"/>
              <w:jc w:val="left"/>
              <w:rPr>
                <w:rFonts w:ascii="宋体" w:hAnsi="宋体" w:cs="宋体" w:eastAsia="宋体" w:hint="default"/>
                <w:sz w:val="18"/>
                <w:szCs w:val="18"/>
              </w:rPr>
            </w:pPr>
            <w:r>
              <w:rPr>
                <w:rFonts w:ascii="宋体"/>
                <w:sz w:val="18"/>
              </w:rPr>
              <w:t>7.59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1.12%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745,004,1</w:t>
            </w:r>
          </w:p>
          <w:p>
            <w:pPr>
              <w:pStyle w:val="TableParagraph"/>
              <w:spacing w:line="240" w:lineRule="auto" w:before="77"/>
              <w:ind w:left="448" w:right="0"/>
              <w:jc w:val="left"/>
              <w:rPr>
                <w:rFonts w:ascii="宋体" w:hAnsi="宋体" w:cs="宋体" w:eastAsia="宋体" w:hint="default"/>
                <w:sz w:val="18"/>
                <w:szCs w:val="18"/>
              </w:rPr>
            </w:pPr>
            <w:r>
              <w:rPr>
                <w:rFonts w:ascii="宋体"/>
                <w:sz w:val="18"/>
              </w:rPr>
              <w:t>28.17</w:t>
            </w:r>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0"/>
        </w:sectPr>
      </w:pPr>
    </w:p>
    <w:p>
      <w:pPr>
        <w:pStyle w:val="BodyText"/>
        <w:spacing w:line="240" w:lineRule="auto" w:before="51"/>
        <w:ind w:right="-20"/>
        <w:jc w:val="left"/>
      </w:pPr>
      <w:r>
        <w:rPr/>
        <w:t>期末单项金额重大并单项计提坏账准备的应收账款：</w:t>
      </w:r>
    </w:p>
    <w:p>
      <w:pPr>
        <w:pStyle w:val="BodyText"/>
        <w:spacing w:line="357" w:lineRule="auto" w:before="117"/>
        <w:ind w:right="160"/>
        <w:jc w:val="left"/>
      </w:pPr>
      <w:r>
        <w:rPr/>
        <w:t>□ 适用 √ 不适用 组合中，按账龄分析法计提坏账准备的应收账款：</w:t>
      </w:r>
    </w:p>
    <w:p>
      <w:pPr>
        <w:pStyle w:val="BodyText"/>
        <w:spacing w:line="240" w:lineRule="auto" w:before="29"/>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38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个月以内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1,134,559,605.11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23" w:right="0"/>
              <w:jc w:val="left"/>
              <w:rPr>
                <w:rFonts w:ascii="宋体" w:hAnsi="宋体" w:cs="宋体" w:eastAsia="宋体" w:hint="default"/>
                <w:sz w:val="18"/>
                <w:szCs w:val="18"/>
              </w:rPr>
            </w:pPr>
            <w:r>
              <w:rPr>
                <w:rFonts w:ascii="宋体" w:hAnsi="宋体" w:cs="宋体" w:eastAsia="宋体" w:hint="default"/>
                <w:sz w:val="18"/>
                <w:szCs w:val="18"/>
              </w:rPr>
              <w:t>4-12</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219,062,594.09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10,951,225.58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1,353,622,199.20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10,951,225.58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0.81%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46,388,211.97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9,277,642.39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667,285.84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333,642.93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321,219.57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321,219.57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1,400,998,916.58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20,883,730.47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1.49%</w:t>
            </w:r>
          </w:p>
        </w:tc>
      </w:tr>
    </w:tbl>
    <w:p>
      <w:pPr>
        <w:spacing w:after="0" w:line="240" w:lineRule="auto"/>
        <w:jc w:val="right"/>
        <w:rPr>
          <w:rFonts w:ascii="宋体" w:hAnsi="宋体" w:cs="宋体" w:eastAsia="宋体" w:hint="default"/>
          <w:sz w:val="18"/>
          <w:szCs w:val="18"/>
        </w:rPr>
        <w:sectPr>
          <w:type w:val="continuous"/>
          <w:pgSz w:w="11910" w:h="16840"/>
          <w:pgMar w:top="1060" w:bottom="1380" w:left="980" w:right="0"/>
        </w:sectPr>
      </w:pPr>
    </w:p>
    <w:p>
      <w:pPr>
        <w:pStyle w:val="BodyText"/>
        <w:spacing w:line="357" w:lineRule="auto" w:before="51"/>
        <w:ind w:right="-20"/>
        <w:jc w:val="left"/>
      </w:pPr>
      <w:r>
        <w:rPr/>
        <w:t>确定该组合依据的说明： 组合中，采用余额百分比法计提坏账准备的应收账款：</w:t>
      </w:r>
    </w:p>
    <w:p>
      <w:pPr>
        <w:pStyle w:val="BodyText"/>
        <w:spacing w:line="240" w:lineRule="auto" w:before="29"/>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38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4"/>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1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52"/>
        <w:ind w:right="6792"/>
        <w:jc w:val="left"/>
      </w:pPr>
      <w:r>
        <w:rPr/>
        <w:t>确定该组合依据的说明： 组合中，采用其他方法计提坏账准备的应收账款：</w:t>
      </w:r>
    </w:p>
    <w:p>
      <w:pPr>
        <w:pStyle w:val="BodyText"/>
        <w:spacing w:line="240" w:lineRule="auto" w:before="29"/>
        <w:ind w:left="514" w:right="0"/>
        <w:jc w:val="left"/>
      </w:pPr>
      <w:r>
        <w:rPr/>
        <w:t>期末单项金额不重大但单项计提坏账准备的应收账款</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39"/>
        <w:gridCol w:w="1282"/>
        <w:gridCol w:w="1250"/>
        <w:gridCol w:w="1553"/>
        <w:gridCol w:w="1632"/>
      </w:tblGrid>
      <w:tr>
        <w:trPr>
          <w:trHeight w:val="342" w:hRule="exact"/>
        </w:trPr>
        <w:tc>
          <w:tcPr>
            <w:tcW w:w="3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应收账款（按单位）</w:t>
            </w:r>
            <w:r>
              <w:rPr>
                <w:rFonts w:ascii="宋体" w:hAnsi="宋体" w:cs="宋体" w:eastAsia="宋体" w:hint="default"/>
                <w:sz w:val="18"/>
                <w:szCs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sz w:val="18"/>
                <w:szCs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hAnsi="宋体" w:cs="宋体" w:eastAsia="宋体" w:hint="default"/>
                <w:b/>
                <w:bCs/>
                <w:w w:val="95"/>
                <w:sz w:val="18"/>
                <w:szCs w:val="18"/>
              </w:rPr>
              <w:t>坏账准备</w:t>
            </w:r>
            <w:r>
              <w:rPr>
                <w:rFonts w:ascii="宋体" w:hAnsi="宋体" w:cs="宋体" w:eastAsia="宋体"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hAnsi="宋体" w:cs="宋体" w:eastAsia="宋体" w:hint="default"/>
                <w:b/>
                <w:bCs/>
                <w:w w:val="95"/>
                <w:sz w:val="18"/>
                <w:szCs w:val="18"/>
              </w:rPr>
              <w:t>计提比例</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hAnsi="宋体" w:cs="宋体" w:eastAsia="宋体" w:hint="default"/>
                <w:b/>
                <w:bCs/>
                <w:w w:val="95"/>
                <w:sz w:val="18"/>
                <w:szCs w:val="18"/>
              </w:rPr>
              <w:t>计提理由</w:t>
            </w:r>
            <w:r>
              <w:rPr>
                <w:rFonts w:ascii="宋体" w:hAnsi="宋体" w:cs="宋体" w:eastAsia="宋体" w:hint="default"/>
                <w:sz w:val="18"/>
                <w:szCs w:val="18"/>
              </w:rPr>
            </w:r>
          </w:p>
        </w:tc>
      </w:tr>
      <w:tr>
        <w:trPr>
          <w:trHeight w:val="342" w:hRule="exact"/>
        </w:trPr>
        <w:tc>
          <w:tcPr>
            <w:tcW w:w="3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吉祥好运（北京）商务有限公司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429,946.00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429,946.00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hAnsi="宋体" w:cs="宋体" w:eastAsia="宋体" w:hint="default"/>
                <w:sz w:val="18"/>
                <w:szCs w:val="18"/>
              </w:rPr>
              <w:t>多年失去联系</w:t>
            </w:r>
          </w:p>
        </w:tc>
      </w:tr>
      <w:tr>
        <w:trPr>
          <w:trHeight w:val="342" w:hRule="exact"/>
        </w:trPr>
        <w:tc>
          <w:tcPr>
            <w:tcW w:w="3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Central Star Ltd.</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161,679.44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161,679.44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hAnsi="宋体" w:cs="宋体" w:eastAsia="宋体" w:hint="default"/>
                <w:sz w:val="18"/>
                <w:szCs w:val="18"/>
              </w:rPr>
              <w:t>多年失去联系</w:t>
            </w:r>
          </w:p>
        </w:tc>
      </w:tr>
      <w:tr>
        <w:trPr>
          <w:trHeight w:val="342" w:hRule="exact"/>
        </w:trPr>
        <w:tc>
          <w:tcPr>
            <w:tcW w:w="3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b/>
                <w:w w:val="95"/>
                <w:sz w:val="18"/>
              </w:rPr>
              <w:t>591,625.44</w:t>
            </w:r>
            <w:r>
              <w:rPr>
                <w:rFonts w:ascii="宋体"/>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b/>
                <w:w w:val="95"/>
                <w:sz w:val="18"/>
              </w:rPr>
              <w:t>591,625.44</w:t>
            </w:r>
            <w:r>
              <w:rPr>
                <w:rFonts w:ascii="宋体"/>
                <w:sz w:val="18"/>
              </w:rPr>
            </w:r>
          </w:p>
        </w:tc>
        <w:tc>
          <w:tcPr>
            <w:tcW w:w="1553"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计提、收回或转回的坏账准备情况" w:id="238"/>
      <w:bookmarkEnd w:id="238"/>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本期计提坏账准备金额</w:t>
      </w:r>
      <w:r>
        <w:rPr>
          <w:spacing w:val="-46"/>
        </w:rPr>
        <w:t> </w:t>
      </w:r>
      <w:r>
        <w:rPr>
          <w:rFonts w:ascii="宋体" w:hAnsi="宋体" w:cs="宋体" w:eastAsia="宋体" w:hint="default"/>
        </w:rPr>
        <w:t>13,199,023.29</w:t>
      </w:r>
      <w:r>
        <w:rPr>
          <w:rFonts w:ascii="宋体" w:hAnsi="宋体" w:cs="宋体" w:eastAsia="宋体" w:hint="default"/>
          <w:spacing w:val="-46"/>
        </w:rPr>
        <w:t> </w:t>
      </w:r>
      <w:r>
        <w:rPr/>
        <w:t>元；本期收回或转回坏账准备金额元。</w:t>
      </w:r>
    </w:p>
    <w:p>
      <w:pPr>
        <w:spacing w:after="0" w:line="240" w:lineRule="auto"/>
        <w:jc w:val="left"/>
        <w:sectPr>
          <w:type w:val="continuous"/>
          <w:pgSz w:w="11910" w:h="16840"/>
          <w:pgMar w:top="1060" w:bottom="138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其中本期坏账准备收回或转回金额重要的：</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本期实际核销的应收账款情况" w:id="239"/>
      <w:bookmarkEnd w:id="239"/>
      <w:r>
        <w:rPr>
          <w:b w:val="0"/>
          <w:bCs w:val="0"/>
        </w:rPr>
      </w:r>
      <w:r>
        <w:rPr/>
        <w:t>（</w:t>
      </w:r>
      <w:r>
        <w:rPr>
          <w:rFonts w:ascii="宋体" w:hAnsi="宋体" w:cs="宋体" w:eastAsia="宋体" w:hint="default"/>
        </w:rPr>
        <w:t>3</w:t>
      </w:r>
      <w:r>
        <w:rPr/>
        <w:t>）本期实际核销的应收账款情况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应收小额款项（</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户）实际核销的应收账款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135,284.18</w:t>
            </w:r>
          </w:p>
        </w:tc>
      </w:tr>
    </w:tbl>
    <w:p>
      <w:pPr>
        <w:pStyle w:val="BodyText"/>
        <w:spacing w:line="240" w:lineRule="auto" w:before="51"/>
        <w:ind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0"/>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按欠款方归集的期末余额前五名的应收账款情况" w:id="240"/>
      <w:bookmarkEnd w:id="240"/>
      <w:r>
        <w:rPr>
          <w:b w:val="0"/>
          <w:bCs w:val="0"/>
        </w:rPr>
      </w:r>
      <w:r>
        <w:rPr/>
        <w:t>（</w:t>
      </w:r>
      <w:r>
        <w:rPr>
          <w:rFonts w:ascii="宋体" w:hAnsi="宋体" w:cs="宋体" w:eastAsia="宋体"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left="153" w:right="1029" w:firstLine="360"/>
        <w:jc w:val="left"/>
      </w:pPr>
      <w:r>
        <w:rPr/>
        <w:t>本期按欠款方归集的期末余额前五名应收账款汇总金额</w:t>
      </w:r>
      <w:r>
        <w:rPr>
          <w:spacing w:val="-54"/>
        </w:rPr>
        <w:t> </w:t>
      </w:r>
      <w:r>
        <w:rPr>
          <w:rFonts w:ascii="宋体" w:hAnsi="宋体" w:cs="宋体" w:eastAsia="宋体" w:hint="default"/>
        </w:rPr>
        <w:t>689,381,335.57</w:t>
      </w:r>
      <w:r>
        <w:rPr>
          <w:rFonts w:ascii="宋体" w:hAnsi="宋体" w:cs="宋体" w:eastAsia="宋体" w:hint="default"/>
          <w:spacing w:val="-55"/>
        </w:rPr>
        <w:t> </w:t>
      </w:r>
      <w:r>
        <w:rPr>
          <w:spacing w:val="-6"/>
        </w:rPr>
        <w:t>元，占应收账款期末余额合计数的比例</w:t>
      </w:r>
      <w:r>
        <w:rPr>
          <w:spacing w:val="-55"/>
        </w:rPr>
        <w:t> </w:t>
      </w:r>
      <w:r>
        <w:rPr>
          <w:rFonts w:ascii="宋体" w:hAnsi="宋体" w:cs="宋体" w:eastAsia="宋体" w:hint="default"/>
        </w:rPr>
        <w:t>49.19%</w:t>
      </w:r>
      <w:r>
        <w:rPr/>
        <w:t>， 相应计提的坏账准备期末余额汇总金额</w:t>
      </w:r>
      <w:r>
        <w:rPr>
          <w:spacing w:val="-46"/>
        </w:rPr>
        <w:t> </w:t>
      </w:r>
      <w:r>
        <w:rPr>
          <w:rFonts w:ascii="宋体" w:hAnsi="宋体" w:cs="宋体" w:eastAsia="宋体" w:hint="default"/>
        </w:rPr>
        <w:t>1,011,489.78</w:t>
      </w:r>
      <w:r>
        <w:rPr>
          <w:rFonts w:ascii="宋体" w:hAnsi="宋体" w:cs="宋体" w:eastAsia="宋体" w:hint="default"/>
          <w:spacing w:val="-46"/>
        </w:rPr>
        <w:t> </w:t>
      </w:r>
      <w:r>
        <w:rPr/>
        <w:t>元。</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5）因金融资产转移而终止确认的应收账款" w:id="241"/>
      <w:bookmarkEnd w:id="241"/>
      <w:r>
        <w:rPr>
          <w:b w:val="0"/>
          <w:bCs w:val="0"/>
        </w:rPr>
      </w:r>
      <w:r>
        <w:rPr/>
        <w:t>（</w:t>
      </w:r>
      <w:r>
        <w:rPr>
          <w:rFonts w:ascii="宋体" w:hAnsi="宋体" w:cs="宋体" w:eastAsia="宋体" w:hint="default"/>
        </w:rPr>
        <w:t>5</w:t>
      </w:r>
      <w:r>
        <w:rPr/>
        <w:t>）因金融资产转移而终止确认的应收账款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6）转移应收账款且继续涉入形成的资产、负债金额" w:id="242"/>
      <w:bookmarkEnd w:id="242"/>
      <w:r>
        <w:rPr>
          <w:b w:val="0"/>
          <w:bCs w:val="0"/>
        </w:rPr>
      </w:r>
      <w:r>
        <w:rPr/>
        <w:t>（</w:t>
      </w:r>
      <w:r>
        <w:rPr>
          <w:rFonts w:ascii="宋体" w:hAnsi="宋体" w:cs="宋体" w:eastAsia="宋体" w:hint="default"/>
        </w:rPr>
        <w:t>6</w:t>
      </w:r>
      <w:r>
        <w:rPr/>
        <w:t>）转移应收账款且继续涉入形成的资产、负债金额</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预付款项" w:id="243"/>
      <w:bookmarkEnd w:id="243"/>
      <w:r>
        <w:rPr>
          <w:b w:val="0"/>
          <w:bCs w:val="0"/>
        </w:rPr>
      </w:r>
      <w:r>
        <w:rPr>
          <w:rFonts w:ascii="宋体" w:hAnsi="宋体" w:cs="宋体" w:eastAsia="宋体" w:hint="default"/>
        </w:rPr>
        <w:t>6</w:t>
      </w:r>
      <w:r>
        <w:rPr/>
        <w:t>、预付款项</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预付款项按账龄列示" w:id="244"/>
      <w:bookmarkEnd w:id="244"/>
      <w:r>
        <w:rPr>
          <w:b w:val="0"/>
          <w:bCs w:val="0"/>
        </w:rPr>
      </w:r>
      <w:r>
        <w:rPr/>
        <w:t>（</w:t>
      </w:r>
      <w:r>
        <w:rPr>
          <w:rFonts w:ascii="宋体" w:hAnsi="宋体" w:cs="宋体" w:eastAsia="宋体" w:hint="default"/>
        </w:rPr>
        <w:t>1</w:t>
      </w:r>
      <w:r>
        <w:rPr/>
        <w:t>）预付款项按账龄列示</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180,225,319.50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98.06%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45,244,723.04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96.02%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3,570,236.62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1,871,223.80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2,520.00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right="9"/>
              <w:jc w:val="right"/>
              <w:rPr>
                <w:rFonts w:ascii="宋体" w:hAnsi="宋体" w:cs="宋体" w:eastAsia="宋体" w:hint="default"/>
                <w:sz w:val="18"/>
                <w:szCs w:val="18"/>
              </w:rPr>
            </w:pPr>
            <w:r>
              <w:rPr>
                <w:rFonts w:ascii="宋体"/>
                <w:sz w:val="18"/>
              </w:rPr>
              <w:t>183,795,556.12</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47,118,466.84</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pStyle w:val="BodyText"/>
        <w:spacing w:line="240" w:lineRule="auto" w:before="51"/>
        <w:ind w:right="0"/>
        <w:jc w:val="left"/>
      </w:pPr>
      <w:r>
        <w:rPr/>
        <w:t>账龄超过</w:t>
      </w:r>
      <w:r>
        <w:rPr>
          <w:spacing w:val="-46"/>
        </w:rPr>
        <w:t> </w:t>
      </w:r>
      <w:r>
        <w:rPr>
          <w:rFonts w:ascii="宋体" w:hAnsi="宋体" w:cs="宋体" w:eastAsia="宋体" w:hint="default"/>
        </w:rPr>
        <w:t>1</w:t>
      </w:r>
      <w:r>
        <w:rPr>
          <w:rFonts w:ascii="宋体" w:hAnsi="宋体" w:cs="宋体" w:eastAsia="宋体" w:hint="default"/>
          <w:spacing w:val="-46"/>
        </w:rPr>
        <w:t> </w:t>
      </w:r>
      <w:r>
        <w:rPr/>
        <w:t>年且金额重要的预付款项未及时结算原因的说明：</w:t>
      </w:r>
    </w:p>
    <w:p>
      <w:pPr>
        <w:spacing w:after="0" w:line="240" w:lineRule="auto"/>
        <w:jc w:val="left"/>
        <w:sectPr>
          <w:pgSz w:w="11910" w:h="16840"/>
          <w:pgMar w:header="877" w:footer="1187" w:top="1100" w:bottom="138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2）按预付对象归集的期末余额前五名的预付款情况" w:id="245"/>
      <w:bookmarkEnd w:id="245"/>
      <w:r>
        <w:rPr>
          <w:b w:val="0"/>
          <w:bCs w:val="0"/>
        </w:rPr>
      </w:r>
      <w:r>
        <w:rPr/>
        <w:t>（</w:t>
      </w:r>
      <w:r>
        <w:rPr>
          <w:rFonts w:ascii="宋体" w:hAnsi="宋体" w:cs="宋体" w:eastAsia="宋体" w:hint="default"/>
        </w:rPr>
        <w:t>2</w:t>
      </w:r>
      <w:r>
        <w:rPr/>
        <w:t>）按预付对象归集的期末余额前五名的预付款情况</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ind w:right="1483" w:firstLine="360"/>
        <w:jc w:val="left"/>
      </w:pPr>
      <w:r>
        <w:rPr/>
        <w:t>本期按预付对象归集的期末余额前五名预付款项汇总金额</w:t>
      </w:r>
      <w:r>
        <w:rPr>
          <w:spacing w:val="-45"/>
        </w:rPr>
        <w:t> </w:t>
      </w:r>
      <w:r>
        <w:rPr>
          <w:rFonts w:ascii="宋体" w:hAnsi="宋体" w:cs="宋体" w:eastAsia="宋体" w:hint="default"/>
        </w:rPr>
        <w:t>139,571,222.94</w:t>
      </w:r>
      <w:r>
        <w:rPr>
          <w:rFonts w:ascii="宋体" w:hAnsi="宋体" w:cs="宋体" w:eastAsia="宋体" w:hint="default"/>
          <w:spacing w:val="-46"/>
        </w:rPr>
        <w:t> </w:t>
      </w:r>
      <w:r>
        <w:rPr/>
        <w:t>元，占预付款项期末余额合计数的比例 </w:t>
      </w:r>
      <w:r>
        <w:rPr>
          <w:rFonts w:ascii="宋体" w:hAnsi="宋体" w:cs="宋体" w:eastAsia="宋体" w:hint="default"/>
        </w:rPr>
        <w:t>75.94%</w:t>
      </w:r>
      <w:r>
        <w:rPr/>
        <w:t>。</w:t>
      </w:r>
    </w:p>
    <w:p>
      <w:pPr>
        <w:pStyle w:val="BodyText"/>
        <w:spacing w:line="240" w:lineRule="auto" w:before="57"/>
        <w:ind w:left="51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7、应收利息" w:id="246"/>
      <w:bookmarkEnd w:id="246"/>
      <w:r>
        <w:rPr>
          <w:b w:val="0"/>
          <w:bCs w:val="0"/>
        </w:rPr>
      </w:r>
      <w:r>
        <w:rPr>
          <w:rFonts w:ascii="宋体" w:hAnsi="宋体" w:cs="宋体" w:eastAsia="宋体" w:hint="default"/>
        </w:rPr>
        <w:t>7</w:t>
      </w:r>
      <w:r>
        <w:rPr/>
        <w:t>、应收利息</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53" w:right="0"/>
        <w:jc w:val="left"/>
        <w:rPr>
          <w:b w:val="0"/>
          <w:bCs w:val="0"/>
        </w:rPr>
      </w:pPr>
      <w:bookmarkStart w:name="（1）应收利息分类" w:id="247"/>
      <w:bookmarkEnd w:id="247"/>
      <w:r>
        <w:rPr>
          <w:b w:val="0"/>
          <w:bCs w:val="0"/>
        </w:rPr>
      </w:r>
      <w:r>
        <w:rPr/>
        <w:t>（</w:t>
      </w:r>
      <w:r>
        <w:rPr>
          <w:rFonts w:ascii="宋体" w:hAnsi="宋体" w:cs="宋体" w:eastAsia="宋体" w:hint="default"/>
        </w:rPr>
        <w:t>1</w:t>
      </w:r>
      <w:r>
        <w:rPr/>
        <w:t>）应收利息分类</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1"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34,821.92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256,737.48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256,737.48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34,821.92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逾期利息" w:id="248"/>
      <w:bookmarkEnd w:id="248"/>
      <w:r>
        <w:rPr>
          <w:b w:val="0"/>
          <w:bCs w:val="0"/>
        </w:rPr>
      </w:r>
      <w:r>
        <w:rPr/>
        <w:t>（</w:t>
      </w:r>
      <w:r>
        <w:rPr>
          <w:rFonts w:ascii="宋体" w:hAnsi="宋体" w:cs="宋体" w:eastAsia="宋体" w:hint="default"/>
        </w:rPr>
        <w:t>2</w:t>
      </w:r>
      <w:r>
        <w:rPr/>
        <w:t>）重要逾期利息</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8、应收股利" w:id="249"/>
      <w:bookmarkEnd w:id="249"/>
      <w:r>
        <w:rPr>
          <w:b w:val="0"/>
          <w:bCs w:val="0"/>
        </w:rPr>
      </w:r>
      <w:r>
        <w:rPr>
          <w:rFonts w:ascii="宋体" w:hAnsi="宋体" w:cs="宋体" w:eastAsia="宋体" w:hint="default"/>
        </w:rPr>
        <w:t>8</w:t>
      </w:r>
      <w:r>
        <w:rPr/>
        <w:t>、应收股利</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53" w:right="0"/>
        <w:jc w:val="left"/>
        <w:rPr>
          <w:b w:val="0"/>
          <w:bCs w:val="0"/>
        </w:rPr>
      </w:pPr>
      <w:bookmarkStart w:name="（1）应收股利" w:id="250"/>
      <w:bookmarkEnd w:id="250"/>
      <w:r>
        <w:rPr>
          <w:b w:val="0"/>
          <w:bCs w:val="0"/>
        </w:rPr>
      </w:r>
      <w:r>
        <w:rPr/>
        <w:t>（</w:t>
      </w:r>
      <w:r>
        <w:rPr>
          <w:rFonts w:ascii="宋体" w:hAnsi="宋体" w:cs="宋体" w:eastAsia="宋体" w:hint="default"/>
        </w:rPr>
        <w:t>1</w:t>
      </w:r>
      <w:r>
        <w:rPr/>
        <w:t>）应收股利</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或被投资单位</w:t>
            </w:r>
            <w:r>
              <w:rPr>
                <w:rFonts w:ascii="宋体" w:hAnsi="宋体" w:cs="宋体" w:eastAsia="宋体"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重要的账龄超过1年的应收股利" w:id="251"/>
      <w:bookmarkEnd w:id="251"/>
      <w:r>
        <w:rPr>
          <w:b w:val="0"/>
          <w:bCs w:val="0"/>
        </w:rPr>
      </w:r>
      <w:r>
        <w:rPr/>
        <w:t>（</w:t>
      </w:r>
      <w:r>
        <w:rPr>
          <w:rFonts w:ascii="宋体" w:hAnsi="宋体" w:cs="宋体" w:eastAsia="宋体" w:hint="default"/>
        </w:rPr>
        <w:t>2</w:t>
      </w:r>
      <w:r>
        <w:rPr/>
        <w:t>）重要的账龄超过</w:t>
      </w:r>
      <w:r>
        <w:rPr>
          <w:spacing w:val="-54"/>
        </w:rPr>
        <w:t> </w:t>
      </w:r>
      <w:r>
        <w:rPr>
          <w:rFonts w:ascii="宋体" w:hAnsi="宋体" w:cs="宋体" w:eastAsia="宋体" w:hint="default"/>
        </w:rPr>
        <w:t>1</w:t>
      </w:r>
      <w:r>
        <w:rPr>
          <w:rFonts w:ascii="宋体" w:hAnsi="宋体" w:cs="宋体" w:eastAsia="宋体" w:hint="default"/>
          <w:spacing w:val="-55"/>
        </w:rPr>
        <w:t> </w:t>
      </w:r>
      <w:r>
        <w:rPr/>
        <w:t>年的应收股利</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或被投资单位</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9、其他应收款" w:id="252"/>
      <w:bookmarkEnd w:id="252"/>
      <w:r>
        <w:rPr>
          <w:b w:val="0"/>
          <w:bCs w:val="0"/>
        </w:rPr>
      </w:r>
      <w:r>
        <w:rPr>
          <w:rFonts w:ascii="宋体" w:hAnsi="宋体" w:cs="宋体" w:eastAsia="宋体" w:hint="default"/>
        </w:rPr>
        <w:t>9</w:t>
      </w:r>
      <w:r>
        <w:rPr/>
        <w:t>、其他应收款</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left="153" w:right="0"/>
        <w:jc w:val="left"/>
        <w:rPr>
          <w:b w:val="0"/>
          <w:bCs w:val="0"/>
        </w:rPr>
      </w:pPr>
      <w:bookmarkStart w:name="（1）其他应收款分类披露" w:id="253"/>
      <w:bookmarkEnd w:id="253"/>
      <w:r>
        <w:rPr>
          <w:b w:val="0"/>
          <w:bCs w:val="0"/>
        </w:rPr>
      </w:r>
      <w:r>
        <w:rPr/>
        <w:t>（</w:t>
      </w:r>
      <w:r>
        <w:rPr>
          <w:rFonts w:ascii="宋体" w:hAnsi="宋体" w:cs="宋体" w:eastAsia="宋体" w:hint="default"/>
        </w:rPr>
        <w:t>1</w:t>
      </w:r>
      <w:r>
        <w:rPr/>
        <w:t>）其他应收款分类披露</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after="0" w:line="240" w:lineRule="auto"/>
        <w:jc w:val="right"/>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7" w:right="0"/>
              <w:jc w:val="left"/>
              <w:rPr>
                <w:rFonts w:ascii="宋体" w:hAnsi="宋体" w:cs="宋体" w:eastAsia="宋体" w:hint="default"/>
                <w:sz w:val="18"/>
                <w:szCs w:val="18"/>
              </w:rPr>
            </w:pPr>
            <w:r>
              <w:rPr>
                <w:rFonts w:ascii="宋体"/>
                <w:sz w:val="18"/>
              </w:rPr>
              <w:t>244,710</w:t>
            </w:r>
          </w:p>
          <w:p>
            <w:pPr>
              <w:pStyle w:val="TableParagraph"/>
              <w:spacing w:line="240" w:lineRule="auto" w:before="77"/>
              <w:ind w:left="87" w:right="0"/>
              <w:jc w:val="left"/>
              <w:rPr>
                <w:rFonts w:ascii="宋体" w:hAnsi="宋体" w:cs="宋体" w:eastAsia="宋体" w:hint="default"/>
                <w:sz w:val="18"/>
                <w:szCs w:val="18"/>
              </w:rPr>
            </w:pPr>
            <w:r>
              <w:rPr>
                <w:rFonts w:ascii="宋体"/>
                <w:sz w:val="18"/>
              </w:rPr>
              <w:t>,891.90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364,711</w:t>
            </w:r>
          </w:p>
          <w:p>
            <w:pPr>
              <w:pStyle w:val="TableParagraph"/>
              <w:spacing w:line="240" w:lineRule="auto" w:before="77"/>
              <w:ind w:left="458" w:right="0"/>
              <w:jc w:val="left"/>
              <w:rPr>
                <w:rFonts w:ascii="宋体" w:hAnsi="宋体" w:cs="宋体" w:eastAsia="宋体" w:hint="default"/>
                <w:sz w:val="18"/>
                <w:szCs w:val="18"/>
              </w:rPr>
            </w:pPr>
            <w:r>
              <w:rPr>
                <w:rFonts w:ascii="宋体"/>
                <w:sz w:val="18"/>
              </w:rPr>
              <w:t>.88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9" w:right="0"/>
              <w:jc w:val="left"/>
              <w:rPr>
                <w:rFonts w:ascii="宋体" w:hAnsi="宋体" w:cs="宋体" w:eastAsia="宋体" w:hint="default"/>
                <w:sz w:val="18"/>
                <w:szCs w:val="18"/>
              </w:rPr>
            </w:pPr>
            <w:r>
              <w:rPr>
                <w:rFonts w:ascii="宋体"/>
                <w:sz w:val="18"/>
              </w:rPr>
              <w:t>0.15%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244,346,</w:t>
            </w:r>
          </w:p>
          <w:p>
            <w:pPr>
              <w:pStyle w:val="TableParagraph"/>
              <w:spacing w:line="240" w:lineRule="auto" w:before="77"/>
              <w:ind w:left="194" w:right="0"/>
              <w:jc w:val="center"/>
              <w:rPr>
                <w:rFonts w:ascii="宋体" w:hAnsi="宋体" w:cs="宋体" w:eastAsia="宋体" w:hint="default"/>
                <w:sz w:val="18"/>
                <w:szCs w:val="18"/>
              </w:rPr>
            </w:pPr>
            <w:r>
              <w:rPr>
                <w:rFonts w:ascii="宋体"/>
                <w:sz w:val="18"/>
              </w:rPr>
              <w:t>180.02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188,45</w:t>
            </w:r>
          </w:p>
          <w:p>
            <w:pPr>
              <w:pStyle w:val="TableParagraph"/>
              <w:spacing w:line="240" w:lineRule="auto" w:before="76"/>
              <w:ind w:right="23"/>
              <w:jc w:val="right"/>
              <w:rPr>
                <w:rFonts w:ascii="宋体" w:hAnsi="宋体" w:cs="宋体" w:eastAsia="宋体" w:hint="default"/>
                <w:sz w:val="18"/>
                <w:szCs w:val="18"/>
              </w:rPr>
            </w:pPr>
            <w:r>
              <w:rPr>
                <w:rFonts w:ascii="宋体"/>
                <w:sz w:val="18"/>
              </w:rPr>
              <w:t>5,002.</w:t>
            </w:r>
          </w:p>
          <w:p>
            <w:pPr>
              <w:pStyle w:val="TableParagraph"/>
              <w:spacing w:line="240" w:lineRule="auto" w:before="77"/>
              <w:ind w:right="23"/>
              <w:jc w:val="right"/>
              <w:rPr>
                <w:rFonts w:ascii="宋体" w:hAnsi="宋体" w:cs="宋体" w:eastAsia="宋体" w:hint="default"/>
                <w:sz w:val="18"/>
                <w:szCs w:val="18"/>
              </w:rPr>
            </w:pPr>
            <w:r>
              <w:rPr>
                <w:rFonts w:ascii="宋体"/>
                <w:sz w:val="18"/>
              </w:rPr>
              <w:t>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166,750.</w:t>
            </w:r>
          </w:p>
          <w:p>
            <w:pPr>
              <w:pStyle w:val="TableParagraph"/>
              <w:spacing w:line="240" w:lineRule="auto" w:before="77"/>
              <w:ind w:right="20"/>
              <w:jc w:val="right"/>
              <w:rPr>
                <w:rFonts w:ascii="宋体" w:hAnsi="宋体" w:cs="宋体" w:eastAsia="宋体" w:hint="default"/>
                <w:sz w:val="18"/>
                <w:szCs w:val="18"/>
              </w:rPr>
            </w:pPr>
            <w:r>
              <w:rPr>
                <w:rFonts w:ascii="宋体"/>
                <w:sz w:val="18"/>
              </w:rPr>
              <w:t>43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49" w:right="0"/>
              <w:jc w:val="left"/>
              <w:rPr>
                <w:rFonts w:ascii="宋体" w:hAnsi="宋体" w:cs="宋体" w:eastAsia="宋体" w:hint="default"/>
                <w:sz w:val="18"/>
                <w:szCs w:val="18"/>
              </w:rPr>
            </w:pPr>
            <w:r>
              <w:rPr>
                <w:rFonts w:ascii="宋体"/>
                <w:sz w:val="18"/>
              </w:rPr>
              <w:t>0.09%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188,288,2</w:t>
            </w:r>
          </w:p>
          <w:p>
            <w:pPr>
              <w:pStyle w:val="TableParagraph"/>
              <w:spacing w:line="240" w:lineRule="auto" w:before="77"/>
              <w:ind w:left="448" w:right="0"/>
              <w:jc w:val="left"/>
              <w:rPr>
                <w:rFonts w:ascii="宋体" w:hAnsi="宋体" w:cs="宋体" w:eastAsia="宋体" w:hint="default"/>
                <w:sz w:val="18"/>
                <w:szCs w:val="18"/>
              </w:rPr>
            </w:pPr>
            <w:r>
              <w:rPr>
                <w:rFonts w:ascii="宋体"/>
                <w:sz w:val="18"/>
              </w:rPr>
              <w:t>52.08</w:t>
            </w:r>
          </w:p>
        </w:tc>
      </w:tr>
      <w:tr>
        <w:trPr>
          <w:trHeight w:val="317"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sz w:val="18"/>
              </w:rPr>
              <w:t>244,710</w:t>
            </w:r>
          </w:p>
          <w:p>
            <w:pPr>
              <w:pStyle w:val="TableParagraph"/>
              <w:spacing w:line="240" w:lineRule="auto" w:before="77"/>
              <w:ind w:left="93" w:right="0"/>
              <w:jc w:val="left"/>
              <w:rPr>
                <w:rFonts w:ascii="宋体" w:hAnsi="宋体" w:cs="宋体" w:eastAsia="宋体" w:hint="default"/>
                <w:sz w:val="18"/>
                <w:szCs w:val="18"/>
              </w:rPr>
            </w:pPr>
            <w:r>
              <w:rPr>
                <w:rFonts w:ascii="宋体"/>
                <w:sz w:val="18"/>
              </w:rPr>
              <w:t>,891.90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364,711</w:t>
            </w:r>
          </w:p>
          <w:p>
            <w:pPr>
              <w:pStyle w:val="TableParagraph"/>
              <w:spacing w:line="240" w:lineRule="auto" w:before="77"/>
              <w:ind w:left="458" w:right="0"/>
              <w:jc w:val="left"/>
              <w:rPr>
                <w:rFonts w:ascii="宋体" w:hAnsi="宋体" w:cs="宋体" w:eastAsia="宋体" w:hint="default"/>
                <w:sz w:val="18"/>
                <w:szCs w:val="18"/>
              </w:rPr>
            </w:pPr>
            <w:r>
              <w:rPr>
                <w:rFonts w:ascii="宋体"/>
                <w:sz w:val="18"/>
              </w:rPr>
              <w:t>.88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9" w:right="0"/>
              <w:jc w:val="left"/>
              <w:rPr>
                <w:rFonts w:ascii="宋体" w:hAnsi="宋体" w:cs="宋体" w:eastAsia="宋体" w:hint="default"/>
                <w:sz w:val="18"/>
                <w:szCs w:val="18"/>
              </w:rPr>
            </w:pPr>
            <w:r>
              <w:rPr>
                <w:rFonts w:ascii="宋体"/>
                <w:sz w:val="18"/>
              </w:rPr>
              <w:t>0.15%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244,346,</w:t>
            </w:r>
          </w:p>
          <w:p>
            <w:pPr>
              <w:pStyle w:val="TableParagraph"/>
              <w:spacing w:line="240" w:lineRule="auto" w:before="77"/>
              <w:ind w:left="194" w:right="0"/>
              <w:jc w:val="center"/>
              <w:rPr>
                <w:rFonts w:ascii="宋体" w:hAnsi="宋体" w:cs="宋体" w:eastAsia="宋体" w:hint="default"/>
                <w:sz w:val="18"/>
                <w:szCs w:val="18"/>
              </w:rPr>
            </w:pPr>
            <w:r>
              <w:rPr>
                <w:rFonts w:ascii="宋体"/>
                <w:sz w:val="18"/>
              </w:rPr>
              <w:t>180.02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188,45</w:t>
            </w:r>
          </w:p>
          <w:p>
            <w:pPr>
              <w:pStyle w:val="TableParagraph"/>
              <w:spacing w:line="240" w:lineRule="auto" w:before="76"/>
              <w:ind w:right="23"/>
              <w:jc w:val="right"/>
              <w:rPr>
                <w:rFonts w:ascii="宋体" w:hAnsi="宋体" w:cs="宋体" w:eastAsia="宋体" w:hint="default"/>
                <w:sz w:val="18"/>
                <w:szCs w:val="18"/>
              </w:rPr>
            </w:pPr>
            <w:r>
              <w:rPr>
                <w:rFonts w:ascii="宋体"/>
                <w:sz w:val="18"/>
              </w:rPr>
              <w:t>5,002.</w:t>
            </w:r>
          </w:p>
          <w:p>
            <w:pPr>
              <w:pStyle w:val="TableParagraph"/>
              <w:spacing w:line="240" w:lineRule="auto" w:before="77"/>
              <w:ind w:right="23"/>
              <w:jc w:val="right"/>
              <w:rPr>
                <w:rFonts w:ascii="宋体" w:hAnsi="宋体" w:cs="宋体" w:eastAsia="宋体" w:hint="default"/>
                <w:sz w:val="18"/>
                <w:szCs w:val="18"/>
              </w:rPr>
            </w:pPr>
            <w:r>
              <w:rPr>
                <w:rFonts w:ascii="宋体"/>
                <w:sz w:val="18"/>
              </w:rPr>
              <w:t>51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166,750.</w:t>
            </w:r>
          </w:p>
          <w:p>
            <w:pPr>
              <w:pStyle w:val="TableParagraph"/>
              <w:spacing w:line="240" w:lineRule="auto" w:before="77"/>
              <w:ind w:right="20"/>
              <w:jc w:val="right"/>
              <w:rPr>
                <w:rFonts w:ascii="宋体" w:hAnsi="宋体" w:cs="宋体" w:eastAsia="宋体" w:hint="default"/>
                <w:sz w:val="18"/>
                <w:szCs w:val="18"/>
              </w:rPr>
            </w:pPr>
            <w:r>
              <w:rPr>
                <w:rFonts w:ascii="宋体"/>
                <w:sz w:val="18"/>
              </w:rPr>
              <w:t>43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49" w:right="0"/>
              <w:jc w:val="left"/>
              <w:rPr>
                <w:rFonts w:ascii="宋体" w:hAnsi="宋体" w:cs="宋体" w:eastAsia="宋体" w:hint="default"/>
                <w:sz w:val="18"/>
                <w:szCs w:val="18"/>
              </w:rPr>
            </w:pPr>
            <w:r>
              <w:rPr>
                <w:rFonts w:ascii="宋体"/>
                <w:sz w:val="18"/>
              </w:rPr>
              <w:t>0.09%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188,288,2</w:t>
            </w:r>
          </w:p>
          <w:p>
            <w:pPr>
              <w:pStyle w:val="TableParagraph"/>
              <w:spacing w:line="240" w:lineRule="auto" w:before="77"/>
              <w:ind w:left="448" w:right="0"/>
              <w:jc w:val="left"/>
              <w:rPr>
                <w:rFonts w:ascii="宋体" w:hAnsi="宋体" w:cs="宋体" w:eastAsia="宋体" w:hint="default"/>
                <w:sz w:val="18"/>
                <w:szCs w:val="18"/>
              </w:rPr>
            </w:pPr>
            <w:r>
              <w:rPr>
                <w:rFonts w:ascii="宋体"/>
                <w:sz w:val="18"/>
              </w:rPr>
              <w:t>52.08</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980" w:right="0"/>
        </w:sectPr>
      </w:pPr>
    </w:p>
    <w:p>
      <w:pPr>
        <w:pStyle w:val="BodyText"/>
        <w:spacing w:line="240" w:lineRule="auto" w:before="51"/>
        <w:ind w:right="-20"/>
        <w:jc w:val="left"/>
      </w:pPr>
      <w:r>
        <w:rPr/>
        <w:t>期末单项金额重大并单项计提坏账准备的其他应收款：</w:t>
      </w:r>
    </w:p>
    <w:p>
      <w:pPr>
        <w:pStyle w:val="BodyText"/>
        <w:spacing w:line="357" w:lineRule="auto" w:before="117"/>
        <w:ind w:right="160"/>
        <w:jc w:val="left"/>
      </w:pPr>
      <w:r>
        <w:rPr/>
        <w:t>□ 适用 √ 不适用 组合中，按账龄分析法计提坏账准备的其他应收款：</w:t>
      </w:r>
    </w:p>
    <w:p>
      <w:pPr>
        <w:pStyle w:val="BodyText"/>
        <w:spacing w:line="240" w:lineRule="auto" w:before="29"/>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38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个月以内</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7,265,535.36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23" w:right="0"/>
              <w:jc w:val="left"/>
              <w:rPr>
                <w:rFonts w:ascii="宋体" w:hAnsi="宋体" w:cs="宋体" w:eastAsia="宋体" w:hint="default"/>
                <w:sz w:val="18"/>
                <w:szCs w:val="18"/>
              </w:rPr>
            </w:pPr>
            <w:r>
              <w:rPr>
                <w:rFonts w:ascii="宋体" w:hAnsi="宋体" w:cs="宋体" w:eastAsia="宋体" w:hint="default"/>
                <w:sz w:val="18"/>
                <w:szCs w:val="18"/>
              </w:rPr>
              <w:t>4-12</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348,633.57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17,431.67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7,614,168.93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17,431.67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0.23%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1,694,715.99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338,943.21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770.00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385.00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7,952.00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7,952.00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9,317,606.92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364,711.88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3.91%</w:t>
            </w:r>
          </w:p>
        </w:tc>
      </w:tr>
    </w:tbl>
    <w:p>
      <w:pPr>
        <w:pStyle w:val="BodyText"/>
        <w:spacing w:line="357" w:lineRule="auto" w:before="51"/>
        <w:ind w:right="6252"/>
        <w:jc w:val="left"/>
      </w:pPr>
      <w:r>
        <w:rPr/>
        <w:t>确定该组合依据的说明： 组合中，采用余额百分比法计提坏账准备的其他应收款：</w:t>
      </w:r>
    </w:p>
    <w:p>
      <w:pPr>
        <w:pStyle w:val="BodyText"/>
        <w:spacing w:line="357" w:lineRule="auto" w:before="29"/>
        <w:ind w:right="6612"/>
        <w:jc w:val="left"/>
      </w:pPr>
      <w:r>
        <w:rPr/>
        <w:t>□ 适用 √ 不适用 组合中，采用其他方法计提坏账准备的其他应收款：</w:t>
      </w:r>
    </w:p>
    <w:p>
      <w:pPr>
        <w:pStyle w:val="BodyText"/>
        <w:spacing w:line="240" w:lineRule="auto" w:before="28"/>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254"/>
      <w:bookmarkEnd w:id="254"/>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5"/>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type w:val="continuous"/>
          <w:pgSz w:w="11910" w:h="16840"/>
          <w:pgMar w:top="1060" w:bottom="1380" w:left="980" w:right="0"/>
        </w:sectPr>
      </w:pPr>
    </w:p>
    <w:p>
      <w:pPr>
        <w:pStyle w:val="BodyText"/>
        <w:spacing w:line="360" w:lineRule="auto" w:before="44"/>
        <w:ind w:left="153" w:right="-18"/>
        <w:jc w:val="left"/>
      </w:pPr>
      <w:r>
        <w:rPr/>
        <w:t>本期计提坏账准备金额</w:t>
      </w:r>
      <w:r>
        <w:rPr>
          <w:spacing w:val="-46"/>
        </w:rPr>
        <w:t> </w:t>
      </w:r>
      <w:r>
        <w:rPr>
          <w:rFonts w:ascii="宋体" w:hAnsi="宋体" w:cs="宋体" w:eastAsia="宋体" w:hint="default"/>
        </w:rPr>
        <w:t>197,961.45</w:t>
      </w:r>
      <w:r>
        <w:rPr>
          <w:rFonts w:ascii="宋体" w:hAnsi="宋体" w:cs="宋体" w:eastAsia="宋体" w:hint="default"/>
          <w:spacing w:val="-46"/>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380" w:left="980" w:right="0"/>
          <w:cols w:num="2" w:equalWidth="0">
            <w:col w:w="6004" w:space="2826"/>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3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3）本期实际核销的其他应收款情况" w:id="255"/>
      <w:bookmarkEnd w:id="255"/>
      <w:r>
        <w:rPr>
          <w:b w:val="0"/>
          <w:bCs w:val="0"/>
        </w:rPr>
      </w:r>
      <w:r>
        <w:rPr/>
        <w:t>（</w:t>
      </w:r>
      <w:r>
        <w:rPr>
          <w:rFonts w:ascii="宋体" w:hAnsi="宋体" w:cs="宋体" w:eastAsia="宋体" w:hint="default"/>
        </w:rPr>
        <w:t>3</w:t>
      </w:r>
      <w:r>
        <w:rPr/>
        <w:t>）本期实际核销的其他应收款情况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right="0"/>
        <w:jc w:val="left"/>
      </w:pPr>
      <w:r>
        <w:rPr/>
        <w:t>其中重要的其他应收款核销情况：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0"/>
        <w:jc w:val="left"/>
      </w:pPr>
      <w:r>
        <w:rPr/>
        <w:t>其他应收款核销说明：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其他应收款按款项性质分类情况" w:id="256"/>
      <w:bookmarkEnd w:id="256"/>
      <w:r>
        <w:rPr>
          <w:b w:val="0"/>
          <w:bCs w:val="0"/>
        </w:rPr>
      </w:r>
      <w:r>
        <w:rPr/>
        <w:t>（</w:t>
      </w:r>
      <w:r>
        <w:rPr>
          <w:rFonts w:ascii="宋体" w:hAnsi="宋体" w:cs="宋体" w:eastAsia="宋体" w:hint="default"/>
        </w:rPr>
        <w:t>4</w:t>
      </w:r>
      <w:r>
        <w:rPr/>
        <w:t>）其他应收款按款项性质分类情况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235,393,284.98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183,753,607.80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2,967,588.05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1,547,052.00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117,978.47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1,261,074.82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重组业绩补偿</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1,014,301.73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6,232,040.40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878,966.16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244,710,891.90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188,455,002.51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名的其他应收款情况" w:id="257"/>
      <w:bookmarkEnd w:id="257"/>
      <w:r>
        <w:rPr>
          <w:b w:val="0"/>
          <w:bCs w:val="0"/>
        </w:rPr>
      </w:r>
      <w:r>
        <w:rPr/>
        <w:t>（</w:t>
      </w:r>
      <w:r>
        <w:rPr>
          <w:rFonts w:ascii="宋体" w:hAnsi="宋体" w:cs="宋体" w:eastAsia="宋体" w:hint="default"/>
        </w:rPr>
        <w:t>5</w:t>
      </w:r>
      <w:r>
        <w:rPr/>
        <w:t>）按欠款方归集的期末余额前五名的其他应收款情况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87,715,064.08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35.84%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47,970,000.00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19.60%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29,477,364.42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12.05%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23,238,700.00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9.50%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宋体" w:hAnsi="宋体" w:cs="宋体" w:eastAsia="宋体" w:hint="default"/>
                <w:sz w:val="18"/>
                <w:szCs w:val="18"/>
              </w:rPr>
              <w:t>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8.17%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right="14"/>
              <w:jc w:val="right"/>
              <w:rPr>
                <w:rFonts w:ascii="宋体" w:hAnsi="宋体" w:cs="宋体" w:eastAsia="宋体" w:hint="default"/>
                <w:sz w:val="18"/>
                <w:szCs w:val="18"/>
              </w:rPr>
            </w:pPr>
            <w:r>
              <w:rPr>
                <w:rFonts w:ascii="宋体"/>
                <w:sz w:val="18"/>
              </w:rPr>
              <w:t>208,401,128.50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85.16%</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涉及政府补助的应收款项" w:id="258"/>
      <w:bookmarkEnd w:id="258"/>
      <w:r>
        <w:rPr>
          <w:b w:val="0"/>
          <w:bCs w:val="0"/>
        </w:rPr>
      </w:r>
      <w:r>
        <w:rPr/>
        <w:t>（</w:t>
      </w:r>
      <w:r>
        <w:rPr>
          <w:rFonts w:ascii="宋体" w:hAnsi="宋体" w:cs="宋体" w:eastAsia="宋体" w:hint="default"/>
        </w:rPr>
        <w:t>6</w:t>
      </w:r>
      <w:r>
        <w:rPr/>
        <w:t>）涉及政府补助的应收款项</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after="0" w:line="316" w:lineRule="auto"/>
        <w:jc w:val="left"/>
        <w:rPr>
          <w:rFonts w:ascii="宋体" w:hAnsi="宋体" w:cs="宋体" w:eastAsia="宋体" w:hint="default"/>
          <w:sz w:val="18"/>
          <w:szCs w:val="18"/>
        </w:rPr>
        <w:sectPr>
          <w:pgSz w:w="11910" w:h="16840"/>
          <w:pgMar w:header="877" w:footer="1187" w:top="1100" w:bottom="13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7）因金融资产转移而终止确认的其他应收款" w:id="259"/>
      <w:bookmarkEnd w:id="259"/>
      <w:r>
        <w:rPr>
          <w:b w:val="0"/>
          <w:bCs w:val="0"/>
        </w:rPr>
      </w:r>
      <w:r>
        <w:rPr/>
        <w:t>（</w:t>
      </w:r>
      <w:r>
        <w:rPr>
          <w:rFonts w:ascii="宋体" w:hAnsi="宋体" w:cs="宋体" w:eastAsia="宋体" w:hint="default"/>
        </w:rPr>
        <w:t>7</w:t>
      </w:r>
      <w:r>
        <w:rPr/>
        <w:t>）因金融资产转移而终止确认的其他应收款</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8）转移其他应收款且继续涉入形成的资产、负债金额" w:id="260"/>
      <w:bookmarkEnd w:id="260"/>
      <w:r>
        <w:rPr>
          <w:b w:val="0"/>
          <w:bCs w:val="0"/>
        </w:rPr>
      </w:r>
      <w:r>
        <w:rPr/>
        <w:t>（</w:t>
      </w:r>
      <w:r>
        <w:rPr>
          <w:rFonts w:ascii="宋体" w:hAnsi="宋体" w:cs="宋体" w:eastAsia="宋体" w:hint="default"/>
        </w:rPr>
        <w:t>8</w:t>
      </w:r>
      <w:r>
        <w:rPr/>
        <w:t>）转移其他应收款且继续涉入形成的资产、负债金额</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0、存货" w:id="261"/>
      <w:bookmarkEnd w:id="261"/>
      <w:r>
        <w:rPr>
          <w:b w:val="0"/>
          <w:bCs w:val="0"/>
        </w:rPr>
      </w:r>
      <w:r>
        <w:rPr>
          <w:rFonts w:ascii="宋体" w:hAnsi="宋体" w:cs="宋体" w:eastAsia="宋体" w:hint="default"/>
        </w:rPr>
        <w:t>10</w:t>
      </w:r>
      <w:r>
        <w:rPr/>
        <w:t>、存货</w:t>
      </w:r>
      <w:r>
        <w:rPr>
          <w:b w:val="0"/>
          <w:bCs w:val="0"/>
        </w:rPr>
      </w:r>
    </w:p>
    <w:p>
      <w:pPr>
        <w:spacing w:line="240" w:lineRule="auto" w:before="12"/>
        <w:rPr>
          <w:rFonts w:ascii="宋体" w:hAnsi="宋体" w:cs="宋体" w:eastAsia="宋体" w:hint="default"/>
          <w:b/>
          <w:bCs/>
          <w:sz w:val="27"/>
          <w:szCs w:val="27"/>
        </w:rPr>
      </w:pPr>
    </w:p>
    <w:p>
      <w:pPr>
        <w:pStyle w:val="BodyText"/>
        <w:spacing w:line="360" w:lineRule="auto"/>
        <w:ind w:right="7512"/>
        <w:jc w:val="left"/>
      </w:pPr>
      <w:r>
        <w:rPr/>
        <w:t>公司是否需要遵守房地产行业的披露要求 否</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1）存货分类" w:id="262"/>
      <w:bookmarkEnd w:id="262"/>
      <w:r>
        <w:rPr>
          <w:b w:val="0"/>
          <w:bCs w:val="0"/>
        </w:rPr>
      </w:r>
      <w:r>
        <w:rPr/>
        <w:t>（</w:t>
      </w:r>
      <w:r>
        <w:rPr>
          <w:rFonts w:ascii="宋体" w:hAnsi="宋体" w:cs="宋体" w:eastAsia="宋体" w:hint="default"/>
        </w:rPr>
        <w:t>1</w:t>
      </w:r>
      <w:r>
        <w:rPr/>
        <w:t>）存货分类</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51"/>
        <w:ind w:right="0"/>
        <w:jc w:val="left"/>
      </w:pPr>
      <w:r>
        <w:rPr/>
        <w:t>公司是否需遵守《深圳证券交易所行业信息披露指引第</w:t>
      </w:r>
      <w:r>
        <w:rPr>
          <w:spacing w:val="-45"/>
        </w:rPr>
        <w:t> </w:t>
      </w:r>
      <w:r>
        <w:rPr>
          <w:rFonts w:ascii="宋体" w:hAnsi="宋体" w:cs="宋体" w:eastAsia="宋体" w:hint="default"/>
        </w:rPr>
        <w:t>4</w:t>
      </w:r>
      <w:r>
        <w:rPr>
          <w:rFonts w:ascii="宋体" w:hAnsi="宋体" w:cs="宋体" w:eastAsia="宋体" w:hint="default"/>
          <w:spacing w:val="-46"/>
        </w:rPr>
        <w:t> </w:t>
      </w:r>
      <w:r>
        <w:rPr/>
        <w:t>号—上市公司从事种业、种植业务》的披露要求</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存货跌价准备" w:id="263"/>
      <w:bookmarkEnd w:id="263"/>
      <w:r>
        <w:rPr>
          <w:b w:val="0"/>
          <w:bCs w:val="0"/>
        </w:rPr>
      </w:r>
      <w:r>
        <w:rPr/>
        <w:t>（</w:t>
      </w:r>
      <w:r>
        <w:rPr>
          <w:rFonts w:ascii="宋体" w:hAnsi="宋体" w:cs="宋体" w:eastAsia="宋体" w:hint="default"/>
        </w:rPr>
        <w:t>2</w:t>
      </w:r>
      <w:r>
        <w:rPr/>
        <w:t>）存货跌价准备</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存货期末余额含有借款费用资本化金额的说明" w:id="264"/>
      <w:bookmarkEnd w:id="264"/>
      <w:r>
        <w:rPr>
          <w:b w:val="0"/>
          <w:bCs w:val="0"/>
        </w:rPr>
      </w:r>
      <w:r>
        <w:rPr/>
        <w:t>（</w:t>
      </w:r>
      <w:r>
        <w:rPr>
          <w:rFonts w:ascii="宋体" w:hAnsi="宋体" w:cs="宋体" w:eastAsia="宋体" w:hint="default"/>
        </w:rPr>
        <w:t>3</w:t>
      </w:r>
      <w:r>
        <w:rPr/>
        <w:t>）存货期末余额含有借款费用资本化金额的说明</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4）期末建造合同形成的已完工未结算资产情况" w:id="265"/>
      <w:bookmarkEnd w:id="265"/>
      <w:r>
        <w:rPr>
          <w:b w:val="0"/>
          <w:bCs w:val="0"/>
        </w:rPr>
      </w:r>
      <w:r>
        <w:rPr/>
        <w:t>（</w:t>
      </w:r>
      <w:r>
        <w:rPr>
          <w:rFonts w:ascii="宋体" w:hAnsi="宋体" w:cs="宋体" w:eastAsia="宋体" w:hint="default"/>
        </w:rPr>
        <w:t>4</w:t>
      </w:r>
      <w:r>
        <w:rPr/>
        <w:t>）期末建造合同形成的已完工未结算资产情况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11、持有待售的资产" w:id="266"/>
      <w:bookmarkEnd w:id="266"/>
      <w:r>
        <w:rPr>
          <w:b w:val="0"/>
          <w:bCs w:val="0"/>
        </w:rPr>
      </w:r>
      <w:r>
        <w:rPr>
          <w:rFonts w:ascii="宋体" w:hAnsi="宋体" w:cs="宋体" w:eastAsia="宋体" w:hint="default"/>
        </w:rPr>
        <w:t>11</w:t>
      </w:r>
      <w:r>
        <w:rPr/>
        <w:t>、持有待售的资产</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12、一年内到期的非流动资产" w:id="267"/>
      <w:bookmarkEnd w:id="267"/>
      <w:r>
        <w:rPr>
          <w:b w:val="0"/>
          <w:bCs w:val="0"/>
        </w:rPr>
      </w:r>
      <w:r>
        <w:rPr>
          <w:rFonts w:ascii="宋体" w:hAnsi="宋体" w:cs="宋体" w:eastAsia="宋体" w:hint="default"/>
        </w:rPr>
        <w:t>12</w:t>
      </w:r>
      <w:r>
        <w:rPr/>
        <w:t>、一年内到期的非流动资产</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after="0" w:line="240" w:lineRule="auto"/>
        <w:jc w:val="right"/>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一年内到期的发放贷款及垫款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61,705,940.60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61,705,940.60</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pStyle w:val="BodyText"/>
        <w:spacing w:line="240" w:lineRule="auto" w:before="117"/>
        <w:ind w:left="514" w:right="0"/>
        <w:jc w:val="left"/>
      </w:pPr>
      <w:r>
        <w:rPr/>
        <w:t>（</w:t>
      </w:r>
      <w:r>
        <w:rPr>
          <w:rFonts w:ascii="宋体" w:hAnsi="宋体" w:cs="宋体" w:eastAsia="宋体" w:hint="default"/>
        </w:rPr>
        <w:t>1</w:t>
      </w:r>
      <w:r>
        <w:rPr/>
        <w:t>）按个人和企业分布情况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194"/>
        <w:gridCol w:w="2044"/>
        <w:gridCol w:w="2044"/>
      </w:tblGrid>
      <w:tr>
        <w:trPr>
          <w:trHeight w:val="342" w:hRule="exact"/>
        </w:trPr>
        <w:tc>
          <w:tcPr>
            <w:tcW w:w="5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r>
        <w:trPr>
          <w:trHeight w:val="342" w:hRule="exact"/>
        </w:trPr>
        <w:tc>
          <w:tcPr>
            <w:tcW w:w="5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个人贷款及垫款</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57,954,510.03</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r>
      <w:tr>
        <w:trPr>
          <w:trHeight w:val="342" w:hRule="exact"/>
        </w:trPr>
        <w:tc>
          <w:tcPr>
            <w:tcW w:w="5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64" w:right="0"/>
              <w:jc w:val="left"/>
              <w:rPr>
                <w:rFonts w:ascii="宋体" w:hAnsi="宋体" w:cs="宋体" w:eastAsia="宋体" w:hint="default"/>
                <w:sz w:val="18"/>
                <w:szCs w:val="18"/>
              </w:rPr>
            </w:pPr>
            <w:r>
              <w:rPr>
                <w:rFonts w:ascii="宋体" w:hAnsi="宋体" w:cs="宋体" w:eastAsia="宋体" w:hint="default"/>
                <w:sz w:val="18"/>
                <w:szCs w:val="18"/>
              </w:rPr>
              <w:t>贷款</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57,954,510.03</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r>
      <w:tr>
        <w:trPr>
          <w:trHeight w:val="342" w:hRule="exact"/>
        </w:trPr>
        <w:tc>
          <w:tcPr>
            <w:tcW w:w="5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企业贷款及垫款</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4,691,114.94</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r>
      <w:tr>
        <w:trPr>
          <w:trHeight w:val="342" w:hRule="exact"/>
        </w:trPr>
        <w:tc>
          <w:tcPr>
            <w:tcW w:w="5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64" w:right="0"/>
              <w:jc w:val="left"/>
              <w:rPr>
                <w:rFonts w:ascii="宋体" w:hAnsi="宋体" w:cs="宋体" w:eastAsia="宋体" w:hint="default"/>
                <w:sz w:val="18"/>
                <w:szCs w:val="18"/>
              </w:rPr>
            </w:pPr>
            <w:r>
              <w:rPr>
                <w:rFonts w:ascii="宋体" w:hAnsi="宋体" w:cs="宋体" w:eastAsia="宋体" w:hint="default"/>
                <w:sz w:val="18"/>
                <w:szCs w:val="18"/>
              </w:rPr>
              <w:t>贷款</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4,691,114.94</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r>
      <w:tr>
        <w:trPr>
          <w:trHeight w:val="342" w:hRule="exact"/>
        </w:trPr>
        <w:tc>
          <w:tcPr>
            <w:tcW w:w="5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贷款及垫款总额</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62,645,624.97</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r>
      <w:tr>
        <w:trPr>
          <w:trHeight w:val="342" w:hRule="exact"/>
        </w:trPr>
        <w:tc>
          <w:tcPr>
            <w:tcW w:w="5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减：贷款减值准备</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939,684.37</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r>
      <w:tr>
        <w:trPr>
          <w:trHeight w:val="342" w:hRule="exact"/>
        </w:trPr>
        <w:tc>
          <w:tcPr>
            <w:tcW w:w="5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64" w:right="0"/>
              <w:jc w:val="left"/>
              <w:rPr>
                <w:rFonts w:ascii="宋体" w:hAnsi="宋体" w:cs="宋体" w:eastAsia="宋体" w:hint="default"/>
                <w:sz w:val="18"/>
                <w:szCs w:val="18"/>
              </w:rPr>
            </w:pPr>
            <w:r>
              <w:rPr>
                <w:rFonts w:ascii="宋体" w:hAnsi="宋体" w:cs="宋体" w:eastAsia="宋体" w:hint="default"/>
                <w:sz w:val="18"/>
                <w:szCs w:val="18"/>
              </w:rPr>
              <w:t>其中：单项计提数</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r>
      <w:tr>
        <w:trPr>
          <w:trHeight w:val="342" w:hRule="exact"/>
        </w:trPr>
        <w:tc>
          <w:tcPr>
            <w:tcW w:w="5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05" w:right="0"/>
              <w:jc w:val="left"/>
              <w:rPr>
                <w:rFonts w:ascii="宋体" w:hAnsi="宋体" w:cs="宋体" w:eastAsia="宋体" w:hint="default"/>
                <w:sz w:val="18"/>
                <w:szCs w:val="18"/>
              </w:rPr>
            </w:pPr>
            <w:r>
              <w:rPr>
                <w:rFonts w:ascii="宋体" w:hAnsi="宋体" w:cs="宋体" w:eastAsia="宋体" w:hint="default"/>
                <w:sz w:val="18"/>
                <w:szCs w:val="18"/>
              </w:rPr>
              <w:t>组合计提数</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939,684.37</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r>
      <w:tr>
        <w:trPr>
          <w:trHeight w:val="342" w:hRule="exact"/>
        </w:trPr>
        <w:tc>
          <w:tcPr>
            <w:tcW w:w="5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小</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b/>
                <w:w w:val="95"/>
                <w:sz w:val="18"/>
              </w:rPr>
              <w:t>61,705,940.60</w:t>
            </w:r>
            <w:r>
              <w:rPr>
                <w:rFonts w:ascii="宋体"/>
                <w:sz w:val="18"/>
              </w:rPr>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b/>
                <w:sz w:val="18"/>
              </w:rPr>
              <w:t>--</w:t>
            </w:r>
            <w:r>
              <w:rPr>
                <w:rFonts w:ascii="宋体"/>
                <w:sz w:val="18"/>
              </w:rPr>
            </w:r>
          </w:p>
        </w:tc>
      </w:tr>
      <w:tr>
        <w:trPr>
          <w:trHeight w:val="342" w:hRule="exact"/>
        </w:trPr>
        <w:tc>
          <w:tcPr>
            <w:tcW w:w="5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1</w:t>
            </w:r>
            <w:r>
              <w:rPr>
                <w:rFonts w:ascii="宋体" w:hAnsi="宋体" w:cs="宋体" w:eastAsia="宋体" w:hint="default"/>
                <w:sz w:val="18"/>
                <w:szCs w:val="18"/>
              </w:rPr>
              <w:t>年内到期的发放贷款及垫款</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61,705,940.60</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r>
      <w:tr>
        <w:trPr>
          <w:trHeight w:val="343" w:hRule="exact"/>
        </w:trPr>
        <w:tc>
          <w:tcPr>
            <w:tcW w:w="5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贷款及垫款账面价值</w:t>
            </w:r>
            <w:r>
              <w:rPr>
                <w:rFonts w:ascii="宋体" w:hAnsi="宋体" w:cs="宋体" w:eastAsia="宋体" w:hint="default"/>
                <w:sz w:val="18"/>
                <w:szCs w:val="18"/>
              </w:rPr>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b/>
                <w:sz w:val="18"/>
              </w:rPr>
              <w:t>--</w:t>
            </w:r>
            <w:r>
              <w:rPr>
                <w:rFonts w:ascii="宋体"/>
                <w:sz w:val="18"/>
              </w:rPr>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b/>
                <w:sz w:val="18"/>
              </w:rPr>
              <w:t>--</w:t>
            </w:r>
            <w:r>
              <w:rPr>
                <w:rFonts w:ascii="宋体"/>
                <w:sz w:val="18"/>
              </w:rPr>
            </w:r>
          </w:p>
        </w:tc>
      </w:tr>
    </w:tbl>
    <w:p>
      <w:pPr>
        <w:pStyle w:val="BodyText"/>
        <w:spacing w:line="240" w:lineRule="auto" w:before="51"/>
        <w:ind w:left="514" w:right="0"/>
        <w:jc w:val="left"/>
      </w:pPr>
      <w:r>
        <w:rPr/>
        <w:t>（</w:t>
      </w:r>
      <w:r>
        <w:rPr>
          <w:rFonts w:ascii="宋体" w:hAnsi="宋体" w:cs="宋体" w:eastAsia="宋体" w:hint="default"/>
        </w:rPr>
        <w:t>2</w:t>
      </w:r>
      <w:r>
        <w:rPr/>
        <w:t>）按行业分布情况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46"/>
        <w:gridCol w:w="1520"/>
        <w:gridCol w:w="1230"/>
        <w:gridCol w:w="1168"/>
        <w:gridCol w:w="958"/>
      </w:tblGrid>
      <w:tr>
        <w:trPr>
          <w:trHeight w:val="342" w:hRule="exact"/>
        </w:trPr>
        <w:tc>
          <w:tcPr>
            <w:tcW w:w="4246" w:type="dxa"/>
            <w:vMerge w:val="restart"/>
            <w:tcBorders>
              <w:top w:val="single" w:sz="4" w:space="0" w:color="000000"/>
              <w:left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行</w:t>
            </w:r>
            <w:r>
              <w:rPr>
                <w:rFonts w:ascii="宋体" w:hAnsi="宋体" w:cs="宋体" w:eastAsia="宋体" w:hint="default"/>
                <w:b/>
                <w:bCs/>
                <w:spacing w:val="90"/>
                <w:sz w:val="18"/>
                <w:szCs w:val="18"/>
              </w:rPr>
              <w:t> </w:t>
            </w:r>
            <w:r>
              <w:rPr>
                <w:rFonts w:ascii="宋体" w:hAnsi="宋体" w:cs="宋体" w:eastAsia="宋体" w:hint="default"/>
                <w:b/>
                <w:bCs/>
                <w:sz w:val="18"/>
                <w:szCs w:val="18"/>
              </w:rPr>
              <w:t>业</w:t>
            </w:r>
            <w:r>
              <w:rPr>
                <w:rFonts w:ascii="宋体" w:hAnsi="宋体" w:cs="宋体" w:eastAsia="宋体" w:hint="default"/>
                <w:sz w:val="18"/>
                <w:szCs w:val="18"/>
              </w:rPr>
            </w:r>
          </w:p>
        </w:tc>
        <w:tc>
          <w:tcPr>
            <w:tcW w:w="27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21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r>
        <w:trPr>
          <w:trHeight w:val="342" w:hRule="exact"/>
        </w:trPr>
        <w:tc>
          <w:tcPr>
            <w:tcW w:w="4246" w:type="dxa"/>
            <w:vMerge/>
            <w:tcBorders>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sz w:val="18"/>
                <w:szCs w:val="18"/>
              </w:rPr>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17"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57"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2" w:hRule="exact"/>
        </w:trPr>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租赁和商务服务业</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4,691,114.94</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72"/>
              <w:jc w:val="right"/>
              <w:rPr>
                <w:rFonts w:ascii="宋体" w:hAnsi="宋体" w:cs="宋体" w:eastAsia="宋体" w:hint="default"/>
                <w:sz w:val="18"/>
                <w:szCs w:val="18"/>
              </w:rPr>
            </w:pPr>
            <w:r>
              <w:rPr>
                <w:rFonts w:ascii="宋体"/>
                <w:sz w:val="18"/>
              </w:rPr>
              <w:t>7.49</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8"/>
                <w:szCs w:val="18"/>
              </w:rPr>
            </w:pPr>
            <w:r>
              <w:rPr>
                <w:rFonts w:ascii="宋体"/>
                <w:sz w:val="18"/>
              </w:rPr>
              <w:t>--</w:t>
            </w:r>
          </w:p>
        </w:tc>
      </w:tr>
      <w:tr>
        <w:trPr>
          <w:trHeight w:val="342" w:hRule="exact"/>
        </w:trPr>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个人贷款</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57,954,510.03</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72"/>
              <w:jc w:val="right"/>
              <w:rPr>
                <w:rFonts w:ascii="宋体" w:hAnsi="宋体" w:cs="宋体" w:eastAsia="宋体" w:hint="default"/>
                <w:sz w:val="18"/>
                <w:szCs w:val="18"/>
              </w:rPr>
            </w:pPr>
            <w:r>
              <w:rPr>
                <w:rFonts w:ascii="宋体"/>
                <w:sz w:val="18"/>
              </w:rPr>
              <w:t>92.51</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8"/>
                <w:szCs w:val="18"/>
              </w:rPr>
            </w:pPr>
            <w:r>
              <w:rPr>
                <w:rFonts w:ascii="宋体"/>
                <w:sz w:val="18"/>
              </w:rPr>
              <w:t>--</w:t>
            </w:r>
          </w:p>
        </w:tc>
      </w:tr>
      <w:tr>
        <w:trPr>
          <w:trHeight w:val="342" w:hRule="exact"/>
        </w:trPr>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贷款及垫款总额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62,645,624.97</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72"/>
              <w:jc w:val="right"/>
              <w:rPr>
                <w:rFonts w:ascii="宋体" w:hAnsi="宋体" w:cs="宋体" w:eastAsia="宋体" w:hint="default"/>
                <w:sz w:val="18"/>
                <w:szCs w:val="18"/>
              </w:rPr>
            </w:pPr>
            <w:r>
              <w:rPr>
                <w:rFonts w:ascii="宋体"/>
                <w:sz w:val="18"/>
              </w:rPr>
              <w:t>100.00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8"/>
                <w:szCs w:val="18"/>
              </w:rPr>
            </w:pPr>
            <w:r>
              <w:rPr>
                <w:rFonts w:ascii="宋体"/>
                <w:sz w:val="18"/>
              </w:rPr>
              <w:t>--</w:t>
            </w:r>
          </w:p>
        </w:tc>
      </w:tr>
      <w:tr>
        <w:trPr>
          <w:trHeight w:val="342" w:hRule="exact"/>
        </w:trPr>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减：贷款减值准备</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939,684.37</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72"/>
              <w:jc w:val="right"/>
              <w:rPr>
                <w:rFonts w:ascii="宋体" w:hAnsi="宋体" w:cs="宋体" w:eastAsia="宋体" w:hint="default"/>
                <w:sz w:val="18"/>
                <w:szCs w:val="18"/>
              </w:rPr>
            </w:pPr>
            <w:r>
              <w:rPr>
                <w:rFonts w:ascii="宋体"/>
                <w:sz w:val="18"/>
              </w:rPr>
              <w:t>1.50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8"/>
                <w:szCs w:val="18"/>
              </w:rPr>
            </w:pPr>
            <w:r>
              <w:rPr>
                <w:rFonts w:ascii="宋体"/>
                <w:sz w:val="18"/>
              </w:rPr>
              <w:t>--</w:t>
            </w:r>
          </w:p>
        </w:tc>
      </w:tr>
      <w:tr>
        <w:trPr>
          <w:trHeight w:val="343" w:hRule="exact"/>
        </w:trPr>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b/>
                <w:w w:val="95"/>
                <w:sz w:val="18"/>
              </w:rPr>
              <w:t>61,705,940.60</w:t>
            </w:r>
            <w:r>
              <w:rPr>
                <w:rFonts w:ascii="宋体"/>
                <w:sz w:val="18"/>
              </w:rPr>
            </w:r>
          </w:p>
        </w:tc>
        <w:tc>
          <w:tcPr>
            <w:tcW w:w="1230"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8"/>
              <w:jc w:val="right"/>
              <w:rPr>
                <w:rFonts w:ascii="宋体" w:hAnsi="宋体" w:cs="宋体" w:eastAsia="宋体" w:hint="default"/>
                <w:sz w:val="18"/>
                <w:szCs w:val="18"/>
              </w:rPr>
            </w:pPr>
            <w:r>
              <w:rPr>
                <w:rFonts w:ascii="宋体"/>
                <w:b/>
                <w:sz w:val="18"/>
              </w:rPr>
              <w:t>--</w:t>
            </w:r>
            <w:r>
              <w:rPr>
                <w:rFonts w:ascii="宋体"/>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8"/>
              <w:jc w:val="right"/>
              <w:rPr>
                <w:rFonts w:ascii="宋体" w:hAnsi="宋体" w:cs="宋体" w:eastAsia="宋体" w:hint="default"/>
                <w:sz w:val="18"/>
                <w:szCs w:val="18"/>
              </w:rPr>
            </w:pPr>
            <w:r>
              <w:rPr>
                <w:rFonts w:ascii="宋体"/>
                <w:b/>
                <w:sz w:val="18"/>
              </w:rPr>
              <w:t>--</w:t>
            </w:r>
            <w:r>
              <w:rPr>
                <w:rFonts w:ascii="宋体"/>
                <w:sz w:val="18"/>
              </w:rPr>
            </w:r>
          </w:p>
        </w:tc>
      </w:tr>
    </w:tbl>
    <w:p>
      <w:pPr>
        <w:pStyle w:val="BodyText"/>
        <w:spacing w:line="240" w:lineRule="auto" w:before="51"/>
        <w:ind w:left="514" w:right="0"/>
        <w:jc w:val="left"/>
      </w:pPr>
      <w:r>
        <w:rPr/>
        <w:t>（</w:t>
      </w:r>
      <w:r>
        <w:rPr>
          <w:rFonts w:ascii="宋体" w:hAnsi="宋体" w:cs="宋体" w:eastAsia="宋体" w:hint="default"/>
        </w:rPr>
        <w:t>3</w:t>
      </w:r>
      <w:r>
        <w:rPr/>
        <w:t>）按地区分布情况</w:t>
      </w:r>
    </w:p>
    <w:p>
      <w:pPr>
        <w:spacing w:line="240" w:lineRule="auto" w:before="13"/>
        <w:rPr>
          <w:rFonts w:ascii="宋体" w:hAnsi="宋体" w:cs="宋体" w:eastAsia="宋体" w:hint="default"/>
          <w:sz w:val="7"/>
          <w:szCs w:val="7"/>
        </w:rPr>
      </w:pPr>
    </w:p>
    <w:tbl>
      <w:tblPr>
        <w:tblW w:w="0" w:type="auto"/>
        <w:jc w:val="left"/>
        <w:tblInd w:w="139" w:type="dxa"/>
        <w:tblLayout w:type="fixed"/>
        <w:tblCellMar>
          <w:top w:w="0" w:type="dxa"/>
          <w:left w:w="0" w:type="dxa"/>
          <w:bottom w:w="0" w:type="dxa"/>
          <w:right w:w="0" w:type="dxa"/>
        </w:tblCellMar>
        <w:tblLook w:val="01E0"/>
      </w:tblPr>
      <w:tblGrid>
        <w:gridCol w:w="4262"/>
        <w:gridCol w:w="1859"/>
        <w:gridCol w:w="1074"/>
        <w:gridCol w:w="1120"/>
        <w:gridCol w:w="826"/>
      </w:tblGrid>
      <w:tr>
        <w:trPr>
          <w:trHeight w:val="353" w:hRule="exact"/>
        </w:trPr>
        <w:tc>
          <w:tcPr>
            <w:tcW w:w="4262" w:type="dxa"/>
            <w:tcBorders>
              <w:top w:val="single" w:sz="8" w:space="0" w:color="000000"/>
              <w:left w:val="nil" w:sz="6" w:space="0" w:color="auto"/>
              <w:bottom w:val="nil" w:sz="6" w:space="0" w:color="auto"/>
              <w:right w:val="nil" w:sz="6" w:space="0" w:color="auto"/>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b/>
                <w:bCs/>
                <w:sz w:val="18"/>
                <w:szCs w:val="18"/>
              </w:rPr>
              <w:t>地</w:t>
            </w:r>
            <w:r>
              <w:rPr>
                <w:rFonts w:ascii="宋体" w:hAnsi="宋体" w:cs="宋体" w:eastAsia="宋体" w:hint="default"/>
                <w:b/>
                <w:bCs/>
                <w:spacing w:val="90"/>
                <w:sz w:val="18"/>
                <w:szCs w:val="18"/>
              </w:rPr>
              <w:t> </w:t>
            </w:r>
            <w:r>
              <w:rPr>
                <w:rFonts w:ascii="宋体" w:hAnsi="宋体" w:cs="宋体" w:eastAsia="宋体" w:hint="default"/>
                <w:b/>
                <w:bCs/>
                <w:sz w:val="18"/>
                <w:szCs w:val="18"/>
              </w:rPr>
              <w:t>区</w:t>
            </w:r>
            <w:r>
              <w:rPr>
                <w:rFonts w:ascii="宋体" w:hAnsi="宋体" w:cs="宋体" w:eastAsia="宋体" w:hint="default"/>
                <w:sz w:val="18"/>
                <w:szCs w:val="18"/>
              </w:rPr>
            </w:r>
          </w:p>
        </w:tc>
        <w:tc>
          <w:tcPr>
            <w:tcW w:w="185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92" w:right="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074" w:type="dxa"/>
            <w:tcBorders>
              <w:top w:val="single" w:sz="8" w:space="0" w:color="000000"/>
              <w:left w:val="nil" w:sz="6" w:space="0" w:color="auto"/>
              <w:bottom w:val="single" w:sz="8" w:space="0" w:color="000000"/>
              <w:right w:val="nil" w:sz="6" w:space="0" w:color="auto"/>
            </w:tcBorders>
          </w:tcPr>
          <w:p>
            <w:pPr/>
          </w:p>
        </w:tc>
        <w:tc>
          <w:tcPr>
            <w:tcW w:w="112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597" w:right="-21"/>
              <w:jc w:val="lef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826" w:type="dxa"/>
            <w:tcBorders>
              <w:top w:val="single" w:sz="8" w:space="0" w:color="000000"/>
              <w:left w:val="nil" w:sz="6" w:space="0" w:color="auto"/>
              <w:bottom w:val="single" w:sz="8" w:space="0" w:color="000000"/>
              <w:right w:val="nil" w:sz="6" w:space="0" w:color="auto"/>
            </w:tcBorders>
          </w:tcPr>
          <w:p>
            <w:pPr/>
          </w:p>
        </w:tc>
      </w:tr>
      <w:tr>
        <w:trPr>
          <w:trHeight w:val="352" w:hRule="exact"/>
        </w:trPr>
        <w:tc>
          <w:tcPr>
            <w:tcW w:w="4262" w:type="dxa"/>
            <w:tcBorders>
              <w:top w:val="nil" w:sz="6" w:space="0" w:color="auto"/>
              <w:left w:val="nil" w:sz="6" w:space="0" w:color="auto"/>
              <w:bottom w:val="single" w:sz="8" w:space="0" w:color="000000"/>
              <w:right w:val="nil" w:sz="6" w:space="0" w:color="auto"/>
            </w:tcBorders>
          </w:tcPr>
          <w:p>
            <w:pPr/>
          </w:p>
        </w:tc>
        <w:tc>
          <w:tcPr>
            <w:tcW w:w="185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733"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074"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22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12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21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82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宋体" w:hAnsi="宋体" w:cs="宋体" w:eastAsia="宋体" w:hint="default"/>
                <w:b/>
                <w:bCs/>
                <w:w w:val="95"/>
                <w:sz w:val="18"/>
                <w:szCs w:val="18"/>
              </w:rPr>
              <w:t>(%)</w:t>
            </w:r>
            <w:r>
              <w:rPr>
                <w:rFonts w:ascii="宋体" w:hAnsi="宋体" w:cs="宋体" w:eastAsia="宋体" w:hint="default"/>
                <w:sz w:val="18"/>
                <w:szCs w:val="18"/>
              </w:rPr>
            </w:r>
          </w:p>
        </w:tc>
      </w:tr>
      <w:tr>
        <w:trPr>
          <w:trHeight w:val="352" w:hRule="exact"/>
        </w:trPr>
        <w:tc>
          <w:tcPr>
            <w:tcW w:w="4262"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华北及东北</w:t>
            </w:r>
          </w:p>
        </w:tc>
        <w:tc>
          <w:tcPr>
            <w:tcW w:w="185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285" w:right="0"/>
              <w:jc w:val="left"/>
              <w:rPr>
                <w:rFonts w:ascii="宋体" w:hAnsi="宋体" w:cs="宋体" w:eastAsia="宋体" w:hint="default"/>
                <w:sz w:val="18"/>
                <w:szCs w:val="18"/>
              </w:rPr>
            </w:pPr>
            <w:r>
              <w:rPr>
                <w:rFonts w:ascii="宋体"/>
                <w:sz w:val="18"/>
              </w:rPr>
              <w:t>62,645,624.97</w:t>
            </w:r>
          </w:p>
        </w:tc>
        <w:tc>
          <w:tcPr>
            <w:tcW w:w="1074"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236" w:right="0"/>
              <w:jc w:val="left"/>
              <w:rPr>
                <w:rFonts w:ascii="宋体" w:hAnsi="宋体" w:cs="宋体" w:eastAsia="宋体" w:hint="default"/>
                <w:sz w:val="18"/>
                <w:szCs w:val="18"/>
              </w:rPr>
            </w:pPr>
            <w:r>
              <w:rPr>
                <w:rFonts w:ascii="宋体"/>
                <w:sz w:val="18"/>
              </w:rPr>
              <w:t>100.00</w:t>
            </w:r>
          </w:p>
        </w:tc>
        <w:tc>
          <w:tcPr>
            <w:tcW w:w="112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179"/>
              <w:jc w:val="right"/>
              <w:rPr>
                <w:rFonts w:ascii="宋体" w:hAnsi="宋体" w:cs="宋体" w:eastAsia="宋体" w:hint="default"/>
                <w:sz w:val="18"/>
                <w:szCs w:val="18"/>
              </w:rPr>
            </w:pPr>
            <w:r>
              <w:rPr>
                <w:rFonts w:ascii="宋体"/>
                <w:sz w:val="18"/>
              </w:rPr>
              <w:t>--</w:t>
            </w:r>
          </w:p>
        </w:tc>
        <w:tc>
          <w:tcPr>
            <w:tcW w:w="82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9"/>
              <w:jc w:val="right"/>
              <w:rPr>
                <w:rFonts w:ascii="宋体" w:hAnsi="宋体" w:cs="宋体" w:eastAsia="宋体" w:hint="default"/>
                <w:sz w:val="18"/>
                <w:szCs w:val="18"/>
              </w:rPr>
            </w:pPr>
            <w:r>
              <w:rPr>
                <w:rFonts w:ascii="宋体"/>
                <w:sz w:val="18"/>
              </w:rPr>
              <w:t>--</w:t>
            </w:r>
          </w:p>
        </w:tc>
      </w:tr>
      <w:tr>
        <w:trPr>
          <w:trHeight w:val="350" w:hRule="exact"/>
        </w:trPr>
        <w:tc>
          <w:tcPr>
            <w:tcW w:w="4262" w:type="dxa"/>
            <w:tcBorders>
              <w:top w:val="single" w:sz="8" w:space="0" w:color="000000"/>
              <w:left w:val="nil" w:sz="6" w:space="0" w:color="auto"/>
              <w:bottom w:val="single" w:sz="6" w:space="0" w:color="000000"/>
              <w:right w:val="nil" w:sz="6" w:space="0" w:color="auto"/>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减：贷款减值准备</w:t>
            </w:r>
          </w:p>
        </w:tc>
        <w:tc>
          <w:tcPr>
            <w:tcW w:w="1859" w:type="dxa"/>
            <w:tcBorders>
              <w:top w:val="single" w:sz="8" w:space="0" w:color="000000"/>
              <w:left w:val="nil" w:sz="6" w:space="0" w:color="auto"/>
              <w:bottom w:val="single" w:sz="6" w:space="0" w:color="000000"/>
              <w:right w:val="nil" w:sz="6" w:space="0" w:color="auto"/>
            </w:tcBorders>
          </w:tcPr>
          <w:p>
            <w:pPr>
              <w:pStyle w:val="TableParagraph"/>
              <w:spacing w:line="240" w:lineRule="auto" w:before="21"/>
              <w:ind w:left="555" w:right="0"/>
              <w:jc w:val="left"/>
              <w:rPr>
                <w:rFonts w:ascii="宋体" w:hAnsi="宋体" w:cs="宋体" w:eastAsia="宋体" w:hint="default"/>
                <w:sz w:val="18"/>
                <w:szCs w:val="18"/>
              </w:rPr>
            </w:pPr>
            <w:r>
              <w:rPr>
                <w:rFonts w:ascii="宋体"/>
                <w:sz w:val="18"/>
              </w:rPr>
              <w:t>939,684.37</w:t>
            </w:r>
          </w:p>
        </w:tc>
        <w:tc>
          <w:tcPr>
            <w:tcW w:w="1074" w:type="dxa"/>
            <w:tcBorders>
              <w:top w:val="single" w:sz="8" w:space="0" w:color="000000"/>
              <w:left w:val="nil" w:sz="6" w:space="0" w:color="auto"/>
              <w:bottom w:val="single" w:sz="6" w:space="0" w:color="000000"/>
              <w:right w:val="nil" w:sz="6" w:space="0" w:color="auto"/>
            </w:tcBorders>
          </w:tcPr>
          <w:p>
            <w:pPr>
              <w:pStyle w:val="TableParagraph"/>
              <w:spacing w:line="240" w:lineRule="auto" w:before="21"/>
              <w:ind w:left="416" w:right="0"/>
              <w:jc w:val="left"/>
              <w:rPr>
                <w:rFonts w:ascii="宋体" w:hAnsi="宋体" w:cs="宋体" w:eastAsia="宋体" w:hint="default"/>
                <w:sz w:val="18"/>
                <w:szCs w:val="18"/>
              </w:rPr>
            </w:pPr>
            <w:r>
              <w:rPr>
                <w:rFonts w:ascii="宋体"/>
                <w:sz w:val="18"/>
              </w:rPr>
              <w:t>1.50</w:t>
            </w:r>
          </w:p>
        </w:tc>
        <w:tc>
          <w:tcPr>
            <w:tcW w:w="1120" w:type="dxa"/>
            <w:tcBorders>
              <w:top w:val="single" w:sz="8" w:space="0" w:color="000000"/>
              <w:left w:val="nil" w:sz="6" w:space="0" w:color="auto"/>
              <w:bottom w:val="single" w:sz="6" w:space="0" w:color="000000"/>
              <w:right w:val="nil" w:sz="6" w:space="0" w:color="auto"/>
            </w:tcBorders>
          </w:tcPr>
          <w:p>
            <w:pPr>
              <w:pStyle w:val="TableParagraph"/>
              <w:spacing w:line="240" w:lineRule="auto" w:before="21"/>
              <w:ind w:right="179"/>
              <w:jc w:val="right"/>
              <w:rPr>
                <w:rFonts w:ascii="宋体" w:hAnsi="宋体" w:cs="宋体" w:eastAsia="宋体" w:hint="default"/>
                <w:sz w:val="18"/>
                <w:szCs w:val="18"/>
              </w:rPr>
            </w:pPr>
            <w:r>
              <w:rPr>
                <w:rFonts w:ascii="宋体"/>
                <w:sz w:val="18"/>
              </w:rPr>
              <w:t>--</w:t>
            </w:r>
          </w:p>
        </w:tc>
        <w:tc>
          <w:tcPr>
            <w:tcW w:w="826" w:type="dxa"/>
            <w:tcBorders>
              <w:top w:val="single" w:sz="8" w:space="0" w:color="000000"/>
              <w:left w:val="nil" w:sz="6" w:space="0" w:color="auto"/>
              <w:bottom w:val="single" w:sz="6" w:space="0" w:color="000000"/>
              <w:right w:val="nil" w:sz="6" w:space="0" w:color="auto"/>
            </w:tcBorders>
          </w:tcPr>
          <w:p>
            <w:pPr>
              <w:pStyle w:val="TableParagraph"/>
              <w:spacing w:line="240" w:lineRule="auto" w:before="21"/>
              <w:ind w:right="89"/>
              <w:jc w:val="right"/>
              <w:rPr>
                <w:rFonts w:ascii="宋体" w:hAnsi="宋体" w:cs="宋体" w:eastAsia="宋体" w:hint="default"/>
                <w:sz w:val="18"/>
                <w:szCs w:val="18"/>
              </w:rPr>
            </w:pPr>
            <w:r>
              <w:rPr>
                <w:rFonts w:ascii="宋体"/>
                <w:sz w:val="18"/>
              </w:rPr>
              <w:t>--</w:t>
            </w:r>
          </w:p>
        </w:tc>
      </w:tr>
      <w:tr>
        <w:trPr>
          <w:trHeight w:val="347" w:hRule="exact"/>
        </w:trPr>
        <w:tc>
          <w:tcPr>
            <w:tcW w:w="4262"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859"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331" w:right="0"/>
              <w:jc w:val="left"/>
              <w:rPr>
                <w:rFonts w:ascii="宋体" w:hAnsi="宋体" w:cs="宋体" w:eastAsia="宋体" w:hint="default"/>
                <w:sz w:val="18"/>
                <w:szCs w:val="18"/>
              </w:rPr>
            </w:pPr>
            <w:r>
              <w:rPr>
                <w:rFonts w:ascii="宋体"/>
                <w:b/>
                <w:sz w:val="18"/>
              </w:rPr>
              <w:t>61,705,940.60</w:t>
            </w:r>
            <w:r>
              <w:rPr>
                <w:rFonts w:ascii="宋体"/>
                <w:sz w:val="18"/>
              </w:rPr>
            </w:r>
          </w:p>
        </w:tc>
        <w:tc>
          <w:tcPr>
            <w:tcW w:w="1074" w:type="dxa"/>
            <w:tcBorders>
              <w:top w:val="single" w:sz="6" w:space="0" w:color="000000"/>
              <w:left w:val="nil" w:sz="6" w:space="0" w:color="auto"/>
              <w:bottom w:val="single" w:sz="6" w:space="0" w:color="000000"/>
              <w:right w:val="nil" w:sz="6" w:space="0" w:color="auto"/>
            </w:tcBorders>
          </w:tcPr>
          <w:p>
            <w:pPr/>
          </w:p>
        </w:tc>
        <w:tc>
          <w:tcPr>
            <w:tcW w:w="1120"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186"/>
              <w:jc w:val="right"/>
              <w:rPr>
                <w:rFonts w:ascii="宋体" w:hAnsi="宋体" w:cs="宋体" w:eastAsia="宋体" w:hint="default"/>
                <w:sz w:val="18"/>
                <w:szCs w:val="18"/>
              </w:rPr>
            </w:pPr>
            <w:r>
              <w:rPr>
                <w:rFonts w:ascii="宋体"/>
                <w:b/>
                <w:sz w:val="18"/>
              </w:rPr>
              <w:t>--</w:t>
            </w:r>
            <w:r>
              <w:rPr>
                <w:rFonts w:ascii="宋体"/>
                <w:sz w:val="18"/>
              </w:rPr>
            </w:r>
          </w:p>
        </w:tc>
        <w:tc>
          <w:tcPr>
            <w:tcW w:w="826"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53"/>
              <w:jc w:val="right"/>
              <w:rPr>
                <w:rFonts w:ascii="宋体" w:hAnsi="宋体" w:cs="宋体" w:eastAsia="宋体" w:hint="default"/>
                <w:sz w:val="18"/>
                <w:szCs w:val="18"/>
              </w:rPr>
            </w:pPr>
            <w:r>
              <w:rPr>
                <w:rFonts w:ascii="宋体"/>
                <w:b/>
                <w:sz w:val="18"/>
              </w:rPr>
              <w:t>--</w:t>
            </w:r>
            <w:r>
              <w:rPr>
                <w:rFonts w:ascii="宋体"/>
                <w:sz w:val="18"/>
              </w:rPr>
            </w:r>
          </w:p>
        </w:tc>
      </w:tr>
    </w:tbl>
    <w:p>
      <w:pPr>
        <w:pStyle w:val="BodyText"/>
        <w:spacing w:line="240" w:lineRule="auto" w:before="51"/>
        <w:ind w:left="514" w:right="0"/>
        <w:jc w:val="left"/>
      </w:pPr>
      <w:r>
        <w:rPr/>
        <w:t>（</w:t>
      </w:r>
      <w:r>
        <w:rPr>
          <w:rFonts w:ascii="宋体" w:hAnsi="宋体" w:cs="宋体" w:eastAsia="宋体" w:hint="default"/>
        </w:rPr>
        <w:t>4</w:t>
      </w:r>
      <w:r>
        <w:rPr/>
        <w:t>）按担保方式分布情况</w:t>
      </w:r>
    </w:p>
    <w:p>
      <w:pPr>
        <w:spacing w:line="240" w:lineRule="auto" w:before="1"/>
        <w:rPr>
          <w:rFonts w:ascii="宋体" w:hAnsi="宋体" w:cs="宋体" w:eastAsia="宋体" w:hint="default"/>
          <w:sz w:val="8"/>
          <w:szCs w:val="8"/>
        </w:rPr>
      </w:pPr>
    </w:p>
    <w:tbl>
      <w:tblPr>
        <w:tblW w:w="0" w:type="auto"/>
        <w:jc w:val="left"/>
        <w:tblInd w:w="153" w:type="dxa"/>
        <w:tblLayout w:type="fixed"/>
        <w:tblCellMar>
          <w:top w:w="0" w:type="dxa"/>
          <w:left w:w="0" w:type="dxa"/>
          <w:bottom w:w="0" w:type="dxa"/>
          <w:right w:w="0" w:type="dxa"/>
        </w:tblCellMar>
        <w:tblLook w:val="01E0"/>
      </w:tblPr>
      <w:tblGrid>
        <w:gridCol w:w="3313"/>
        <w:gridCol w:w="4153"/>
        <w:gridCol w:w="1662"/>
      </w:tblGrid>
      <w:tr>
        <w:trPr>
          <w:trHeight w:val="347" w:hRule="exact"/>
        </w:trPr>
        <w:tc>
          <w:tcPr>
            <w:tcW w:w="3313"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4153"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1108"/>
              <w:jc w:val="righ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66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r>
        <w:trPr>
          <w:trHeight w:val="347" w:hRule="exact"/>
        </w:trPr>
        <w:tc>
          <w:tcPr>
            <w:tcW w:w="3313"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信用贷款</w:t>
            </w:r>
          </w:p>
        </w:tc>
        <w:tc>
          <w:tcPr>
            <w:tcW w:w="4153"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1108"/>
              <w:jc w:val="right"/>
              <w:rPr>
                <w:rFonts w:ascii="宋体" w:hAnsi="宋体" w:cs="宋体" w:eastAsia="宋体" w:hint="default"/>
                <w:sz w:val="18"/>
                <w:szCs w:val="18"/>
              </w:rPr>
            </w:pPr>
            <w:r>
              <w:rPr>
                <w:rFonts w:ascii="宋体"/>
                <w:sz w:val="18"/>
              </w:rPr>
              <w:t>62,645,624.97</w:t>
            </w:r>
          </w:p>
        </w:tc>
        <w:tc>
          <w:tcPr>
            <w:tcW w:w="166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w:t>
            </w:r>
          </w:p>
        </w:tc>
      </w:tr>
      <w:tr>
        <w:trPr>
          <w:trHeight w:val="347" w:hRule="exact"/>
        </w:trPr>
        <w:tc>
          <w:tcPr>
            <w:tcW w:w="3313"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减：贷款减值准备</w:t>
            </w:r>
          </w:p>
        </w:tc>
        <w:tc>
          <w:tcPr>
            <w:tcW w:w="4153"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1108"/>
              <w:jc w:val="right"/>
              <w:rPr>
                <w:rFonts w:ascii="宋体" w:hAnsi="宋体" w:cs="宋体" w:eastAsia="宋体" w:hint="default"/>
                <w:sz w:val="18"/>
                <w:szCs w:val="18"/>
              </w:rPr>
            </w:pPr>
            <w:r>
              <w:rPr>
                <w:rFonts w:ascii="宋体"/>
                <w:sz w:val="18"/>
              </w:rPr>
              <w:t>939,684.37</w:t>
            </w:r>
          </w:p>
        </w:tc>
        <w:tc>
          <w:tcPr>
            <w:tcW w:w="166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w:t>
            </w:r>
          </w:p>
        </w:tc>
      </w:tr>
      <w:tr>
        <w:trPr>
          <w:trHeight w:val="348" w:hRule="exact"/>
        </w:trPr>
        <w:tc>
          <w:tcPr>
            <w:tcW w:w="3313"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4153"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1109"/>
              <w:jc w:val="right"/>
              <w:rPr>
                <w:rFonts w:ascii="宋体" w:hAnsi="宋体" w:cs="宋体" w:eastAsia="宋体" w:hint="default"/>
                <w:sz w:val="18"/>
                <w:szCs w:val="18"/>
              </w:rPr>
            </w:pPr>
            <w:r>
              <w:rPr>
                <w:rFonts w:ascii="宋体"/>
                <w:b/>
                <w:w w:val="95"/>
                <w:sz w:val="18"/>
              </w:rPr>
              <w:t>61,705,940.60</w:t>
            </w:r>
            <w:r>
              <w:rPr>
                <w:rFonts w:ascii="宋体"/>
                <w:sz w:val="18"/>
              </w:rPr>
            </w:r>
          </w:p>
        </w:tc>
        <w:tc>
          <w:tcPr>
            <w:tcW w:w="166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b/>
                <w:sz w:val="18"/>
              </w:rPr>
              <w:t>--</w:t>
            </w:r>
            <w:r>
              <w:rPr>
                <w:rFonts w:ascii="宋体"/>
                <w:sz w:val="18"/>
              </w:rPr>
            </w:r>
          </w:p>
        </w:tc>
      </w:tr>
    </w:tbl>
    <w:p>
      <w:pPr>
        <w:pStyle w:val="BodyText"/>
        <w:spacing w:line="240" w:lineRule="auto" w:before="51"/>
        <w:ind w:left="514" w:right="0"/>
        <w:jc w:val="left"/>
      </w:pPr>
      <w:r>
        <w:rPr/>
        <w:t>（</w:t>
      </w:r>
      <w:r>
        <w:rPr>
          <w:rFonts w:ascii="宋体" w:hAnsi="宋体" w:cs="宋体" w:eastAsia="宋体" w:hint="default"/>
        </w:rPr>
        <w:t>5</w:t>
      </w:r>
      <w:r>
        <w:rPr/>
        <w:t>）贷款减值准备</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73"/>
        <w:gridCol w:w="1524"/>
        <w:gridCol w:w="1211"/>
        <w:gridCol w:w="1212"/>
        <w:gridCol w:w="1524"/>
        <w:gridCol w:w="1328"/>
        <w:gridCol w:w="809"/>
      </w:tblGrid>
      <w:tr>
        <w:trPr>
          <w:trHeight w:val="342" w:hRule="exact"/>
        </w:trPr>
        <w:tc>
          <w:tcPr>
            <w:tcW w:w="1673" w:type="dxa"/>
            <w:vMerge w:val="restart"/>
            <w:tcBorders>
              <w:top w:val="single" w:sz="4" w:space="0" w:color="000000"/>
              <w:left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9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6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42" w:hRule="exact"/>
        </w:trPr>
        <w:tc>
          <w:tcPr>
            <w:tcW w:w="1673" w:type="dxa"/>
            <w:vMerge/>
            <w:tcBorders>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3" w:right="0"/>
              <w:jc w:val="left"/>
              <w:rPr>
                <w:rFonts w:ascii="宋体" w:hAnsi="宋体" w:cs="宋体" w:eastAsia="宋体" w:hint="default"/>
                <w:sz w:val="18"/>
                <w:szCs w:val="18"/>
              </w:rPr>
            </w:pPr>
            <w:r>
              <w:rPr>
                <w:rFonts w:ascii="宋体" w:hAnsi="宋体" w:cs="宋体" w:eastAsia="宋体" w:hint="default"/>
                <w:b/>
                <w:bCs/>
                <w:sz w:val="18"/>
                <w:szCs w:val="18"/>
              </w:rPr>
              <w:t>单项计提减值准备</w:t>
            </w:r>
            <w:r>
              <w:rPr>
                <w:rFonts w:ascii="宋体" w:hAnsi="宋体" w:cs="宋体" w:eastAsia="宋体" w:hint="default"/>
                <w:sz w:val="18"/>
                <w:szCs w:val="18"/>
              </w:rPr>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3" w:right="0"/>
              <w:jc w:val="left"/>
              <w:rPr>
                <w:rFonts w:ascii="宋体" w:hAnsi="宋体" w:cs="宋体" w:eastAsia="宋体" w:hint="default"/>
                <w:sz w:val="18"/>
                <w:szCs w:val="18"/>
              </w:rPr>
            </w:pPr>
            <w:r>
              <w:rPr>
                <w:rFonts w:ascii="宋体" w:hAnsi="宋体" w:cs="宋体" w:eastAsia="宋体" w:hint="default"/>
                <w:b/>
                <w:bCs/>
                <w:sz w:val="18"/>
                <w:szCs w:val="18"/>
              </w:rPr>
              <w:t>组合计提</w:t>
            </w:r>
            <w:r>
              <w:rPr>
                <w:rFonts w:ascii="宋体" w:hAnsi="宋体" w:cs="宋体" w:eastAsia="宋体" w:hint="default"/>
                <w:sz w:val="18"/>
                <w:szCs w:val="18"/>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3" w:right="0"/>
              <w:jc w:val="left"/>
              <w:rPr>
                <w:rFonts w:ascii="宋体" w:hAnsi="宋体" w:cs="宋体" w:eastAsia="宋体" w:hint="default"/>
                <w:sz w:val="18"/>
                <w:szCs w:val="18"/>
              </w:rPr>
            </w:pPr>
            <w:r>
              <w:rPr>
                <w:rFonts w:ascii="宋体" w:hAnsi="宋体" w:cs="宋体" w:eastAsia="宋体" w:hint="default"/>
                <w:b/>
                <w:bCs/>
                <w:sz w:val="18"/>
                <w:szCs w:val="18"/>
              </w:rPr>
              <w:t>单项计提减值准备</w:t>
            </w:r>
            <w:r>
              <w:rPr>
                <w:rFonts w:ascii="宋体" w:hAnsi="宋体" w:cs="宋体" w:eastAsia="宋体" w:hint="default"/>
                <w:sz w:val="18"/>
                <w:szCs w:val="18"/>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91" w:right="0"/>
              <w:jc w:val="left"/>
              <w:rPr>
                <w:rFonts w:ascii="宋体" w:hAnsi="宋体" w:cs="宋体" w:eastAsia="宋体" w:hint="default"/>
                <w:sz w:val="18"/>
                <w:szCs w:val="18"/>
              </w:rPr>
            </w:pPr>
            <w:r>
              <w:rPr>
                <w:rFonts w:ascii="宋体" w:hAnsi="宋体" w:cs="宋体" w:eastAsia="宋体" w:hint="default"/>
                <w:b/>
                <w:bCs/>
                <w:sz w:val="18"/>
                <w:szCs w:val="18"/>
              </w:rPr>
              <w:t>组合计提</w:t>
            </w:r>
            <w:r>
              <w:rPr>
                <w:rFonts w:ascii="宋体" w:hAnsi="宋体" w:cs="宋体" w:eastAsia="宋体" w:hint="default"/>
                <w:sz w:val="18"/>
                <w:szCs w:val="18"/>
              </w:rPr>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3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73"/>
        <w:gridCol w:w="1524"/>
        <w:gridCol w:w="1211"/>
        <w:gridCol w:w="1212"/>
        <w:gridCol w:w="1524"/>
        <w:gridCol w:w="1328"/>
        <w:gridCol w:w="809"/>
      </w:tblGrid>
      <w:tr>
        <w:trPr>
          <w:trHeight w:val="342" w:hRule="exact"/>
        </w:trPr>
        <w:tc>
          <w:tcPr>
            <w:tcW w:w="167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hAnsi="宋体" w:cs="宋体" w:eastAsia="宋体" w:hint="default"/>
                <w:b/>
                <w:bCs/>
                <w:w w:val="95"/>
                <w:sz w:val="18"/>
                <w:szCs w:val="18"/>
              </w:rPr>
              <w:t>减值准备</w:t>
            </w:r>
            <w:r>
              <w:rPr>
                <w:rFonts w:ascii="宋体" w:hAnsi="宋体" w:cs="宋体" w:eastAsia="宋体" w:hint="default"/>
                <w:sz w:val="18"/>
                <w:szCs w:val="18"/>
              </w:rPr>
            </w:r>
          </w:p>
        </w:tc>
        <w:tc>
          <w:tcPr>
            <w:tcW w:w="1212"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hAnsi="宋体" w:cs="宋体" w:eastAsia="宋体" w:hint="default"/>
                <w:b/>
                <w:bCs/>
                <w:w w:val="95"/>
                <w:sz w:val="18"/>
                <w:szCs w:val="18"/>
              </w:rPr>
              <w:t>减值准备</w:t>
            </w:r>
            <w:r>
              <w:rPr>
                <w:rFonts w:ascii="宋体" w:hAnsi="宋体" w:cs="宋体" w:eastAsia="宋体" w:hint="default"/>
                <w:sz w:val="18"/>
                <w:szCs w:val="18"/>
              </w:rPr>
            </w:r>
          </w:p>
        </w:tc>
        <w:tc>
          <w:tcPr>
            <w:tcW w:w="80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r>
      <w:tr>
        <w:trPr>
          <w:trHeight w:val="342"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939,684.37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939,684.37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r>
      <w:tr>
        <w:trPr>
          <w:trHeight w:val="342"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本期收回</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r>
      <w:tr>
        <w:trPr>
          <w:trHeight w:val="342"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已减值贷款利息冲转</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r>
      <w:tr>
        <w:trPr>
          <w:trHeight w:val="342"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r>
      <w:tr>
        <w:trPr>
          <w:trHeight w:val="342"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本期转出</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r>
      <w:tr>
        <w:trPr>
          <w:trHeight w:val="342"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汇率差异</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r>
      <w:tr>
        <w:trPr>
          <w:trHeight w:val="342"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939,684.37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939,684.37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r>
    </w:tbl>
    <w:p>
      <w:pPr>
        <w:pStyle w:val="BodyText"/>
        <w:spacing w:line="240" w:lineRule="auto" w:before="51"/>
        <w:ind w:left="514" w:right="0"/>
        <w:jc w:val="left"/>
      </w:pPr>
      <w:r>
        <w:rPr/>
        <w:t>（</w:t>
      </w:r>
      <w:r>
        <w:rPr>
          <w:rFonts w:ascii="宋体" w:hAnsi="宋体" w:cs="宋体" w:eastAsia="宋体" w:hint="default"/>
        </w:rPr>
        <w:t>6</w:t>
      </w:r>
      <w:r>
        <w:rPr/>
        <w:t>）贷款拨备率和拨备覆盖率</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04"/>
        <w:gridCol w:w="3389"/>
        <w:gridCol w:w="3389"/>
      </w:tblGrid>
      <w:tr>
        <w:trPr>
          <w:trHeight w:val="342"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514"/>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hAnsi="宋体" w:cs="宋体" w:eastAsia="宋体" w:hint="default"/>
                <w:b/>
                <w:bCs/>
                <w:sz w:val="18"/>
                <w:szCs w:val="18"/>
              </w:rPr>
              <w:t>本期末</w:t>
            </w:r>
            <w:r>
              <w:rPr>
                <w:rFonts w:ascii="宋体" w:hAnsi="宋体" w:cs="宋体" w:eastAsia="宋体" w:hint="default"/>
                <w:b/>
                <w:bCs/>
                <w:spacing w:val="-2"/>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hAnsi="宋体" w:cs="宋体" w:eastAsia="宋体" w:hint="default"/>
                <w:b/>
                <w:bCs/>
                <w:w w:val="95"/>
                <w:sz w:val="18"/>
                <w:szCs w:val="18"/>
              </w:rPr>
              <w:t>上期末</w:t>
            </w:r>
            <w:r>
              <w:rPr>
                <w:rFonts w:ascii="宋体" w:hAnsi="宋体" w:cs="宋体" w:eastAsia="宋体" w:hint="default"/>
                <w:b/>
                <w:bCs/>
                <w:w w:val="95"/>
                <w:sz w:val="18"/>
                <w:szCs w:val="18"/>
              </w:rPr>
              <w:t>(%)</w:t>
            </w:r>
            <w:r>
              <w:rPr>
                <w:rFonts w:ascii="宋体" w:hAnsi="宋体" w:cs="宋体" w:eastAsia="宋体" w:hint="default"/>
                <w:sz w:val="18"/>
                <w:szCs w:val="18"/>
              </w:rPr>
            </w:r>
          </w:p>
        </w:tc>
      </w:tr>
      <w:tr>
        <w:trPr>
          <w:trHeight w:val="342"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582"/>
              <w:jc w:val="center"/>
              <w:rPr>
                <w:rFonts w:ascii="宋体" w:hAnsi="宋体" w:cs="宋体" w:eastAsia="宋体" w:hint="default"/>
                <w:sz w:val="18"/>
                <w:szCs w:val="18"/>
              </w:rPr>
            </w:pPr>
            <w:r>
              <w:rPr>
                <w:rFonts w:ascii="宋体" w:hAnsi="宋体" w:cs="宋体" w:eastAsia="宋体" w:hint="default"/>
                <w:sz w:val="18"/>
                <w:szCs w:val="18"/>
              </w:rPr>
              <w:t>贷款拨备率</w:t>
            </w:r>
          </w:p>
        </w:tc>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1.50</w:t>
            </w:r>
          </w:p>
        </w:tc>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r>
      <w:tr>
        <w:trPr>
          <w:trHeight w:val="342"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582"/>
              <w:jc w:val="center"/>
              <w:rPr>
                <w:rFonts w:ascii="宋体" w:hAnsi="宋体" w:cs="宋体" w:eastAsia="宋体" w:hint="default"/>
                <w:sz w:val="18"/>
                <w:szCs w:val="18"/>
              </w:rPr>
            </w:pPr>
            <w:r>
              <w:rPr>
                <w:rFonts w:ascii="宋体" w:hAnsi="宋体" w:cs="宋体" w:eastAsia="宋体" w:hint="default"/>
                <w:sz w:val="18"/>
                <w:szCs w:val="18"/>
              </w:rPr>
              <w:t>拨备覆盖率</w:t>
            </w:r>
          </w:p>
        </w:tc>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r>
    </w:tbl>
    <w:p>
      <w:pPr>
        <w:pStyle w:val="BodyText"/>
        <w:spacing w:line="319" w:lineRule="auto" w:before="51"/>
        <w:ind w:left="153" w:right="0" w:firstLine="360"/>
        <w:jc w:val="left"/>
      </w:pPr>
      <w:r>
        <w:rPr>
          <w:spacing w:val="-2"/>
        </w:rPr>
        <w:t>说明：贷款拨备率为广州市智度互联网小额贷款有限公司（以下简称“智度小贷公司”）的贷款损失准备与各项贷款余</w:t>
      </w:r>
      <w:r>
        <w:rPr/>
        <w:t> 额之比，拨备覆盖率为贷款损失准备与不良贷款余额之比。</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13、其他流动资产" w:id="268"/>
      <w:bookmarkEnd w:id="268"/>
      <w:r>
        <w:rPr>
          <w:b w:val="0"/>
          <w:bCs w:val="0"/>
        </w:rPr>
      </w:r>
      <w:r>
        <w:rPr>
          <w:rFonts w:ascii="宋体" w:hAnsi="宋体" w:cs="宋体" w:eastAsia="宋体" w:hint="default"/>
        </w:rPr>
        <w:t>13</w:t>
      </w:r>
      <w:r>
        <w:rPr/>
        <w:t>、其他流动资产</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1,780,000,000.00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待摊流量采购支出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195,224,453.15</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2,398,877.88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2,576,156.57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2,631,480.72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1,147,961.81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910,079.36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1,092,391.99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待消耗虚拟币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684,050.40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9,014,207.70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455,588.70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14,498.88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1,382,304,530.21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1,793,845,216.95</w:t>
            </w:r>
          </w:p>
        </w:tc>
      </w:tr>
    </w:tbl>
    <w:p>
      <w:pPr>
        <w:pStyle w:val="BodyText"/>
        <w:spacing w:line="240" w:lineRule="auto" w:before="51"/>
        <w:ind w:right="0"/>
        <w:jc w:val="left"/>
      </w:pPr>
      <w:r>
        <w:rPr/>
        <w:t>其他说明：</w:t>
      </w:r>
    </w:p>
    <w:p>
      <w:pPr>
        <w:pStyle w:val="BodyText"/>
        <w:spacing w:line="240" w:lineRule="auto" w:before="117"/>
        <w:ind w:left="514" w:right="0"/>
        <w:jc w:val="left"/>
      </w:pPr>
      <w:r>
        <w:rPr/>
        <w:t>（</w:t>
      </w:r>
      <w:r>
        <w:rPr>
          <w:rFonts w:ascii="宋体" w:hAnsi="宋体" w:cs="宋体" w:eastAsia="宋体" w:hint="default"/>
        </w:rPr>
        <w:t>1</w:t>
      </w:r>
      <w:r>
        <w:rPr/>
        <w:t>）银行理财产品系本公司自第三方商业银行购买的理财产品，金额</w:t>
      </w:r>
      <w:r>
        <w:rPr>
          <w:spacing w:val="-46"/>
        </w:rPr>
        <w:t> </w:t>
      </w:r>
      <w:r>
        <w:rPr>
          <w:rFonts w:ascii="宋体" w:hAnsi="宋体" w:cs="宋体" w:eastAsia="宋体" w:hint="default"/>
        </w:rPr>
        <w:t>11.80</w:t>
      </w:r>
      <w:r>
        <w:rPr>
          <w:rFonts w:ascii="宋体" w:hAnsi="宋体" w:cs="宋体" w:eastAsia="宋体" w:hint="default"/>
          <w:spacing w:val="-46"/>
        </w:rPr>
        <w:t> </w:t>
      </w:r>
      <w:r>
        <w:rPr/>
        <w:t>亿元。</w:t>
      </w:r>
    </w:p>
    <w:p>
      <w:pPr>
        <w:pStyle w:val="BodyText"/>
        <w:spacing w:line="319" w:lineRule="auto" w:before="115"/>
        <w:ind w:left="153" w:right="1123" w:firstLine="360"/>
        <w:jc w:val="left"/>
      </w:pPr>
      <w:r>
        <w:rPr/>
        <w:t>（</w:t>
      </w:r>
      <w:r>
        <w:rPr>
          <w:rFonts w:ascii="宋体" w:hAnsi="宋体" w:cs="宋体" w:eastAsia="宋体" w:hint="default"/>
        </w:rPr>
        <w:t>2</w:t>
      </w:r>
      <w:r>
        <w:rPr/>
        <w:t>）待摊流量采购支出系为获取互联网流量而预先向外部渠道或推广商支付的款项，该款项于预计受益期内根据受益 情况分期摊销计入营业成本。</w:t>
      </w:r>
    </w:p>
    <w:p>
      <w:pPr>
        <w:pStyle w:val="BodyText"/>
        <w:spacing w:line="240" w:lineRule="auto" w:before="58"/>
        <w:ind w:left="513" w:right="0"/>
        <w:jc w:val="left"/>
      </w:pPr>
      <w:r>
        <w:rPr/>
        <w:t>（</w:t>
      </w:r>
      <w:r>
        <w:rPr>
          <w:rFonts w:ascii="宋体" w:hAnsi="宋体" w:cs="宋体" w:eastAsia="宋体" w:hint="default"/>
        </w:rPr>
        <w:t>3</w:t>
      </w:r>
      <w:r>
        <w:rPr/>
        <w:t>）待消耗虚拟币系开展广告代理业务取得的北京腾讯文化传媒有限公司的虚拟币。</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14、可供出售金融资产" w:id="269"/>
      <w:bookmarkEnd w:id="269"/>
      <w:r>
        <w:rPr>
          <w:b w:val="0"/>
          <w:bCs w:val="0"/>
        </w:rPr>
      </w:r>
      <w:r>
        <w:rPr>
          <w:rFonts w:ascii="宋体" w:hAnsi="宋体" w:cs="宋体" w:eastAsia="宋体" w:hint="default"/>
        </w:rPr>
        <w:t>14</w:t>
      </w:r>
      <w:r>
        <w:rPr/>
        <w:t>、可供出售金融资产</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left="153" w:right="0"/>
        <w:jc w:val="left"/>
        <w:rPr>
          <w:b w:val="0"/>
          <w:bCs w:val="0"/>
        </w:rPr>
      </w:pPr>
      <w:bookmarkStart w:name="（1）可供出售金融资产情况" w:id="270"/>
      <w:bookmarkEnd w:id="270"/>
      <w:r>
        <w:rPr>
          <w:b w:val="0"/>
          <w:bCs w:val="0"/>
        </w:rPr>
      </w:r>
      <w:r>
        <w:rPr/>
        <w:t>（</w:t>
      </w:r>
      <w:r>
        <w:rPr>
          <w:rFonts w:ascii="宋体" w:hAnsi="宋体" w:cs="宋体" w:eastAsia="宋体" w:hint="default"/>
        </w:rPr>
        <w:t>1</w:t>
      </w:r>
      <w:r>
        <w:rPr/>
        <w:t>）可供出售金融资产情况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130"/>
        <w:jc w:val="right"/>
      </w:pPr>
      <w:r>
        <w:rPr/>
        <w:t>单位： 元</w:t>
      </w:r>
    </w:p>
    <w:p>
      <w:pPr>
        <w:spacing w:after="0" w:line="240" w:lineRule="auto"/>
        <w:jc w:val="right"/>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9" w:space="0" w:color="D2D2D2"/>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53,000,000.0</w:t>
            </w:r>
          </w:p>
          <w:p>
            <w:pPr>
              <w:pStyle w:val="TableParagraph"/>
              <w:spacing w:line="240" w:lineRule="auto" w:before="78"/>
              <w:ind w:right="23"/>
              <w:jc w:val="right"/>
              <w:rPr>
                <w:rFonts w:ascii="宋体" w:hAnsi="宋体" w:cs="宋体" w:eastAsia="宋体" w:hint="default"/>
                <w:sz w:val="18"/>
                <w:szCs w:val="18"/>
              </w:rPr>
            </w:pPr>
            <w:r>
              <w:rPr>
                <w:rFonts w:ascii="宋体"/>
                <w:sz w:val="18"/>
              </w:rPr>
              <w:t>0</w:t>
            </w:r>
          </w:p>
        </w:tc>
        <w:tc>
          <w:tcPr>
            <w:tcW w:w="1196"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53,000,000.0</w:t>
            </w:r>
          </w:p>
          <w:p>
            <w:pPr>
              <w:pStyle w:val="TableParagraph"/>
              <w:spacing w:line="240" w:lineRule="auto" w:before="78"/>
              <w:ind w:right="23"/>
              <w:jc w:val="right"/>
              <w:rPr>
                <w:rFonts w:ascii="宋体" w:hAnsi="宋体" w:cs="宋体" w:eastAsia="宋体" w:hint="default"/>
                <w:sz w:val="18"/>
                <w:szCs w:val="18"/>
              </w:rPr>
            </w:pPr>
            <w:r>
              <w:rPr>
                <w:rFonts w:ascii="宋体"/>
                <w:sz w:val="18"/>
              </w:rPr>
              <w:t>0</w:t>
            </w:r>
          </w:p>
        </w:tc>
        <w:tc>
          <w:tcPr>
            <w:tcW w:w="1248"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r>
      <w:tr>
        <w:trPr>
          <w:trHeight w:val="392" w:hRule="exact"/>
        </w:trPr>
        <w:tc>
          <w:tcPr>
            <w:tcW w:w="19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161"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9" w:space="0" w:color="D2D2D2"/>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53,000,000.0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1196"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53,000,000.0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1248"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r>
      <w:tr>
        <w:trPr>
          <w:trHeight w:val="392" w:hRule="exact"/>
        </w:trPr>
        <w:tc>
          <w:tcPr>
            <w:tcW w:w="19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161"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9" w:space="0" w:color="D2D2D2"/>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53,000,000.0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1196"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53,000,000.0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1248"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r>
      <w:tr>
        <w:trPr>
          <w:trHeight w:val="392" w:hRule="exact"/>
        </w:trPr>
        <w:tc>
          <w:tcPr>
            <w:tcW w:w="19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按公允价值计量的可供出售金融资产" w:id="271"/>
      <w:bookmarkEnd w:id="271"/>
      <w:r>
        <w:rPr>
          <w:b w:val="0"/>
          <w:bCs w:val="0"/>
        </w:rPr>
      </w:r>
      <w:r>
        <w:rPr/>
        <w:t>（</w:t>
      </w:r>
      <w:r>
        <w:rPr>
          <w:rFonts w:ascii="宋体" w:hAnsi="宋体" w:cs="宋体" w:eastAsia="宋体" w:hint="default"/>
        </w:rPr>
        <w:t>2</w:t>
      </w:r>
      <w:r>
        <w:rPr/>
        <w:t>）期末按公允价值计量的可供出售金融资产</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期末按成本计量的可供出售金融资产" w:id="272"/>
      <w:bookmarkEnd w:id="272"/>
      <w:r>
        <w:rPr>
          <w:b w:val="0"/>
          <w:bCs w:val="0"/>
        </w:rPr>
      </w:r>
      <w:r>
        <w:rPr/>
        <w:t>（</w:t>
      </w:r>
      <w:r>
        <w:rPr>
          <w:rFonts w:ascii="宋体" w:hAnsi="宋体" w:cs="宋体" w:eastAsia="宋体" w:hint="default"/>
        </w:rPr>
        <w:t>3</w:t>
      </w:r>
      <w:r>
        <w:rPr/>
        <w:t>）期末按成本计量的可供出售金融资产</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08"/>
              <w:jc w:val="left"/>
              <w:rPr>
                <w:rFonts w:ascii="宋体" w:hAnsi="宋体" w:cs="宋体" w:eastAsia="宋体" w:hint="default"/>
                <w:sz w:val="18"/>
                <w:szCs w:val="18"/>
              </w:rPr>
            </w:pPr>
            <w:r>
              <w:rPr>
                <w:rFonts w:ascii="宋体" w:hAnsi="宋体" w:cs="宋体" w:eastAsia="宋体" w:hint="default"/>
                <w:sz w:val="18"/>
                <w:szCs w:val="18"/>
              </w:rPr>
              <w:t>被投资单 位</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sz w:val="18"/>
              </w:rPr>
              <w:t>2,000,000</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sz w:val="18"/>
              </w:rPr>
              <w:t>2,000,000</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386" w:right="0"/>
              <w:jc w:val="left"/>
              <w:rPr>
                <w:rFonts w:ascii="宋体" w:hAnsi="宋体" w:cs="宋体" w:eastAsia="宋体" w:hint="default"/>
                <w:sz w:val="18"/>
                <w:szCs w:val="18"/>
              </w:rPr>
            </w:pPr>
            <w:r>
              <w:rPr>
                <w:rFonts w:ascii="宋体"/>
                <w:sz w:val="18"/>
              </w:rPr>
              <w:t>6.67%</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被投资单 位</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sz w:val="18"/>
              </w:rPr>
              <w:t>30,000,00</w:t>
            </w:r>
          </w:p>
          <w:p>
            <w:pPr>
              <w:pStyle w:val="TableParagraph"/>
              <w:spacing w:line="240" w:lineRule="auto" w:before="76"/>
              <w:ind w:left="476"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sz w:val="18"/>
              </w:rPr>
              <w:t>30,000,00</w:t>
            </w:r>
          </w:p>
          <w:p>
            <w:pPr>
              <w:pStyle w:val="TableParagraph"/>
              <w:spacing w:line="240" w:lineRule="auto" w:before="76"/>
              <w:ind w:left="476"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6" w:right="0"/>
              <w:jc w:val="left"/>
              <w:rPr>
                <w:rFonts w:ascii="宋体" w:hAnsi="宋体" w:cs="宋体" w:eastAsia="宋体" w:hint="default"/>
                <w:sz w:val="18"/>
                <w:szCs w:val="18"/>
              </w:rPr>
            </w:pPr>
            <w:r>
              <w:rPr>
                <w:rFonts w:ascii="宋体"/>
                <w:sz w:val="18"/>
              </w:rPr>
              <w:t>0.90%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被投资单 位</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sz w:val="18"/>
              </w:rPr>
              <w:t>21,000,00</w:t>
            </w:r>
          </w:p>
          <w:p>
            <w:pPr>
              <w:pStyle w:val="TableParagraph"/>
              <w:spacing w:line="240" w:lineRule="auto" w:before="76"/>
              <w:ind w:left="476"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sz w:val="18"/>
              </w:rPr>
              <w:t>21,000,00</w:t>
            </w:r>
          </w:p>
          <w:p>
            <w:pPr>
              <w:pStyle w:val="TableParagraph"/>
              <w:spacing w:line="240" w:lineRule="auto" w:before="76"/>
              <w:ind w:left="476"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6" w:right="0"/>
              <w:jc w:val="left"/>
              <w:rPr>
                <w:rFonts w:ascii="宋体" w:hAnsi="宋体" w:cs="宋体" w:eastAsia="宋体" w:hint="default"/>
                <w:sz w:val="18"/>
                <w:szCs w:val="18"/>
              </w:rPr>
            </w:pPr>
            <w:r>
              <w:rPr>
                <w:rFonts w:ascii="宋体"/>
                <w:sz w:val="18"/>
              </w:rPr>
              <w:t>4.27%</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sz w:val="18"/>
              </w:rPr>
              <w:t>53,000,00</w:t>
            </w:r>
          </w:p>
          <w:p>
            <w:pPr>
              <w:pStyle w:val="TableParagraph"/>
              <w:spacing w:line="240" w:lineRule="auto" w:before="76"/>
              <w:ind w:left="476"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sz w:val="18"/>
              </w:rPr>
              <w:t>53,000,00</w:t>
            </w:r>
          </w:p>
          <w:p>
            <w:pPr>
              <w:pStyle w:val="TableParagraph"/>
              <w:spacing w:line="240" w:lineRule="auto" w:before="76"/>
              <w:ind w:left="476"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报告期内可供出售金融资产减值的变动情况" w:id="273"/>
      <w:bookmarkEnd w:id="273"/>
      <w:r>
        <w:rPr>
          <w:b w:val="0"/>
          <w:bCs w:val="0"/>
        </w:rPr>
      </w:r>
      <w:r>
        <w:rPr/>
        <w:t>（</w:t>
      </w:r>
      <w:r>
        <w:rPr>
          <w:rFonts w:ascii="宋体" w:hAnsi="宋体" w:cs="宋体" w:eastAsia="宋体" w:hint="default"/>
        </w:rPr>
        <w:t>4</w:t>
      </w:r>
      <w:r>
        <w:rPr/>
        <w:t>）报告期内可供出售金融资产减值的变动情况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可供出售权益工具期末公允价值严重下跌或非暂时性下跌但未计提减值准备的相关说" w:id="274"/>
      <w:bookmarkEnd w:id="274"/>
      <w:r>
        <w:rPr>
          <w:b w:val="0"/>
          <w:bCs w:val="0"/>
        </w:rPr>
      </w:r>
      <w:r>
        <w:rPr/>
        <w:t>（</w:t>
      </w:r>
      <w:r>
        <w:rPr>
          <w:rFonts w:ascii="宋体" w:hAnsi="宋体" w:cs="宋体" w:eastAsia="宋体" w:hint="default"/>
        </w:rPr>
        <w:t>5</w:t>
      </w:r>
      <w:r>
        <w:rPr/>
        <w:t>）可供出售权益工具期末公允价值严重下跌或非暂时性下跌但未计提减值准备的相关说明</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1"/>
        <w:ind w:right="0"/>
        <w:jc w:val="left"/>
      </w:pPr>
      <w:r>
        <w:rPr/>
        <w:t>其他说明</w:t>
      </w:r>
    </w:p>
    <w:p>
      <w:pPr>
        <w:spacing w:after="0" w:line="240" w:lineRule="auto"/>
        <w:jc w:val="left"/>
        <w:sectPr>
          <w:pgSz w:w="11910" w:h="16840"/>
          <w:pgMar w:header="877" w:footer="1187" w:top="1100" w:bottom="1380" w:left="980" w:right="0"/>
        </w:sectPr>
      </w:pPr>
    </w:p>
    <w:p>
      <w:pPr>
        <w:spacing w:line="240" w:lineRule="auto" w:before="12"/>
        <w:rPr>
          <w:rFonts w:ascii="宋体" w:hAnsi="宋体" w:cs="宋体" w:eastAsia="宋体" w:hint="default"/>
          <w:sz w:val="21"/>
          <w:szCs w:val="21"/>
        </w:rPr>
      </w:pPr>
    </w:p>
    <w:p>
      <w:pPr>
        <w:pStyle w:val="BodyText"/>
        <w:spacing w:line="319" w:lineRule="auto" w:before="44"/>
        <w:ind w:right="1125"/>
        <w:jc w:val="left"/>
      </w:pPr>
      <w:r>
        <w:rPr/>
        <w:t>因公允价值无法可靠计量，本公司对上述可供出售金融资产按照成本计量。截至</w:t>
      </w:r>
      <w:r>
        <w:rPr>
          <w:spacing w:val="-45"/>
        </w:rPr>
        <w:t> </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4"/>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日，本公司无处置上述资 产的意图。</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15、持有至到期投资" w:id="275"/>
      <w:bookmarkEnd w:id="275"/>
      <w:r>
        <w:rPr>
          <w:b w:val="0"/>
          <w:bCs w:val="0"/>
        </w:rPr>
      </w:r>
      <w:r>
        <w:rPr>
          <w:rFonts w:ascii="宋体" w:hAnsi="宋体" w:cs="宋体" w:eastAsia="宋体" w:hint="default"/>
        </w:rPr>
        <w:t>15</w:t>
      </w:r>
      <w:r>
        <w:rPr/>
        <w:t>、持有至到期投资</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right="0"/>
        <w:jc w:val="left"/>
        <w:rPr>
          <w:b w:val="0"/>
          <w:bCs w:val="0"/>
        </w:rPr>
      </w:pPr>
      <w:bookmarkStart w:name="（1）持有至到期投资情况" w:id="276"/>
      <w:bookmarkEnd w:id="276"/>
      <w:r>
        <w:rPr>
          <w:b w:val="0"/>
          <w:bCs w:val="0"/>
        </w:rPr>
      </w:r>
      <w:r>
        <w:rPr/>
        <w:t>（</w:t>
      </w:r>
      <w:r>
        <w:rPr>
          <w:rFonts w:ascii="宋体" w:hAnsi="宋体" w:cs="宋体" w:eastAsia="宋体" w:hint="default"/>
        </w:rPr>
        <w:t>1</w:t>
      </w:r>
      <w:r>
        <w:rPr/>
        <w:t>）持有至到期投资情况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期末重要的持有至到期投资" w:id="277"/>
      <w:bookmarkEnd w:id="277"/>
      <w:r>
        <w:rPr>
          <w:b w:val="0"/>
          <w:bCs w:val="0"/>
        </w:rPr>
      </w:r>
      <w:r>
        <w:rPr/>
        <w:t>（</w:t>
      </w:r>
      <w:r>
        <w:rPr>
          <w:rFonts w:ascii="宋体" w:hAnsi="宋体" w:cs="宋体" w:eastAsia="宋体" w:hint="default"/>
        </w:rPr>
        <w:t>2</w:t>
      </w:r>
      <w:r>
        <w:rPr/>
        <w:t>）期末重要的持有至到期投资</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本期重分类的持有至到期投资" w:id="278"/>
      <w:bookmarkEnd w:id="278"/>
      <w:r>
        <w:rPr>
          <w:b w:val="0"/>
          <w:bCs w:val="0"/>
        </w:rPr>
      </w:r>
      <w:r>
        <w:rPr/>
        <w:t>（</w:t>
      </w:r>
      <w:r>
        <w:rPr>
          <w:rFonts w:ascii="宋体" w:hAnsi="宋体" w:cs="宋体" w:eastAsia="宋体" w:hint="default"/>
        </w:rPr>
        <w:t>3</w:t>
      </w:r>
      <w:r>
        <w:rPr/>
        <w:t>）本期重分类的持有至到期投资</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6、长期应收款" w:id="279"/>
      <w:bookmarkEnd w:id="279"/>
      <w:r>
        <w:rPr>
          <w:b w:val="0"/>
          <w:bCs w:val="0"/>
        </w:rPr>
      </w:r>
      <w:r>
        <w:rPr>
          <w:rFonts w:ascii="宋体" w:hAnsi="宋体" w:cs="宋体" w:eastAsia="宋体" w:hint="default"/>
        </w:rPr>
        <w:t>16</w:t>
      </w:r>
      <w:r>
        <w:rPr/>
        <w:t>、长期应收款</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right="0"/>
        <w:jc w:val="left"/>
        <w:rPr>
          <w:b w:val="0"/>
          <w:bCs w:val="0"/>
        </w:rPr>
      </w:pPr>
      <w:bookmarkStart w:name="（1）长期应收款情况" w:id="280"/>
      <w:bookmarkEnd w:id="280"/>
      <w:r>
        <w:rPr>
          <w:b w:val="0"/>
          <w:bCs w:val="0"/>
        </w:rPr>
      </w:r>
      <w:r>
        <w:rPr/>
        <w:t>（</w:t>
      </w:r>
      <w:r>
        <w:rPr>
          <w:rFonts w:ascii="宋体" w:hAnsi="宋体" w:cs="宋体" w:eastAsia="宋体" w:hint="default"/>
        </w:rPr>
        <w:t>1</w:t>
      </w:r>
      <w:r>
        <w:rPr/>
        <w:t>）长期应收款情况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因金融资产转移而终止确认的长期应收款" w:id="281"/>
      <w:bookmarkEnd w:id="281"/>
      <w:r>
        <w:rPr>
          <w:b w:val="0"/>
          <w:bCs w:val="0"/>
        </w:rPr>
      </w:r>
      <w:r>
        <w:rPr/>
        <w:t>（</w:t>
      </w:r>
      <w:r>
        <w:rPr>
          <w:rFonts w:ascii="宋体" w:hAnsi="宋体" w:cs="宋体" w:eastAsia="宋体" w:hint="default"/>
        </w:rPr>
        <w:t>2</w:t>
      </w:r>
      <w:r>
        <w:rPr/>
        <w:t>）因金融资产转移而终止确认的长期应收款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3）转移长期应收款且继续涉入形成的资产、负债金额" w:id="282"/>
      <w:bookmarkEnd w:id="282"/>
      <w:r>
        <w:rPr>
          <w:b w:val="0"/>
          <w:bCs w:val="0"/>
        </w:rPr>
      </w:r>
      <w:r>
        <w:rPr/>
        <w:t>（</w:t>
      </w:r>
      <w:r>
        <w:rPr>
          <w:rFonts w:ascii="宋体" w:hAnsi="宋体" w:cs="宋体" w:eastAsia="宋体" w:hint="default"/>
        </w:rPr>
        <w:t>3</w:t>
      </w:r>
      <w:r>
        <w:rPr/>
        <w:t>）转移长期应收款且继续涉入形成的资产、负债金额</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7、长期股权投资" w:id="283"/>
      <w:bookmarkEnd w:id="283"/>
      <w:r>
        <w:rPr>
          <w:b w:val="0"/>
          <w:bCs w:val="0"/>
        </w:rPr>
      </w:r>
      <w:r>
        <w:rPr>
          <w:rFonts w:ascii="宋体" w:hAnsi="宋体" w:cs="宋体" w:eastAsia="宋体" w:hint="default"/>
        </w:rPr>
        <w:t>17</w:t>
      </w:r>
      <w:r>
        <w:rPr/>
        <w:t>、长期股权投资</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深圳市云 帆时代网 络有限公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5" w:right="0"/>
              <w:jc w:val="left"/>
              <w:rPr>
                <w:rFonts w:ascii="宋体" w:hAnsi="宋体" w:cs="宋体" w:eastAsia="宋体" w:hint="default"/>
                <w:sz w:val="18"/>
                <w:szCs w:val="18"/>
              </w:rPr>
            </w:pPr>
            <w:r>
              <w:rPr>
                <w:rFonts w:ascii="宋体"/>
                <w:sz w:val="18"/>
              </w:rPr>
              <w:t>1,435,54</w:t>
            </w:r>
          </w:p>
          <w:p>
            <w:pPr>
              <w:pStyle w:val="TableParagraph"/>
              <w:spacing w:line="240" w:lineRule="auto" w:before="77"/>
              <w:ind w:left="405" w:right="0"/>
              <w:jc w:val="left"/>
              <w:rPr>
                <w:rFonts w:ascii="宋体" w:hAnsi="宋体" w:cs="宋体" w:eastAsia="宋体" w:hint="default"/>
                <w:sz w:val="18"/>
                <w:szCs w:val="18"/>
              </w:rPr>
            </w:pPr>
            <w:r>
              <w:rPr>
                <w:rFonts w:ascii="宋体"/>
                <w:sz w:val="18"/>
              </w:rPr>
              <w:t>5.20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212,573.</w:t>
            </w:r>
          </w:p>
          <w:p>
            <w:pPr>
              <w:pStyle w:val="TableParagraph"/>
              <w:spacing w:line="240" w:lineRule="auto" w:before="77"/>
              <w:ind w:right="23"/>
              <w:jc w:val="right"/>
              <w:rPr>
                <w:rFonts w:ascii="宋体" w:hAnsi="宋体" w:cs="宋体" w:eastAsia="宋体" w:hint="default"/>
                <w:sz w:val="18"/>
                <w:szCs w:val="18"/>
              </w:rPr>
            </w:pPr>
            <w:r>
              <w:rPr>
                <w:rFonts w:ascii="宋体"/>
                <w:sz w:val="18"/>
              </w:rPr>
              <w:t>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4" w:right="0"/>
              <w:jc w:val="left"/>
              <w:rPr>
                <w:rFonts w:ascii="宋体" w:hAnsi="宋体" w:cs="宋体" w:eastAsia="宋体" w:hint="default"/>
                <w:sz w:val="18"/>
                <w:szCs w:val="18"/>
              </w:rPr>
            </w:pPr>
            <w:r>
              <w:rPr>
                <w:rFonts w:ascii="宋体"/>
                <w:sz w:val="18"/>
              </w:rPr>
              <w:t>1,648,11</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8.28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天津六六 游科技科 技有限公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4" w:right="0"/>
              <w:jc w:val="left"/>
              <w:rPr>
                <w:rFonts w:ascii="宋体" w:hAnsi="宋体" w:cs="宋体" w:eastAsia="宋体" w:hint="default"/>
                <w:sz w:val="18"/>
                <w:szCs w:val="18"/>
              </w:rPr>
            </w:pPr>
            <w:r>
              <w:rPr>
                <w:rFonts w:ascii="宋体"/>
                <w:sz w:val="18"/>
              </w:rPr>
              <w:t>16,000,0</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4" w:right="0"/>
              <w:jc w:val="left"/>
              <w:rPr>
                <w:rFonts w:ascii="宋体" w:hAnsi="宋体" w:cs="宋体" w:eastAsia="宋体" w:hint="default"/>
                <w:sz w:val="18"/>
                <w:szCs w:val="18"/>
              </w:rPr>
            </w:pPr>
            <w:r>
              <w:rPr>
                <w:rFonts w:ascii="宋体"/>
                <w:sz w:val="18"/>
              </w:rPr>
              <w:t>1,715,41</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6.41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4" w:right="0"/>
              <w:jc w:val="left"/>
              <w:rPr>
                <w:rFonts w:ascii="宋体" w:hAnsi="宋体" w:cs="宋体" w:eastAsia="宋体" w:hint="default"/>
                <w:sz w:val="18"/>
                <w:szCs w:val="18"/>
              </w:rPr>
            </w:pPr>
            <w:r>
              <w:rPr>
                <w:rFonts w:ascii="宋体"/>
                <w:sz w:val="18"/>
              </w:rPr>
              <w:t>17,715,4</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16.41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北京奇酷 工场科技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70,000,0</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5,118,67</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9.70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-1,073,6</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00.67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74,045,0</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79.03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1,435,54</w:t>
            </w:r>
          </w:p>
          <w:p>
            <w:pPr>
              <w:pStyle w:val="TableParagraph"/>
              <w:spacing w:line="240" w:lineRule="auto" w:before="77"/>
              <w:ind w:left="405" w:right="0"/>
              <w:jc w:val="left"/>
              <w:rPr>
                <w:rFonts w:ascii="宋体" w:hAnsi="宋体" w:cs="宋体" w:eastAsia="宋体" w:hint="default"/>
                <w:sz w:val="18"/>
                <w:szCs w:val="18"/>
              </w:rPr>
            </w:pPr>
            <w:r>
              <w:rPr>
                <w:rFonts w:ascii="宋体"/>
                <w:sz w:val="18"/>
              </w:rPr>
              <w:t>5.20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86,000,0</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7,046,66</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9.19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-1,073,6</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00.67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93,408,6</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13.72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1,435,54</w:t>
            </w:r>
          </w:p>
          <w:p>
            <w:pPr>
              <w:pStyle w:val="TableParagraph"/>
              <w:spacing w:line="240" w:lineRule="auto" w:before="77"/>
              <w:ind w:left="405" w:right="0"/>
              <w:jc w:val="left"/>
              <w:rPr>
                <w:rFonts w:ascii="宋体" w:hAnsi="宋体" w:cs="宋体" w:eastAsia="宋体" w:hint="default"/>
                <w:sz w:val="18"/>
                <w:szCs w:val="18"/>
              </w:rPr>
            </w:pPr>
            <w:r>
              <w:rPr>
                <w:rFonts w:ascii="宋体"/>
                <w:sz w:val="18"/>
              </w:rPr>
              <w:t>5.20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86,000,0</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7,046,66</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9.19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-1,073,6</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00.67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93,408,6</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13.72</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18、投资性房地产" w:id="284"/>
      <w:bookmarkEnd w:id="284"/>
      <w:r>
        <w:rPr>
          <w:b w:val="0"/>
          <w:bCs w:val="0"/>
        </w:rPr>
      </w:r>
      <w:r>
        <w:rPr>
          <w:rFonts w:ascii="宋体" w:hAnsi="宋体" w:cs="宋体" w:eastAsia="宋体" w:hint="default"/>
        </w:rPr>
        <w:t>18</w:t>
      </w:r>
      <w:r>
        <w:rPr/>
        <w:t>、投资性房地产</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left="153" w:right="0"/>
        <w:jc w:val="left"/>
        <w:rPr>
          <w:b w:val="0"/>
          <w:bCs w:val="0"/>
        </w:rPr>
      </w:pPr>
      <w:bookmarkStart w:name="（1）采用成本计量模式的投资性房地产" w:id="285"/>
      <w:bookmarkEnd w:id="285"/>
      <w:r>
        <w:rPr>
          <w:b w:val="0"/>
          <w:bCs w:val="0"/>
        </w:rPr>
      </w:r>
      <w:r>
        <w:rPr/>
        <w:t>（</w:t>
      </w:r>
      <w:r>
        <w:rPr>
          <w:rFonts w:ascii="宋体" w:hAnsi="宋体" w:cs="宋体" w:eastAsia="宋体" w:hint="default"/>
        </w:rPr>
        <w:t>1</w:t>
      </w:r>
      <w:r>
        <w:rPr/>
        <w:t>）采用成本计量模式的投资性房地产</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53"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采用公允价值计量模式的投资性房地产" w:id="286"/>
      <w:bookmarkEnd w:id="286"/>
      <w:r>
        <w:rPr>
          <w:b w:val="0"/>
          <w:bCs w:val="0"/>
        </w:rPr>
      </w:r>
      <w:r>
        <w:rPr/>
        <w:t>（</w:t>
      </w:r>
      <w:r>
        <w:rPr>
          <w:rFonts w:ascii="宋体" w:hAnsi="宋体" w:cs="宋体" w:eastAsia="宋体" w:hint="default"/>
        </w:rPr>
        <w:t>2</w:t>
      </w:r>
      <w:r>
        <w:rPr/>
        <w:t>）采用公允价值计量模式的投资性房地产</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未办妥产权证书的投资性房地产情况" w:id="287"/>
      <w:bookmarkEnd w:id="287"/>
      <w:r>
        <w:rPr>
          <w:b w:val="0"/>
          <w:bCs w:val="0"/>
        </w:rPr>
      </w:r>
      <w:r>
        <w:rPr/>
        <w:t>（</w:t>
      </w:r>
      <w:r>
        <w:rPr>
          <w:rFonts w:ascii="宋体" w:hAnsi="宋体" w:cs="宋体" w:eastAsia="宋体" w:hint="default"/>
        </w:rPr>
        <w:t>3</w:t>
      </w:r>
      <w:r>
        <w:rPr/>
        <w:t>）未办妥产权证书的投资性房地产情况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19、固定资产" w:id="288"/>
      <w:bookmarkEnd w:id="288"/>
      <w:r>
        <w:rPr>
          <w:b w:val="0"/>
          <w:bCs w:val="0"/>
        </w:rPr>
      </w:r>
      <w:r>
        <w:rPr>
          <w:rFonts w:ascii="宋体" w:hAnsi="宋体" w:cs="宋体" w:eastAsia="宋体" w:hint="default"/>
        </w:rPr>
        <w:t>19</w:t>
      </w:r>
      <w:r>
        <w:rPr/>
        <w:t>、固定资产</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53" w:right="0"/>
        <w:jc w:val="left"/>
        <w:rPr>
          <w:b w:val="0"/>
          <w:bCs w:val="0"/>
        </w:rPr>
      </w:pPr>
      <w:bookmarkStart w:name="（1）固定资产情况" w:id="289"/>
      <w:bookmarkEnd w:id="289"/>
      <w:r>
        <w:rPr>
          <w:b w:val="0"/>
          <w:bCs w:val="0"/>
        </w:rPr>
      </w:r>
      <w:r>
        <w:rPr/>
        <w:t>（</w:t>
      </w:r>
      <w:r>
        <w:rPr>
          <w:rFonts w:ascii="宋体" w:hAnsi="宋体" w:cs="宋体" w:eastAsia="宋体" w:hint="default"/>
        </w:rPr>
        <w:t>1</w:t>
      </w:r>
      <w:r>
        <w:rPr/>
        <w:t>）固定资产情况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2392"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4,415,185.17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10,512,817.91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14,928,003.08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864,957.27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1,287,977.17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2,152,934.44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864,957.27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1,287,977.17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2,152,934.44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7"/>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）在建工程转入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7"/>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150,239.00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778,936.06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929,175.06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150,239.00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778,936.06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929,175.06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5,129,903.44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11,021,859.02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16,151,762.46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980,682.62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4,447,123.32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5,427,805.94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850,114.65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1,775,958.79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2,626,073.44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850,114.65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1,775,958.79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2,626,073.44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139,014.62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665,677.38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804,692.00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139,014.62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665,677.38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804,692.00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1,691,782.65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5,557,404.73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7,249,187.38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3,438,120.79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5,464,454.29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8,902,575.08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3,434,502.55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6,065,694.59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9,500,197.14</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暂时闲置的固定资产情况" w:id="290"/>
      <w:bookmarkEnd w:id="290"/>
      <w:r>
        <w:rPr>
          <w:b w:val="0"/>
          <w:bCs w:val="0"/>
        </w:rPr>
      </w:r>
      <w:r>
        <w:rPr/>
        <w:t>（</w:t>
      </w:r>
      <w:r>
        <w:rPr>
          <w:rFonts w:ascii="宋体" w:hAnsi="宋体" w:cs="宋体" w:eastAsia="宋体" w:hint="default"/>
        </w:rPr>
        <w:t>2</w:t>
      </w:r>
      <w:r>
        <w:rPr/>
        <w:t>）暂时闲置的固定资产情况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after="0" w:line="240" w:lineRule="auto"/>
        <w:jc w:val="right"/>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通过融资租赁租入的固定资产情况" w:id="291"/>
      <w:bookmarkEnd w:id="291"/>
      <w:r>
        <w:rPr>
          <w:b w:val="0"/>
          <w:bCs w:val="0"/>
        </w:rPr>
      </w:r>
      <w:r>
        <w:rPr/>
        <w:t>（</w:t>
      </w:r>
      <w:r>
        <w:rPr>
          <w:rFonts w:ascii="宋体" w:hAnsi="宋体" w:cs="宋体" w:eastAsia="宋体" w:hint="default"/>
        </w:rPr>
        <w:t>3</w:t>
      </w:r>
      <w:r>
        <w:rPr/>
        <w:t>）通过融资租赁租入的固定资产情况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富士施乐</w:t>
            </w:r>
            <w:r>
              <w:rPr>
                <w:rFonts w:ascii="宋体" w:hAnsi="宋体" w:cs="宋体" w:eastAsia="宋体" w:hint="default"/>
                <w:spacing w:val="-62"/>
                <w:sz w:val="18"/>
                <w:szCs w:val="18"/>
              </w:rPr>
              <w:t> </w:t>
            </w:r>
            <w:r>
              <w:rPr>
                <w:rFonts w:ascii="宋体" w:hAnsi="宋体" w:cs="宋体" w:eastAsia="宋体" w:hint="default"/>
                <w:sz w:val="18"/>
                <w:szCs w:val="18"/>
              </w:rPr>
              <w:t>VC3373</w:t>
            </w:r>
            <w:r>
              <w:rPr>
                <w:rFonts w:ascii="宋体" w:hAnsi="宋体" w:cs="宋体" w:eastAsia="宋体" w:hint="default"/>
                <w:spacing w:val="-63"/>
                <w:sz w:val="18"/>
                <w:szCs w:val="18"/>
              </w:rPr>
              <w:t> </w:t>
            </w:r>
            <w:r>
              <w:rPr>
                <w:rFonts w:ascii="宋体" w:hAnsi="宋体" w:cs="宋体" w:eastAsia="宋体" w:hint="default"/>
                <w:sz w:val="18"/>
                <w:szCs w:val="18"/>
              </w:rPr>
              <w:t>打印机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58,991.48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43,387.24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15,604.24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富士施乐</w:t>
            </w:r>
            <w:r>
              <w:rPr>
                <w:rFonts w:ascii="宋体" w:hAnsi="宋体" w:cs="宋体" w:eastAsia="宋体" w:hint="default"/>
                <w:spacing w:val="-46"/>
                <w:sz w:val="18"/>
                <w:szCs w:val="18"/>
              </w:rPr>
              <w:t> </w:t>
            </w:r>
            <w:r>
              <w:rPr>
                <w:rFonts w:ascii="宋体" w:hAnsi="宋体" w:cs="宋体" w:eastAsia="宋体" w:hint="default"/>
                <w:sz w:val="18"/>
                <w:szCs w:val="18"/>
              </w:rPr>
              <w:t>S2220</w:t>
            </w:r>
            <w:r>
              <w:rPr>
                <w:rFonts w:ascii="宋体" w:hAnsi="宋体" w:cs="宋体" w:eastAsia="宋体" w:hint="default"/>
                <w:spacing w:val="-46"/>
                <w:sz w:val="18"/>
                <w:szCs w:val="18"/>
              </w:rPr>
              <w:t> </w:t>
            </w:r>
            <w:r>
              <w:rPr>
                <w:rFonts w:ascii="宋体" w:hAnsi="宋体" w:cs="宋体" w:eastAsia="宋体" w:hint="default"/>
                <w:sz w:val="18"/>
                <w:szCs w:val="18"/>
              </w:rPr>
              <w:t>打印机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14,664.43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10,785.48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3,878.95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73,655.91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54,172.72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19,483.19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通过经营租赁租出的固定资产" w:id="292"/>
      <w:bookmarkEnd w:id="292"/>
      <w:r>
        <w:rPr>
          <w:b w:val="0"/>
          <w:bCs w:val="0"/>
        </w:rPr>
      </w:r>
      <w:r>
        <w:rPr/>
        <w:t>（</w:t>
      </w:r>
      <w:r>
        <w:rPr>
          <w:rFonts w:ascii="宋体" w:hAnsi="宋体" w:cs="宋体" w:eastAsia="宋体" w:hint="default"/>
        </w:rPr>
        <w:t>4</w:t>
      </w:r>
      <w:r>
        <w:rPr/>
        <w:t>）通过经营租赁租出的固定资产</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未办妥产权证书的固定资产情况" w:id="293"/>
      <w:bookmarkEnd w:id="293"/>
      <w:r>
        <w:rPr>
          <w:b w:val="0"/>
          <w:bCs w:val="0"/>
        </w:rPr>
      </w:r>
      <w:r>
        <w:rPr/>
        <w:t>（</w:t>
      </w:r>
      <w:r>
        <w:rPr>
          <w:rFonts w:ascii="宋体" w:hAnsi="宋体" w:cs="宋体" w:eastAsia="宋体" w:hint="default"/>
        </w:rPr>
        <w:t>5</w:t>
      </w:r>
      <w:r>
        <w:rPr/>
        <w:t>）未办妥产权证书的固定资产情况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20、在建工程" w:id="294"/>
      <w:bookmarkEnd w:id="294"/>
      <w:r>
        <w:rPr>
          <w:b w:val="0"/>
          <w:bCs w:val="0"/>
        </w:rPr>
      </w:r>
      <w:r>
        <w:rPr>
          <w:rFonts w:ascii="宋体" w:hAnsi="宋体" w:cs="宋体" w:eastAsia="宋体" w:hint="default"/>
        </w:rPr>
        <w:t>20</w:t>
      </w:r>
      <w:r>
        <w:rPr/>
        <w:t>、在建工程</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53" w:right="0"/>
        <w:jc w:val="left"/>
        <w:rPr>
          <w:b w:val="0"/>
          <w:bCs w:val="0"/>
        </w:rPr>
      </w:pPr>
      <w:bookmarkStart w:name="（1）在建工程情况" w:id="295"/>
      <w:bookmarkEnd w:id="295"/>
      <w:r>
        <w:rPr>
          <w:b w:val="0"/>
          <w:bCs w:val="0"/>
        </w:rPr>
      </w:r>
      <w:r>
        <w:rPr/>
        <w:t>（</w:t>
      </w:r>
      <w:r>
        <w:rPr>
          <w:rFonts w:ascii="宋体" w:hAnsi="宋体" w:cs="宋体" w:eastAsia="宋体" w:hint="default"/>
        </w:rPr>
        <w:t>1</w:t>
      </w:r>
      <w:r>
        <w:rPr/>
        <w:t>）在建工程情况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296"/>
      <w:bookmarkEnd w:id="296"/>
      <w:r>
        <w:rPr>
          <w:b w:val="0"/>
          <w:bCs w:val="0"/>
        </w:rPr>
      </w:r>
      <w:r>
        <w:rPr/>
        <w:t>（</w:t>
      </w:r>
      <w:r>
        <w:rPr>
          <w:rFonts w:ascii="宋体" w:hAnsi="宋体" w:cs="宋体" w:eastAsia="宋体" w:hint="default"/>
        </w:rPr>
        <w:t>2</w:t>
      </w:r>
      <w:r>
        <w:rPr/>
        <w:t>）重要在建工程项目本期变动情况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本期计提在建工程减值准备情况" w:id="297"/>
      <w:bookmarkEnd w:id="297"/>
      <w:r>
        <w:rPr>
          <w:b w:val="0"/>
          <w:bCs w:val="0"/>
        </w:rPr>
      </w:r>
      <w:r>
        <w:rPr/>
        <w:t>（</w:t>
      </w:r>
      <w:r>
        <w:rPr>
          <w:rFonts w:ascii="宋体" w:hAnsi="宋体" w:cs="宋体" w:eastAsia="宋体" w:hint="default"/>
        </w:rPr>
        <w:t>3</w:t>
      </w:r>
      <w:r>
        <w:rPr/>
        <w:t>）本期计提在建工程减值准备情况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after="0" w:line="240" w:lineRule="auto"/>
        <w:jc w:val="right"/>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1、工程物资" w:id="298"/>
      <w:bookmarkEnd w:id="298"/>
      <w:r>
        <w:rPr>
          <w:b w:val="0"/>
          <w:bCs w:val="0"/>
        </w:rPr>
      </w:r>
      <w:r>
        <w:rPr>
          <w:rFonts w:ascii="宋体" w:hAnsi="宋体" w:cs="宋体" w:eastAsia="宋体" w:hint="default"/>
        </w:rPr>
        <w:t>21</w:t>
      </w:r>
      <w:r>
        <w:rPr/>
        <w:t>、工程物资</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2、固定资产清理" w:id="299"/>
      <w:bookmarkEnd w:id="299"/>
      <w:r>
        <w:rPr>
          <w:b w:val="0"/>
          <w:bCs w:val="0"/>
        </w:rPr>
      </w:r>
      <w:r>
        <w:rPr>
          <w:rFonts w:ascii="宋体" w:hAnsi="宋体" w:cs="宋体" w:eastAsia="宋体" w:hint="default"/>
        </w:rPr>
        <w:t>22</w:t>
      </w:r>
      <w:r>
        <w:rPr/>
        <w:t>、固定资产清理</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3、生产性生物资产" w:id="300"/>
      <w:bookmarkEnd w:id="300"/>
      <w:r>
        <w:rPr>
          <w:b w:val="0"/>
          <w:bCs w:val="0"/>
        </w:rPr>
      </w:r>
      <w:r>
        <w:rPr>
          <w:rFonts w:ascii="宋体" w:hAnsi="宋体" w:cs="宋体" w:eastAsia="宋体" w:hint="default"/>
        </w:rPr>
        <w:t>23</w:t>
      </w:r>
      <w:r>
        <w:rPr/>
        <w:t>、生产性生物资产</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53" w:right="0"/>
        <w:jc w:val="left"/>
        <w:rPr>
          <w:b w:val="0"/>
          <w:bCs w:val="0"/>
        </w:rPr>
      </w:pPr>
      <w:bookmarkStart w:name="（1）采用成本计量模式的生产性生物资产" w:id="301"/>
      <w:bookmarkEnd w:id="301"/>
      <w:r>
        <w:rPr>
          <w:b w:val="0"/>
          <w:bCs w:val="0"/>
        </w:rPr>
      </w:r>
      <w:r>
        <w:rPr/>
        <w:t>（</w:t>
      </w:r>
      <w:r>
        <w:rPr>
          <w:rFonts w:ascii="宋体" w:hAnsi="宋体" w:cs="宋体" w:eastAsia="宋体" w:hint="default"/>
        </w:rPr>
        <w:t>1</w:t>
      </w:r>
      <w:r>
        <w:rPr/>
        <w:t>）采用成本计量模式的生产性生物资产</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53"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采用公允价值计量模式的生产性生物资产" w:id="302"/>
      <w:bookmarkEnd w:id="302"/>
      <w:r>
        <w:rPr>
          <w:b w:val="0"/>
          <w:bCs w:val="0"/>
        </w:rPr>
      </w:r>
      <w:r>
        <w:rPr/>
        <w:t>（</w:t>
      </w:r>
      <w:r>
        <w:rPr>
          <w:rFonts w:ascii="宋体" w:hAnsi="宋体" w:cs="宋体" w:eastAsia="宋体" w:hint="default"/>
        </w:rPr>
        <w:t>2</w:t>
      </w:r>
      <w:r>
        <w:rPr/>
        <w:t>）采用公允价值计量模式的生产性生物资产</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4、油气资产" w:id="303"/>
      <w:bookmarkEnd w:id="303"/>
      <w:r>
        <w:rPr>
          <w:b w:val="0"/>
          <w:bCs w:val="0"/>
        </w:rPr>
      </w:r>
      <w:r>
        <w:rPr>
          <w:rFonts w:ascii="宋体" w:hAnsi="宋体" w:cs="宋体" w:eastAsia="宋体" w:hint="default"/>
        </w:rPr>
        <w:t>24</w:t>
      </w:r>
      <w:r>
        <w:rPr/>
        <w:t>、油气资产</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5、无形资产" w:id="304"/>
      <w:bookmarkEnd w:id="304"/>
      <w:r>
        <w:rPr>
          <w:b w:val="0"/>
          <w:bCs w:val="0"/>
        </w:rPr>
      </w:r>
      <w:r>
        <w:rPr>
          <w:rFonts w:ascii="宋体" w:hAnsi="宋体" w:cs="宋体" w:eastAsia="宋体" w:hint="default"/>
        </w:rPr>
        <w:t>25</w:t>
      </w:r>
      <w:r>
        <w:rPr/>
        <w:t>、无形资产</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无形资产情况" w:id="305"/>
      <w:bookmarkEnd w:id="305"/>
      <w:r>
        <w:rPr>
          <w:b w:val="0"/>
          <w:bCs w:val="0"/>
        </w:rPr>
      </w:r>
      <w:r>
        <w:rPr/>
        <w:t>（</w:t>
      </w:r>
      <w:r>
        <w:rPr>
          <w:rFonts w:ascii="宋体" w:hAnsi="宋体" w:cs="宋体" w:eastAsia="宋体" w:hint="default"/>
        </w:rPr>
        <w:t>1</w:t>
      </w:r>
      <w:r>
        <w:rPr/>
        <w:t>）无形资产情况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58"/>
        <w:gridCol w:w="880"/>
        <w:gridCol w:w="870"/>
        <w:gridCol w:w="869"/>
        <w:gridCol w:w="869"/>
        <w:gridCol w:w="869"/>
        <w:gridCol w:w="869"/>
        <w:gridCol w:w="869"/>
        <w:gridCol w:w="870"/>
        <w:gridCol w:w="869"/>
        <w:gridCol w:w="869"/>
      </w:tblGrid>
      <w:tr>
        <w:trPr>
          <w:trHeight w:val="161" w:hRule="exact"/>
        </w:trPr>
        <w:tc>
          <w:tcPr>
            <w:tcW w:w="858" w:type="dxa"/>
            <w:tcBorders>
              <w:top w:val="single" w:sz="4" w:space="0" w:color="000000"/>
              <w:left w:val="single" w:sz="4" w:space="0" w:color="000000"/>
              <w:bottom w:val="nil" w:sz="6" w:space="0" w:color="auto"/>
              <w:right w:val="single" w:sz="4" w:space="0" w:color="000000"/>
            </w:tcBorders>
            <w:shd w:val="clear" w:color="auto" w:fill="D2D2D2"/>
          </w:tcPr>
          <w:p>
            <w:pPr/>
          </w:p>
        </w:tc>
        <w:tc>
          <w:tcPr>
            <w:tcW w:w="8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49" w:right="68" w:hanging="270"/>
              <w:jc w:val="left"/>
              <w:rPr>
                <w:rFonts w:ascii="宋体" w:hAnsi="宋体" w:cs="宋体" w:eastAsia="宋体" w:hint="default"/>
                <w:sz w:val="18"/>
                <w:szCs w:val="18"/>
              </w:rPr>
            </w:pPr>
            <w:r>
              <w:rPr>
                <w:rFonts w:ascii="宋体" w:hAnsi="宋体" w:cs="宋体" w:eastAsia="宋体" w:hint="default"/>
                <w:sz w:val="18"/>
                <w:szCs w:val="18"/>
              </w:rPr>
              <w:t>土地使用 权</w:t>
            </w: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38" w:right="68" w:hanging="270"/>
              <w:jc w:val="left"/>
              <w:rPr>
                <w:rFonts w:ascii="宋体" w:hAnsi="宋体" w:cs="宋体" w:eastAsia="宋体" w:hint="default"/>
                <w:sz w:val="18"/>
                <w:szCs w:val="18"/>
              </w:rPr>
            </w:pPr>
            <w:r>
              <w:rPr>
                <w:rFonts w:ascii="宋体" w:hAnsi="宋体" w:cs="宋体" w:eastAsia="宋体" w:hint="default"/>
                <w:sz w:val="18"/>
                <w:szCs w:val="18"/>
              </w:rPr>
              <w:t>非专利技 术</w:t>
            </w:r>
          </w:p>
        </w:tc>
        <w:tc>
          <w:tcPr>
            <w:tcW w:w="869" w:type="dxa"/>
            <w:vMerge w:val="restart"/>
            <w:tcBorders>
              <w:top w:val="single" w:sz="4" w:space="0" w:color="000000"/>
              <w:left w:val="single" w:sz="13" w:space="0" w:color="D2D2D2"/>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869"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域名</w:t>
            </w:r>
          </w:p>
        </w:tc>
        <w:tc>
          <w:tcPr>
            <w:tcW w:w="869"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869"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客户关系</w:t>
            </w:r>
          </w:p>
        </w:tc>
        <w:tc>
          <w:tcPr>
            <w:tcW w:w="870"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技术研发</w:t>
            </w:r>
          </w:p>
        </w:tc>
        <w:tc>
          <w:tcPr>
            <w:tcW w:w="869"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特许权</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92" w:hRule="exact"/>
        </w:trPr>
        <w:tc>
          <w:tcPr>
            <w:tcW w:w="8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80" w:type="dxa"/>
            <w:vMerge/>
            <w:tcBorders>
              <w:left w:val="single" w:sz="4" w:space="0" w:color="000000"/>
              <w:right w:val="single" w:sz="4" w:space="0" w:color="000000"/>
            </w:tcBorders>
            <w:shd w:val="clear" w:color="auto" w:fill="D2D2D2"/>
          </w:tcPr>
          <w:p>
            <w:pPr/>
          </w:p>
        </w:tc>
        <w:tc>
          <w:tcPr>
            <w:tcW w:w="8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869" w:type="dxa"/>
            <w:vMerge/>
            <w:tcBorders>
              <w:left w:val="single" w:sz="4" w:space="0" w:color="000000"/>
              <w:right w:val="single" w:sz="4" w:space="0" w:color="000000"/>
            </w:tcBorders>
            <w:shd w:val="clear" w:color="auto" w:fill="D2D2D2"/>
          </w:tcPr>
          <w:p>
            <w:pPr/>
          </w:p>
        </w:tc>
        <w:tc>
          <w:tcPr>
            <w:tcW w:w="869" w:type="dxa"/>
            <w:vMerge/>
            <w:tcBorders>
              <w:left w:val="single" w:sz="13" w:space="0" w:color="D2D2D2"/>
              <w:right w:val="single" w:sz="4" w:space="0" w:color="000000"/>
            </w:tcBorders>
            <w:shd w:val="clear" w:color="auto" w:fill="E0FFFF"/>
          </w:tcPr>
          <w:p>
            <w:pPr/>
          </w:p>
        </w:tc>
        <w:tc>
          <w:tcPr>
            <w:tcW w:w="869" w:type="dxa"/>
            <w:vMerge/>
            <w:tcBorders>
              <w:left w:val="single" w:sz="4" w:space="0" w:color="000000"/>
              <w:right w:val="single" w:sz="4" w:space="0" w:color="000000"/>
            </w:tcBorders>
            <w:shd w:val="clear" w:color="auto" w:fill="E0FFFF"/>
          </w:tcPr>
          <w:p>
            <w:pPr/>
          </w:p>
        </w:tc>
        <w:tc>
          <w:tcPr>
            <w:tcW w:w="869" w:type="dxa"/>
            <w:vMerge/>
            <w:tcBorders>
              <w:left w:val="single" w:sz="4" w:space="0" w:color="000000"/>
              <w:right w:val="single" w:sz="4" w:space="0" w:color="000000"/>
            </w:tcBorders>
            <w:shd w:val="clear" w:color="auto" w:fill="E0FFFF"/>
          </w:tcPr>
          <w:p>
            <w:pPr/>
          </w:p>
        </w:tc>
        <w:tc>
          <w:tcPr>
            <w:tcW w:w="869" w:type="dxa"/>
            <w:vMerge/>
            <w:tcBorders>
              <w:left w:val="single" w:sz="4" w:space="0" w:color="000000"/>
              <w:right w:val="single" w:sz="4" w:space="0" w:color="000000"/>
            </w:tcBorders>
            <w:shd w:val="clear" w:color="auto" w:fill="E0FFFF"/>
          </w:tcPr>
          <w:p>
            <w:pPr/>
          </w:p>
        </w:tc>
        <w:tc>
          <w:tcPr>
            <w:tcW w:w="870" w:type="dxa"/>
            <w:vMerge/>
            <w:tcBorders>
              <w:left w:val="single" w:sz="4" w:space="0" w:color="000000"/>
              <w:right w:val="single" w:sz="4" w:space="0" w:color="000000"/>
            </w:tcBorders>
            <w:shd w:val="clear" w:color="auto" w:fill="E0FFFF"/>
          </w:tcPr>
          <w:p>
            <w:pPr/>
          </w:p>
        </w:tc>
        <w:tc>
          <w:tcPr>
            <w:tcW w:w="869" w:type="dxa"/>
            <w:vMerge/>
            <w:tcBorders>
              <w:left w:val="single" w:sz="4" w:space="0" w:color="000000"/>
              <w:right w:val="single" w:sz="4" w:space="0" w:color="000000"/>
            </w:tcBorders>
            <w:shd w:val="clear" w:color="auto" w:fill="E0FFFF"/>
          </w:tcPr>
          <w:p>
            <w:pPr/>
          </w:p>
        </w:tc>
        <w:tc>
          <w:tcPr>
            <w:tcW w:w="869" w:type="dxa"/>
            <w:vMerge/>
            <w:tcBorders>
              <w:left w:val="single" w:sz="4" w:space="0" w:color="000000"/>
              <w:right w:val="single" w:sz="4" w:space="0" w:color="000000"/>
            </w:tcBorders>
            <w:shd w:val="clear" w:color="auto" w:fill="D2D2D2"/>
          </w:tcPr>
          <w:p>
            <w:pPr/>
          </w:p>
        </w:tc>
      </w:tr>
      <w:tr>
        <w:trPr>
          <w:trHeight w:val="161" w:hRule="exact"/>
        </w:trPr>
        <w:tc>
          <w:tcPr>
            <w:tcW w:w="858" w:type="dxa"/>
            <w:tcBorders>
              <w:top w:val="nil" w:sz="6" w:space="0" w:color="auto"/>
              <w:left w:val="single" w:sz="4" w:space="0" w:color="000000"/>
              <w:bottom w:val="single" w:sz="4" w:space="0" w:color="000000"/>
              <w:right w:val="single" w:sz="4" w:space="0" w:color="000000"/>
            </w:tcBorders>
            <w:shd w:val="clear" w:color="auto" w:fill="D2D2D2"/>
          </w:tcPr>
          <w:p>
            <w:pPr/>
          </w:p>
        </w:tc>
        <w:tc>
          <w:tcPr>
            <w:tcW w:w="880"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13" w:space="0" w:color="D2D2D2"/>
              <w:bottom w:val="single" w:sz="4" w:space="0" w:color="000000"/>
              <w:right w:val="single" w:sz="4" w:space="0" w:color="000000"/>
            </w:tcBorders>
            <w:shd w:val="clear" w:color="auto" w:fill="E0FFFF"/>
          </w:tcPr>
          <w:p>
            <w:pPr/>
          </w:p>
        </w:tc>
        <w:tc>
          <w:tcPr>
            <w:tcW w:w="869" w:type="dxa"/>
            <w:vMerge/>
            <w:tcBorders>
              <w:left w:val="single" w:sz="4" w:space="0" w:color="000000"/>
              <w:bottom w:val="single" w:sz="4" w:space="0" w:color="000000"/>
              <w:right w:val="single" w:sz="4" w:space="0" w:color="000000"/>
            </w:tcBorders>
            <w:shd w:val="clear" w:color="auto" w:fill="E0FFFF"/>
          </w:tcPr>
          <w:p>
            <w:pPr/>
          </w:p>
        </w:tc>
        <w:tc>
          <w:tcPr>
            <w:tcW w:w="869" w:type="dxa"/>
            <w:vMerge/>
            <w:tcBorders>
              <w:left w:val="single" w:sz="4" w:space="0" w:color="000000"/>
              <w:bottom w:val="single" w:sz="4" w:space="0" w:color="000000"/>
              <w:right w:val="single" w:sz="4" w:space="0" w:color="000000"/>
            </w:tcBorders>
            <w:shd w:val="clear" w:color="auto" w:fill="E0FFFF"/>
          </w:tcPr>
          <w:p>
            <w:pPr/>
          </w:p>
        </w:tc>
        <w:tc>
          <w:tcPr>
            <w:tcW w:w="869" w:type="dxa"/>
            <w:vMerge/>
            <w:tcBorders>
              <w:left w:val="single" w:sz="4" w:space="0" w:color="000000"/>
              <w:bottom w:val="single" w:sz="4" w:space="0" w:color="000000"/>
              <w:right w:val="single" w:sz="4" w:space="0" w:color="000000"/>
            </w:tcBorders>
            <w:shd w:val="clear" w:color="auto" w:fill="E0FFFF"/>
          </w:tcPr>
          <w:p>
            <w:pPr/>
          </w:p>
        </w:tc>
        <w:tc>
          <w:tcPr>
            <w:tcW w:w="870" w:type="dxa"/>
            <w:vMerge/>
            <w:tcBorders>
              <w:left w:val="single" w:sz="4" w:space="0" w:color="000000"/>
              <w:bottom w:val="single" w:sz="4" w:space="0" w:color="000000"/>
              <w:right w:val="single" w:sz="4" w:space="0" w:color="000000"/>
            </w:tcBorders>
            <w:shd w:val="clear" w:color="auto" w:fill="E0FFFF"/>
          </w:tcPr>
          <w:p>
            <w:pPr/>
          </w:p>
        </w:tc>
        <w:tc>
          <w:tcPr>
            <w:tcW w:w="869" w:type="dxa"/>
            <w:vMerge/>
            <w:tcBorders>
              <w:left w:val="single" w:sz="4" w:space="0" w:color="000000"/>
              <w:bottom w:val="single" w:sz="4" w:space="0" w:color="000000"/>
              <w:right w:val="single" w:sz="4" w:space="0" w:color="000000"/>
            </w:tcBorders>
            <w:shd w:val="clear" w:color="auto" w:fill="E0FFFF"/>
          </w:tcPr>
          <w:p>
            <w:pPr/>
          </w:p>
        </w:tc>
        <w:tc>
          <w:tcPr>
            <w:tcW w:w="869"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pacing w:val="-18"/>
                <w:sz w:val="18"/>
                <w:szCs w:val="18"/>
              </w:rPr>
              <w:t>一、账面原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值</w:t>
            </w:r>
          </w:p>
        </w:tc>
        <w:tc>
          <w:tcPr>
            <w:tcW w:w="880" w:type="dxa"/>
            <w:tcBorders>
              <w:top w:val="single" w:sz="4" w:space="0" w:color="000000"/>
              <w:left w:val="single" w:sz="13" w:space="0" w:color="D2D2D2"/>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4" w:firstLine="36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 初余额</w:t>
            </w:r>
          </w:p>
        </w:tc>
        <w:tc>
          <w:tcPr>
            <w:tcW w:w="880" w:type="dxa"/>
            <w:tcBorders>
              <w:top w:val="single" w:sz="4" w:space="0" w:color="000000"/>
              <w:left w:val="single" w:sz="13" w:space="0" w:color="D2D2D2"/>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92,880,50</w:t>
            </w:r>
          </w:p>
          <w:p>
            <w:pPr>
              <w:pStyle w:val="TableParagraph"/>
              <w:spacing w:line="240" w:lineRule="auto" w:before="76"/>
              <w:ind w:left="476" w:right="0"/>
              <w:jc w:val="left"/>
              <w:rPr>
                <w:rFonts w:ascii="宋体" w:hAnsi="宋体" w:cs="宋体" w:eastAsia="宋体" w:hint="default"/>
                <w:sz w:val="18"/>
                <w:szCs w:val="18"/>
              </w:rPr>
            </w:pPr>
            <w:r>
              <w:rPr>
                <w:rFonts w:ascii="宋体"/>
                <w:sz w:val="18"/>
              </w:rPr>
              <w:t>0.13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679,611.6</w:t>
            </w:r>
          </w:p>
          <w:p>
            <w:pPr>
              <w:pStyle w:val="TableParagraph"/>
              <w:spacing w:line="240" w:lineRule="auto" w:before="76"/>
              <w:ind w:right="23"/>
              <w:jc w:val="right"/>
              <w:rPr>
                <w:rFonts w:ascii="宋体" w:hAnsi="宋体" w:cs="宋体" w:eastAsia="宋体" w:hint="default"/>
                <w:sz w:val="18"/>
                <w:szCs w:val="18"/>
              </w:rPr>
            </w:pPr>
            <w:r>
              <w:rPr>
                <w:rFonts w:ascii="宋体"/>
                <w:sz w:val="18"/>
              </w:rPr>
              <w:t>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sz w:val="18"/>
              </w:rPr>
              <w:t>105,877,2</w:t>
            </w:r>
          </w:p>
          <w:p>
            <w:pPr>
              <w:pStyle w:val="TableParagraph"/>
              <w:spacing w:line="240" w:lineRule="auto" w:before="76"/>
              <w:ind w:left="385" w:right="0"/>
              <w:jc w:val="left"/>
              <w:rPr>
                <w:rFonts w:ascii="宋体" w:hAnsi="宋体" w:cs="宋体" w:eastAsia="宋体" w:hint="default"/>
                <w:sz w:val="18"/>
                <w:szCs w:val="18"/>
              </w:rPr>
            </w:pPr>
            <w:r>
              <w:rPr>
                <w:rFonts w:ascii="宋体"/>
                <w:sz w:val="18"/>
              </w:rPr>
              <w:t>50.93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sz w:val="18"/>
              </w:rPr>
              <w:t>47,657,10</w:t>
            </w:r>
          </w:p>
          <w:p>
            <w:pPr>
              <w:pStyle w:val="TableParagraph"/>
              <w:spacing w:line="240" w:lineRule="auto" w:before="76"/>
              <w:ind w:left="475" w:right="0"/>
              <w:jc w:val="left"/>
              <w:rPr>
                <w:rFonts w:ascii="宋体" w:hAnsi="宋体" w:cs="宋体" w:eastAsia="宋体" w:hint="default"/>
                <w:sz w:val="18"/>
                <w:szCs w:val="18"/>
              </w:rPr>
            </w:pPr>
            <w:r>
              <w:rPr>
                <w:rFonts w:ascii="宋体"/>
                <w:sz w:val="18"/>
              </w:rPr>
              <w:t>8.85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sz w:val="18"/>
              </w:rPr>
              <w:t>108,281,8</w:t>
            </w:r>
          </w:p>
          <w:p>
            <w:pPr>
              <w:pStyle w:val="TableParagraph"/>
              <w:spacing w:line="240" w:lineRule="auto" w:before="76"/>
              <w:ind w:left="385" w:right="0"/>
              <w:jc w:val="left"/>
              <w:rPr>
                <w:rFonts w:ascii="宋体" w:hAnsi="宋体" w:cs="宋体" w:eastAsia="宋体" w:hint="default"/>
                <w:sz w:val="18"/>
                <w:szCs w:val="18"/>
              </w:rPr>
            </w:pPr>
            <w:r>
              <w:rPr>
                <w:rFonts w:ascii="宋体"/>
                <w:sz w:val="18"/>
              </w:rPr>
              <w:t>31.72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sz w:val="18"/>
              </w:rPr>
              <w:t>118,085,1</w:t>
            </w:r>
          </w:p>
          <w:p>
            <w:pPr>
              <w:pStyle w:val="TableParagraph"/>
              <w:spacing w:line="240" w:lineRule="auto" w:before="76"/>
              <w:ind w:left="385" w:right="0"/>
              <w:jc w:val="left"/>
              <w:rPr>
                <w:rFonts w:ascii="宋体" w:hAnsi="宋体" w:cs="宋体" w:eastAsia="宋体" w:hint="default"/>
                <w:sz w:val="18"/>
                <w:szCs w:val="18"/>
              </w:rPr>
            </w:pPr>
            <w:r>
              <w:rPr>
                <w:rFonts w:ascii="宋体"/>
                <w:sz w:val="18"/>
              </w:rPr>
              <w:t>20.72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13,248,28</w:t>
            </w:r>
          </w:p>
          <w:p>
            <w:pPr>
              <w:pStyle w:val="TableParagraph"/>
              <w:spacing w:line="240" w:lineRule="auto" w:before="76"/>
              <w:ind w:left="476" w:right="0"/>
              <w:jc w:val="left"/>
              <w:rPr>
                <w:rFonts w:ascii="宋体" w:hAnsi="宋体" w:cs="宋体" w:eastAsia="宋体" w:hint="default"/>
                <w:sz w:val="18"/>
                <w:szCs w:val="18"/>
              </w:rPr>
            </w:pPr>
            <w:r>
              <w:rPr>
                <w:rFonts w:ascii="宋体"/>
                <w:sz w:val="18"/>
              </w:rPr>
              <w:t>2.60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sz w:val="18"/>
              </w:rPr>
              <w:t>48,876,99</w:t>
            </w:r>
          </w:p>
          <w:p>
            <w:pPr>
              <w:pStyle w:val="TableParagraph"/>
              <w:spacing w:line="240" w:lineRule="auto" w:before="76"/>
              <w:ind w:left="475" w:right="0"/>
              <w:jc w:val="left"/>
              <w:rPr>
                <w:rFonts w:ascii="宋体" w:hAnsi="宋体" w:cs="宋体" w:eastAsia="宋体" w:hint="default"/>
                <w:sz w:val="18"/>
                <w:szCs w:val="18"/>
              </w:rPr>
            </w:pPr>
            <w:r>
              <w:rPr>
                <w:rFonts w:ascii="宋体"/>
                <w:sz w:val="18"/>
              </w:rPr>
              <w:t>8.88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sz w:val="18"/>
              </w:rPr>
              <w:t>535,586,7</w:t>
            </w:r>
          </w:p>
          <w:p>
            <w:pPr>
              <w:pStyle w:val="TableParagraph"/>
              <w:spacing w:line="240" w:lineRule="auto" w:before="76"/>
              <w:ind w:left="385" w:right="0"/>
              <w:jc w:val="left"/>
              <w:rPr>
                <w:rFonts w:ascii="宋体" w:hAnsi="宋体" w:cs="宋体" w:eastAsia="宋体" w:hint="default"/>
                <w:sz w:val="18"/>
                <w:szCs w:val="18"/>
              </w:rPr>
            </w:pPr>
            <w:r>
              <w:rPr>
                <w:rFonts w:ascii="宋体"/>
                <w:sz w:val="18"/>
              </w:rPr>
              <w:t>05.49</w:t>
            </w:r>
          </w:p>
        </w:tc>
      </w:tr>
      <w:tr>
        <w:trPr>
          <w:trHeight w:val="714"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2" w:right="104" w:firstLine="36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 期增加金</w:t>
            </w:r>
          </w:p>
        </w:tc>
        <w:tc>
          <w:tcPr>
            <w:tcW w:w="880" w:type="dxa"/>
            <w:tcBorders>
              <w:top w:val="single" w:sz="4" w:space="0" w:color="000000"/>
              <w:left w:val="single" w:sz="13" w:space="0" w:color="D2D2D2"/>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sz w:val="18"/>
              </w:rPr>
              <w:t>14,423,89</w:t>
            </w:r>
          </w:p>
          <w:p>
            <w:pPr>
              <w:pStyle w:val="TableParagraph"/>
              <w:spacing w:line="240" w:lineRule="auto" w:before="76"/>
              <w:ind w:left="475" w:right="0"/>
              <w:jc w:val="left"/>
              <w:rPr>
                <w:rFonts w:ascii="宋体" w:hAnsi="宋体" w:cs="宋体" w:eastAsia="宋体" w:hint="default"/>
                <w:sz w:val="18"/>
                <w:szCs w:val="18"/>
              </w:rPr>
            </w:pPr>
            <w:r>
              <w:rPr>
                <w:rFonts w:ascii="宋体"/>
                <w:sz w:val="18"/>
              </w:rPr>
              <w:t>6.37</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sz w:val="18"/>
              </w:rPr>
              <w:t>7,967,640</w:t>
            </w:r>
          </w:p>
          <w:p>
            <w:pPr>
              <w:pStyle w:val="TableParagraph"/>
              <w:spacing w:line="240" w:lineRule="auto" w:before="76"/>
              <w:ind w:left="565" w:right="0"/>
              <w:jc w:val="left"/>
              <w:rPr>
                <w:rFonts w:ascii="宋体" w:hAnsi="宋体" w:cs="宋体" w:eastAsia="宋体" w:hint="default"/>
                <w:sz w:val="18"/>
                <w:szCs w:val="18"/>
              </w:rPr>
            </w:pPr>
            <w:r>
              <w:rPr>
                <w:rFonts w:ascii="宋体"/>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sz w:val="18"/>
              </w:rPr>
              <w:t>22,391,53</w:t>
            </w:r>
          </w:p>
          <w:p>
            <w:pPr>
              <w:pStyle w:val="TableParagraph"/>
              <w:spacing w:line="240" w:lineRule="auto" w:before="76"/>
              <w:ind w:left="475" w:right="0"/>
              <w:jc w:val="left"/>
              <w:rPr>
                <w:rFonts w:ascii="宋体" w:hAnsi="宋体" w:cs="宋体" w:eastAsia="宋体" w:hint="default"/>
                <w:sz w:val="18"/>
                <w:szCs w:val="18"/>
              </w:rPr>
            </w:pPr>
            <w:r>
              <w:rPr>
                <w:rFonts w:ascii="宋体"/>
                <w:sz w:val="18"/>
              </w:rPr>
              <w:t>6.37</w:t>
            </w:r>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0"/>
        </w:sectPr>
      </w:pPr>
    </w:p>
    <w:p>
      <w:pPr>
        <w:spacing w:line="240" w:lineRule="auto" w:before="9"/>
        <w:rPr>
          <w:rFonts w:ascii="宋体" w:hAnsi="宋体" w:cs="宋体" w:eastAsia="宋体" w:hint="default"/>
          <w:sz w:val="22"/>
          <w:szCs w:val="22"/>
        </w:rPr>
      </w:pPr>
    </w:p>
    <w:p>
      <w:pPr>
        <w:pStyle w:val="BodyText"/>
        <w:spacing w:line="240" w:lineRule="auto" w:before="44"/>
        <w:ind w:left="181" w:right="0"/>
        <w:jc w:val="left"/>
      </w:pPr>
      <w:r>
        <w:rPr/>
        <w:t>额</w:t>
      </w: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877" w:footer="1187" w:top="1100" w:bottom="1380" w:left="980" w:right="0"/>
        </w:sectPr>
      </w:pPr>
    </w:p>
    <w:p>
      <w:pPr>
        <w:pStyle w:val="BodyText"/>
        <w:spacing w:line="240" w:lineRule="auto" w:before="44"/>
        <w:ind w:left="635" w:right="-20"/>
        <w:jc w:val="left"/>
      </w:pPr>
      <w:r>
        <w:rPr/>
        <w:t>（</w:t>
      </w:r>
      <w:r>
        <w:rPr>
          <w:rFonts w:ascii="宋体" w:hAnsi="宋体" w:cs="宋体" w:eastAsia="宋体" w:hint="default"/>
        </w:rPr>
        <w:t>1</w:t>
      </w:r>
      <w:r>
        <w:rPr/>
        <w:t>）</w:t>
      </w:r>
    </w:p>
    <w:p>
      <w:pPr>
        <w:pStyle w:val="BodyText"/>
        <w:spacing w:line="240" w:lineRule="auto" w:before="44"/>
        <w:ind w:left="635" w:right="-20"/>
        <w:jc w:val="left"/>
        <w:rPr>
          <w:rFonts w:ascii="宋体" w:hAnsi="宋体" w:cs="宋体" w:eastAsia="宋体" w:hint="default"/>
        </w:rPr>
      </w:pPr>
      <w:r>
        <w:rPr/>
        <w:br w:type="column"/>
      </w:r>
      <w:r>
        <w:rPr>
          <w:rFonts w:ascii="宋体"/>
        </w:rPr>
        <w:t>593,121.7</w:t>
      </w:r>
    </w:p>
    <w:p>
      <w:pPr>
        <w:pStyle w:val="BodyText"/>
        <w:spacing w:line="240" w:lineRule="auto" w:before="44"/>
        <w:ind w:left="635" w:right="0"/>
        <w:jc w:val="left"/>
        <w:rPr>
          <w:rFonts w:ascii="宋体" w:hAnsi="宋体" w:cs="宋体" w:eastAsia="宋体" w:hint="default"/>
        </w:rPr>
      </w:pPr>
      <w:r>
        <w:rPr/>
        <w:br w:type="column"/>
      </w:r>
      <w:r>
        <w:rPr>
          <w:rFonts w:ascii="宋体"/>
        </w:rPr>
        <w:t>7,967,640</w:t>
      </w:r>
      <w:r>
        <w:rPr>
          <w:rFonts w:ascii="宋体"/>
          <w:spacing w:val="-32"/>
        </w:rPr>
        <w:t> </w:t>
      </w:r>
      <w:r>
        <w:rPr>
          <w:rFonts w:ascii="宋体"/>
        </w:rPr>
        <w:t>8,560,761</w:t>
      </w:r>
    </w:p>
    <w:p>
      <w:pPr>
        <w:spacing w:after="0" w:line="240" w:lineRule="auto"/>
        <w:jc w:val="left"/>
        <w:rPr>
          <w:rFonts w:ascii="宋体" w:hAnsi="宋体" w:cs="宋体" w:eastAsia="宋体" w:hint="default"/>
        </w:rPr>
        <w:sectPr>
          <w:type w:val="continuous"/>
          <w:pgSz w:w="11910" w:h="16840"/>
          <w:pgMar w:top="1060" w:bottom="1380" w:left="980" w:right="0"/>
          <w:cols w:num="3" w:equalWidth="0">
            <w:col w:w="1086" w:space="1939"/>
            <w:col w:w="1446" w:space="2900"/>
            <w:col w:w="3559"/>
          </w:cols>
        </w:sectPr>
      </w:pPr>
    </w:p>
    <w:p>
      <w:pPr>
        <w:pStyle w:val="BodyText"/>
        <w:tabs>
          <w:tab w:pos="4471" w:val="right" w:leader="none"/>
        </w:tabs>
        <w:spacing w:line="240" w:lineRule="auto" w:before="76"/>
        <w:ind w:left="181" w:right="0"/>
        <w:jc w:val="left"/>
        <w:rPr>
          <w:rFonts w:ascii="宋体" w:hAnsi="宋体" w:cs="宋体" w:eastAsia="宋体" w:hint="default"/>
        </w:rPr>
      </w:pPr>
      <w:r>
        <w:rPr/>
        <w:t>购置</w:t>
      </w:r>
      <w:r>
        <w:rPr>
          <w:rFonts w:ascii="宋体" w:hAnsi="宋体" w:cs="宋体" w:eastAsia="宋体" w:hint="default"/>
        </w:rPr>
        <w:tab/>
        <w:t>7</w:t>
      </w:r>
    </w:p>
    <w:p>
      <w:pPr>
        <w:spacing w:before="76"/>
        <w:ind w:left="181" w:right="-20" w:firstLine="0"/>
        <w:jc w:val="left"/>
        <w:rPr>
          <w:rFonts w:ascii="宋体" w:hAnsi="宋体" w:cs="宋体" w:eastAsia="宋体" w:hint="default"/>
          <w:sz w:val="18"/>
          <w:szCs w:val="18"/>
        </w:rPr>
      </w:pPr>
      <w:r>
        <w:rPr/>
        <w:br w:type="column"/>
      </w:r>
      <w:r>
        <w:rPr>
          <w:rFonts w:ascii="宋体"/>
          <w:sz w:val="18"/>
        </w:rPr>
        <w:t>.00</w:t>
      </w:r>
    </w:p>
    <w:p>
      <w:pPr>
        <w:spacing w:before="76"/>
        <w:ind w:left="181" w:right="0" w:firstLine="0"/>
        <w:jc w:val="left"/>
        <w:rPr>
          <w:rFonts w:ascii="宋体" w:hAnsi="宋体" w:cs="宋体" w:eastAsia="宋体" w:hint="default"/>
          <w:sz w:val="18"/>
          <w:szCs w:val="18"/>
        </w:rPr>
      </w:pPr>
      <w:r>
        <w:rPr/>
        <w:br w:type="column"/>
      </w:r>
      <w:r>
        <w:rPr>
          <w:rFonts w:ascii="宋体"/>
          <w:sz w:val="18"/>
        </w:rPr>
        <w:t>.77</w:t>
      </w:r>
    </w:p>
    <w:p>
      <w:pPr>
        <w:spacing w:after="0"/>
        <w:jc w:val="left"/>
        <w:rPr>
          <w:rFonts w:ascii="宋体" w:hAnsi="宋体" w:cs="宋体" w:eastAsia="宋体" w:hint="default"/>
          <w:sz w:val="18"/>
          <w:szCs w:val="18"/>
        </w:rPr>
        <w:sectPr>
          <w:type w:val="continuous"/>
          <w:pgSz w:w="11910" w:h="16840"/>
          <w:pgMar w:top="1060" w:bottom="1380" w:left="980" w:right="0"/>
          <w:cols w:num="3" w:equalWidth="0">
            <w:col w:w="4472" w:space="3893"/>
            <w:col w:w="452" w:space="417"/>
            <w:col w:w="1696"/>
          </w:cols>
        </w:sectPr>
      </w:pPr>
    </w:p>
    <w:p>
      <w:pPr>
        <w:pStyle w:val="BodyText"/>
        <w:spacing w:line="319" w:lineRule="auto" w:before="166"/>
        <w:ind w:left="181" w:right="-19" w:firstLine="453"/>
        <w:jc w:val="left"/>
      </w:pPr>
      <w:r>
        <w:rPr/>
        <w:t>（</w:t>
      </w:r>
      <w:r>
        <w:rPr>
          <w:rFonts w:ascii="宋体" w:hAnsi="宋体" w:cs="宋体" w:eastAsia="宋体" w:hint="default"/>
        </w:rPr>
        <w:t>2</w:t>
      </w:r>
      <w:r>
        <w:rPr/>
        <w:t>） 内部研发</w:t>
      </w:r>
    </w:p>
    <w:p>
      <w:pPr>
        <w:pStyle w:val="BodyText"/>
        <w:spacing w:line="240" w:lineRule="auto" w:before="166"/>
        <w:ind w:left="181" w:right="-19"/>
        <w:jc w:val="left"/>
        <w:rPr>
          <w:rFonts w:ascii="宋体" w:hAnsi="宋体" w:cs="宋体" w:eastAsia="宋体" w:hint="default"/>
        </w:rPr>
      </w:pPr>
      <w:r>
        <w:rPr/>
        <w:br w:type="column"/>
      </w:r>
      <w:r>
        <w:rPr>
          <w:rFonts w:ascii="宋体"/>
        </w:rPr>
        <w:t>13,830,77</w:t>
      </w:r>
    </w:p>
    <w:p>
      <w:pPr>
        <w:pStyle w:val="BodyText"/>
        <w:spacing w:line="240" w:lineRule="auto" w:before="77"/>
        <w:ind w:left="632" w:right="-20"/>
        <w:jc w:val="left"/>
        <w:rPr>
          <w:rFonts w:ascii="宋体" w:hAnsi="宋体" w:cs="宋体" w:eastAsia="宋体" w:hint="default"/>
        </w:rPr>
      </w:pPr>
      <w:r>
        <w:rPr>
          <w:rFonts w:ascii="宋体"/>
        </w:rPr>
        <w:t>4.60</w:t>
      </w:r>
    </w:p>
    <w:p>
      <w:pPr>
        <w:pStyle w:val="BodyText"/>
        <w:spacing w:line="240" w:lineRule="auto" w:before="166"/>
        <w:ind w:left="181" w:right="0"/>
        <w:jc w:val="left"/>
        <w:rPr>
          <w:rFonts w:ascii="宋体" w:hAnsi="宋体" w:cs="宋体" w:eastAsia="宋体" w:hint="default"/>
        </w:rPr>
      </w:pPr>
      <w:r>
        <w:rPr/>
        <w:br w:type="column"/>
      </w:r>
      <w:r>
        <w:rPr>
          <w:rFonts w:ascii="宋体"/>
        </w:rPr>
        <w:t>13,830,77</w:t>
      </w:r>
    </w:p>
    <w:p>
      <w:pPr>
        <w:pStyle w:val="BodyText"/>
        <w:spacing w:line="240" w:lineRule="auto" w:before="77"/>
        <w:ind w:left="631" w:right="0"/>
        <w:jc w:val="left"/>
        <w:rPr>
          <w:rFonts w:ascii="宋体" w:hAnsi="宋体" w:cs="宋体" w:eastAsia="宋体" w:hint="default"/>
        </w:rPr>
      </w:pPr>
      <w:r>
        <w:rPr>
          <w:rFonts w:ascii="宋体"/>
        </w:rPr>
        <w:t>4.60</w:t>
      </w:r>
    </w:p>
    <w:p>
      <w:pPr>
        <w:spacing w:after="0" w:line="240" w:lineRule="auto"/>
        <w:jc w:val="left"/>
        <w:rPr>
          <w:rFonts w:ascii="宋体" w:hAnsi="宋体" w:cs="宋体" w:eastAsia="宋体" w:hint="default"/>
        </w:rPr>
        <w:sectPr>
          <w:type w:val="continuous"/>
          <w:pgSz w:w="11910" w:h="16840"/>
          <w:pgMar w:top="1060" w:bottom="1380" w:left="980" w:right="0"/>
          <w:cols w:num="3" w:equalWidth="0">
            <w:col w:w="1086" w:space="2393"/>
            <w:col w:w="993" w:space="4222"/>
            <w:col w:w="2236"/>
          </w:cols>
        </w:sectPr>
      </w:pPr>
    </w:p>
    <w:p>
      <w:pPr>
        <w:pStyle w:val="BodyText"/>
        <w:spacing w:line="316" w:lineRule="auto" w:before="107"/>
        <w:ind w:left="181" w:right="10018" w:firstLine="453"/>
        <w:jc w:val="both"/>
      </w:pPr>
      <w:r>
        <w:rPr/>
        <w:pict>
          <v:shape style="position:absolute;margin-left:94.279999pt;margin-top:2.781726pt;width:49.1pt;height:15.6pt;mso-position-horizontal-relative:page;mso-position-vertical-relative:paragraph;z-index:-1181368" type="#_x0000_t202" filled="false" stroked="false">
            <v:textbox inset="0,0,0,0">
              <w:txbxContent>
                <w:p>
                  <w:pPr>
                    <w:pStyle w:val="BodyText"/>
                    <w:spacing w:line="240" w:lineRule="auto" w:before="51"/>
                    <w:ind w:left="0" w:right="0"/>
                    <w:jc w:val="left"/>
                  </w:pPr>
                  <w:r>
                    <w:rPr/>
                    <w:t>）</w:t>
                  </w:r>
                </w:p>
              </w:txbxContent>
            </v:textbox>
            <w10:wrap type="none"/>
          </v:shape>
        </w:pict>
      </w:r>
      <w:r>
        <w:rPr/>
        <w:t>（</w:t>
      </w:r>
      <w:r>
        <w:rPr>
          <w:rFonts w:ascii="宋体" w:hAnsi="宋体" w:cs="宋体" w:eastAsia="宋体" w:hint="default"/>
        </w:rPr>
        <w:t>3 </w:t>
      </w:r>
      <w:r>
        <w:rPr/>
        <w:t>企业合并 增加</w:t>
      </w:r>
    </w:p>
    <w:p>
      <w:pPr>
        <w:spacing w:after="0" w:line="316" w:lineRule="auto"/>
        <w:jc w:val="both"/>
        <w:sectPr>
          <w:type w:val="continuous"/>
          <w:pgSz w:w="11910" w:h="16840"/>
          <w:pgMar w:top="1060" w:bottom="1380" w:left="980" w:right="0"/>
        </w:sectPr>
      </w:pPr>
    </w:p>
    <w:p>
      <w:pPr>
        <w:pStyle w:val="BodyText"/>
        <w:spacing w:line="240" w:lineRule="auto" w:before="511"/>
        <w:ind w:left="361" w:right="-20"/>
        <w:jc w:val="left"/>
      </w:pPr>
      <w:r>
        <w:rPr>
          <w:rFonts w:ascii="宋体" w:hAnsi="宋体" w:cs="宋体" w:eastAsia="宋体" w:hint="default"/>
        </w:rPr>
        <w:t>3.</w:t>
      </w:r>
      <w:r>
        <w:rPr/>
        <w:t>本期</w:t>
      </w:r>
    </w:p>
    <w:p>
      <w:pPr>
        <w:pStyle w:val="BodyText"/>
        <w:spacing w:line="212" w:lineRule="exact" w:before="667"/>
        <w:ind w:left="361" w:right="-20"/>
        <w:jc w:val="left"/>
        <w:rPr>
          <w:rFonts w:ascii="宋体" w:hAnsi="宋体" w:cs="宋体" w:eastAsia="宋体" w:hint="default"/>
        </w:rPr>
      </w:pPr>
      <w:r>
        <w:rPr/>
        <w:br w:type="column"/>
      </w:r>
      <w:r>
        <w:rPr>
          <w:rFonts w:ascii="宋体"/>
        </w:rPr>
        <w:t>23,584.91</w:t>
      </w:r>
    </w:p>
    <w:p>
      <w:pPr>
        <w:pStyle w:val="BodyText"/>
        <w:spacing w:line="240" w:lineRule="auto" w:before="511"/>
        <w:ind w:left="361" w:right="0"/>
        <w:jc w:val="left"/>
        <w:rPr>
          <w:rFonts w:ascii="宋体" w:hAnsi="宋体" w:cs="宋体" w:eastAsia="宋体" w:hint="default"/>
        </w:rPr>
      </w:pPr>
      <w:r>
        <w:rPr/>
        <w:br w:type="column"/>
      </w:r>
      <w:r>
        <w:rPr>
          <w:rFonts w:ascii="宋体"/>
        </w:rPr>
        <w:t>1,037,735</w:t>
      </w:r>
      <w:r>
        <w:rPr>
          <w:rFonts w:ascii="宋体"/>
          <w:spacing w:val="-32"/>
        </w:rPr>
        <w:t> </w:t>
      </w:r>
      <w:r>
        <w:rPr>
          <w:rFonts w:ascii="宋体"/>
        </w:rPr>
        <w:t>1,061,320</w:t>
      </w:r>
    </w:p>
    <w:p>
      <w:pPr>
        <w:spacing w:after="0" w:line="240" w:lineRule="auto"/>
        <w:jc w:val="left"/>
        <w:rPr>
          <w:rFonts w:ascii="宋体" w:hAnsi="宋体" w:cs="宋体" w:eastAsia="宋体" w:hint="default"/>
        </w:rPr>
        <w:sectPr>
          <w:type w:val="continuous"/>
          <w:pgSz w:w="11910" w:h="16840"/>
          <w:pgMar w:top="1060" w:bottom="1380" w:left="980" w:right="0"/>
          <w:cols w:num="3" w:equalWidth="0">
            <w:col w:w="902" w:space="2397"/>
            <w:col w:w="1172" w:space="3174"/>
            <w:col w:w="3285"/>
          </w:cols>
        </w:sectPr>
      </w:pPr>
    </w:p>
    <w:p>
      <w:pPr>
        <w:pStyle w:val="BodyText"/>
        <w:spacing w:line="180" w:lineRule="exact"/>
        <w:ind w:left="181" w:right="-20"/>
        <w:jc w:val="left"/>
      </w:pPr>
      <w:r>
        <w:rPr/>
        <w:t>减少金额</w:t>
      </w:r>
    </w:p>
    <w:p>
      <w:pPr>
        <w:spacing w:line="180" w:lineRule="exact" w:before="0"/>
        <w:ind w:left="181" w:right="-20" w:firstLine="0"/>
        <w:jc w:val="left"/>
        <w:rPr>
          <w:rFonts w:ascii="宋体" w:hAnsi="宋体" w:cs="宋体" w:eastAsia="宋体" w:hint="default"/>
          <w:sz w:val="18"/>
          <w:szCs w:val="18"/>
        </w:rPr>
      </w:pPr>
      <w:r>
        <w:rPr/>
        <w:br w:type="column"/>
      </w:r>
      <w:r>
        <w:rPr>
          <w:rFonts w:ascii="宋体"/>
          <w:sz w:val="18"/>
        </w:rPr>
        <w:t>.84</w:t>
      </w:r>
    </w:p>
    <w:p>
      <w:pPr>
        <w:spacing w:line="180" w:lineRule="exact" w:before="0"/>
        <w:ind w:left="181" w:right="0" w:firstLine="0"/>
        <w:jc w:val="left"/>
        <w:rPr>
          <w:rFonts w:ascii="宋体" w:hAnsi="宋体" w:cs="宋体" w:eastAsia="宋体" w:hint="default"/>
          <w:sz w:val="18"/>
          <w:szCs w:val="18"/>
        </w:rPr>
      </w:pPr>
      <w:r>
        <w:rPr/>
        <w:br w:type="column"/>
      </w:r>
      <w:r>
        <w:rPr>
          <w:rFonts w:ascii="宋体"/>
          <w:sz w:val="18"/>
        </w:rPr>
        <w:t>.75</w:t>
      </w:r>
    </w:p>
    <w:p>
      <w:pPr>
        <w:spacing w:after="0" w:line="180" w:lineRule="exact"/>
        <w:jc w:val="left"/>
        <w:rPr>
          <w:rFonts w:ascii="宋体" w:hAnsi="宋体" w:cs="宋体" w:eastAsia="宋体" w:hint="default"/>
          <w:sz w:val="18"/>
          <w:szCs w:val="18"/>
        </w:rPr>
        <w:sectPr>
          <w:type w:val="continuous"/>
          <w:pgSz w:w="11910" w:h="16840"/>
          <w:pgMar w:top="1060" w:bottom="1380" w:left="980" w:right="0"/>
          <w:cols w:num="3" w:equalWidth="0">
            <w:col w:w="902" w:space="7463"/>
            <w:col w:w="452" w:space="417"/>
            <w:col w:w="1696"/>
          </w:cols>
        </w:sectPr>
      </w:pPr>
    </w:p>
    <w:p>
      <w:pPr>
        <w:pStyle w:val="BodyText"/>
        <w:spacing w:line="240" w:lineRule="auto" w:before="166"/>
        <w:ind w:left="635" w:right="0"/>
        <w:jc w:val="left"/>
      </w:pPr>
      <w:r>
        <w:rPr/>
        <w:t>（</w:t>
      </w:r>
      <w:r>
        <w:rPr>
          <w:rFonts w:ascii="宋体" w:hAnsi="宋体" w:cs="宋体" w:eastAsia="宋体" w:hint="default"/>
        </w:rPr>
        <w:t>1</w:t>
      </w:r>
      <w:r>
        <w:rPr/>
        <w:t>）</w:t>
      </w:r>
    </w:p>
    <w:p>
      <w:pPr>
        <w:pStyle w:val="BodyText"/>
        <w:spacing w:line="240" w:lineRule="auto" w:before="76"/>
        <w:ind w:left="181" w:right="0"/>
        <w:jc w:val="left"/>
      </w:pPr>
      <w:r>
        <w:rPr/>
        <w:t>处置</w:t>
      </w:r>
    </w:p>
    <w:p>
      <w:pPr>
        <w:spacing w:after="0" w:line="240" w:lineRule="auto"/>
        <w:jc w:val="left"/>
        <w:sectPr>
          <w:type w:val="continuous"/>
          <w:pgSz w:w="11910" w:h="16840"/>
          <w:pgMar w:top="1060" w:bottom="1380" w:left="980" w:right="0"/>
        </w:sectPr>
      </w:pPr>
    </w:p>
    <w:p>
      <w:pPr>
        <w:pStyle w:val="BodyText"/>
        <w:tabs>
          <w:tab w:pos="3660" w:val="left" w:leader="none"/>
        </w:tabs>
        <w:spacing w:line="212" w:lineRule="exact" w:before="322"/>
        <w:ind w:left="181" w:right="-20"/>
        <w:jc w:val="left"/>
        <w:rPr>
          <w:rFonts w:ascii="宋体" w:hAnsi="宋体" w:cs="宋体" w:eastAsia="宋体" w:hint="default"/>
        </w:rPr>
      </w:pPr>
      <w:r>
        <w:rPr/>
        <w:t>其他减少</w:t>
        <w:tab/>
      </w:r>
      <w:r>
        <w:rPr>
          <w:rFonts w:ascii="宋体" w:hAnsi="宋体" w:cs="宋体" w:eastAsia="宋体" w:hint="default"/>
        </w:rPr>
        <w:t>23,584.91</w:t>
      </w:r>
    </w:p>
    <w:p>
      <w:pPr>
        <w:pStyle w:val="BodyText"/>
        <w:spacing w:line="240" w:lineRule="auto" w:before="166"/>
        <w:ind w:left="181" w:right="0"/>
        <w:jc w:val="left"/>
        <w:rPr>
          <w:rFonts w:ascii="宋体" w:hAnsi="宋体" w:cs="宋体" w:eastAsia="宋体" w:hint="default"/>
        </w:rPr>
      </w:pPr>
      <w:r>
        <w:rPr/>
        <w:br w:type="column"/>
      </w:r>
      <w:r>
        <w:rPr>
          <w:rFonts w:ascii="宋体"/>
        </w:rPr>
        <w:t>1,037,735</w:t>
      </w:r>
      <w:r>
        <w:rPr>
          <w:rFonts w:ascii="宋体"/>
          <w:spacing w:val="-32"/>
        </w:rPr>
        <w:t> </w:t>
      </w:r>
      <w:r>
        <w:rPr>
          <w:rFonts w:ascii="宋体"/>
        </w:rPr>
        <w:t>1,061,320</w:t>
      </w:r>
    </w:p>
    <w:p>
      <w:pPr>
        <w:spacing w:after="0" w:line="240" w:lineRule="auto"/>
        <w:jc w:val="left"/>
        <w:rPr>
          <w:rFonts w:ascii="宋体" w:hAnsi="宋体" w:cs="宋体" w:eastAsia="宋体" w:hint="default"/>
        </w:rPr>
        <w:sectPr>
          <w:type w:val="continuous"/>
          <w:pgSz w:w="11910" w:h="16840"/>
          <w:pgMar w:top="1060" w:bottom="1380" w:left="980" w:right="0"/>
          <w:cols w:num="2" w:equalWidth="0">
            <w:col w:w="4471" w:space="3354"/>
            <w:col w:w="3105"/>
          </w:cols>
        </w:sectPr>
      </w:pPr>
    </w:p>
    <w:p>
      <w:pPr>
        <w:pStyle w:val="BodyText"/>
        <w:tabs>
          <w:tab w:pos="868" w:val="left" w:leader="none"/>
        </w:tabs>
        <w:spacing w:line="180" w:lineRule="exact"/>
        <w:ind w:left="0" w:right="1238"/>
        <w:jc w:val="right"/>
        <w:rPr>
          <w:rFonts w:ascii="宋体" w:hAnsi="宋体" w:cs="宋体" w:eastAsia="宋体" w:hint="default"/>
        </w:rPr>
      </w:pPr>
      <w:r>
        <w:rPr>
          <w:rFonts w:ascii="宋体"/>
        </w:rPr>
        <w:t>.84</w:t>
        <w:tab/>
        <w:t>.75</w:t>
      </w:r>
    </w:p>
    <w:p>
      <w:pPr>
        <w:spacing w:after="0" w:line="180" w:lineRule="exact"/>
        <w:jc w:val="right"/>
        <w:rPr>
          <w:rFonts w:ascii="宋体" w:hAnsi="宋体" w:cs="宋体" w:eastAsia="宋体" w:hint="default"/>
        </w:rPr>
        <w:sectPr>
          <w:type w:val="continuous"/>
          <w:pgSz w:w="11910" w:h="16840"/>
          <w:pgMar w:top="1060" w:bottom="1380" w:left="980" w:right="0"/>
        </w:sectPr>
      </w:pPr>
    </w:p>
    <w:p>
      <w:pPr>
        <w:pStyle w:val="BodyText"/>
        <w:spacing w:line="310" w:lineRule="atLeast" w:before="92"/>
        <w:ind w:left="181" w:right="-20"/>
        <w:jc w:val="left"/>
      </w:pPr>
      <w:r>
        <w:rPr/>
        <w:t>外币报表 折算的影</w:t>
      </w:r>
    </w:p>
    <w:p>
      <w:pPr>
        <w:pStyle w:val="BodyText"/>
        <w:spacing w:line="240" w:lineRule="auto" w:before="322"/>
        <w:ind w:left="181" w:right="-20"/>
        <w:jc w:val="left"/>
        <w:rPr>
          <w:rFonts w:ascii="宋体" w:hAnsi="宋体" w:cs="宋体" w:eastAsia="宋体" w:hint="default"/>
        </w:rPr>
      </w:pPr>
      <w:r>
        <w:rPr/>
        <w:br w:type="column"/>
      </w:r>
      <w:r>
        <w:rPr>
          <w:rFonts w:ascii="宋体"/>
        </w:rPr>
        <w:t>-5,316,96</w:t>
      </w:r>
    </w:p>
    <w:p>
      <w:pPr>
        <w:pStyle w:val="BodyText"/>
        <w:spacing w:line="240" w:lineRule="auto" w:before="322"/>
        <w:ind w:left="181" w:right="-18"/>
        <w:jc w:val="left"/>
        <w:rPr>
          <w:rFonts w:ascii="宋体" w:hAnsi="宋体" w:cs="宋体" w:eastAsia="宋体" w:hint="default"/>
        </w:rPr>
      </w:pPr>
      <w:r>
        <w:rPr/>
        <w:br w:type="column"/>
      </w:r>
      <w:r>
        <w:rPr>
          <w:rFonts w:ascii="宋体"/>
        </w:rPr>
        <w:t>-4,258,32</w:t>
      </w:r>
      <w:r>
        <w:rPr>
          <w:rFonts w:ascii="宋体"/>
          <w:spacing w:val="-31"/>
        </w:rPr>
        <w:t> </w:t>
      </w:r>
      <w:r>
        <w:rPr>
          <w:rFonts w:ascii="宋体"/>
        </w:rPr>
        <w:t>-2,763,20</w:t>
      </w:r>
      <w:r>
        <w:rPr>
          <w:rFonts w:ascii="宋体"/>
          <w:spacing w:val="-32"/>
        </w:rPr>
        <w:t> </w:t>
      </w:r>
      <w:r>
        <w:rPr>
          <w:rFonts w:ascii="宋体"/>
        </w:rPr>
        <w:t>-6,284,92</w:t>
      </w:r>
      <w:r>
        <w:rPr>
          <w:rFonts w:ascii="宋体"/>
          <w:spacing w:val="-32"/>
        </w:rPr>
        <w:t> </w:t>
      </w:r>
      <w:r>
        <w:rPr>
          <w:rFonts w:ascii="宋体"/>
        </w:rPr>
        <w:t>-6,856,66</w:t>
      </w:r>
      <w:r>
        <w:rPr>
          <w:rFonts w:ascii="宋体"/>
          <w:spacing w:val="-30"/>
        </w:rPr>
        <w:t> </w:t>
      </w:r>
      <w:r>
        <w:rPr>
          <w:rFonts w:ascii="宋体"/>
        </w:rPr>
        <w:t>-769,267.</w:t>
      </w:r>
    </w:p>
    <w:p>
      <w:pPr>
        <w:pStyle w:val="BodyText"/>
        <w:spacing w:line="240" w:lineRule="auto" w:before="322"/>
        <w:ind w:left="181" w:right="0"/>
        <w:jc w:val="left"/>
        <w:rPr>
          <w:rFonts w:ascii="宋体" w:hAnsi="宋体" w:cs="宋体" w:eastAsia="宋体" w:hint="default"/>
        </w:rPr>
      </w:pPr>
      <w:r>
        <w:rPr/>
        <w:br w:type="column"/>
      </w:r>
      <w:r>
        <w:rPr>
          <w:rFonts w:ascii="宋体"/>
        </w:rPr>
        <w:t>-26,249,3</w:t>
      </w:r>
    </w:p>
    <w:p>
      <w:pPr>
        <w:spacing w:after="0" w:line="240" w:lineRule="auto"/>
        <w:jc w:val="left"/>
        <w:rPr>
          <w:rFonts w:ascii="宋体" w:hAnsi="宋体" w:cs="宋体" w:eastAsia="宋体" w:hint="default"/>
        </w:rPr>
        <w:sectPr>
          <w:type w:val="continuous"/>
          <w:pgSz w:w="11910" w:h="16840"/>
          <w:pgMar w:top="1060" w:bottom="1380" w:left="980" w:right="0"/>
          <w:cols w:num="4" w:equalWidth="0">
            <w:col w:w="902" w:space="839"/>
            <w:col w:w="992" w:space="745"/>
            <w:col w:w="4469" w:space="745"/>
            <w:col w:w="2238"/>
          </w:cols>
        </w:sectPr>
      </w:pPr>
    </w:p>
    <w:p>
      <w:pPr>
        <w:pStyle w:val="BodyText"/>
        <w:spacing w:line="117" w:lineRule="exact"/>
        <w:ind w:left="0" w:right="0"/>
        <w:jc w:val="right"/>
        <w:rPr>
          <w:rFonts w:ascii="宋体" w:hAnsi="宋体" w:cs="宋体" w:eastAsia="宋体" w:hint="default"/>
        </w:rPr>
      </w:pPr>
      <w:r>
        <w:rPr>
          <w:rFonts w:ascii="宋体"/>
        </w:rPr>
        <w:t>0.00</w:t>
      </w:r>
    </w:p>
    <w:p>
      <w:pPr>
        <w:pStyle w:val="BodyText"/>
        <w:spacing w:line="196" w:lineRule="exact"/>
        <w:ind w:left="181" w:right="-20"/>
        <w:jc w:val="left"/>
      </w:pPr>
      <w:r>
        <w:rPr/>
        <w:t>响</w:t>
      </w:r>
    </w:p>
    <w:p>
      <w:pPr>
        <w:pStyle w:val="BodyText"/>
        <w:spacing w:line="157" w:lineRule="exact"/>
        <w:ind w:left="181" w:right="-20"/>
        <w:jc w:val="left"/>
        <w:rPr>
          <w:rFonts w:ascii="宋体" w:hAnsi="宋体" w:cs="宋体" w:eastAsia="宋体" w:hint="default"/>
        </w:rPr>
      </w:pPr>
      <w:r>
        <w:rPr/>
        <w:br w:type="column"/>
      </w:r>
      <w:r>
        <w:rPr>
          <w:rFonts w:ascii="宋体"/>
        </w:rPr>
        <w:t>3.48</w:t>
      </w:r>
    </w:p>
    <w:p>
      <w:pPr>
        <w:pStyle w:val="BodyText"/>
        <w:spacing w:line="157" w:lineRule="exact"/>
        <w:ind w:left="181" w:right="-20"/>
        <w:jc w:val="left"/>
        <w:rPr>
          <w:rFonts w:ascii="宋体" w:hAnsi="宋体" w:cs="宋体" w:eastAsia="宋体" w:hint="default"/>
        </w:rPr>
      </w:pPr>
      <w:r>
        <w:rPr/>
        <w:br w:type="column"/>
      </w:r>
      <w:r>
        <w:rPr>
          <w:rFonts w:ascii="宋体"/>
        </w:rPr>
        <w:t>8.00</w:t>
      </w:r>
    </w:p>
    <w:p>
      <w:pPr>
        <w:pStyle w:val="BodyText"/>
        <w:spacing w:line="157" w:lineRule="exact"/>
        <w:ind w:left="181" w:right="-20"/>
        <w:jc w:val="left"/>
        <w:rPr>
          <w:rFonts w:ascii="宋体" w:hAnsi="宋体" w:cs="宋体" w:eastAsia="宋体" w:hint="default"/>
        </w:rPr>
      </w:pPr>
      <w:r>
        <w:rPr/>
        <w:br w:type="column"/>
      </w:r>
      <w:r>
        <w:rPr>
          <w:rFonts w:ascii="宋体"/>
        </w:rPr>
        <w:t>4.44</w:t>
      </w:r>
    </w:p>
    <w:p>
      <w:pPr>
        <w:pStyle w:val="BodyText"/>
        <w:tabs>
          <w:tab w:pos="1231" w:val="left" w:leader="none"/>
        </w:tabs>
        <w:spacing w:line="157" w:lineRule="exact"/>
        <w:ind w:left="181" w:right="-19"/>
        <w:jc w:val="left"/>
        <w:rPr>
          <w:rFonts w:ascii="宋体" w:hAnsi="宋体" w:cs="宋体" w:eastAsia="宋体" w:hint="default"/>
        </w:rPr>
      </w:pPr>
      <w:r>
        <w:rPr/>
        <w:br w:type="column"/>
      </w:r>
      <w:r>
        <w:rPr>
          <w:rFonts w:ascii="宋体"/>
        </w:rPr>
        <w:t>5.22</w:t>
        <w:tab/>
        <w:t>44</w:t>
      </w:r>
    </w:p>
    <w:p>
      <w:pPr>
        <w:pStyle w:val="BodyText"/>
        <w:spacing w:line="157" w:lineRule="exact"/>
        <w:ind w:left="181" w:right="0"/>
        <w:jc w:val="left"/>
        <w:rPr>
          <w:rFonts w:ascii="宋体" w:hAnsi="宋体" w:cs="宋体" w:eastAsia="宋体" w:hint="default"/>
        </w:rPr>
      </w:pPr>
      <w:r>
        <w:rPr/>
        <w:br w:type="column"/>
      </w:r>
      <w:r>
        <w:rPr>
          <w:rFonts w:ascii="宋体"/>
        </w:rPr>
        <w:t>48.58</w:t>
      </w:r>
    </w:p>
    <w:p>
      <w:pPr>
        <w:spacing w:after="0" w:line="157" w:lineRule="exact"/>
        <w:jc w:val="left"/>
        <w:rPr>
          <w:rFonts w:ascii="宋体" w:hAnsi="宋体" w:cs="宋体" w:eastAsia="宋体" w:hint="default"/>
        </w:rPr>
        <w:sectPr>
          <w:type w:val="continuous"/>
          <w:pgSz w:w="11910" w:h="16840"/>
          <w:pgMar w:top="1060" w:bottom="1380" w:left="980" w:right="0"/>
          <w:cols w:num="6" w:equalWidth="0">
            <w:col w:w="2734" w:space="1196"/>
            <w:col w:w="542" w:space="327"/>
            <w:col w:w="542" w:space="327"/>
            <w:col w:w="542" w:space="327"/>
            <w:col w:w="1413" w:space="1105"/>
            <w:col w:w="1875"/>
          </w:cols>
        </w:sectPr>
      </w:pPr>
    </w:p>
    <w:p>
      <w:pPr>
        <w:pStyle w:val="BodyText"/>
        <w:tabs>
          <w:tab w:pos="1923" w:val="left" w:leader="none"/>
        </w:tabs>
        <w:spacing w:line="240" w:lineRule="auto" w:before="166"/>
        <w:ind w:left="541" w:right="0"/>
        <w:jc w:val="left"/>
        <w:rPr>
          <w:rFonts w:ascii="宋体" w:hAnsi="宋体" w:cs="宋体" w:eastAsia="宋体" w:hint="default"/>
        </w:rPr>
      </w:pPr>
      <w:r>
        <w:rPr>
          <w:rFonts w:ascii="宋体" w:hAnsi="宋体" w:cs="宋体" w:eastAsia="宋体" w:hint="default"/>
        </w:rPr>
        <w:t>4.</w:t>
      </w:r>
      <w:r>
        <w:rPr/>
        <w:t>期</w:t>
        <w:tab/>
      </w:r>
      <w:r>
        <w:rPr>
          <w:rFonts w:ascii="宋体" w:hAnsi="宋体" w:cs="宋体" w:eastAsia="宋体" w:hint="default"/>
        </w:rPr>
        <w:t>87,563,54</w:t>
      </w:r>
      <w:r>
        <w:rPr>
          <w:rFonts w:ascii="宋体" w:hAnsi="宋体" w:cs="宋体" w:eastAsia="宋体" w:hint="default"/>
          <w:spacing w:val="-32"/>
        </w:rPr>
        <w:t> </w:t>
      </w:r>
      <w:r>
        <w:rPr>
          <w:rFonts w:ascii="宋体" w:hAnsi="宋体" w:cs="宋体" w:eastAsia="宋体" w:hint="default"/>
        </w:rPr>
        <w:t>679,611.6</w:t>
      </w:r>
      <w:r>
        <w:rPr>
          <w:rFonts w:ascii="宋体" w:hAnsi="宋体" w:cs="宋体" w:eastAsia="宋体" w:hint="default"/>
          <w:spacing w:val="-32"/>
        </w:rPr>
        <w:t> </w:t>
      </w:r>
      <w:r>
        <w:rPr>
          <w:rFonts w:ascii="宋体" w:hAnsi="宋体" w:cs="宋体" w:eastAsia="宋体" w:hint="default"/>
        </w:rPr>
        <w:t>116,019,2</w:t>
      </w:r>
      <w:r>
        <w:rPr>
          <w:rFonts w:ascii="宋体" w:hAnsi="宋体" w:cs="宋体" w:eastAsia="宋体" w:hint="default"/>
          <w:spacing w:val="-31"/>
        </w:rPr>
        <w:t> </w:t>
      </w:r>
      <w:r>
        <w:rPr>
          <w:rFonts w:ascii="宋体" w:hAnsi="宋体" w:cs="宋体" w:eastAsia="宋体" w:hint="default"/>
        </w:rPr>
        <w:t>44,893,90</w:t>
      </w:r>
      <w:r>
        <w:rPr>
          <w:rFonts w:ascii="宋体" w:hAnsi="宋体" w:cs="宋体" w:eastAsia="宋体" w:hint="default"/>
          <w:spacing w:val="-32"/>
        </w:rPr>
        <w:t> </w:t>
      </w:r>
      <w:r>
        <w:rPr>
          <w:rFonts w:ascii="宋体" w:hAnsi="宋体" w:cs="宋体" w:eastAsia="宋体" w:hint="default"/>
        </w:rPr>
        <w:t>101,996,9</w:t>
      </w:r>
      <w:r>
        <w:rPr>
          <w:rFonts w:ascii="宋体" w:hAnsi="宋体" w:cs="宋体" w:eastAsia="宋体" w:hint="default"/>
          <w:spacing w:val="-32"/>
        </w:rPr>
        <w:t> </w:t>
      </w:r>
      <w:r>
        <w:rPr>
          <w:rFonts w:ascii="宋体" w:hAnsi="宋体" w:cs="宋体" w:eastAsia="宋体" w:hint="default"/>
        </w:rPr>
        <w:t>111,228,4</w:t>
      </w:r>
      <w:r>
        <w:rPr>
          <w:rFonts w:ascii="宋体" w:hAnsi="宋体" w:cs="宋体" w:eastAsia="宋体" w:hint="default"/>
          <w:spacing w:val="-30"/>
        </w:rPr>
        <w:t> </w:t>
      </w:r>
      <w:r>
        <w:rPr>
          <w:rFonts w:ascii="宋体" w:hAnsi="宋体" w:cs="宋体" w:eastAsia="宋体" w:hint="default"/>
        </w:rPr>
        <w:t>12,479,01</w:t>
      </w:r>
      <w:r>
        <w:rPr>
          <w:rFonts w:ascii="宋体" w:hAnsi="宋体" w:cs="宋体" w:eastAsia="宋体" w:hint="default"/>
          <w:spacing w:val="-32"/>
        </w:rPr>
        <w:t> </w:t>
      </w:r>
      <w:r>
        <w:rPr>
          <w:rFonts w:ascii="宋体" w:hAnsi="宋体" w:cs="宋体" w:eastAsia="宋体" w:hint="default"/>
        </w:rPr>
        <w:t>55,806,90</w:t>
      </w:r>
      <w:r>
        <w:rPr>
          <w:rFonts w:ascii="宋体" w:hAnsi="宋体" w:cs="宋体" w:eastAsia="宋体" w:hint="default"/>
          <w:spacing w:val="-32"/>
        </w:rPr>
        <w:t> </w:t>
      </w:r>
      <w:r>
        <w:rPr>
          <w:rFonts w:ascii="宋体" w:hAnsi="宋体" w:cs="宋体" w:eastAsia="宋体" w:hint="default"/>
        </w:rPr>
        <w:t>530,667,5</w:t>
      </w:r>
    </w:p>
    <w:p>
      <w:pPr>
        <w:spacing w:after="0" w:line="240" w:lineRule="auto"/>
        <w:jc w:val="left"/>
        <w:rPr>
          <w:rFonts w:ascii="宋体" w:hAnsi="宋体" w:cs="宋体" w:eastAsia="宋体" w:hint="default"/>
        </w:rPr>
        <w:sectPr>
          <w:type w:val="continuous"/>
          <w:pgSz w:w="11910" w:h="16840"/>
          <w:pgMar w:top="1060" w:bottom="1380" w:left="980" w:right="0"/>
        </w:sectPr>
      </w:pPr>
    </w:p>
    <w:p>
      <w:pPr>
        <w:pStyle w:val="BodyText"/>
        <w:spacing w:line="240" w:lineRule="auto" w:before="76"/>
        <w:ind w:left="181" w:right="-20"/>
        <w:jc w:val="left"/>
      </w:pPr>
      <w:r>
        <w:rPr/>
        <w:t>末余额</w:t>
      </w:r>
    </w:p>
    <w:p>
      <w:pPr>
        <w:pStyle w:val="BodyText"/>
        <w:spacing w:line="240" w:lineRule="auto" w:before="76"/>
        <w:ind w:left="181" w:right="-20"/>
        <w:jc w:val="left"/>
        <w:rPr>
          <w:rFonts w:ascii="宋体" w:hAnsi="宋体" w:cs="宋体" w:eastAsia="宋体" w:hint="default"/>
        </w:rPr>
      </w:pPr>
      <w:r>
        <w:rPr/>
        <w:br w:type="column"/>
      </w:r>
      <w:r>
        <w:rPr>
          <w:rFonts w:ascii="宋体"/>
        </w:rPr>
        <w:t>0.13</w:t>
      </w:r>
    </w:p>
    <w:p>
      <w:pPr>
        <w:pStyle w:val="BodyText"/>
        <w:tabs>
          <w:tab w:pos="690" w:val="left" w:leader="none"/>
        </w:tabs>
        <w:spacing w:line="240" w:lineRule="auto" w:before="76"/>
        <w:ind w:left="181" w:right="-20"/>
        <w:jc w:val="left"/>
        <w:rPr>
          <w:rFonts w:ascii="宋体" w:hAnsi="宋体" w:cs="宋体" w:eastAsia="宋体" w:hint="default"/>
        </w:rPr>
      </w:pPr>
      <w:r>
        <w:rPr/>
        <w:br w:type="column"/>
      </w:r>
      <w:r>
        <w:rPr>
          <w:rFonts w:ascii="宋体"/>
        </w:rPr>
        <w:t>6</w:t>
        <w:tab/>
        <w:t>38.91</w:t>
      </w:r>
    </w:p>
    <w:p>
      <w:pPr>
        <w:pStyle w:val="BodyText"/>
        <w:spacing w:line="240" w:lineRule="auto" w:before="76"/>
        <w:ind w:left="181" w:right="-20"/>
        <w:jc w:val="left"/>
        <w:rPr>
          <w:rFonts w:ascii="宋体" w:hAnsi="宋体" w:cs="宋体" w:eastAsia="宋体" w:hint="default"/>
        </w:rPr>
      </w:pPr>
      <w:r>
        <w:rPr/>
        <w:br w:type="column"/>
      </w:r>
      <w:r>
        <w:rPr>
          <w:rFonts w:ascii="宋体"/>
        </w:rPr>
        <w:t>0.85</w:t>
      </w:r>
    </w:p>
    <w:p>
      <w:pPr>
        <w:pStyle w:val="BodyText"/>
        <w:spacing w:line="240" w:lineRule="auto" w:before="76"/>
        <w:ind w:left="181" w:right="-20"/>
        <w:jc w:val="left"/>
        <w:rPr>
          <w:rFonts w:ascii="宋体" w:hAnsi="宋体" w:cs="宋体" w:eastAsia="宋体" w:hint="default"/>
        </w:rPr>
      </w:pPr>
      <w:r>
        <w:rPr/>
        <w:br w:type="column"/>
      </w:r>
      <w:r>
        <w:rPr>
          <w:rFonts w:ascii="宋体"/>
        </w:rPr>
        <w:t>07.28</w:t>
      </w:r>
    </w:p>
    <w:p>
      <w:pPr>
        <w:pStyle w:val="BodyText"/>
        <w:spacing w:line="240" w:lineRule="auto" w:before="76"/>
        <w:ind w:left="181" w:right="-20"/>
        <w:jc w:val="left"/>
        <w:rPr>
          <w:rFonts w:ascii="宋体" w:hAnsi="宋体" w:cs="宋体" w:eastAsia="宋体" w:hint="default"/>
        </w:rPr>
      </w:pPr>
      <w:r>
        <w:rPr/>
        <w:br w:type="column"/>
      </w:r>
      <w:r>
        <w:rPr>
          <w:rFonts w:ascii="宋体"/>
        </w:rPr>
        <w:t>55.50</w:t>
      </w:r>
    </w:p>
    <w:p>
      <w:pPr>
        <w:pStyle w:val="BodyText"/>
        <w:spacing w:line="240" w:lineRule="auto" w:before="76"/>
        <w:ind w:left="181" w:right="-20"/>
        <w:jc w:val="left"/>
        <w:rPr>
          <w:rFonts w:ascii="宋体" w:hAnsi="宋体" w:cs="宋体" w:eastAsia="宋体" w:hint="default"/>
        </w:rPr>
      </w:pPr>
      <w:r>
        <w:rPr/>
        <w:br w:type="column"/>
      </w:r>
      <w:r>
        <w:rPr>
          <w:rFonts w:ascii="宋体"/>
        </w:rPr>
        <w:t>5.16</w:t>
      </w:r>
    </w:p>
    <w:p>
      <w:pPr>
        <w:pStyle w:val="BodyText"/>
        <w:spacing w:line="240" w:lineRule="auto" w:before="76"/>
        <w:ind w:left="181" w:right="-20"/>
        <w:jc w:val="left"/>
        <w:rPr>
          <w:rFonts w:ascii="宋体" w:hAnsi="宋体" w:cs="宋体" w:eastAsia="宋体" w:hint="default"/>
        </w:rPr>
      </w:pPr>
      <w:r>
        <w:rPr/>
        <w:br w:type="column"/>
      </w:r>
      <w:r>
        <w:rPr>
          <w:rFonts w:ascii="宋体"/>
        </w:rPr>
        <w:t>3.04</w:t>
      </w:r>
    </w:p>
    <w:p>
      <w:pPr>
        <w:pStyle w:val="BodyText"/>
        <w:spacing w:line="240" w:lineRule="auto" w:before="76"/>
        <w:ind w:left="181" w:right="0"/>
        <w:jc w:val="left"/>
        <w:rPr>
          <w:rFonts w:ascii="宋体" w:hAnsi="宋体" w:cs="宋体" w:eastAsia="宋体" w:hint="default"/>
        </w:rPr>
      </w:pPr>
      <w:r>
        <w:rPr/>
        <w:br w:type="column"/>
      </w:r>
      <w:r>
        <w:rPr>
          <w:rFonts w:ascii="宋体"/>
        </w:rPr>
        <w:t>72.53</w:t>
      </w:r>
    </w:p>
    <w:p>
      <w:pPr>
        <w:spacing w:after="0" w:line="240" w:lineRule="auto"/>
        <w:jc w:val="left"/>
        <w:rPr>
          <w:rFonts w:ascii="宋体" w:hAnsi="宋体" w:cs="宋体" w:eastAsia="宋体" w:hint="default"/>
        </w:rPr>
        <w:sectPr>
          <w:type w:val="continuous"/>
          <w:pgSz w:w="11910" w:h="16840"/>
          <w:pgMar w:top="1060" w:bottom="1380" w:left="980" w:right="0"/>
          <w:cols w:num="9" w:equalWidth="0">
            <w:col w:w="722" w:space="1469"/>
            <w:col w:w="542" w:space="597"/>
            <w:col w:w="1141" w:space="327"/>
            <w:col w:w="542" w:space="237"/>
            <w:col w:w="632" w:space="237"/>
            <w:col w:w="632" w:space="328"/>
            <w:col w:w="542" w:space="327"/>
            <w:col w:w="542" w:space="237"/>
            <w:col w:w="1876"/>
          </w:cols>
        </w:sectPr>
      </w:pPr>
    </w:p>
    <w:p>
      <w:pPr>
        <w:pStyle w:val="BodyText"/>
        <w:spacing w:line="316" w:lineRule="auto" w:before="167"/>
        <w:ind w:left="181" w:right="9915"/>
        <w:jc w:val="left"/>
      </w:pPr>
      <w:r>
        <w:rPr>
          <w:spacing w:val="-18"/>
        </w:rPr>
        <w:t>二、累计摊</w:t>
      </w:r>
      <w:r>
        <w:rPr>
          <w:spacing w:val="-87"/>
        </w:rPr>
        <w:t> </w:t>
      </w:r>
      <w:r>
        <w:rPr>
          <w:spacing w:val="-87"/>
        </w:rPr>
      </w:r>
      <w:r>
        <w:rPr/>
        <w:t>销</w:t>
      </w:r>
    </w:p>
    <w:p>
      <w:pPr>
        <w:spacing w:after="0" w:line="316" w:lineRule="auto"/>
        <w:jc w:val="left"/>
        <w:sectPr>
          <w:type w:val="continuous"/>
          <w:pgSz w:w="11910" w:h="16840"/>
          <w:pgMar w:top="1060" w:bottom="1380" w:left="980" w:right="0"/>
        </w:sectPr>
      </w:pPr>
    </w:p>
    <w:p>
      <w:pPr>
        <w:pStyle w:val="BodyText"/>
        <w:spacing w:line="240" w:lineRule="auto" w:before="109"/>
        <w:ind w:left="541" w:right="-19"/>
        <w:jc w:val="left"/>
      </w:pPr>
      <w:r>
        <w:rPr>
          <w:rFonts w:ascii="宋体" w:hAnsi="宋体" w:cs="宋体" w:eastAsia="宋体" w:hint="default"/>
        </w:rPr>
        <w:t>1.</w:t>
      </w:r>
      <w:r>
        <w:rPr/>
        <w:t>期</w:t>
      </w:r>
    </w:p>
    <w:p>
      <w:pPr>
        <w:pStyle w:val="BodyText"/>
        <w:spacing w:line="240" w:lineRule="auto" w:before="109"/>
        <w:ind w:left="541" w:right="-20"/>
        <w:jc w:val="left"/>
        <w:rPr>
          <w:rFonts w:ascii="宋体" w:hAnsi="宋体" w:cs="宋体" w:eastAsia="宋体" w:hint="default"/>
        </w:rPr>
      </w:pPr>
      <w:r>
        <w:rPr/>
        <w:br w:type="column"/>
      </w:r>
      <w:r>
        <w:rPr>
          <w:rFonts w:ascii="宋体"/>
        </w:rPr>
        <w:t>1,833,229</w:t>
      </w:r>
    </w:p>
    <w:p>
      <w:pPr>
        <w:pStyle w:val="BodyText"/>
        <w:spacing w:line="212" w:lineRule="exact" w:before="265"/>
        <w:ind w:left="18" w:right="-20"/>
        <w:jc w:val="left"/>
        <w:rPr>
          <w:rFonts w:ascii="宋体" w:hAnsi="宋体" w:cs="宋体" w:eastAsia="宋体" w:hint="default"/>
        </w:rPr>
      </w:pPr>
      <w:r>
        <w:rPr/>
        <w:br w:type="column"/>
      </w:r>
      <w:r>
        <w:rPr>
          <w:rFonts w:ascii="宋体"/>
        </w:rPr>
        <w:t>18,878.10</w:t>
      </w:r>
    </w:p>
    <w:p>
      <w:pPr>
        <w:pStyle w:val="BodyText"/>
        <w:spacing w:line="240" w:lineRule="auto" w:before="109"/>
        <w:ind w:left="18" w:right="0"/>
        <w:jc w:val="left"/>
        <w:rPr>
          <w:rFonts w:ascii="宋体" w:hAnsi="宋体" w:cs="宋体" w:eastAsia="宋体" w:hint="default"/>
        </w:rPr>
      </w:pPr>
      <w:r>
        <w:rPr/>
        <w:br w:type="column"/>
      </w:r>
      <w:r>
        <w:rPr>
          <w:rFonts w:ascii="宋体"/>
        </w:rPr>
        <w:t>16,549,55</w:t>
      </w:r>
      <w:r>
        <w:rPr>
          <w:rFonts w:ascii="宋体"/>
          <w:spacing w:val="-31"/>
        </w:rPr>
        <w:t> </w:t>
      </w:r>
      <w:r>
        <w:rPr>
          <w:rFonts w:ascii="宋体"/>
        </w:rPr>
        <w:t>1,156,157</w:t>
      </w:r>
      <w:r>
        <w:rPr>
          <w:rFonts w:ascii="宋体"/>
          <w:spacing w:val="-32"/>
        </w:rPr>
        <w:t> </w:t>
      </w:r>
      <w:r>
        <w:rPr>
          <w:rFonts w:ascii="宋体"/>
        </w:rPr>
        <w:t>5,290,098</w:t>
      </w:r>
      <w:r>
        <w:rPr>
          <w:rFonts w:ascii="宋体"/>
          <w:spacing w:val="-32"/>
        </w:rPr>
        <w:t> </w:t>
      </w:r>
      <w:r>
        <w:rPr>
          <w:rFonts w:ascii="宋体"/>
        </w:rPr>
        <w:t>22,544,97</w:t>
      </w:r>
      <w:r>
        <w:rPr>
          <w:rFonts w:ascii="宋体"/>
          <w:spacing w:val="-30"/>
        </w:rPr>
        <w:t> </w:t>
      </w:r>
      <w:r>
        <w:rPr>
          <w:rFonts w:ascii="宋体"/>
        </w:rPr>
        <w:t>5,872,829</w:t>
      </w:r>
      <w:r>
        <w:rPr>
          <w:rFonts w:ascii="宋体"/>
          <w:spacing w:val="-32"/>
        </w:rPr>
        <w:t> </w:t>
      </w:r>
      <w:r>
        <w:rPr>
          <w:rFonts w:ascii="宋体"/>
        </w:rPr>
        <w:t>35,875,85</w:t>
      </w:r>
      <w:r>
        <w:rPr>
          <w:rFonts w:ascii="宋体"/>
          <w:spacing w:val="-32"/>
        </w:rPr>
        <w:t> </w:t>
      </w:r>
      <w:r>
        <w:rPr>
          <w:rFonts w:ascii="宋体"/>
        </w:rPr>
        <w:t>89,141,57</w:t>
      </w:r>
    </w:p>
    <w:p>
      <w:pPr>
        <w:spacing w:after="0" w:line="240" w:lineRule="auto"/>
        <w:jc w:val="left"/>
        <w:rPr>
          <w:rFonts w:ascii="宋体" w:hAnsi="宋体" w:cs="宋体" w:eastAsia="宋体" w:hint="default"/>
        </w:rPr>
        <w:sectPr>
          <w:type w:val="continuous"/>
          <w:pgSz w:w="11910" w:h="16840"/>
          <w:pgMar w:top="1060" w:bottom="1380" w:left="980" w:right="0"/>
          <w:cols w:num="4" w:equalWidth="0">
            <w:col w:w="903" w:space="479"/>
            <w:col w:w="1352" w:space="40"/>
            <w:col w:w="829" w:space="40"/>
            <w:col w:w="7287"/>
          </w:cols>
        </w:sectPr>
      </w:pPr>
    </w:p>
    <w:p>
      <w:pPr>
        <w:pStyle w:val="BodyText"/>
        <w:spacing w:line="180" w:lineRule="exact"/>
        <w:ind w:left="181" w:right="-20"/>
        <w:jc w:val="left"/>
      </w:pPr>
      <w:r>
        <w:rPr/>
        <w:t>初余额</w:t>
      </w:r>
    </w:p>
    <w:p>
      <w:pPr>
        <w:spacing w:line="180" w:lineRule="exact" w:before="0"/>
        <w:ind w:left="181" w:right="-20" w:firstLine="0"/>
        <w:jc w:val="left"/>
        <w:rPr>
          <w:rFonts w:ascii="宋体" w:hAnsi="宋体" w:cs="宋体" w:eastAsia="宋体" w:hint="default"/>
          <w:sz w:val="18"/>
          <w:szCs w:val="18"/>
        </w:rPr>
      </w:pPr>
      <w:r>
        <w:rPr/>
        <w:br w:type="column"/>
      </w:r>
      <w:r>
        <w:rPr>
          <w:rFonts w:ascii="宋体"/>
          <w:sz w:val="18"/>
        </w:rPr>
        <w:t>.53</w:t>
      </w:r>
    </w:p>
    <w:p>
      <w:pPr>
        <w:pStyle w:val="BodyText"/>
        <w:spacing w:line="180" w:lineRule="exact"/>
        <w:ind w:left="181" w:right="-20"/>
        <w:jc w:val="left"/>
        <w:rPr>
          <w:rFonts w:ascii="宋体" w:hAnsi="宋体" w:cs="宋体" w:eastAsia="宋体" w:hint="default"/>
        </w:rPr>
      </w:pPr>
      <w:r>
        <w:rPr/>
        <w:br w:type="column"/>
      </w:r>
      <w:r>
        <w:rPr>
          <w:rFonts w:ascii="宋体"/>
        </w:rPr>
        <w:t>3.48</w:t>
      </w:r>
    </w:p>
    <w:p>
      <w:pPr>
        <w:spacing w:line="180" w:lineRule="exact" w:before="0"/>
        <w:ind w:left="181" w:right="-20" w:firstLine="0"/>
        <w:jc w:val="left"/>
        <w:rPr>
          <w:rFonts w:ascii="宋体" w:hAnsi="宋体" w:cs="宋体" w:eastAsia="宋体" w:hint="default"/>
          <w:sz w:val="18"/>
          <w:szCs w:val="18"/>
        </w:rPr>
      </w:pPr>
      <w:r>
        <w:rPr/>
        <w:br w:type="column"/>
      </w:r>
      <w:r>
        <w:rPr>
          <w:rFonts w:ascii="宋体"/>
          <w:sz w:val="18"/>
        </w:rPr>
        <w:t>.63</w:t>
      </w:r>
    </w:p>
    <w:p>
      <w:pPr>
        <w:spacing w:line="180" w:lineRule="exact" w:before="0"/>
        <w:ind w:left="181" w:right="-20" w:firstLine="0"/>
        <w:jc w:val="left"/>
        <w:rPr>
          <w:rFonts w:ascii="宋体" w:hAnsi="宋体" w:cs="宋体" w:eastAsia="宋体" w:hint="default"/>
          <w:sz w:val="18"/>
          <w:szCs w:val="18"/>
        </w:rPr>
      </w:pPr>
      <w:r>
        <w:rPr/>
        <w:br w:type="column"/>
      </w:r>
      <w:r>
        <w:rPr>
          <w:rFonts w:ascii="宋体"/>
          <w:sz w:val="18"/>
        </w:rPr>
        <w:t>.71</w:t>
      </w:r>
    </w:p>
    <w:p>
      <w:pPr>
        <w:pStyle w:val="BodyText"/>
        <w:spacing w:line="180" w:lineRule="exact"/>
        <w:ind w:left="181" w:right="-20"/>
        <w:jc w:val="left"/>
        <w:rPr>
          <w:rFonts w:ascii="宋体" w:hAnsi="宋体" w:cs="宋体" w:eastAsia="宋体" w:hint="default"/>
        </w:rPr>
      </w:pPr>
      <w:r>
        <w:rPr/>
        <w:br w:type="column"/>
      </w:r>
      <w:r>
        <w:rPr>
          <w:rFonts w:ascii="宋体"/>
        </w:rPr>
        <w:t>5.02</w:t>
      </w:r>
    </w:p>
    <w:p>
      <w:pPr>
        <w:spacing w:line="180" w:lineRule="exact" w:before="0"/>
        <w:ind w:left="181" w:right="-20" w:firstLine="0"/>
        <w:jc w:val="left"/>
        <w:rPr>
          <w:rFonts w:ascii="宋体" w:hAnsi="宋体" w:cs="宋体" w:eastAsia="宋体" w:hint="default"/>
          <w:sz w:val="18"/>
          <w:szCs w:val="18"/>
        </w:rPr>
      </w:pPr>
      <w:r>
        <w:rPr/>
        <w:br w:type="column"/>
      </w:r>
      <w:r>
        <w:rPr>
          <w:rFonts w:ascii="宋体"/>
          <w:sz w:val="18"/>
        </w:rPr>
        <w:t>.52</w:t>
      </w:r>
    </w:p>
    <w:p>
      <w:pPr>
        <w:pStyle w:val="BodyText"/>
        <w:spacing w:line="180" w:lineRule="exact"/>
        <w:ind w:left="181" w:right="-20"/>
        <w:jc w:val="left"/>
        <w:rPr>
          <w:rFonts w:ascii="宋体" w:hAnsi="宋体" w:cs="宋体" w:eastAsia="宋体" w:hint="default"/>
        </w:rPr>
      </w:pPr>
      <w:r>
        <w:rPr/>
        <w:br w:type="column"/>
      </w:r>
      <w:r>
        <w:rPr>
          <w:rFonts w:ascii="宋体"/>
        </w:rPr>
        <w:t>3.27</w:t>
      </w:r>
    </w:p>
    <w:p>
      <w:pPr>
        <w:pStyle w:val="BodyText"/>
        <w:spacing w:line="180" w:lineRule="exact"/>
        <w:ind w:left="181" w:right="0"/>
        <w:jc w:val="left"/>
        <w:rPr>
          <w:rFonts w:ascii="宋体" w:hAnsi="宋体" w:cs="宋体" w:eastAsia="宋体" w:hint="default"/>
        </w:rPr>
      </w:pPr>
      <w:r>
        <w:rPr/>
        <w:br w:type="column"/>
      </w:r>
      <w:r>
        <w:rPr>
          <w:rFonts w:ascii="宋体"/>
        </w:rPr>
        <w:t>5.26</w:t>
      </w:r>
    </w:p>
    <w:p>
      <w:pPr>
        <w:spacing w:after="0" w:line="180" w:lineRule="exact"/>
        <w:jc w:val="left"/>
        <w:rPr>
          <w:rFonts w:ascii="宋体" w:hAnsi="宋体" w:cs="宋体" w:eastAsia="宋体" w:hint="default"/>
        </w:rPr>
        <w:sectPr>
          <w:type w:val="continuous"/>
          <w:pgSz w:w="11910" w:h="16840"/>
          <w:pgMar w:top="1060" w:bottom="1380" w:left="980" w:right="0"/>
          <w:cols w:num="9" w:equalWidth="0">
            <w:col w:w="722" w:space="1559"/>
            <w:col w:w="452" w:space="1196"/>
            <w:col w:w="542" w:space="417"/>
            <w:col w:w="452" w:space="417"/>
            <w:col w:w="452" w:space="327"/>
            <w:col w:w="542" w:space="418"/>
            <w:col w:w="452" w:space="327"/>
            <w:col w:w="542" w:space="327"/>
            <w:col w:w="1786"/>
          </w:cols>
        </w:sectPr>
      </w:pPr>
    </w:p>
    <w:p>
      <w:pPr>
        <w:pStyle w:val="BodyText"/>
        <w:spacing w:line="310" w:lineRule="atLeast" w:before="92"/>
        <w:ind w:left="181" w:right="-19" w:firstLine="360"/>
        <w:jc w:val="left"/>
      </w:pPr>
      <w:r>
        <w:rPr>
          <w:rFonts w:ascii="宋体" w:hAnsi="宋体" w:cs="宋体" w:eastAsia="宋体" w:hint="default"/>
        </w:rPr>
        <w:t>2.</w:t>
      </w:r>
      <w:r>
        <w:rPr/>
        <w:t>本 期增加金</w:t>
      </w:r>
    </w:p>
    <w:p>
      <w:pPr>
        <w:pStyle w:val="BodyText"/>
        <w:spacing w:line="240" w:lineRule="auto" w:before="322"/>
        <w:ind w:left="181" w:right="0"/>
        <w:jc w:val="left"/>
        <w:rPr>
          <w:rFonts w:ascii="宋体" w:hAnsi="宋体" w:cs="宋体" w:eastAsia="宋体" w:hint="default"/>
        </w:rPr>
      </w:pPr>
      <w:r>
        <w:rPr/>
        <w:br w:type="column"/>
      </w:r>
      <w:r>
        <w:rPr>
          <w:rFonts w:ascii="宋体"/>
        </w:rPr>
        <w:t>5,328,300</w:t>
      </w:r>
      <w:r>
        <w:rPr>
          <w:rFonts w:ascii="宋体"/>
          <w:spacing w:val="-32"/>
        </w:rPr>
        <w:t> </w:t>
      </w:r>
      <w:r>
        <w:rPr>
          <w:rFonts w:ascii="宋体"/>
        </w:rPr>
        <w:t>226,537.2</w:t>
      </w:r>
      <w:r>
        <w:rPr>
          <w:rFonts w:ascii="宋体"/>
          <w:spacing w:val="-32"/>
        </w:rPr>
        <w:t> </w:t>
      </w:r>
      <w:r>
        <w:rPr>
          <w:rFonts w:ascii="宋体"/>
        </w:rPr>
        <w:t>16,994,19</w:t>
      </w:r>
      <w:r>
        <w:rPr>
          <w:rFonts w:ascii="宋体"/>
          <w:spacing w:val="-31"/>
        </w:rPr>
        <w:t> </w:t>
      </w:r>
      <w:r>
        <w:rPr>
          <w:rFonts w:ascii="宋体"/>
        </w:rPr>
        <w:t>4,394,777</w:t>
      </w:r>
      <w:r>
        <w:rPr>
          <w:rFonts w:ascii="宋体"/>
          <w:spacing w:val="-32"/>
        </w:rPr>
        <w:t> </w:t>
      </w:r>
      <w:r>
        <w:rPr>
          <w:rFonts w:ascii="宋体"/>
        </w:rPr>
        <w:t>10,355,60</w:t>
      </w:r>
      <w:r>
        <w:rPr>
          <w:rFonts w:ascii="宋体"/>
          <w:spacing w:val="-32"/>
        </w:rPr>
        <w:t> </w:t>
      </w:r>
      <w:r>
        <w:rPr>
          <w:rFonts w:ascii="宋体"/>
        </w:rPr>
        <w:t>10,424,15</w:t>
      </w:r>
      <w:r>
        <w:rPr>
          <w:rFonts w:ascii="宋体"/>
          <w:spacing w:val="-30"/>
        </w:rPr>
        <w:t> </w:t>
      </w:r>
      <w:r>
        <w:rPr>
          <w:rFonts w:ascii="宋体"/>
        </w:rPr>
        <w:t>1,290,504</w:t>
      </w:r>
      <w:r>
        <w:rPr>
          <w:rFonts w:ascii="宋体"/>
          <w:spacing w:val="-32"/>
        </w:rPr>
        <w:t> </w:t>
      </w:r>
      <w:r>
        <w:rPr>
          <w:rFonts w:ascii="宋体"/>
        </w:rPr>
        <w:t>14,993,05</w:t>
      </w:r>
      <w:r>
        <w:rPr>
          <w:rFonts w:ascii="宋体"/>
          <w:spacing w:val="-32"/>
        </w:rPr>
        <w:t> </w:t>
      </w:r>
      <w:r>
        <w:rPr>
          <w:rFonts w:ascii="宋体"/>
        </w:rPr>
        <w:t>64,007,13</w:t>
      </w:r>
    </w:p>
    <w:p>
      <w:pPr>
        <w:spacing w:after="0" w:line="240" w:lineRule="auto"/>
        <w:jc w:val="left"/>
        <w:rPr>
          <w:rFonts w:ascii="宋体" w:hAnsi="宋体" w:cs="宋体" w:eastAsia="宋体" w:hint="default"/>
        </w:rPr>
        <w:sectPr>
          <w:type w:val="continuous"/>
          <w:pgSz w:w="11910" w:h="16840"/>
          <w:pgMar w:top="1060" w:bottom="1380" w:left="980" w:right="0"/>
          <w:cols w:num="2" w:equalWidth="0">
            <w:col w:w="903" w:space="839"/>
            <w:col w:w="9188"/>
          </w:cols>
        </w:sectPr>
      </w:pPr>
    </w:p>
    <w:p>
      <w:pPr>
        <w:pStyle w:val="BodyText"/>
        <w:spacing w:line="117" w:lineRule="exact"/>
        <w:ind w:left="0" w:right="0"/>
        <w:jc w:val="right"/>
        <w:rPr>
          <w:rFonts w:ascii="宋体" w:hAnsi="宋体" w:cs="宋体" w:eastAsia="宋体" w:hint="default"/>
        </w:rPr>
      </w:pPr>
      <w:r>
        <w:rPr>
          <w:rFonts w:ascii="宋体"/>
        </w:rPr>
        <w:t>.89</w:t>
      </w:r>
    </w:p>
    <w:p>
      <w:pPr>
        <w:pStyle w:val="BodyText"/>
        <w:spacing w:line="196" w:lineRule="exact"/>
        <w:ind w:left="181" w:right="-20"/>
        <w:jc w:val="left"/>
      </w:pPr>
      <w:r>
        <w:rPr/>
        <w:t>额</w:t>
      </w:r>
    </w:p>
    <w:p>
      <w:pPr>
        <w:pStyle w:val="BodyText"/>
        <w:tabs>
          <w:tab w:pos="780" w:val="left" w:leader="none"/>
        </w:tabs>
        <w:spacing w:line="157" w:lineRule="exact"/>
        <w:ind w:left="181" w:right="-20"/>
        <w:jc w:val="left"/>
        <w:rPr>
          <w:rFonts w:ascii="宋体" w:hAnsi="宋体" w:cs="宋体" w:eastAsia="宋体" w:hint="default"/>
        </w:rPr>
      </w:pPr>
      <w:r>
        <w:rPr/>
        <w:br w:type="column"/>
      </w:r>
      <w:r>
        <w:rPr>
          <w:rFonts w:ascii="宋体"/>
        </w:rPr>
        <w:t>0</w:t>
        <w:tab/>
        <w:t>6.66</w:t>
      </w:r>
    </w:p>
    <w:p>
      <w:pPr>
        <w:spacing w:line="157" w:lineRule="exact" w:before="0"/>
        <w:ind w:left="181" w:right="-20" w:firstLine="0"/>
        <w:jc w:val="left"/>
        <w:rPr>
          <w:rFonts w:ascii="宋体" w:hAnsi="宋体" w:cs="宋体" w:eastAsia="宋体" w:hint="default"/>
          <w:sz w:val="18"/>
          <w:szCs w:val="18"/>
        </w:rPr>
      </w:pPr>
      <w:r>
        <w:rPr/>
        <w:br w:type="column"/>
      </w:r>
      <w:r>
        <w:rPr>
          <w:rFonts w:ascii="宋体"/>
          <w:sz w:val="18"/>
        </w:rPr>
        <w:t>.52</w:t>
      </w:r>
    </w:p>
    <w:p>
      <w:pPr>
        <w:pStyle w:val="BodyText"/>
        <w:spacing w:line="157" w:lineRule="exact"/>
        <w:ind w:left="181" w:right="-20"/>
        <w:jc w:val="left"/>
        <w:rPr>
          <w:rFonts w:ascii="宋体" w:hAnsi="宋体" w:cs="宋体" w:eastAsia="宋体" w:hint="default"/>
        </w:rPr>
      </w:pPr>
      <w:r>
        <w:rPr/>
        <w:br w:type="column"/>
      </w:r>
      <w:r>
        <w:rPr>
          <w:rFonts w:ascii="宋体"/>
        </w:rPr>
        <w:t>5.18</w:t>
      </w:r>
    </w:p>
    <w:p>
      <w:pPr>
        <w:pStyle w:val="BodyText"/>
        <w:spacing w:line="157" w:lineRule="exact"/>
        <w:ind w:left="181" w:right="-20"/>
        <w:jc w:val="left"/>
        <w:rPr>
          <w:rFonts w:ascii="宋体" w:hAnsi="宋体" w:cs="宋体" w:eastAsia="宋体" w:hint="default"/>
        </w:rPr>
      </w:pPr>
      <w:r>
        <w:rPr/>
        <w:br w:type="column"/>
      </w:r>
      <w:r>
        <w:rPr>
          <w:rFonts w:ascii="宋体"/>
        </w:rPr>
        <w:t>2.63</w:t>
      </w:r>
    </w:p>
    <w:p>
      <w:pPr>
        <w:spacing w:line="157" w:lineRule="exact" w:before="0"/>
        <w:ind w:left="181" w:right="-20" w:firstLine="0"/>
        <w:jc w:val="left"/>
        <w:rPr>
          <w:rFonts w:ascii="宋体" w:hAnsi="宋体" w:cs="宋体" w:eastAsia="宋体" w:hint="default"/>
          <w:sz w:val="18"/>
          <w:szCs w:val="18"/>
        </w:rPr>
      </w:pPr>
      <w:r>
        <w:rPr/>
        <w:br w:type="column"/>
      </w:r>
      <w:r>
        <w:rPr>
          <w:rFonts w:ascii="宋体"/>
          <w:sz w:val="18"/>
        </w:rPr>
        <w:t>.49</w:t>
      </w:r>
    </w:p>
    <w:p>
      <w:pPr>
        <w:pStyle w:val="BodyText"/>
        <w:spacing w:line="157" w:lineRule="exact"/>
        <w:ind w:left="181" w:right="-20"/>
        <w:jc w:val="left"/>
        <w:rPr>
          <w:rFonts w:ascii="宋体" w:hAnsi="宋体" w:cs="宋体" w:eastAsia="宋体" w:hint="default"/>
        </w:rPr>
      </w:pPr>
      <w:r>
        <w:rPr/>
        <w:br w:type="column"/>
      </w:r>
      <w:r>
        <w:rPr>
          <w:rFonts w:ascii="宋体"/>
        </w:rPr>
        <w:t>5.63</w:t>
      </w:r>
    </w:p>
    <w:p>
      <w:pPr>
        <w:pStyle w:val="BodyText"/>
        <w:spacing w:line="157" w:lineRule="exact"/>
        <w:ind w:left="181" w:right="0"/>
        <w:jc w:val="left"/>
        <w:rPr>
          <w:rFonts w:ascii="宋体" w:hAnsi="宋体" w:cs="宋体" w:eastAsia="宋体" w:hint="default"/>
        </w:rPr>
      </w:pPr>
      <w:r>
        <w:rPr/>
        <w:br w:type="column"/>
      </w:r>
      <w:r>
        <w:rPr>
          <w:rFonts w:ascii="宋体"/>
        </w:rPr>
        <w:t>0.20</w:t>
      </w:r>
    </w:p>
    <w:p>
      <w:pPr>
        <w:spacing w:after="0" w:line="157" w:lineRule="exact"/>
        <w:jc w:val="left"/>
        <w:rPr>
          <w:rFonts w:ascii="宋体" w:hAnsi="宋体" w:cs="宋体" w:eastAsia="宋体" w:hint="default"/>
        </w:rPr>
        <w:sectPr>
          <w:type w:val="continuous"/>
          <w:pgSz w:w="11910" w:h="16840"/>
          <w:pgMar w:top="1060" w:bottom="1380" w:left="980" w:right="0"/>
          <w:cols w:num="8" w:equalWidth="0">
            <w:col w:w="2734" w:space="597"/>
            <w:col w:w="1141" w:space="417"/>
            <w:col w:w="452" w:space="327"/>
            <w:col w:w="542" w:space="327"/>
            <w:col w:w="542" w:space="418"/>
            <w:col w:w="452" w:space="327"/>
            <w:col w:w="542" w:space="327"/>
            <w:col w:w="1785"/>
          </w:cols>
        </w:sectPr>
      </w:pPr>
    </w:p>
    <w:p>
      <w:pPr>
        <w:pStyle w:val="BodyText"/>
        <w:tabs>
          <w:tab w:pos="1923" w:val="left" w:leader="none"/>
        </w:tabs>
        <w:spacing w:line="240" w:lineRule="auto" w:before="166"/>
        <w:ind w:left="635" w:right="0"/>
        <w:jc w:val="left"/>
        <w:rPr>
          <w:rFonts w:ascii="宋体" w:hAnsi="宋体" w:cs="宋体" w:eastAsia="宋体" w:hint="default"/>
        </w:rPr>
      </w:pPr>
      <w:r>
        <w:rPr/>
        <w:t>（</w:t>
      </w:r>
      <w:r>
        <w:rPr>
          <w:rFonts w:ascii="宋体" w:hAnsi="宋体" w:cs="宋体" w:eastAsia="宋体" w:hint="default"/>
        </w:rPr>
        <w:t>1</w:t>
      </w:r>
      <w:r>
        <w:rPr/>
        <w:t>）</w:t>
        <w:tab/>
      </w:r>
      <w:r>
        <w:rPr>
          <w:rFonts w:ascii="宋体" w:hAnsi="宋体" w:cs="宋体" w:eastAsia="宋体" w:hint="default"/>
        </w:rPr>
        <w:t>5,328,300</w:t>
      </w:r>
      <w:r>
        <w:rPr>
          <w:rFonts w:ascii="宋体" w:hAnsi="宋体" w:cs="宋体" w:eastAsia="宋体" w:hint="default"/>
          <w:spacing w:val="-32"/>
        </w:rPr>
        <w:t> </w:t>
      </w:r>
      <w:r>
        <w:rPr>
          <w:rFonts w:ascii="宋体" w:hAnsi="宋体" w:cs="宋体" w:eastAsia="宋体" w:hint="default"/>
        </w:rPr>
        <w:t>226,537.2</w:t>
      </w:r>
      <w:r>
        <w:rPr>
          <w:rFonts w:ascii="宋体" w:hAnsi="宋体" w:cs="宋体" w:eastAsia="宋体" w:hint="default"/>
          <w:spacing w:val="-32"/>
        </w:rPr>
        <w:t> </w:t>
      </w:r>
      <w:r>
        <w:rPr>
          <w:rFonts w:ascii="宋体" w:hAnsi="宋体" w:cs="宋体" w:eastAsia="宋体" w:hint="default"/>
        </w:rPr>
        <w:t>16,994,19</w:t>
      </w:r>
      <w:r>
        <w:rPr>
          <w:rFonts w:ascii="宋体" w:hAnsi="宋体" w:cs="宋体" w:eastAsia="宋体" w:hint="default"/>
          <w:spacing w:val="-31"/>
        </w:rPr>
        <w:t> </w:t>
      </w:r>
      <w:r>
        <w:rPr>
          <w:rFonts w:ascii="宋体" w:hAnsi="宋体" w:cs="宋体" w:eastAsia="宋体" w:hint="default"/>
        </w:rPr>
        <w:t>4,394,777</w:t>
      </w:r>
      <w:r>
        <w:rPr>
          <w:rFonts w:ascii="宋体" w:hAnsi="宋体" w:cs="宋体" w:eastAsia="宋体" w:hint="default"/>
          <w:spacing w:val="-32"/>
        </w:rPr>
        <w:t> </w:t>
      </w:r>
      <w:r>
        <w:rPr>
          <w:rFonts w:ascii="宋体" w:hAnsi="宋体" w:cs="宋体" w:eastAsia="宋体" w:hint="default"/>
        </w:rPr>
        <w:t>10,355,60</w:t>
      </w:r>
      <w:r>
        <w:rPr>
          <w:rFonts w:ascii="宋体" w:hAnsi="宋体" w:cs="宋体" w:eastAsia="宋体" w:hint="default"/>
          <w:spacing w:val="-32"/>
        </w:rPr>
        <w:t> </w:t>
      </w:r>
      <w:r>
        <w:rPr>
          <w:rFonts w:ascii="宋体" w:hAnsi="宋体" w:cs="宋体" w:eastAsia="宋体" w:hint="default"/>
        </w:rPr>
        <w:t>10,424,15</w:t>
      </w:r>
      <w:r>
        <w:rPr>
          <w:rFonts w:ascii="宋体" w:hAnsi="宋体" w:cs="宋体" w:eastAsia="宋体" w:hint="default"/>
          <w:spacing w:val="-30"/>
        </w:rPr>
        <w:t> </w:t>
      </w:r>
      <w:r>
        <w:rPr>
          <w:rFonts w:ascii="宋体" w:hAnsi="宋体" w:cs="宋体" w:eastAsia="宋体" w:hint="default"/>
        </w:rPr>
        <w:t>1,290,504</w:t>
      </w:r>
      <w:r>
        <w:rPr>
          <w:rFonts w:ascii="宋体" w:hAnsi="宋体" w:cs="宋体" w:eastAsia="宋体" w:hint="default"/>
          <w:spacing w:val="-32"/>
        </w:rPr>
        <w:t> </w:t>
      </w:r>
      <w:r>
        <w:rPr>
          <w:rFonts w:ascii="宋体" w:hAnsi="宋体" w:cs="宋体" w:eastAsia="宋体" w:hint="default"/>
        </w:rPr>
        <w:t>14,993,05</w:t>
      </w:r>
      <w:r>
        <w:rPr>
          <w:rFonts w:ascii="宋体" w:hAnsi="宋体" w:cs="宋体" w:eastAsia="宋体" w:hint="default"/>
          <w:spacing w:val="-32"/>
        </w:rPr>
        <w:t> </w:t>
      </w:r>
      <w:r>
        <w:rPr>
          <w:rFonts w:ascii="宋体" w:hAnsi="宋体" w:cs="宋体" w:eastAsia="宋体" w:hint="default"/>
        </w:rPr>
        <w:t>64,007,13</w:t>
      </w:r>
    </w:p>
    <w:p>
      <w:pPr>
        <w:spacing w:after="0" w:line="240" w:lineRule="auto"/>
        <w:jc w:val="left"/>
        <w:rPr>
          <w:rFonts w:ascii="宋体" w:hAnsi="宋体" w:cs="宋体" w:eastAsia="宋体" w:hint="default"/>
        </w:rPr>
        <w:sectPr>
          <w:type w:val="continuous"/>
          <w:pgSz w:w="11910" w:h="16840"/>
          <w:pgMar w:top="1060" w:bottom="1380" w:left="980" w:right="0"/>
        </w:sectPr>
      </w:pPr>
    </w:p>
    <w:p>
      <w:pPr>
        <w:pStyle w:val="BodyText"/>
        <w:tabs>
          <w:tab w:pos="2463" w:val="left" w:leader="none"/>
        </w:tabs>
        <w:spacing w:line="240" w:lineRule="auto" w:before="76"/>
        <w:ind w:left="181" w:right="-20"/>
        <w:jc w:val="left"/>
        <w:rPr>
          <w:rFonts w:ascii="宋体" w:hAnsi="宋体" w:cs="宋体" w:eastAsia="宋体" w:hint="default"/>
        </w:rPr>
      </w:pPr>
      <w:r>
        <w:rPr/>
        <w:t>计提</w:t>
        <w:tab/>
      </w:r>
      <w:r>
        <w:rPr>
          <w:rFonts w:ascii="宋体" w:hAnsi="宋体" w:cs="宋体" w:eastAsia="宋体" w:hint="default"/>
        </w:rPr>
        <w:t>.89</w:t>
      </w:r>
    </w:p>
    <w:p>
      <w:pPr>
        <w:pStyle w:val="BodyText"/>
        <w:tabs>
          <w:tab w:pos="780" w:val="left" w:leader="none"/>
        </w:tabs>
        <w:spacing w:line="240" w:lineRule="auto" w:before="76"/>
        <w:ind w:left="181" w:right="-20"/>
        <w:jc w:val="left"/>
        <w:rPr>
          <w:rFonts w:ascii="宋体" w:hAnsi="宋体" w:cs="宋体" w:eastAsia="宋体" w:hint="default"/>
        </w:rPr>
      </w:pPr>
      <w:r>
        <w:rPr/>
        <w:br w:type="column"/>
      </w:r>
      <w:r>
        <w:rPr>
          <w:rFonts w:ascii="宋体"/>
        </w:rPr>
        <w:t>0</w:t>
        <w:tab/>
        <w:t>6.66</w:t>
      </w:r>
    </w:p>
    <w:p>
      <w:pPr>
        <w:spacing w:before="76"/>
        <w:ind w:left="181" w:right="-20" w:firstLine="0"/>
        <w:jc w:val="left"/>
        <w:rPr>
          <w:rFonts w:ascii="宋体" w:hAnsi="宋体" w:cs="宋体" w:eastAsia="宋体" w:hint="default"/>
          <w:sz w:val="18"/>
          <w:szCs w:val="18"/>
        </w:rPr>
      </w:pPr>
      <w:r>
        <w:rPr/>
        <w:br w:type="column"/>
      </w:r>
      <w:r>
        <w:rPr>
          <w:rFonts w:ascii="宋体"/>
          <w:sz w:val="18"/>
        </w:rPr>
        <w:t>.52</w:t>
      </w:r>
    </w:p>
    <w:p>
      <w:pPr>
        <w:pStyle w:val="BodyText"/>
        <w:spacing w:line="240" w:lineRule="auto" w:before="76"/>
        <w:ind w:left="181" w:right="-20"/>
        <w:jc w:val="left"/>
        <w:rPr>
          <w:rFonts w:ascii="宋体" w:hAnsi="宋体" w:cs="宋体" w:eastAsia="宋体" w:hint="default"/>
        </w:rPr>
      </w:pPr>
      <w:r>
        <w:rPr/>
        <w:br w:type="column"/>
      </w:r>
      <w:r>
        <w:rPr>
          <w:rFonts w:ascii="宋体"/>
        </w:rPr>
        <w:t>5.18</w:t>
      </w:r>
    </w:p>
    <w:p>
      <w:pPr>
        <w:pStyle w:val="BodyText"/>
        <w:spacing w:line="240" w:lineRule="auto" w:before="76"/>
        <w:ind w:left="181" w:right="-20"/>
        <w:jc w:val="left"/>
        <w:rPr>
          <w:rFonts w:ascii="宋体" w:hAnsi="宋体" w:cs="宋体" w:eastAsia="宋体" w:hint="default"/>
        </w:rPr>
      </w:pPr>
      <w:r>
        <w:rPr/>
        <w:br w:type="column"/>
      </w:r>
      <w:r>
        <w:rPr>
          <w:rFonts w:ascii="宋体"/>
        </w:rPr>
        <w:t>2.63</w:t>
      </w:r>
    </w:p>
    <w:p>
      <w:pPr>
        <w:spacing w:before="76"/>
        <w:ind w:left="181" w:right="-20" w:firstLine="0"/>
        <w:jc w:val="left"/>
        <w:rPr>
          <w:rFonts w:ascii="宋体" w:hAnsi="宋体" w:cs="宋体" w:eastAsia="宋体" w:hint="default"/>
          <w:sz w:val="18"/>
          <w:szCs w:val="18"/>
        </w:rPr>
      </w:pPr>
      <w:r>
        <w:rPr/>
        <w:br w:type="column"/>
      </w:r>
      <w:r>
        <w:rPr>
          <w:rFonts w:ascii="宋体"/>
          <w:sz w:val="18"/>
        </w:rPr>
        <w:t>.49</w:t>
      </w:r>
    </w:p>
    <w:p>
      <w:pPr>
        <w:pStyle w:val="BodyText"/>
        <w:spacing w:line="240" w:lineRule="auto" w:before="76"/>
        <w:ind w:left="181" w:right="-20"/>
        <w:jc w:val="left"/>
        <w:rPr>
          <w:rFonts w:ascii="宋体" w:hAnsi="宋体" w:cs="宋体" w:eastAsia="宋体" w:hint="default"/>
        </w:rPr>
      </w:pPr>
      <w:r>
        <w:rPr/>
        <w:br w:type="column"/>
      </w:r>
      <w:r>
        <w:rPr>
          <w:rFonts w:ascii="宋体"/>
        </w:rPr>
        <w:t>5.63</w:t>
      </w:r>
    </w:p>
    <w:p>
      <w:pPr>
        <w:pStyle w:val="BodyText"/>
        <w:spacing w:line="240" w:lineRule="auto" w:before="76"/>
        <w:ind w:left="181" w:right="0"/>
        <w:jc w:val="left"/>
        <w:rPr>
          <w:rFonts w:ascii="宋体" w:hAnsi="宋体" w:cs="宋体" w:eastAsia="宋体" w:hint="default"/>
        </w:rPr>
      </w:pPr>
      <w:r>
        <w:rPr/>
        <w:br w:type="column"/>
      </w:r>
      <w:r>
        <w:rPr>
          <w:rFonts w:ascii="宋体"/>
        </w:rPr>
        <w:t>0.20</w:t>
      </w:r>
    </w:p>
    <w:p>
      <w:pPr>
        <w:spacing w:after="0" w:line="240" w:lineRule="auto"/>
        <w:jc w:val="left"/>
        <w:rPr>
          <w:rFonts w:ascii="宋体" w:hAnsi="宋体" w:cs="宋体" w:eastAsia="宋体" w:hint="default"/>
        </w:rPr>
        <w:sectPr>
          <w:type w:val="continuous"/>
          <w:pgSz w:w="11910" w:h="16840"/>
          <w:pgMar w:top="1060" w:bottom="1380" w:left="980" w:right="0"/>
          <w:cols w:num="8" w:equalWidth="0">
            <w:col w:w="2734" w:space="597"/>
            <w:col w:w="1141" w:space="417"/>
            <w:col w:w="452" w:space="327"/>
            <w:col w:w="542" w:space="327"/>
            <w:col w:w="542" w:space="418"/>
            <w:col w:w="452" w:space="327"/>
            <w:col w:w="542" w:space="327"/>
            <w:col w:w="1785"/>
          </w:cols>
        </w:sectPr>
      </w:pPr>
    </w:p>
    <w:p>
      <w:pPr>
        <w:pStyle w:val="BodyText"/>
        <w:spacing w:line="240" w:lineRule="auto" w:before="166"/>
        <w:ind w:left="0" w:right="1238"/>
        <w:jc w:val="right"/>
        <w:rPr>
          <w:rFonts w:ascii="宋体" w:hAnsi="宋体" w:cs="宋体" w:eastAsia="宋体" w:hint="default"/>
        </w:rPr>
      </w:pPr>
      <w:r>
        <w:rPr>
          <w:rFonts w:ascii="宋体"/>
        </w:rPr>
        <w:t>64,007,13</w:t>
      </w:r>
    </w:p>
    <w:p>
      <w:pPr>
        <w:pStyle w:val="BodyText"/>
        <w:spacing w:line="240" w:lineRule="auto" w:before="76"/>
        <w:ind w:left="0" w:right="1238"/>
        <w:jc w:val="right"/>
        <w:rPr>
          <w:rFonts w:ascii="宋体" w:hAnsi="宋体" w:cs="宋体" w:eastAsia="宋体" w:hint="default"/>
        </w:rPr>
      </w:pPr>
      <w:r>
        <w:rPr>
          <w:rFonts w:ascii="宋体"/>
        </w:rPr>
        <w:t>0.20</w:t>
      </w:r>
    </w:p>
    <w:p>
      <w:pPr>
        <w:spacing w:after="0" w:line="240" w:lineRule="auto"/>
        <w:jc w:val="right"/>
        <w:rPr>
          <w:rFonts w:ascii="宋体" w:hAnsi="宋体" w:cs="宋体" w:eastAsia="宋体" w:hint="default"/>
        </w:rPr>
        <w:sectPr>
          <w:type w:val="continuous"/>
          <w:pgSz w:w="11910" w:h="16840"/>
          <w:pgMar w:top="1060" w:bottom="1380" w:left="980" w:right="0"/>
        </w:sectPr>
      </w:pPr>
    </w:p>
    <w:p>
      <w:pPr>
        <w:pStyle w:val="BodyText"/>
        <w:spacing w:line="310" w:lineRule="atLeast" w:before="92"/>
        <w:ind w:left="181" w:right="-19" w:firstLine="360"/>
        <w:jc w:val="left"/>
      </w:pPr>
      <w:r>
        <w:rPr>
          <w:rFonts w:ascii="宋体" w:hAnsi="宋体" w:cs="宋体" w:eastAsia="宋体" w:hint="default"/>
        </w:rPr>
        <w:t>3.</w:t>
      </w:r>
      <w:r>
        <w:rPr/>
        <w:t>本 期减少金</w:t>
      </w:r>
    </w:p>
    <w:p>
      <w:pPr>
        <w:pStyle w:val="BodyText"/>
        <w:spacing w:line="240" w:lineRule="auto" w:before="322"/>
        <w:ind w:left="181" w:right="0"/>
        <w:jc w:val="left"/>
        <w:rPr>
          <w:rFonts w:ascii="宋体" w:hAnsi="宋体" w:cs="宋体" w:eastAsia="宋体" w:hint="default"/>
        </w:rPr>
      </w:pPr>
      <w:r>
        <w:rPr/>
        <w:br w:type="column"/>
      </w:r>
      <w:r>
        <w:rPr>
          <w:rFonts w:ascii="宋体"/>
        </w:rPr>
        <w:t>1,037,735</w:t>
      </w:r>
      <w:r>
        <w:rPr>
          <w:rFonts w:ascii="宋体"/>
          <w:spacing w:val="-32"/>
        </w:rPr>
        <w:t> </w:t>
      </w:r>
      <w:r>
        <w:rPr>
          <w:rFonts w:ascii="宋体"/>
        </w:rPr>
        <w:t>1,037,735</w:t>
      </w:r>
    </w:p>
    <w:p>
      <w:pPr>
        <w:spacing w:after="0" w:line="240" w:lineRule="auto"/>
        <w:jc w:val="left"/>
        <w:rPr>
          <w:rFonts w:ascii="宋体" w:hAnsi="宋体" w:cs="宋体" w:eastAsia="宋体" w:hint="default"/>
        </w:rPr>
        <w:sectPr>
          <w:type w:val="continuous"/>
          <w:pgSz w:w="11910" w:h="16840"/>
          <w:pgMar w:top="1060" w:bottom="1380" w:left="980" w:right="0"/>
          <w:cols w:num="2" w:equalWidth="0">
            <w:col w:w="903" w:space="6923"/>
            <w:col w:w="3104"/>
          </w:cols>
        </w:sectPr>
      </w:pPr>
    </w:p>
    <w:p>
      <w:pPr>
        <w:pStyle w:val="BodyText"/>
        <w:spacing w:line="117" w:lineRule="exact"/>
        <w:ind w:left="0" w:right="0"/>
        <w:jc w:val="right"/>
        <w:rPr>
          <w:rFonts w:ascii="宋体" w:hAnsi="宋体" w:cs="宋体" w:eastAsia="宋体" w:hint="default"/>
        </w:rPr>
      </w:pPr>
      <w:r>
        <w:rPr>
          <w:rFonts w:ascii="宋体"/>
        </w:rPr>
        <w:t>.84</w:t>
      </w:r>
    </w:p>
    <w:p>
      <w:pPr>
        <w:pStyle w:val="BodyText"/>
        <w:spacing w:line="196" w:lineRule="exact"/>
        <w:ind w:left="181" w:right="0"/>
        <w:jc w:val="left"/>
      </w:pPr>
      <w:r>
        <w:rPr/>
        <w:t>额</w:t>
      </w:r>
    </w:p>
    <w:p>
      <w:pPr>
        <w:spacing w:line="157" w:lineRule="exact" w:before="0"/>
        <w:ind w:left="181" w:right="0" w:firstLine="0"/>
        <w:jc w:val="left"/>
        <w:rPr>
          <w:rFonts w:ascii="宋体" w:hAnsi="宋体" w:cs="宋体" w:eastAsia="宋体" w:hint="default"/>
          <w:sz w:val="18"/>
          <w:szCs w:val="18"/>
        </w:rPr>
      </w:pPr>
      <w:r>
        <w:rPr/>
        <w:br w:type="column"/>
      </w:r>
      <w:r>
        <w:rPr>
          <w:rFonts w:ascii="宋体"/>
          <w:sz w:val="18"/>
        </w:rPr>
        <w:t>.84</w:t>
      </w:r>
    </w:p>
    <w:p>
      <w:pPr>
        <w:spacing w:after="0" w:line="157" w:lineRule="exact"/>
        <w:jc w:val="left"/>
        <w:rPr>
          <w:rFonts w:ascii="宋体" w:hAnsi="宋体" w:cs="宋体" w:eastAsia="宋体" w:hint="default"/>
          <w:sz w:val="18"/>
          <w:szCs w:val="18"/>
        </w:rPr>
        <w:sectPr>
          <w:type w:val="continuous"/>
          <w:pgSz w:w="11910" w:h="16840"/>
          <w:pgMar w:top="1060" w:bottom="1380" w:left="980" w:right="0"/>
          <w:cols w:num="2" w:equalWidth="0">
            <w:col w:w="8817" w:space="417"/>
            <w:col w:w="1696"/>
          </w:cols>
        </w:sectPr>
      </w:pPr>
    </w:p>
    <w:p>
      <w:pPr>
        <w:pStyle w:val="BodyText"/>
        <w:spacing w:line="240" w:lineRule="auto" w:before="166"/>
        <w:ind w:left="635" w:right="0"/>
        <w:jc w:val="left"/>
      </w:pPr>
      <w:r>
        <w:rPr/>
        <w:t>（</w:t>
      </w:r>
      <w:r>
        <w:rPr>
          <w:rFonts w:ascii="宋体" w:hAnsi="宋体" w:cs="宋体" w:eastAsia="宋体" w:hint="default"/>
        </w:rPr>
        <w:t>1</w:t>
      </w:r>
      <w:r>
        <w:rPr/>
        <w:t>）</w:t>
      </w:r>
    </w:p>
    <w:p>
      <w:pPr>
        <w:pStyle w:val="BodyText"/>
        <w:spacing w:line="240" w:lineRule="auto" w:before="77"/>
        <w:ind w:left="181" w:right="0"/>
        <w:jc w:val="left"/>
      </w:pPr>
      <w:r>
        <w:rPr/>
        <w:t>处置</w:t>
      </w:r>
    </w:p>
    <w:p>
      <w:pPr>
        <w:spacing w:after="0" w:line="240" w:lineRule="auto"/>
        <w:jc w:val="left"/>
        <w:sectPr>
          <w:type w:val="continuous"/>
          <w:pgSz w:w="11910" w:h="16840"/>
          <w:pgMar w:top="1060" w:bottom="1380" w:left="980" w:right="0"/>
        </w:sectPr>
      </w:pPr>
    </w:p>
    <w:p>
      <w:pPr>
        <w:pStyle w:val="BodyText"/>
        <w:spacing w:line="310" w:lineRule="atLeast" w:before="92"/>
        <w:ind w:left="181" w:right="-20"/>
        <w:jc w:val="left"/>
      </w:pPr>
      <w:r>
        <w:rPr/>
        <w:t>外币报表 折算的影</w:t>
      </w:r>
    </w:p>
    <w:p>
      <w:pPr>
        <w:pStyle w:val="BodyText"/>
        <w:spacing w:line="240" w:lineRule="auto" w:before="322"/>
        <w:ind w:left="181" w:right="-20"/>
        <w:jc w:val="left"/>
        <w:rPr>
          <w:rFonts w:ascii="宋体" w:hAnsi="宋体" w:cs="宋体" w:eastAsia="宋体" w:hint="default"/>
        </w:rPr>
      </w:pPr>
      <w:r>
        <w:rPr/>
        <w:br w:type="column"/>
      </w:r>
      <w:r>
        <w:rPr>
          <w:rFonts w:ascii="宋体"/>
        </w:rPr>
        <w:t>-225,395.</w:t>
      </w:r>
    </w:p>
    <w:p>
      <w:pPr>
        <w:pStyle w:val="BodyText"/>
        <w:spacing w:line="240" w:lineRule="auto" w:before="322"/>
        <w:ind w:left="181" w:right="-18"/>
        <w:jc w:val="left"/>
        <w:rPr>
          <w:rFonts w:ascii="宋体" w:hAnsi="宋体" w:cs="宋体" w:eastAsia="宋体" w:hint="default"/>
        </w:rPr>
      </w:pPr>
      <w:r>
        <w:rPr/>
        <w:br w:type="column"/>
      </w:r>
      <w:r>
        <w:rPr>
          <w:rFonts w:ascii="宋体"/>
        </w:rPr>
        <w:t>-788,705.</w:t>
      </w:r>
      <w:r>
        <w:rPr>
          <w:rFonts w:ascii="宋体"/>
          <w:spacing w:val="-31"/>
        </w:rPr>
        <w:t> </w:t>
      </w:r>
      <w:r>
        <w:rPr>
          <w:rFonts w:ascii="宋体"/>
        </w:rPr>
        <w:t>-211,505.</w:t>
      </w:r>
      <w:r>
        <w:rPr>
          <w:rFonts w:ascii="宋体"/>
          <w:spacing w:val="-32"/>
        </w:rPr>
        <w:t> </w:t>
      </w:r>
      <w:r>
        <w:rPr>
          <w:rFonts w:ascii="宋体"/>
        </w:rPr>
        <w:t>-648,357.</w:t>
      </w:r>
      <w:r>
        <w:rPr>
          <w:rFonts w:ascii="宋体"/>
          <w:spacing w:val="-32"/>
        </w:rPr>
        <w:t> </w:t>
      </w:r>
      <w:r>
        <w:rPr>
          <w:rFonts w:ascii="宋体"/>
        </w:rPr>
        <w:t>-1,653,24</w:t>
      </w:r>
      <w:r>
        <w:rPr>
          <w:rFonts w:ascii="宋体"/>
          <w:spacing w:val="-30"/>
        </w:rPr>
        <w:t> </w:t>
      </w:r>
      <w:r>
        <w:rPr>
          <w:rFonts w:ascii="宋体"/>
        </w:rPr>
        <w:t>-383,615.</w:t>
      </w:r>
    </w:p>
    <w:p>
      <w:pPr>
        <w:pStyle w:val="BodyText"/>
        <w:spacing w:line="240" w:lineRule="auto" w:before="322"/>
        <w:ind w:left="181" w:right="0"/>
        <w:jc w:val="left"/>
        <w:rPr>
          <w:rFonts w:ascii="宋体" w:hAnsi="宋体" w:cs="宋体" w:eastAsia="宋体" w:hint="default"/>
        </w:rPr>
      </w:pPr>
      <w:r>
        <w:rPr/>
        <w:br w:type="column"/>
      </w:r>
      <w:r>
        <w:rPr>
          <w:rFonts w:ascii="宋体"/>
        </w:rPr>
        <w:t>-3,910,82</w:t>
      </w:r>
    </w:p>
    <w:p>
      <w:pPr>
        <w:spacing w:after="0" w:line="240" w:lineRule="auto"/>
        <w:jc w:val="left"/>
        <w:rPr>
          <w:rFonts w:ascii="宋体" w:hAnsi="宋体" w:cs="宋体" w:eastAsia="宋体" w:hint="default"/>
        </w:rPr>
        <w:sectPr>
          <w:type w:val="continuous"/>
          <w:pgSz w:w="11910" w:h="16840"/>
          <w:pgMar w:top="1060" w:bottom="1380" w:left="980" w:right="0"/>
          <w:cols w:num="4" w:equalWidth="0">
            <w:col w:w="902" w:space="839"/>
            <w:col w:w="992" w:space="745"/>
            <w:col w:w="4469" w:space="745"/>
            <w:col w:w="2238"/>
          </w:cols>
        </w:sectPr>
      </w:pPr>
    </w:p>
    <w:p>
      <w:pPr>
        <w:pStyle w:val="BodyText"/>
        <w:tabs>
          <w:tab w:pos="4291" w:val="left" w:leader="none"/>
        </w:tabs>
        <w:spacing w:line="117" w:lineRule="exact"/>
        <w:ind w:left="2553" w:right="-20"/>
        <w:jc w:val="left"/>
        <w:rPr>
          <w:rFonts w:ascii="宋体" w:hAnsi="宋体" w:cs="宋体" w:eastAsia="宋体" w:hint="default"/>
        </w:rPr>
      </w:pPr>
      <w:r>
        <w:rPr/>
        <w:pict>
          <v:group style="position:absolute;margin-left:56.459999pt;margin-top:71.759979pt;width:478.5pt;height:688.45pt;mso-position-horizontal-relative:page;mso-position-vertical-relative:page;z-index:-1181344" coordorigin="1129,1435" coordsize="9570,13769">
            <v:group style="position:absolute;left:1150;top:1450;width:2;height:353" coordorigin="1150,1450" coordsize="2,353">
              <v:shape style="position:absolute;left:1150;top:1450;width:2;height:353" coordorigin="1150,1450" coordsize="0,353" path="m1150,1450l1150,1802e" filled="false" stroked="true" strokeweight="1.140pt" strokecolor="#d2d2d2">
                <v:path arrowok="t"/>
              </v:shape>
            </v:group>
            <v:group style="position:absolute;left:1987;top:1450;width:2;height:353" coordorigin="1987,1450" coordsize="2,353">
              <v:shape style="position:absolute;left:1987;top:1450;width:2;height:353" coordorigin="1987,1450" coordsize="0,353" path="m1987,1450l1987,1802e" filled="false" stroked="true" strokeweight="1.140pt" strokecolor="#d2d2d2">
                <v:path arrowok="t"/>
              </v:shape>
            </v:group>
            <v:group style="position:absolute;left:1162;top:1450;width:814;height:353" coordorigin="1162,1450" coordsize="814,353">
              <v:shape style="position:absolute;left:1162;top:1450;width:814;height:353" coordorigin="1162,1450" coordsize="814,353" path="m1162,1802l1976,1802,1976,1450,1162,1450,1162,1802xe" filled="true" fillcolor="#d2d2d2" stroked="false">
                <v:path arrowok="t"/>
                <v:fill type="solid"/>
              </v:shape>
            </v:group>
            <v:group style="position:absolute;left:1139;top:1445;width:860;height:2" coordorigin="1139,1445" coordsize="860,2">
              <v:shape style="position:absolute;left:1139;top:1445;width:860;height:2" coordorigin="1139,1445" coordsize="860,0" path="m1139,1445l1998,1445e" filled="false" stroked="true" strokeweight=".48pt" strokecolor="#000000">
                <v:path arrowok="t"/>
              </v:shape>
            </v:group>
            <v:group style="position:absolute;left:2008;top:1445;width:860;height:2" coordorigin="2008,1445" coordsize="860,2">
              <v:shape style="position:absolute;left:2008;top:1445;width:860;height:2" coordorigin="2008,1445" coordsize="860,0" path="m2008,1445l2867,1445e" filled="false" stroked="true" strokeweight=".48pt" strokecolor="#000000">
                <v:path arrowok="t"/>
              </v:shape>
            </v:group>
            <v:group style="position:absolute;left:2877;top:1445;width:861;height:2" coordorigin="2877,1445" coordsize="861,2">
              <v:shape style="position:absolute;left:2877;top:1445;width:861;height:2" coordorigin="2877,1445" coordsize="861,0" path="m2877,1445l3737,1445e" filled="false" stroked="true" strokeweight=".48pt" strokecolor="#000000">
                <v:path arrowok="t"/>
              </v:shape>
            </v:group>
            <v:group style="position:absolute;left:3747;top:1445;width:860;height:2" coordorigin="3747,1445" coordsize="860,2">
              <v:shape style="position:absolute;left:3747;top:1445;width:860;height:2" coordorigin="3747,1445" coordsize="860,0" path="m3747,1445l4606,1445e" filled="false" stroked="true" strokeweight=".48pt" strokecolor="#000000">
                <v:path arrowok="t"/>
              </v:shape>
            </v:group>
            <v:group style="position:absolute;left:4616;top:1445;width:860;height:2" coordorigin="4616,1445" coordsize="860,2">
              <v:shape style="position:absolute;left:4616;top:1445;width:860;height:2" coordorigin="4616,1445" coordsize="860,0" path="m4616,1445l5475,1445e" filled="false" stroked="true" strokeweight=".48pt" strokecolor="#000000">
                <v:path arrowok="t"/>
              </v:shape>
            </v:group>
            <v:group style="position:absolute;left:5485;top:1445;width:860;height:2" coordorigin="5485,1445" coordsize="860,2">
              <v:shape style="position:absolute;left:5485;top:1445;width:860;height:2" coordorigin="5485,1445" coordsize="860,0" path="m5485,1445l6344,1445e" filled="false" stroked="true" strokeweight=".48pt" strokecolor="#000000">
                <v:path arrowok="t"/>
              </v:shape>
            </v:group>
            <v:group style="position:absolute;left:6354;top:1445;width:860;height:2" coordorigin="6354,1445" coordsize="860,2">
              <v:shape style="position:absolute;left:6354;top:1445;width:860;height:2" coordorigin="6354,1445" coordsize="860,0" path="m6354,1445l7213,1445e" filled="false" stroked="true" strokeweight=".48pt" strokecolor="#000000">
                <v:path arrowok="t"/>
              </v:shape>
            </v:group>
            <v:group style="position:absolute;left:7222;top:1445;width:860;height:2" coordorigin="7222,1445" coordsize="860,2">
              <v:shape style="position:absolute;left:7222;top:1445;width:860;height:2" coordorigin="7222,1445" coordsize="860,0" path="m7222,1445l8082,1445e" filled="false" stroked="true" strokeweight=".48pt" strokecolor="#000000">
                <v:path arrowok="t"/>
              </v:shape>
            </v:group>
            <v:group style="position:absolute;left:8091;top:1445;width:861;height:2" coordorigin="8091,1445" coordsize="861,2">
              <v:shape style="position:absolute;left:8091;top:1445;width:861;height:2" coordorigin="8091,1445" coordsize="861,0" path="m8091,1445l8952,1445e" filled="false" stroked="true" strokeweight=".48pt" strokecolor="#000000">
                <v:path arrowok="t"/>
              </v:shape>
            </v:group>
            <v:group style="position:absolute;left:8962;top:1445;width:860;height:2" coordorigin="8962,1445" coordsize="860,2">
              <v:shape style="position:absolute;left:8962;top:1445;width:860;height:2" coordorigin="8962,1445" coordsize="860,0" path="m8962,1445l9821,1445e" filled="false" stroked="true" strokeweight=".48pt" strokecolor="#000000">
                <v:path arrowok="t"/>
              </v:shape>
            </v:group>
            <v:group style="position:absolute;left:9830;top:1445;width:860;height:2" coordorigin="9830,1445" coordsize="860,2">
              <v:shape style="position:absolute;left:9830;top:1445;width:860;height:2" coordorigin="9830,1445" coordsize="860,0" path="m9830,1445l10690,1445e" filled="false" stroked="true" strokeweight=".48pt" strokecolor="#000000">
                <v:path arrowok="t"/>
              </v:shape>
            </v:group>
            <v:group style="position:absolute;left:1150;top:1812;width:2;height:705" coordorigin="1150,1812" coordsize="2,705">
              <v:shape style="position:absolute;left:1150;top:1812;width:2;height:705" coordorigin="1150,1812" coordsize="0,705" path="m1150,1812l1150,2516e" filled="false" stroked="true" strokeweight="1.140pt" strokecolor="#d2d2d2">
                <v:path arrowok="t"/>
              </v:shape>
            </v:group>
            <v:group style="position:absolute;left:1987;top:1812;width:2;height:705" coordorigin="1987,1812" coordsize="2,705">
              <v:shape style="position:absolute;left:1987;top:1812;width:2;height:705" coordorigin="1987,1812" coordsize="0,705" path="m1987,1812l1987,2516e" filled="false" stroked="true" strokeweight="1.140pt" strokecolor="#d2d2d2">
                <v:path arrowok="t"/>
              </v:shape>
            </v:group>
            <v:group style="position:absolute;left:1162;top:1812;width:814;height:352" coordorigin="1162,1812" coordsize="814,352">
              <v:shape style="position:absolute;left:1162;top:1812;width:814;height:352" coordorigin="1162,1812" coordsize="814,352" path="m1162,2164l1976,2164,1976,1812,1162,1812,1162,2164xe" filled="true" fillcolor="#d2d2d2" stroked="false">
                <v:path arrowok="t"/>
                <v:fill type="solid"/>
              </v:shape>
            </v:group>
            <v:group style="position:absolute;left:1162;top:2164;width:814;height:353" coordorigin="1162,2164" coordsize="814,353">
              <v:shape style="position:absolute;left:1162;top:2164;width:814;height:353" coordorigin="1162,2164" coordsize="814,353" path="m1162,2516l1976,2516,1976,2164,1162,2164,1162,2516xe" filled="true" fillcolor="#d2d2d2" stroked="false">
                <v:path arrowok="t"/>
                <v:fill type="solid"/>
              </v:shape>
            </v:group>
            <v:group style="position:absolute;left:2008;top:1812;width:860;height:156" coordorigin="2008,1812" coordsize="860,156">
              <v:shape style="position:absolute;left:2008;top:1812;width:860;height:156" coordorigin="2008,1812" coordsize="860,156" path="m2008,1968l2867,1968,2867,1812,2008,1812,2008,1968xe" filled="true" fillcolor="#ffffff" stroked="false">
                <v:path arrowok="t"/>
                <v:fill type="solid"/>
              </v:shape>
            </v:group>
            <v:group style="position:absolute;left:2019;top:1968;width:2;height:393" coordorigin="2019,1968" coordsize="2,393">
              <v:shape style="position:absolute;left:2019;top:1968;width:2;height:393" coordorigin="2019,1968" coordsize="0,393" path="m2019,1968l2019,2360e" filled="false" stroked="true" strokeweight="1.140pt" strokecolor="#ffffff">
                <v:path arrowok="t"/>
              </v:shape>
            </v:group>
            <v:group style="position:absolute;left:2031;top:1968;width:814;height:393" coordorigin="2031,1968" coordsize="814,393">
              <v:shape style="position:absolute;left:2031;top:1968;width:814;height:393" coordorigin="2031,1968" coordsize="814,393" path="m2031,2360l2844,2360,2844,1968,2031,1968,2031,2360xe" filled="true" fillcolor="#ffffff" stroked="false">
                <v:path arrowok="t"/>
                <v:fill type="solid"/>
              </v:shape>
            </v:group>
            <v:group style="position:absolute;left:1139;top:1807;width:860;height:2" coordorigin="1139,1807" coordsize="860,2">
              <v:shape style="position:absolute;left:1139;top:1807;width:860;height:2" coordorigin="1139,1807" coordsize="860,0" path="m1139,1807l1998,1807e" filled="false" stroked="true" strokeweight=".48pt" strokecolor="#000000">
                <v:path arrowok="t"/>
              </v:shape>
            </v:group>
            <v:group style="position:absolute;left:2008;top:1807;width:860;height:2" coordorigin="2008,1807" coordsize="860,2">
              <v:shape style="position:absolute;left:2008;top:1807;width:860;height:2" coordorigin="2008,1807" coordsize="860,0" path="m2008,1807l2867,1807e" filled="false" stroked="true" strokeweight=".48pt" strokecolor="#000000">
                <v:path arrowok="t"/>
              </v:shape>
            </v:group>
            <v:group style="position:absolute;left:2877;top:1807;width:861;height:2" coordorigin="2877,1807" coordsize="861,2">
              <v:shape style="position:absolute;left:2877;top:1807;width:861;height:2" coordorigin="2877,1807" coordsize="861,0" path="m2877,1807l3737,1807e" filled="false" stroked="true" strokeweight=".48pt" strokecolor="#000000">
                <v:path arrowok="t"/>
              </v:shape>
            </v:group>
            <v:group style="position:absolute;left:3747;top:1807;width:860;height:2" coordorigin="3747,1807" coordsize="860,2">
              <v:shape style="position:absolute;left:3747;top:1807;width:860;height:2" coordorigin="3747,1807" coordsize="860,0" path="m3747,1807l4606,1807e" filled="false" stroked="true" strokeweight=".48pt" strokecolor="#000000">
                <v:path arrowok="t"/>
              </v:shape>
            </v:group>
            <v:group style="position:absolute;left:4616;top:1807;width:860;height:2" coordorigin="4616,1807" coordsize="860,2">
              <v:shape style="position:absolute;left:4616;top:1807;width:860;height:2" coordorigin="4616,1807" coordsize="860,0" path="m4616,1807l5475,1807e" filled="false" stroked="true" strokeweight=".48pt" strokecolor="#000000">
                <v:path arrowok="t"/>
              </v:shape>
            </v:group>
            <v:group style="position:absolute;left:5485;top:1807;width:860;height:2" coordorigin="5485,1807" coordsize="860,2">
              <v:shape style="position:absolute;left:5485;top:1807;width:860;height:2" coordorigin="5485,1807" coordsize="860,0" path="m5485,1807l6344,1807e" filled="false" stroked="true" strokeweight=".48pt" strokecolor="#000000">
                <v:path arrowok="t"/>
              </v:shape>
            </v:group>
            <v:group style="position:absolute;left:6354;top:1807;width:860;height:2" coordorigin="6354,1807" coordsize="860,2">
              <v:shape style="position:absolute;left:6354;top:1807;width:860;height:2" coordorigin="6354,1807" coordsize="860,0" path="m6354,1807l7213,1807e" filled="false" stroked="true" strokeweight=".48pt" strokecolor="#000000">
                <v:path arrowok="t"/>
              </v:shape>
            </v:group>
            <v:group style="position:absolute;left:7222;top:1807;width:860;height:2" coordorigin="7222,1807" coordsize="860,2">
              <v:shape style="position:absolute;left:7222;top:1807;width:860;height:2" coordorigin="7222,1807" coordsize="860,0" path="m7222,1807l8082,1807e" filled="false" stroked="true" strokeweight=".48pt" strokecolor="#000000">
                <v:path arrowok="t"/>
              </v:shape>
            </v:group>
            <v:group style="position:absolute;left:8091;top:1807;width:861;height:2" coordorigin="8091,1807" coordsize="861,2">
              <v:shape style="position:absolute;left:8091;top:1807;width:861;height:2" coordorigin="8091,1807" coordsize="861,0" path="m8091,1807l8952,1807e" filled="false" stroked="true" strokeweight=".48pt" strokecolor="#000000">
                <v:path arrowok="t"/>
              </v:shape>
            </v:group>
            <v:group style="position:absolute;left:8962;top:1807;width:860;height:2" coordorigin="8962,1807" coordsize="860,2">
              <v:shape style="position:absolute;left:8962;top:1807;width:860;height:2" coordorigin="8962,1807" coordsize="860,0" path="m8962,1807l9821,1807e" filled="false" stroked="true" strokeweight=".48pt" strokecolor="#000000">
                <v:path arrowok="t"/>
              </v:shape>
            </v:group>
            <v:group style="position:absolute;left:9830;top:1807;width:860;height:2" coordorigin="9830,1807" coordsize="860,2">
              <v:shape style="position:absolute;left:9830;top:1807;width:860;height:2" coordorigin="9830,1807" coordsize="860,0" path="m9830,1807l10690,1807e" filled="false" stroked="true" strokeweight=".48pt" strokecolor="#000000">
                <v:path arrowok="t"/>
              </v:shape>
            </v:group>
            <v:group style="position:absolute;left:1150;top:2526;width:2;height:705" coordorigin="1150,2526" coordsize="2,705">
              <v:shape style="position:absolute;left:1150;top:2526;width:2;height:705" coordorigin="1150,2526" coordsize="0,705" path="m1150,2526l1150,3231e" filled="false" stroked="true" strokeweight="1.140pt" strokecolor="#d2d2d2">
                <v:path arrowok="t"/>
              </v:shape>
            </v:group>
            <v:group style="position:absolute;left:1987;top:2526;width:2;height:705" coordorigin="1987,2526" coordsize="2,705">
              <v:shape style="position:absolute;left:1987;top:2526;width:2;height:705" coordorigin="1987,2526" coordsize="0,705" path="m1987,2526l1987,3231e" filled="false" stroked="true" strokeweight="1.140pt" strokecolor="#d2d2d2">
                <v:path arrowok="t"/>
              </v:shape>
            </v:group>
            <v:group style="position:absolute;left:1162;top:2526;width:814;height:352" coordorigin="1162,2526" coordsize="814,352">
              <v:shape style="position:absolute;left:1162;top:2526;width:814;height:352" coordorigin="1162,2526" coordsize="814,352" path="m1162,2878l1976,2878,1976,2526,1162,2526,1162,2878xe" filled="true" fillcolor="#d2d2d2" stroked="false">
                <v:path arrowok="t"/>
                <v:fill type="solid"/>
              </v:shape>
            </v:group>
            <v:group style="position:absolute;left:1162;top:2878;width:814;height:353" coordorigin="1162,2878" coordsize="814,353">
              <v:shape style="position:absolute;left:1162;top:2878;width:814;height:353" coordorigin="1162,2878" coordsize="814,353" path="m1162,3231l1976,3231,1976,2878,1162,2878,1162,3231xe" filled="true" fillcolor="#d2d2d2" stroked="false">
                <v:path arrowok="t"/>
                <v:fill type="solid"/>
              </v:shape>
            </v:group>
            <v:group style="position:absolute;left:2008;top:2526;width:860;height:156" coordorigin="2008,2526" coordsize="860,156">
              <v:shape style="position:absolute;left:2008;top:2526;width:860;height:156" coordorigin="2008,2526" coordsize="860,156" path="m2008,2682l2867,2682,2867,2526,2008,2526,2008,2682xe" filled="true" fillcolor="#ffffff" stroked="false">
                <v:path arrowok="t"/>
                <v:fill type="solid"/>
              </v:shape>
            </v:group>
            <v:group style="position:absolute;left:2019;top:2682;width:2;height:393" coordorigin="2019,2682" coordsize="2,393">
              <v:shape style="position:absolute;left:2019;top:2682;width:2;height:393" coordorigin="2019,2682" coordsize="0,393" path="m2019,2682l2019,3075e" filled="false" stroked="true" strokeweight="1.140pt" strokecolor="#ffffff">
                <v:path arrowok="t"/>
              </v:shape>
            </v:group>
            <v:group style="position:absolute;left:2031;top:2682;width:814;height:393" coordorigin="2031,2682" coordsize="814,393">
              <v:shape style="position:absolute;left:2031;top:2682;width:814;height:393" coordorigin="2031,2682" coordsize="814,393" path="m2031,3075l2844,3075,2844,2682,2031,2682,2031,3075xe" filled="true" fillcolor="#ffffff" stroked="false">
                <v:path arrowok="t"/>
                <v:fill type="solid"/>
              </v:shape>
            </v:group>
            <v:group style="position:absolute;left:1139;top:2521;width:860;height:2" coordorigin="1139,2521" coordsize="860,2">
              <v:shape style="position:absolute;left:1139;top:2521;width:860;height:2" coordorigin="1139,2521" coordsize="860,0" path="m1139,2521l1998,2521e" filled="false" stroked="true" strokeweight=".48pt" strokecolor="#000000">
                <v:path arrowok="t"/>
              </v:shape>
            </v:group>
            <v:group style="position:absolute;left:2008;top:2521;width:860;height:2" coordorigin="2008,2521" coordsize="860,2">
              <v:shape style="position:absolute;left:2008;top:2521;width:860;height:2" coordorigin="2008,2521" coordsize="860,0" path="m2008,2521l2867,2521e" filled="false" stroked="true" strokeweight=".48pt" strokecolor="#000000">
                <v:path arrowok="t"/>
              </v:shape>
            </v:group>
            <v:group style="position:absolute;left:2877;top:2521;width:861;height:2" coordorigin="2877,2521" coordsize="861,2">
              <v:shape style="position:absolute;left:2877;top:2521;width:861;height:2" coordorigin="2877,2521" coordsize="861,0" path="m2877,2521l3737,2521e" filled="false" stroked="true" strokeweight=".48pt" strokecolor="#000000">
                <v:path arrowok="t"/>
              </v:shape>
            </v:group>
            <v:group style="position:absolute;left:3747;top:2521;width:860;height:2" coordorigin="3747,2521" coordsize="860,2">
              <v:shape style="position:absolute;left:3747;top:2521;width:860;height:2" coordorigin="3747,2521" coordsize="860,0" path="m3747,2521l4606,2521e" filled="false" stroked="true" strokeweight=".48pt" strokecolor="#000000">
                <v:path arrowok="t"/>
              </v:shape>
            </v:group>
            <v:group style="position:absolute;left:4616;top:2521;width:860;height:2" coordorigin="4616,2521" coordsize="860,2">
              <v:shape style="position:absolute;left:4616;top:2521;width:860;height:2" coordorigin="4616,2521" coordsize="860,0" path="m4616,2521l5475,2521e" filled="false" stroked="true" strokeweight=".48pt" strokecolor="#000000">
                <v:path arrowok="t"/>
              </v:shape>
            </v:group>
            <v:group style="position:absolute;left:5485;top:2521;width:860;height:2" coordorigin="5485,2521" coordsize="860,2">
              <v:shape style="position:absolute;left:5485;top:2521;width:860;height:2" coordorigin="5485,2521" coordsize="860,0" path="m5485,2521l6344,2521e" filled="false" stroked="true" strokeweight=".48pt" strokecolor="#000000">
                <v:path arrowok="t"/>
              </v:shape>
            </v:group>
            <v:group style="position:absolute;left:6354;top:2521;width:860;height:2" coordorigin="6354,2521" coordsize="860,2">
              <v:shape style="position:absolute;left:6354;top:2521;width:860;height:2" coordorigin="6354,2521" coordsize="860,0" path="m6354,2521l7213,2521e" filled="false" stroked="true" strokeweight=".48pt" strokecolor="#000000">
                <v:path arrowok="t"/>
              </v:shape>
            </v:group>
            <v:group style="position:absolute;left:7222;top:2521;width:860;height:2" coordorigin="7222,2521" coordsize="860,2">
              <v:shape style="position:absolute;left:7222;top:2521;width:860;height:2" coordorigin="7222,2521" coordsize="860,0" path="m7222,2521l8082,2521e" filled="false" stroked="true" strokeweight=".48pt" strokecolor="#000000">
                <v:path arrowok="t"/>
              </v:shape>
            </v:group>
            <v:group style="position:absolute;left:8091;top:2521;width:861;height:2" coordorigin="8091,2521" coordsize="861,2">
              <v:shape style="position:absolute;left:8091;top:2521;width:861;height:2" coordorigin="8091,2521" coordsize="861,0" path="m8091,2521l8952,2521e" filled="false" stroked="true" strokeweight=".48pt" strokecolor="#000000">
                <v:path arrowok="t"/>
              </v:shape>
            </v:group>
            <v:group style="position:absolute;left:8962;top:2521;width:860;height:2" coordorigin="8962,2521" coordsize="860,2">
              <v:shape style="position:absolute;left:8962;top:2521;width:860;height:2" coordorigin="8962,2521" coordsize="860,0" path="m8962,2521l9821,2521e" filled="false" stroked="true" strokeweight=".48pt" strokecolor="#000000">
                <v:path arrowok="t"/>
              </v:shape>
            </v:group>
            <v:group style="position:absolute;left:9830;top:2521;width:860;height:2" coordorigin="9830,2521" coordsize="860,2">
              <v:shape style="position:absolute;left:9830;top:2521;width:860;height:2" coordorigin="9830,2521" coordsize="860,0" path="m9830,2521l10690,2521e" filled="false" stroked="true" strokeweight=".48pt" strokecolor="#000000">
                <v:path arrowok="t"/>
              </v:shape>
            </v:group>
            <v:group style="position:absolute;left:1150;top:3240;width:2;height:1017" coordorigin="1150,3240" coordsize="2,1017">
              <v:shape style="position:absolute;left:1150;top:3240;width:2;height:1017" coordorigin="1150,3240" coordsize="0,1017" path="m1150,3240l1150,4257e" filled="false" stroked="true" strokeweight="1.140pt" strokecolor="#d2d2d2">
                <v:path arrowok="t"/>
              </v:shape>
            </v:group>
            <v:group style="position:absolute;left:1987;top:3240;width:2;height:1017" coordorigin="1987,3240" coordsize="2,1017">
              <v:shape style="position:absolute;left:1987;top:3240;width:2;height:1017" coordorigin="1987,3240" coordsize="0,1017" path="m1987,3240l1987,4257e" filled="false" stroked="true" strokeweight="1.140pt" strokecolor="#d2d2d2">
                <v:path arrowok="t"/>
              </v:shape>
            </v:group>
            <v:group style="position:absolute;left:1162;top:3240;width:814;height:352" coordorigin="1162,3240" coordsize="814,352">
              <v:shape style="position:absolute;left:1162;top:3240;width:814;height:352" coordorigin="1162,3240" coordsize="814,352" path="m1162,3592l1976,3592,1976,3240,1162,3240,1162,3592xe" filled="true" fillcolor="#d2d2d2" stroked="false">
                <v:path arrowok="t"/>
                <v:fill type="solid"/>
              </v:shape>
            </v:group>
            <v:group style="position:absolute;left:1162;top:3592;width:814;height:312" coordorigin="1162,3592" coordsize="814,312">
              <v:shape style="position:absolute;left:1162;top:3592;width:814;height:312" coordorigin="1162,3592" coordsize="814,312" path="m1162,3904l1976,3904,1976,3592,1162,3592,1162,3904xe" filled="true" fillcolor="#d2d2d2" stroked="false">
                <v:path arrowok="t"/>
                <v:fill type="solid"/>
              </v:shape>
            </v:group>
            <v:group style="position:absolute;left:1162;top:3904;width:814;height:353" coordorigin="1162,3904" coordsize="814,353">
              <v:shape style="position:absolute;left:1162;top:3904;width:814;height:353" coordorigin="1162,3904" coordsize="814,353" path="m1162,4257l1976,4257,1976,3904,1162,3904,1162,4257xe" filled="true" fillcolor="#d2d2d2" stroked="false">
                <v:path arrowok="t"/>
                <v:fill type="solid"/>
              </v:shape>
            </v:group>
            <v:group style="position:absolute;left:2008;top:3240;width:860;height:312" coordorigin="2008,3240" coordsize="860,312">
              <v:shape style="position:absolute;left:2008;top:3240;width:860;height:312" coordorigin="2008,3240" coordsize="860,312" path="m2008,3552l2867,3552,2867,3240,2008,3240,2008,3552xe" filled="true" fillcolor="#ffffff" stroked="false">
                <v:path arrowok="t"/>
                <v:fill type="solid"/>
              </v:shape>
            </v:group>
            <v:group style="position:absolute;left:1139;top:3236;width:860;height:2" coordorigin="1139,3236" coordsize="860,2">
              <v:shape style="position:absolute;left:1139;top:3236;width:860;height:2" coordorigin="1139,3236" coordsize="860,0" path="m1139,3236l1998,3236e" filled="false" stroked="true" strokeweight=".48pt" strokecolor="#000000">
                <v:path arrowok="t"/>
              </v:shape>
            </v:group>
            <v:group style="position:absolute;left:2008;top:3236;width:860;height:2" coordorigin="2008,3236" coordsize="860,2">
              <v:shape style="position:absolute;left:2008;top:3236;width:860;height:2" coordorigin="2008,3236" coordsize="860,0" path="m2008,3236l2867,3236e" filled="false" stroked="true" strokeweight=".48pt" strokecolor="#000000">
                <v:path arrowok="t"/>
              </v:shape>
            </v:group>
            <v:group style="position:absolute;left:2877;top:3236;width:861;height:2" coordorigin="2877,3236" coordsize="861,2">
              <v:shape style="position:absolute;left:2877;top:3236;width:861;height:2" coordorigin="2877,3236" coordsize="861,0" path="m2877,3236l3737,3236e" filled="false" stroked="true" strokeweight=".48pt" strokecolor="#000000">
                <v:path arrowok="t"/>
              </v:shape>
            </v:group>
            <v:group style="position:absolute;left:3747;top:3236;width:860;height:2" coordorigin="3747,3236" coordsize="860,2">
              <v:shape style="position:absolute;left:3747;top:3236;width:860;height:2" coordorigin="3747,3236" coordsize="860,0" path="m3747,3236l4606,3236e" filled="false" stroked="true" strokeweight=".48pt" strokecolor="#000000">
                <v:path arrowok="t"/>
              </v:shape>
            </v:group>
            <v:group style="position:absolute;left:4616;top:3236;width:860;height:2" coordorigin="4616,3236" coordsize="860,2">
              <v:shape style="position:absolute;left:4616;top:3236;width:860;height:2" coordorigin="4616,3236" coordsize="860,0" path="m4616,3236l5475,3236e" filled="false" stroked="true" strokeweight=".48pt" strokecolor="#000000">
                <v:path arrowok="t"/>
              </v:shape>
            </v:group>
            <v:group style="position:absolute;left:5485;top:3236;width:860;height:2" coordorigin="5485,3236" coordsize="860,2">
              <v:shape style="position:absolute;left:5485;top:3236;width:860;height:2" coordorigin="5485,3236" coordsize="860,0" path="m5485,3236l6344,3236e" filled="false" stroked="true" strokeweight=".48pt" strokecolor="#000000">
                <v:path arrowok="t"/>
              </v:shape>
            </v:group>
            <v:group style="position:absolute;left:6354;top:3236;width:860;height:2" coordorigin="6354,3236" coordsize="860,2">
              <v:shape style="position:absolute;left:6354;top:3236;width:860;height:2" coordorigin="6354,3236" coordsize="860,0" path="m6354,3236l7213,3236e" filled="false" stroked="true" strokeweight=".48pt" strokecolor="#000000">
                <v:path arrowok="t"/>
              </v:shape>
            </v:group>
            <v:group style="position:absolute;left:7222;top:3236;width:860;height:2" coordorigin="7222,3236" coordsize="860,2">
              <v:shape style="position:absolute;left:7222;top:3236;width:860;height:2" coordorigin="7222,3236" coordsize="860,0" path="m7222,3236l8082,3236e" filled="false" stroked="true" strokeweight=".48pt" strokecolor="#000000">
                <v:path arrowok="t"/>
              </v:shape>
            </v:group>
            <v:group style="position:absolute;left:8091;top:3236;width:861;height:2" coordorigin="8091,3236" coordsize="861,2">
              <v:shape style="position:absolute;left:8091;top:3236;width:861;height:2" coordorigin="8091,3236" coordsize="861,0" path="m8091,3236l8952,3236e" filled="false" stroked="true" strokeweight=".48pt" strokecolor="#000000">
                <v:path arrowok="t"/>
              </v:shape>
            </v:group>
            <v:group style="position:absolute;left:8962;top:3236;width:860;height:2" coordorigin="8962,3236" coordsize="860,2">
              <v:shape style="position:absolute;left:8962;top:3236;width:860;height:2" coordorigin="8962,3236" coordsize="860,0" path="m8962,3236l9821,3236e" filled="false" stroked="true" strokeweight=".48pt" strokecolor="#000000">
                <v:path arrowok="t"/>
              </v:shape>
            </v:group>
            <v:group style="position:absolute;left:9830;top:3236;width:860;height:2" coordorigin="9830,3236" coordsize="860,2">
              <v:shape style="position:absolute;left:9830;top:3236;width:860;height:2" coordorigin="9830,3236" coordsize="860,0" path="m9830,3236l10690,3236e" filled="false" stroked="true" strokeweight=".48pt" strokecolor="#000000">
                <v:path arrowok="t"/>
              </v:shape>
            </v:group>
            <v:group style="position:absolute;left:1150;top:4266;width:2;height:393" coordorigin="1150,4266" coordsize="2,393">
              <v:shape style="position:absolute;left:1150;top:4266;width:2;height:393" coordorigin="1150,4266" coordsize="0,393" path="m1150,4266l1150,4659e" filled="false" stroked="true" strokeweight="1.140pt" strokecolor="#e0ffff">
                <v:path arrowok="t"/>
              </v:shape>
            </v:group>
            <v:group style="position:absolute;left:1987;top:4266;width:2;height:393" coordorigin="1987,4266" coordsize="2,393">
              <v:shape style="position:absolute;left:1987;top:4266;width:2;height:393" coordorigin="1987,4266" coordsize="0,393" path="m1987,4266l1987,4659e" filled="false" stroked="true" strokeweight="1.140pt" strokecolor="#e0ffff">
                <v:path arrowok="t"/>
              </v:shape>
            </v:group>
            <v:group style="position:absolute;left:1162;top:4266;width:814;height:393" coordorigin="1162,4266" coordsize="814,393">
              <v:shape style="position:absolute;left:1162;top:4266;width:814;height:393" coordorigin="1162,4266" coordsize="814,393" path="m1162,4659l1976,4659,1976,4266,1162,4266,1162,4659xe" filled="true" fillcolor="#e0ffff" stroked="false">
                <v:path arrowok="t"/>
                <v:fill type="solid"/>
              </v:shape>
            </v:group>
            <v:group style="position:absolute;left:1139;top:4262;width:860;height:2" coordorigin="1139,4262" coordsize="860,2">
              <v:shape style="position:absolute;left:1139;top:4262;width:860;height:2" coordorigin="1139,4262" coordsize="860,0" path="m1139,4262l1998,4262e" filled="false" stroked="true" strokeweight=".48pt" strokecolor="#000000">
                <v:path arrowok="t"/>
              </v:shape>
            </v:group>
            <v:group style="position:absolute;left:2008;top:4262;width:860;height:2" coordorigin="2008,4262" coordsize="860,2">
              <v:shape style="position:absolute;left:2008;top:4262;width:860;height:2" coordorigin="2008,4262" coordsize="860,0" path="m2008,4262l2867,4262e" filled="false" stroked="true" strokeweight=".48pt" strokecolor="#000000">
                <v:path arrowok="t"/>
              </v:shape>
            </v:group>
            <v:group style="position:absolute;left:2877;top:4262;width:861;height:2" coordorigin="2877,4262" coordsize="861,2">
              <v:shape style="position:absolute;left:2877;top:4262;width:861;height:2" coordorigin="2877,4262" coordsize="861,0" path="m2877,4262l3737,4262e" filled="false" stroked="true" strokeweight=".48pt" strokecolor="#000000">
                <v:path arrowok="t"/>
              </v:shape>
            </v:group>
            <v:group style="position:absolute;left:3747;top:4262;width:860;height:2" coordorigin="3747,4262" coordsize="860,2">
              <v:shape style="position:absolute;left:3747;top:4262;width:860;height:2" coordorigin="3747,4262" coordsize="860,0" path="m3747,4262l4606,4262e" filled="false" stroked="true" strokeweight=".48pt" strokecolor="#000000">
                <v:path arrowok="t"/>
              </v:shape>
            </v:group>
            <v:group style="position:absolute;left:4616;top:4262;width:860;height:2" coordorigin="4616,4262" coordsize="860,2">
              <v:shape style="position:absolute;left:4616;top:4262;width:860;height:2" coordorigin="4616,4262" coordsize="860,0" path="m4616,4262l5475,4262e" filled="false" stroked="true" strokeweight=".48pt" strokecolor="#000000">
                <v:path arrowok="t"/>
              </v:shape>
            </v:group>
            <v:group style="position:absolute;left:5485;top:4262;width:860;height:2" coordorigin="5485,4262" coordsize="860,2">
              <v:shape style="position:absolute;left:5485;top:4262;width:860;height:2" coordorigin="5485,4262" coordsize="860,0" path="m5485,4262l6344,4262e" filled="false" stroked="true" strokeweight=".48pt" strokecolor="#000000">
                <v:path arrowok="t"/>
              </v:shape>
            </v:group>
            <v:group style="position:absolute;left:6354;top:4262;width:860;height:2" coordorigin="6354,4262" coordsize="860,2">
              <v:shape style="position:absolute;left:6354;top:4262;width:860;height:2" coordorigin="6354,4262" coordsize="860,0" path="m6354,4262l7213,4262e" filled="false" stroked="true" strokeweight=".48pt" strokecolor="#000000">
                <v:path arrowok="t"/>
              </v:shape>
            </v:group>
            <v:group style="position:absolute;left:7222;top:4262;width:860;height:2" coordorigin="7222,4262" coordsize="860,2">
              <v:shape style="position:absolute;left:7222;top:4262;width:860;height:2" coordorigin="7222,4262" coordsize="860,0" path="m7222,4262l8082,4262e" filled="false" stroked="true" strokeweight=".48pt" strokecolor="#000000">
                <v:path arrowok="t"/>
              </v:shape>
            </v:group>
            <v:group style="position:absolute;left:8091;top:4262;width:861;height:2" coordorigin="8091,4262" coordsize="861,2">
              <v:shape style="position:absolute;left:8091;top:4262;width:861;height:2" coordorigin="8091,4262" coordsize="861,0" path="m8091,4262l8952,4262e" filled="false" stroked="true" strokeweight=".48pt" strokecolor="#000000">
                <v:path arrowok="t"/>
              </v:shape>
            </v:group>
            <v:group style="position:absolute;left:8962;top:4262;width:860;height:2" coordorigin="8962,4262" coordsize="860,2">
              <v:shape style="position:absolute;left:8962;top:4262;width:860;height:2" coordorigin="8962,4262" coordsize="860,0" path="m8962,4262l9821,4262e" filled="false" stroked="true" strokeweight=".48pt" strokecolor="#000000">
                <v:path arrowok="t"/>
              </v:shape>
            </v:group>
            <v:group style="position:absolute;left:9830;top:4262;width:860;height:2" coordorigin="9830,4262" coordsize="860,2">
              <v:shape style="position:absolute;left:9830;top:4262;width:860;height:2" coordorigin="9830,4262" coordsize="860,0" path="m9830,4262l10690,4262e" filled="false" stroked="true" strokeweight=".48pt" strokecolor="#000000">
                <v:path arrowok="t"/>
              </v:shape>
            </v:group>
            <v:group style="position:absolute;left:1150;top:4668;width:2;height:705" coordorigin="1150,4668" coordsize="2,705">
              <v:shape style="position:absolute;left:1150;top:4668;width:2;height:705" coordorigin="1150,4668" coordsize="0,705" path="m1150,4668l1150,5373e" filled="false" stroked="true" strokeweight="1.140pt" strokecolor="#d2d2d2">
                <v:path arrowok="t"/>
              </v:shape>
            </v:group>
            <v:group style="position:absolute;left:1987;top:4668;width:2;height:705" coordorigin="1987,4668" coordsize="2,705">
              <v:shape style="position:absolute;left:1987;top:4668;width:2;height:705" coordorigin="1987,4668" coordsize="0,705" path="m1987,4668l1987,5373e" filled="false" stroked="true" strokeweight="1.140pt" strokecolor="#d2d2d2">
                <v:path arrowok="t"/>
              </v:shape>
            </v:group>
            <v:group style="position:absolute;left:1162;top:4668;width:814;height:352" coordorigin="1162,4668" coordsize="814,352">
              <v:shape style="position:absolute;left:1162;top:4668;width:814;height:352" coordorigin="1162,4668" coordsize="814,352" path="m1162,5020l1976,5020,1976,4668,1162,4668,1162,5020xe" filled="true" fillcolor="#d2d2d2" stroked="false">
                <v:path arrowok="t"/>
                <v:fill type="solid"/>
              </v:shape>
            </v:group>
            <v:group style="position:absolute;left:1162;top:5020;width:814;height:353" coordorigin="1162,5020" coordsize="814,353">
              <v:shape style="position:absolute;left:1162;top:5020;width:814;height:353" coordorigin="1162,5020" coordsize="814,353" path="m1162,5373l1976,5373,1976,5020,1162,5020,1162,5373xe" filled="true" fillcolor="#d2d2d2" stroked="false">
                <v:path arrowok="t"/>
                <v:fill type="solid"/>
              </v:shape>
            </v:group>
            <v:group style="position:absolute;left:1139;top:4664;width:860;height:2" coordorigin="1139,4664" coordsize="860,2">
              <v:shape style="position:absolute;left:1139;top:4664;width:860;height:2" coordorigin="1139,4664" coordsize="860,0" path="m1139,4664l1998,4664e" filled="false" stroked="true" strokeweight=".48pt" strokecolor="#000000">
                <v:path arrowok="t"/>
              </v:shape>
            </v:group>
            <v:group style="position:absolute;left:2008;top:4664;width:860;height:2" coordorigin="2008,4664" coordsize="860,2">
              <v:shape style="position:absolute;left:2008;top:4664;width:860;height:2" coordorigin="2008,4664" coordsize="860,0" path="m2008,4664l2867,4664e" filled="false" stroked="true" strokeweight=".48pt" strokecolor="#000000">
                <v:path arrowok="t"/>
              </v:shape>
            </v:group>
            <v:group style="position:absolute;left:2877;top:4664;width:861;height:2" coordorigin="2877,4664" coordsize="861,2">
              <v:shape style="position:absolute;left:2877;top:4664;width:861;height:2" coordorigin="2877,4664" coordsize="861,0" path="m2877,4664l3737,4664e" filled="false" stroked="true" strokeweight=".48pt" strokecolor="#000000">
                <v:path arrowok="t"/>
              </v:shape>
            </v:group>
            <v:group style="position:absolute;left:3747;top:4664;width:860;height:2" coordorigin="3747,4664" coordsize="860,2">
              <v:shape style="position:absolute;left:3747;top:4664;width:860;height:2" coordorigin="3747,4664" coordsize="860,0" path="m3747,4664l4606,4664e" filled="false" stroked="true" strokeweight=".48pt" strokecolor="#000000">
                <v:path arrowok="t"/>
              </v:shape>
            </v:group>
            <v:group style="position:absolute;left:4616;top:4664;width:860;height:2" coordorigin="4616,4664" coordsize="860,2">
              <v:shape style="position:absolute;left:4616;top:4664;width:860;height:2" coordorigin="4616,4664" coordsize="860,0" path="m4616,4664l5475,4664e" filled="false" stroked="true" strokeweight=".48pt" strokecolor="#000000">
                <v:path arrowok="t"/>
              </v:shape>
            </v:group>
            <v:group style="position:absolute;left:5485;top:4664;width:860;height:2" coordorigin="5485,4664" coordsize="860,2">
              <v:shape style="position:absolute;left:5485;top:4664;width:860;height:2" coordorigin="5485,4664" coordsize="860,0" path="m5485,4664l6344,4664e" filled="false" stroked="true" strokeweight=".48pt" strokecolor="#000000">
                <v:path arrowok="t"/>
              </v:shape>
            </v:group>
            <v:group style="position:absolute;left:6354;top:4664;width:860;height:2" coordorigin="6354,4664" coordsize="860,2">
              <v:shape style="position:absolute;left:6354;top:4664;width:860;height:2" coordorigin="6354,4664" coordsize="860,0" path="m6354,4664l7213,4664e" filled="false" stroked="true" strokeweight=".48pt" strokecolor="#000000">
                <v:path arrowok="t"/>
              </v:shape>
            </v:group>
            <v:group style="position:absolute;left:7222;top:4664;width:860;height:2" coordorigin="7222,4664" coordsize="860,2">
              <v:shape style="position:absolute;left:7222;top:4664;width:860;height:2" coordorigin="7222,4664" coordsize="860,0" path="m7222,4664l8082,4664e" filled="false" stroked="true" strokeweight=".48pt" strokecolor="#000000">
                <v:path arrowok="t"/>
              </v:shape>
            </v:group>
            <v:group style="position:absolute;left:8091;top:4664;width:861;height:2" coordorigin="8091,4664" coordsize="861,2">
              <v:shape style="position:absolute;left:8091;top:4664;width:861;height:2" coordorigin="8091,4664" coordsize="861,0" path="m8091,4664l8952,4664e" filled="false" stroked="true" strokeweight=".48pt" strokecolor="#000000">
                <v:path arrowok="t"/>
              </v:shape>
            </v:group>
            <v:group style="position:absolute;left:8962;top:4664;width:860;height:2" coordorigin="8962,4664" coordsize="860,2">
              <v:shape style="position:absolute;left:8962;top:4664;width:860;height:2" coordorigin="8962,4664" coordsize="860,0" path="m8962,4664l9821,4664e" filled="false" stroked="true" strokeweight=".48pt" strokecolor="#000000">
                <v:path arrowok="t"/>
              </v:shape>
            </v:group>
            <v:group style="position:absolute;left:9830;top:4664;width:860;height:2" coordorigin="9830,4664" coordsize="860,2">
              <v:shape style="position:absolute;left:9830;top:4664;width:860;height:2" coordorigin="9830,4664" coordsize="860,0" path="m9830,4664l10690,4664e" filled="false" stroked="true" strokeweight=".48pt" strokecolor="#000000">
                <v:path arrowok="t"/>
              </v:shape>
            </v:group>
            <v:group style="position:absolute;left:1150;top:5382;width:2;height:705" coordorigin="1150,5382" coordsize="2,705">
              <v:shape style="position:absolute;left:1150;top:5382;width:2;height:705" coordorigin="1150,5382" coordsize="0,705" path="m1150,5382l1150,6087e" filled="false" stroked="true" strokeweight="1.140pt" strokecolor="#d2d2d2">
                <v:path arrowok="t"/>
              </v:shape>
            </v:group>
            <v:group style="position:absolute;left:1987;top:5382;width:2;height:705" coordorigin="1987,5382" coordsize="2,705">
              <v:shape style="position:absolute;left:1987;top:5382;width:2;height:705" coordorigin="1987,5382" coordsize="0,705" path="m1987,5382l1987,6087e" filled="false" stroked="true" strokeweight="1.140pt" strokecolor="#d2d2d2">
                <v:path arrowok="t"/>
              </v:shape>
            </v:group>
            <v:group style="position:absolute;left:1162;top:5382;width:814;height:352" coordorigin="1162,5382" coordsize="814,352">
              <v:shape style="position:absolute;left:1162;top:5382;width:814;height:352" coordorigin="1162,5382" coordsize="814,352" path="m1162,5734l1976,5734,1976,5382,1162,5382,1162,5734xe" filled="true" fillcolor="#d2d2d2" stroked="false">
                <v:path arrowok="t"/>
                <v:fill type="solid"/>
              </v:shape>
            </v:group>
            <v:group style="position:absolute;left:1162;top:5734;width:814;height:353" coordorigin="1162,5734" coordsize="814,353">
              <v:shape style="position:absolute;left:1162;top:5734;width:814;height:353" coordorigin="1162,5734" coordsize="814,353" path="m1162,6087l1976,6087,1976,5734,1162,5734,1162,6087xe" filled="true" fillcolor="#d2d2d2" stroked="false">
                <v:path arrowok="t"/>
                <v:fill type="solid"/>
              </v:shape>
            </v:group>
            <v:group style="position:absolute;left:2008;top:5382;width:860;height:156" coordorigin="2008,5382" coordsize="860,156">
              <v:shape style="position:absolute;left:2008;top:5382;width:860;height:156" coordorigin="2008,5382" coordsize="860,156" path="m2008,5538l2867,5538,2867,5382,2008,5382,2008,5538xe" filled="true" fillcolor="#ffffff" stroked="false">
                <v:path arrowok="t"/>
                <v:fill type="solid"/>
              </v:shape>
            </v:group>
            <v:group style="position:absolute;left:2019;top:5538;width:2;height:393" coordorigin="2019,5538" coordsize="2,393">
              <v:shape style="position:absolute;left:2019;top:5538;width:2;height:393" coordorigin="2019,5538" coordsize="0,393" path="m2019,5538l2019,5931e" filled="false" stroked="true" strokeweight="1.140pt" strokecolor="#ffffff">
                <v:path arrowok="t"/>
              </v:shape>
            </v:group>
            <v:group style="position:absolute;left:2031;top:5538;width:814;height:393" coordorigin="2031,5538" coordsize="814,393">
              <v:shape style="position:absolute;left:2031;top:5538;width:814;height:393" coordorigin="2031,5538" coordsize="814,393" path="m2031,5931l2844,5931,2844,5538,2031,5538,2031,5931xe" filled="true" fillcolor="#ffffff" stroked="false">
                <v:path arrowok="t"/>
                <v:fill type="solid"/>
              </v:shape>
            </v:group>
            <v:group style="position:absolute;left:1139;top:5378;width:860;height:2" coordorigin="1139,5378" coordsize="860,2">
              <v:shape style="position:absolute;left:1139;top:5378;width:860;height:2" coordorigin="1139,5378" coordsize="860,0" path="m1139,5378l1998,5378e" filled="false" stroked="true" strokeweight=".48pt" strokecolor="#000000">
                <v:path arrowok="t"/>
              </v:shape>
            </v:group>
            <v:group style="position:absolute;left:2008;top:5378;width:860;height:2" coordorigin="2008,5378" coordsize="860,2">
              <v:shape style="position:absolute;left:2008;top:5378;width:860;height:2" coordorigin="2008,5378" coordsize="860,0" path="m2008,5378l2867,5378e" filled="false" stroked="true" strokeweight=".48pt" strokecolor="#000000">
                <v:path arrowok="t"/>
              </v:shape>
            </v:group>
            <v:group style="position:absolute;left:2877;top:5378;width:861;height:2" coordorigin="2877,5378" coordsize="861,2">
              <v:shape style="position:absolute;left:2877;top:5378;width:861;height:2" coordorigin="2877,5378" coordsize="861,0" path="m2877,5378l3737,5378e" filled="false" stroked="true" strokeweight=".48pt" strokecolor="#000000">
                <v:path arrowok="t"/>
              </v:shape>
            </v:group>
            <v:group style="position:absolute;left:3747;top:5378;width:860;height:2" coordorigin="3747,5378" coordsize="860,2">
              <v:shape style="position:absolute;left:3747;top:5378;width:860;height:2" coordorigin="3747,5378" coordsize="860,0" path="m3747,5378l4606,5378e" filled="false" stroked="true" strokeweight=".48pt" strokecolor="#000000">
                <v:path arrowok="t"/>
              </v:shape>
            </v:group>
            <v:group style="position:absolute;left:4616;top:5378;width:860;height:2" coordorigin="4616,5378" coordsize="860,2">
              <v:shape style="position:absolute;left:4616;top:5378;width:860;height:2" coordorigin="4616,5378" coordsize="860,0" path="m4616,5378l5475,5378e" filled="false" stroked="true" strokeweight=".48pt" strokecolor="#000000">
                <v:path arrowok="t"/>
              </v:shape>
            </v:group>
            <v:group style="position:absolute;left:5485;top:5378;width:860;height:2" coordorigin="5485,5378" coordsize="860,2">
              <v:shape style="position:absolute;left:5485;top:5378;width:860;height:2" coordorigin="5485,5378" coordsize="860,0" path="m5485,5378l6344,5378e" filled="false" stroked="true" strokeweight=".48pt" strokecolor="#000000">
                <v:path arrowok="t"/>
              </v:shape>
            </v:group>
            <v:group style="position:absolute;left:6354;top:5378;width:860;height:2" coordorigin="6354,5378" coordsize="860,2">
              <v:shape style="position:absolute;left:6354;top:5378;width:860;height:2" coordorigin="6354,5378" coordsize="860,0" path="m6354,5378l7213,5378e" filled="false" stroked="true" strokeweight=".48pt" strokecolor="#000000">
                <v:path arrowok="t"/>
              </v:shape>
            </v:group>
            <v:group style="position:absolute;left:7222;top:5378;width:860;height:2" coordorigin="7222,5378" coordsize="860,2">
              <v:shape style="position:absolute;left:7222;top:5378;width:860;height:2" coordorigin="7222,5378" coordsize="860,0" path="m7222,5378l8082,5378e" filled="false" stroked="true" strokeweight=".48pt" strokecolor="#000000">
                <v:path arrowok="t"/>
              </v:shape>
            </v:group>
            <v:group style="position:absolute;left:8091;top:5378;width:861;height:2" coordorigin="8091,5378" coordsize="861,2">
              <v:shape style="position:absolute;left:8091;top:5378;width:861;height:2" coordorigin="8091,5378" coordsize="861,0" path="m8091,5378l8952,5378e" filled="false" stroked="true" strokeweight=".48pt" strokecolor="#000000">
                <v:path arrowok="t"/>
              </v:shape>
            </v:group>
            <v:group style="position:absolute;left:8962;top:5378;width:860;height:2" coordorigin="8962,5378" coordsize="860,2">
              <v:shape style="position:absolute;left:8962;top:5378;width:860;height:2" coordorigin="8962,5378" coordsize="860,0" path="m8962,5378l9821,5378e" filled="false" stroked="true" strokeweight=".48pt" strokecolor="#000000">
                <v:path arrowok="t"/>
              </v:shape>
            </v:group>
            <v:group style="position:absolute;left:9830;top:5378;width:860;height:2" coordorigin="9830,5378" coordsize="860,2">
              <v:shape style="position:absolute;left:9830;top:5378;width:860;height:2" coordorigin="9830,5378" coordsize="860,0" path="m9830,5378l10690,5378e" filled="false" stroked="true" strokeweight=".48pt" strokecolor="#000000">
                <v:path arrowok="t"/>
              </v:shape>
            </v:group>
            <v:group style="position:absolute;left:1139;top:6096;width:860;height:156" coordorigin="1139,6096" coordsize="860,156">
              <v:shape style="position:absolute;left:1139;top:6096;width:860;height:156" coordorigin="1139,6096" coordsize="860,156" path="m1139,6252l1998,6252,1998,6096,1139,6096,1139,6252xe" filled="true" fillcolor="#e0ffff" stroked="false">
                <v:path arrowok="t"/>
                <v:fill type="solid"/>
              </v:shape>
            </v:group>
            <v:group style="position:absolute;left:1150;top:6252;width:2;height:393" coordorigin="1150,6252" coordsize="2,393">
              <v:shape style="position:absolute;left:1150;top:6252;width:2;height:393" coordorigin="1150,6252" coordsize="0,393" path="m1150,6252l1150,6645e" filled="false" stroked="true" strokeweight="1.140pt" strokecolor="#e0ffff">
                <v:path arrowok="t"/>
              </v:shape>
            </v:group>
            <v:group style="position:absolute;left:1987;top:6252;width:2;height:393" coordorigin="1987,6252" coordsize="2,393">
              <v:shape style="position:absolute;left:1987;top:6252;width:2;height:393" coordorigin="1987,6252" coordsize="0,393" path="m1987,6252l1987,6645e" filled="false" stroked="true" strokeweight="1.140pt" strokecolor="#e0ffff">
                <v:path arrowok="t"/>
              </v:shape>
            </v:group>
            <v:group style="position:absolute;left:1139;top:6645;width:860;height:156" coordorigin="1139,6645" coordsize="860,156">
              <v:shape style="position:absolute;left:1139;top:6645;width:860;height:156" coordorigin="1139,6645" coordsize="860,156" path="m1139,6801l1998,6801,1998,6645,1139,6645,1139,6801xe" filled="true" fillcolor="#e0ffff" stroked="false">
                <v:path arrowok="t"/>
                <v:fill type="solid"/>
              </v:shape>
            </v:group>
            <v:group style="position:absolute;left:1162;top:6252;width:814;height:393" coordorigin="1162,6252" coordsize="814,393">
              <v:shape style="position:absolute;left:1162;top:6252;width:814;height:393" coordorigin="1162,6252" coordsize="814,393" path="m1162,6645l1976,6645,1976,6252,1162,6252,1162,6645xe" filled="true" fillcolor="#e0ffff" stroked="false">
                <v:path arrowok="t"/>
                <v:fill type="solid"/>
              </v:shape>
            </v:group>
            <v:group style="position:absolute;left:1139;top:6092;width:860;height:2" coordorigin="1139,6092" coordsize="860,2">
              <v:shape style="position:absolute;left:1139;top:6092;width:860;height:2" coordorigin="1139,6092" coordsize="860,0" path="m1139,6092l1998,6092e" filled="false" stroked="true" strokeweight=".48pt" strokecolor="#000000">
                <v:path arrowok="t"/>
              </v:shape>
            </v:group>
            <v:group style="position:absolute;left:2008;top:6092;width:860;height:2" coordorigin="2008,6092" coordsize="860,2">
              <v:shape style="position:absolute;left:2008;top:6092;width:860;height:2" coordorigin="2008,6092" coordsize="860,0" path="m2008,6092l2867,6092e" filled="false" stroked="true" strokeweight=".48pt" strokecolor="#000000">
                <v:path arrowok="t"/>
              </v:shape>
            </v:group>
            <v:group style="position:absolute;left:2877;top:6092;width:861;height:2" coordorigin="2877,6092" coordsize="861,2">
              <v:shape style="position:absolute;left:2877;top:6092;width:861;height:2" coordorigin="2877,6092" coordsize="861,0" path="m2877,6092l3737,6092e" filled="false" stroked="true" strokeweight=".48pt" strokecolor="#000000">
                <v:path arrowok="t"/>
              </v:shape>
            </v:group>
            <v:group style="position:absolute;left:3747;top:6092;width:860;height:2" coordorigin="3747,6092" coordsize="860,2">
              <v:shape style="position:absolute;left:3747;top:6092;width:860;height:2" coordorigin="3747,6092" coordsize="860,0" path="m3747,6092l4606,6092e" filled="false" stroked="true" strokeweight=".48pt" strokecolor="#000000">
                <v:path arrowok="t"/>
              </v:shape>
            </v:group>
            <v:group style="position:absolute;left:4616;top:6092;width:860;height:2" coordorigin="4616,6092" coordsize="860,2">
              <v:shape style="position:absolute;left:4616;top:6092;width:860;height:2" coordorigin="4616,6092" coordsize="860,0" path="m4616,6092l5475,6092e" filled="false" stroked="true" strokeweight=".48pt" strokecolor="#000000">
                <v:path arrowok="t"/>
              </v:shape>
            </v:group>
            <v:group style="position:absolute;left:5485;top:6092;width:860;height:2" coordorigin="5485,6092" coordsize="860,2">
              <v:shape style="position:absolute;left:5485;top:6092;width:860;height:2" coordorigin="5485,6092" coordsize="860,0" path="m5485,6092l6344,6092e" filled="false" stroked="true" strokeweight=".48pt" strokecolor="#000000">
                <v:path arrowok="t"/>
              </v:shape>
            </v:group>
            <v:group style="position:absolute;left:6354;top:6092;width:860;height:2" coordorigin="6354,6092" coordsize="860,2">
              <v:shape style="position:absolute;left:6354;top:6092;width:860;height:2" coordorigin="6354,6092" coordsize="860,0" path="m6354,6092l7213,6092e" filled="false" stroked="true" strokeweight=".48pt" strokecolor="#000000">
                <v:path arrowok="t"/>
              </v:shape>
            </v:group>
            <v:group style="position:absolute;left:7222;top:6092;width:860;height:2" coordorigin="7222,6092" coordsize="860,2">
              <v:shape style="position:absolute;left:7222;top:6092;width:860;height:2" coordorigin="7222,6092" coordsize="860,0" path="m7222,6092l8082,6092e" filled="false" stroked="true" strokeweight=".48pt" strokecolor="#000000">
                <v:path arrowok="t"/>
              </v:shape>
            </v:group>
            <v:group style="position:absolute;left:8091;top:6092;width:861;height:2" coordorigin="8091,6092" coordsize="861,2">
              <v:shape style="position:absolute;left:8091;top:6092;width:861;height:2" coordorigin="8091,6092" coordsize="861,0" path="m8091,6092l8952,6092e" filled="false" stroked="true" strokeweight=".48pt" strokecolor="#000000">
                <v:path arrowok="t"/>
              </v:shape>
            </v:group>
            <v:group style="position:absolute;left:8962;top:6092;width:860;height:2" coordorigin="8962,6092" coordsize="860,2">
              <v:shape style="position:absolute;left:8962;top:6092;width:860;height:2" coordorigin="8962,6092" coordsize="860,0" path="m8962,6092l9821,6092e" filled="false" stroked="true" strokeweight=".48pt" strokecolor="#000000">
                <v:path arrowok="t"/>
              </v:shape>
            </v:group>
            <v:group style="position:absolute;left:9830;top:6092;width:860;height:2" coordorigin="9830,6092" coordsize="860,2">
              <v:shape style="position:absolute;left:9830;top:6092;width:860;height:2" coordorigin="9830,6092" coordsize="860,0" path="m9830,6092l10690,6092e" filled="false" stroked="true" strokeweight=".48pt" strokecolor="#000000">
                <v:path arrowok="t"/>
              </v:shape>
            </v:group>
            <v:group style="position:absolute;left:1150;top:6810;width:2;height:1017" coordorigin="1150,6810" coordsize="2,1017">
              <v:shape style="position:absolute;left:1150;top:6810;width:2;height:1017" coordorigin="1150,6810" coordsize="0,1017" path="m1150,6810l1150,7827e" filled="false" stroked="true" strokeweight="1.140pt" strokecolor="#e0ffff">
                <v:path arrowok="t"/>
              </v:shape>
            </v:group>
            <v:group style="position:absolute;left:1987;top:6810;width:2;height:1017" coordorigin="1987,6810" coordsize="2,1017">
              <v:shape style="position:absolute;left:1987;top:6810;width:2;height:1017" coordorigin="1987,6810" coordsize="0,1017" path="m1987,6810l1987,7827e" filled="false" stroked="true" strokeweight="1.140pt" strokecolor="#e0ffff">
                <v:path arrowok="t"/>
              </v:shape>
            </v:group>
            <v:group style="position:absolute;left:1162;top:6810;width:814;height:352" coordorigin="1162,6810" coordsize="814,352">
              <v:shape style="position:absolute;left:1162;top:6810;width:814;height:352" coordorigin="1162,6810" coordsize="814,352" path="m1162,7162l1976,7162,1976,6810,1162,6810,1162,7162xe" filled="true" fillcolor="#e0ffff" stroked="false">
                <v:path arrowok="t"/>
                <v:fill type="solid"/>
              </v:shape>
            </v:group>
            <v:group style="position:absolute;left:1162;top:7162;width:814;height:312" coordorigin="1162,7162" coordsize="814,312">
              <v:shape style="position:absolute;left:1162;top:7162;width:814;height:312" coordorigin="1162,7162" coordsize="814,312" path="m1162,7474l1976,7474,1976,7162,1162,7162,1162,7474xe" filled="true" fillcolor="#e0ffff" stroked="false">
                <v:path arrowok="t"/>
                <v:fill type="solid"/>
              </v:shape>
            </v:group>
            <v:group style="position:absolute;left:1162;top:7474;width:814;height:353" coordorigin="1162,7474" coordsize="814,353">
              <v:shape style="position:absolute;left:1162;top:7474;width:814;height:353" coordorigin="1162,7474" coordsize="814,353" path="m1162,7827l1976,7827,1976,7474,1162,7474,1162,7827xe" filled="true" fillcolor="#e0ffff" stroked="false">
                <v:path arrowok="t"/>
                <v:fill type="solid"/>
              </v:shape>
            </v:group>
            <v:group style="position:absolute;left:1139;top:6806;width:860;height:2" coordorigin="1139,6806" coordsize="860,2">
              <v:shape style="position:absolute;left:1139;top:6806;width:860;height:2" coordorigin="1139,6806" coordsize="860,0" path="m1139,6806l1998,6806e" filled="false" stroked="true" strokeweight=".48pt" strokecolor="#000000">
                <v:path arrowok="t"/>
              </v:shape>
            </v:group>
            <v:group style="position:absolute;left:2008;top:6806;width:860;height:2" coordorigin="2008,6806" coordsize="860,2">
              <v:shape style="position:absolute;left:2008;top:6806;width:860;height:2" coordorigin="2008,6806" coordsize="860,0" path="m2008,6806l2867,6806e" filled="false" stroked="true" strokeweight=".48pt" strokecolor="#000000">
                <v:path arrowok="t"/>
              </v:shape>
            </v:group>
            <v:group style="position:absolute;left:2877;top:6806;width:861;height:2" coordorigin="2877,6806" coordsize="861,2">
              <v:shape style="position:absolute;left:2877;top:6806;width:861;height:2" coordorigin="2877,6806" coordsize="861,0" path="m2877,6806l3737,6806e" filled="false" stroked="true" strokeweight=".48pt" strokecolor="#000000">
                <v:path arrowok="t"/>
              </v:shape>
            </v:group>
            <v:group style="position:absolute;left:3747;top:6806;width:860;height:2" coordorigin="3747,6806" coordsize="860,2">
              <v:shape style="position:absolute;left:3747;top:6806;width:860;height:2" coordorigin="3747,6806" coordsize="860,0" path="m3747,6806l4606,6806e" filled="false" stroked="true" strokeweight=".48pt" strokecolor="#000000">
                <v:path arrowok="t"/>
              </v:shape>
            </v:group>
            <v:group style="position:absolute;left:4616;top:6806;width:860;height:2" coordorigin="4616,6806" coordsize="860,2">
              <v:shape style="position:absolute;left:4616;top:6806;width:860;height:2" coordorigin="4616,6806" coordsize="860,0" path="m4616,6806l5475,6806e" filled="false" stroked="true" strokeweight=".48pt" strokecolor="#000000">
                <v:path arrowok="t"/>
              </v:shape>
            </v:group>
            <v:group style="position:absolute;left:5485;top:6806;width:860;height:2" coordorigin="5485,6806" coordsize="860,2">
              <v:shape style="position:absolute;left:5485;top:6806;width:860;height:2" coordorigin="5485,6806" coordsize="860,0" path="m5485,6806l6344,6806e" filled="false" stroked="true" strokeweight=".48pt" strokecolor="#000000">
                <v:path arrowok="t"/>
              </v:shape>
            </v:group>
            <v:group style="position:absolute;left:6354;top:6806;width:860;height:2" coordorigin="6354,6806" coordsize="860,2">
              <v:shape style="position:absolute;left:6354;top:6806;width:860;height:2" coordorigin="6354,6806" coordsize="860,0" path="m6354,6806l7213,6806e" filled="false" stroked="true" strokeweight=".48pt" strokecolor="#000000">
                <v:path arrowok="t"/>
              </v:shape>
            </v:group>
            <v:group style="position:absolute;left:7222;top:6806;width:860;height:2" coordorigin="7222,6806" coordsize="860,2">
              <v:shape style="position:absolute;left:7222;top:6806;width:860;height:2" coordorigin="7222,6806" coordsize="860,0" path="m7222,6806l8082,6806e" filled="false" stroked="true" strokeweight=".48pt" strokecolor="#000000">
                <v:path arrowok="t"/>
              </v:shape>
            </v:group>
            <v:group style="position:absolute;left:8091;top:6806;width:861;height:2" coordorigin="8091,6806" coordsize="861,2">
              <v:shape style="position:absolute;left:8091;top:6806;width:861;height:2" coordorigin="8091,6806" coordsize="861,0" path="m8091,6806l8952,6806e" filled="false" stroked="true" strokeweight=".48pt" strokecolor="#000000">
                <v:path arrowok="t"/>
              </v:shape>
            </v:group>
            <v:group style="position:absolute;left:8962;top:6806;width:860;height:2" coordorigin="8962,6806" coordsize="860,2">
              <v:shape style="position:absolute;left:8962;top:6806;width:860;height:2" coordorigin="8962,6806" coordsize="860,0" path="m8962,6806l9821,6806e" filled="false" stroked="true" strokeweight=".48pt" strokecolor="#000000">
                <v:path arrowok="t"/>
              </v:shape>
            </v:group>
            <v:group style="position:absolute;left:9830;top:6806;width:860;height:2" coordorigin="9830,6806" coordsize="860,2">
              <v:shape style="position:absolute;left:9830;top:6806;width:860;height:2" coordorigin="9830,6806" coordsize="860,0" path="m9830,6806l10690,6806e" filled="false" stroked="true" strokeweight=".48pt" strokecolor="#000000">
                <v:path arrowok="t"/>
              </v:shape>
            </v:group>
            <v:group style="position:absolute;left:1150;top:7836;width:2;height:705" coordorigin="1150,7836" coordsize="2,705">
              <v:shape style="position:absolute;left:1150;top:7836;width:2;height:705" coordorigin="1150,7836" coordsize="0,705" path="m1150,7836l1150,8541e" filled="false" stroked="true" strokeweight="1.140pt" strokecolor="#d2d2d2">
                <v:path arrowok="t"/>
              </v:shape>
            </v:group>
            <v:group style="position:absolute;left:1987;top:7836;width:2;height:705" coordorigin="1987,7836" coordsize="2,705">
              <v:shape style="position:absolute;left:1987;top:7836;width:2;height:705" coordorigin="1987,7836" coordsize="0,705" path="m1987,7836l1987,8541e" filled="false" stroked="true" strokeweight="1.140pt" strokecolor="#d2d2d2">
                <v:path arrowok="t"/>
              </v:shape>
            </v:group>
            <v:group style="position:absolute;left:1162;top:7836;width:814;height:352" coordorigin="1162,7836" coordsize="814,352">
              <v:shape style="position:absolute;left:1162;top:7836;width:814;height:352" coordorigin="1162,7836" coordsize="814,352" path="m1162,8188l1976,8188,1976,7836,1162,7836,1162,8188xe" filled="true" fillcolor="#d2d2d2" stroked="false">
                <v:path arrowok="t"/>
                <v:fill type="solid"/>
              </v:shape>
            </v:group>
            <v:group style="position:absolute;left:1162;top:8188;width:814;height:354" coordorigin="1162,8188" coordsize="814,354">
              <v:shape style="position:absolute;left:1162;top:8188;width:814;height:354" coordorigin="1162,8188" coordsize="814,354" path="m1162,8541l1976,8541,1976,8188,1162,8188,1162,8541xe" filled="true" fillcolor="#d2d2d2" stroked="false">
                <v:path arrowok="t"/>
                <v:fill type="solid"/>
              </v:shape>
            </v:group>
            <v:group style="position:absolute;left:1139;top:7832;width:860;height:2" coordorigin="1139,7832" coordsize="860,2">
              <v:shape style="position:absolute;left:1139;top:7832;width:860;height:2" coordorigin="1139,7832" coordsize="860,0" path="m1139,7832l1998,7832e" filled="false" stroked="true" strokeweight=".48pt" strokecolor="#000000">
                <v:path arrowok="t"/>
              </v:shape>
            </v:group>
            <v:group style="position:absolute;left:2008;top:7832;width:860;height:2" coordorigin="2008,7832" coordsize="860,2">
              <v:shape style="position:absolute;left:2008;top:7832;width:860;height:2" coordorigin="2008,7832" coordsize="860,0" path="m2008,7832l2867,7832e" filled="false" stroked="true" strokeweight=".48pt" strokecolor="#000000">
                <v:path arrowok="t"/>
              </v:shape>
            </v:group>
            <v:group style="position:absolute;left:2877;top:7832;width:861;height:2" coordorigin="2877,7832" coordsize="861,2">
              <v:shape style="position:absolute;left:2877;top:7832;width:861;height:2" coordorigin="2877,7832" coordsize="861,0" path="m2877,7832l3737,7832e" filled="false" stroked="true" strokeweight=".48pt" strokecolor="#000000">
                <v:path arrowok="t"/>
              </v:shape>
            </v:group>
            <v:group style="position:absolute;left:3747;top:7832;width:860;height:2" coordorigin="3747,7832" coordsize="860,2">
              <v:shape style="position:absolute;left:3747;top:7832;width:860;height:2" coordorigin="3747,7832" coordsize="860,0" path="m3747,7832l4606,7832e" filled="false" stroked="true" strokeweight=".48pt" strokecolor="#000000">
                <v:path arrowok="t"/>
              </v:shape>
            </v:group>
            <v:group style="position:absolute;left:4616;top:7832;width:860;height:2" coordorigin="4616,7832" coordsize="860,2">
              <v:shape style="position:absolute;left:4616;top:7832;width:860;height:2" coordorigin="4616,7832" coordsize="860,0" path="m4616,7832l5475,7832e" filled="false" stroked="true" strokeweight=".48pt" strokecolor="#000000">
                <v:path arrowok="t"/>
              </v:shape>
            </v:group>
            <v:group style="position:absolute;left:5485;top:7832;width:860;height:2" coordorigin="5485,7832" coordsize="860,2">
              <v:shape style="position:absolute;left:5485;top:7832;width:860;height:2" coordorigin="5485,7832" coordsize="860,0" path="m5485,7832l6344,7832e" filled="false" stroked="true" strokeweight=".48pt" strokecolor="#000000">
                <v:path arrowok="t"/>
              </v:shape>
            </v:group>
            <v:group style="position:absolute;left:6354;top:7832;width:860;height:2" coordorigin="6354,7832" coordsize="860,2">
              <v:shape style="position:absolute;left:6354;top:7832;width:860;height:2" coordorigin="6354,7832" coordsize="860,0" path="m6354,7832l7213,7832e" filled="false" stroked="true" strokeweight=".48pt" strokecolor="#000000">
                <v:path arrowok="t"/>
              </v:shape>
            </v:group>
            <v:group style="position:absolute;left:7222;top:7832;width:860;height:2" coordorigin="7222,7832" coordsize="860,2">
              <v:shape style="position:absolute;left:7222;top:7832;width:860;height:2" coordorigin="7222,7832" coordsize="860,0" path="m7222,7832l8082,7832e" filled="false" stroked="true" strokeweight=".48pt" strokecolor="#000000">
                <v:path arrowok="t"/>
              </v:shape>
            </v:group>
            <v:group style="position:absolute;left:8091;top:7832;width:861;height:2" coordorigin="8091,7832" coordsize="861,2">
              <v:shape style="position:absolute;left:8091;top:7832;width:861;height:2" coordorigin="8091,7832" coordsize="861,0" path="m8091,7832l8952,7832e" filled="false" stroked="true" strokeweight=".48pt" strokecolor="#000000">
                <v:path arrowok="t"/>
              </v:shape>
            </v:group>
            <v:group style="position:absolute;left:8962;top:7832;width:860;height:2" coordorigin="8962,7832" coordsize="860,2">
              <v:shape style="position:absolute;left:8962;top:7832;width:860;height:2" coordorigin="8962,7832" coordsize="860,0" path="m8962,7832l9821,7832e" filled="false" stroked="true" strokeweight=".48pt" strokecolor="#000000">
                <v:path arrowok="t"/>
              </v:shape>
            </v:group>
            <v:group style="position:absolute;left:9830;top:7832;width:860;height:2" coordorigin="9830,7832" coordsize="860,2">
              <v:shape style="position:absolute;left:9830;top:7832;width:860;height:2" coordorigin="9830,7832" coordsize="860,0" path="m9830,7832l10690,7832e" filled="false" stroked="true" strokeweight=".48pt" strokecolor="#000000">
                <v:path arrowok="t"/>
              </v:shape>
            </v:group>
            <v:group style="position:absolute;left:1150;top:8551;width:2;height:705" coordorigin="1150,8551" coordsize="2,705">
              <v:shape style="position:absolute;left:1150;top:8551;width:2;height:705" coordorigin="1150,8551" coordsize="0,705" path="m1150,8551l1150,9255e" filled="false" stroked="true" strokeweight="1.140pt" strokecolor="#d2d2d2">
                <v:path arrowok="t"/>
              </v:shape>
            </v:group>
            <v:group style="position:absolute;left:1987;top:8551;width:2;height:705" coordorigin="1987,8551" coordsize="2,705">
              <v:shape style="position:absolute;left:1987;top:8551;width:2;height:705" coordorigin="1987,8551" coordsize="0,705" path="m1987,8551l1987,9255e" filled="false" stroked="true" strokeweight="1.140pt" strokecolor="#d2d2d2">
                <v:path arrowok="t"/>
              </v:shape>
            </v:group>
            <v:group style="position:absolute;left:1162;top:8551;width:814;height:352" coordorigin="1162,8551" coordsize="814,352">
              <v:shape style="position:absolute;left:1162;top:8551;width:814;height:352" coordorigin="1162,8551" coordsize="814,352" path="m1162,8902l1976,8902,1976,8551,1162,8551,1162,8902xe" filled="true" fillcolor="#d2d2d2" stroked="false">
                <v:path arrowok="t"/>
                <v:fill type="solid"/>
              </v:shape>
            </v:group>
            <v:group style="position:absolute;left:1162;top:8902;width:814;height:353" coordorigin="1162,8902" coordsize="814,353">
              <v:shape style="position:absolute;left:1162;top:8902;width:814;height:353" coordorigin="1162,8902" coordsize="814,353" path="m1162,9255l1976,9255,1976,8902,1162,8902,1162,9255xe" filled="true" fillcolor="#d2d2d2" stroked="false">
                <v:path arrowok="t"/>
                <v:fill type="solid"/>
              </v:shape>
            </v:group>
            <v:group style="position:absolute;left:1139;top:8546;width:860;height:2" coordorigin="1139,8546" coordsize="860,2">
              <v:shape style="position:absolute;left:1139;top:8546;width:860;height:2" coordorigin="1139,8546" coordsize="860,0" path="m1139,8546l1998,8546e" filled="false" stroked="true" strokeweight=".48pt" strokecolor="#000000">
                <v:path arrowok="t"/>
              </v:shape>
            </v:group>
            <v:group style="position:absolute;left:2008;top:8546;width:860;height:2" coordorigin="2008,8546" coordsize="860,2">
              <v:shape style="position:absolute;left:2008;top:8546;width:860;height:2" coordorigin="2008,8546" coordsize="860,0" path="m2008,8546l2867,8546e" filled="false" stroked="true" strokeweight=".48pt" strokecolor="#000000">
                <v:path arrowok="t"/>
              </v:shape>
            </v:group>
            <v:group style="position:absolute;left:2877;top:8546;width:861;height:2" coordorigin="2877,8546" coordsize="861,2">
              <v:shape style="position:absolute;left:2877;top:8546;width:861;height:2" coordorigin="2877,8546" coordsize="861,0" path="m2877,8546l3737,8546e" filled="false" stroked="true" strokeweight=".48pt" strokecolor="#000000">
                <v:path arrowok="t"/>
              </v:shape>
            </v:group>
            <v:group style="position:absolute;left:3747;top:8546;width:860;height:2" coordorigin="3747,8546" coordsize="860,2">
              <v:shape style="position:absolute;left:3747;top:8546;width:860;height:2" coordorigin="3747,8546" coordsize="860,0" path="m3747,8546l4606,8546e" filled="false" stroked="true" strokeweight=".48pt" strokecolor="#000000">
                <v:path arrowok="t"/>
              </v:shape>
            </v:group>
            <v:group style="position:absolute;left:4616;top:8546;width:860;height:2" coordorigin="4616,8546" coordsize="860,2">
              <v:shape style="position:absolute;left:4616;top:8546;width:860;height:2" coordorigin="4616,8546" coordsize="860,0" path="m4616,8546l5475,8546e" filled="false" stroked="true" strokeweight=".48pt" strokecolor="#000000">
                <v:path arrowok="t"/>
              </v:shape>
            </v:group>
            <v:group style="position:absolute;left:5485;top:8546;width:860;height:2" coordorigin="5485,8546" coordsize="860,2">
              <v:shape style="position:absolute;left:5485;top:8546;width:860;height:2" coordorigin="5485,8546" coordsize="860,0" path="m5485,8546l6344,8546e" filled="false" stroked="true" strokeweight=".48pt" strokecolor="#000000">
                <v:path arrowok="t"/>
              </v:shape>
            </v:group>
            <v:group style="position:absolute;left:6354;top:8546;width:860;height:2" coordorigin="6354,8546" coordsize="860,2">
              <v:shape style="position:absolute;left:6354;top:8546;width:860;height:2" coordorigin="6354,8546" coordsize="860,0" path="m6354,8546l7213,8546e" filled="false" stroked="true" strokeweight=".48pt" strokecolor="#000000">
                <v:path arrowok="t"/>
              </v:shape>
            </v:group>
            <v:group style="position:absolute;left:7222;top:8546;width:860;height:2" coordorigin="7222,8546" coordsize="860,2">
              <v:shape style="position:absolute;left:7222;top:8546;width:860;height:2" coordorigin="7222,8546" coordsize="860,0" path="m7222,8546l8082,8546e" filled="false" stroked="true" strokeweight=".48pt" strokecolor="#000000">
                <v:path arrowok="t"/>
              </v:shape>
            </v:group>
            <v:group style="position:absolute;left:8091;top:8546;width:861;height:2" coordorigin="8091,8546" coordsize="861,2">
              <v:shape style="position:absolute;left:8091;top:8546;width:861;height:2" coordorigin="8091,8546" coordsize="861,0" path="m8091,8546l8952,8546e" filled="false" stroked="true" strokeweight=".48pt" strokecolor="#000000">
                <v:path arrowok="t"/>
              </v:shape>
            </v:group>
            <v:group style="position:absolute;left:8962;top:8546;width:860;height:2" coordorigin="8962,8546" coordsize="860,2">
              <v:shape style="position:absolute;left:8962;top:8546;width:860;height:2" coordorigin="8962,8546" coordsize="860,0" path="m8962,8546l9821,8546e" filled="false" stroked="true" strokeweight=".48pt" strokecolor="#000000">
                <v:path arrowok="t"/>
              </v:shape>
            </v:group>
            <v:group style="position:absolute;left:9830;top:8546;width:860;height:2" coordorigin="9830,8546" coordsize="860,2">
              <v:shape style="position:absolute;left:9830;top:8546;width:860;height:2" coordorigin="9830,8546" coordsize="860,0" path="m9830,8546l10690,8546e" filled="false" stroked="true" strokeweight=".48pt" strokecolor="#000000">
                <v:path arrowok="t"/>
              </v:shape>
            </v:group>
            <v:group style="position:absolute;left:1150;top:9265;width:2;height:705" coordorigin="1150,9265" coordsize="2,705">
              <v:shape style="position:absolute;left:1150;top:9265;width:2;height:705" coordorigin="1150,9265" coordsize="0,705" path="m1150,9265l1150,9969e" filled="false" stroked="true" strokeweight="1.140pt" strokecolor="#d2d2d2">
                <v:path arrowok="t"/>
              </v:shape>
            </v:group>
            <v:group style="position:absolute;left:1987;top:9265;width:2;height:705" coordorigin="1987,9265" coordsize="2,705">
              <v:shape style="position:absolute;left:1987;top:9265;width:2;height:705" coordorigin="1987,9265" coordsize="0,705" path="m1987,9265l1987,9969e" filled="false" stroked="true" strokeweight="1.140pt" strokecolor="#d2d2d2">
                <v:path arrowok="t"/>
              </v:shape>
            </v:group>
            <v:group style="position:absolute;left:1162;top:9265;width:814;height:352" coordorigin="1162,9265" coordsize="814,352">
              <v:shape style="position:absolute;left:1162;top:9265;width:814;height:352" coordorigin="1162,9265" coordsize="814,352" path="m1162,9616l1976,9616,1976,9265,1162,9265,1162,9616xe" filled="true" fillcolor="#d2d2d2" stroked="false">
                <v:path arrowok="t"/>
                <v:fill type="solid"/>
              </v:shape>
            </v:group>
            <v:group style="position:absolute;left:1162;top:9616;width:814;height:353" coordorigin="1162,9616" coordsize="814,353">
              <v:shape style="position:absolute;left:1162;top:9616;width:814;height:353" coordorigin="1162,9616" coordsize="814,353" path="m1162,9969l1976,9969,1976,9616,1162,9616,1162,9969xe" filled="true" fillcolor="#d2d2d2" stroked="false">
                <v:path arrowok="t"/>
                <v:fill type="solid"/>
              </v:shape>
            </v:group>
            <v:group style="position:absolute;left:1139;top:9260;width:860;height:2" coordorigin="1139,9260" coordsize="860,2">
              <v:shape style="position:absolute;left:1139;top:9260;width:860;height:2" coordorigin="1139,9260" coordsize="860,0" path="m1139,9260l1998,9260e" filled="false" stroked="true" strokeweight=".48pt" strokecolor="#000000">
                <v:path arrowok="t"/>
              </v:shape>
            </v:group>
            <v:group style="position:absolute;left:2008;top:9260;width:860;height:2" coordorigin="2008,9260" coordsize="860,2">
              <v:shape style="position:absolute;left:2008;top:9260;width:860;height:2" coordorigin="2008,9260" coordsize="860,0" path="m2008,9260l2867,9260e" filled="false" stroked="true" strokeweight=".48pt" strokecolor="#000000">
                <v:path arrowok="t"/>
              </v:shape>
            </v:group>
            <v:group style="position:absolute;left:2877;top:9260;width:861;height:2" coordorigin="2877,9260" coordsize="861,2">
              <v:shape style="position:absolute;left:2877;top:9260;width:861;height:2" coordorigin="2877,9260" coordsize="861,0" path="m2877,9260l3737,9260e" filled="false" stroked="true" strokeweight=".48pt" strokecolor="#000000">
                <v:path arrowok="t"/>
              </v:shape>
            </v:group>
            <v:group style="position:absolute;left:3747;top:9260;width:860;height:2" coordorigin="3747,9260" coordsize="860,2">
              <v:shape style="position:absolute;left:3747;top:9260;width:860;height:2" coordorigin="3747,9260" coordsize="860,0" path="m3747,9260l4606,9260e" filled="false" stroked="true" strokeweight=".48pt" strokecolor="#000000">
                <v:path arrowok="t"/>
              </v:shape>
            </v:group>
            <v:group style="position:absolute;left:4616;top:9260;width:860;height:2" coordorigin="4616,9260" coordsize="860,2">
              <v:shape style="position:absolute;left:4616;top:9260;width:860;height:2" coordorigin="4616,9260" coordsize="860,0" path="m4616,9260l5475,9260e" filled="false" stroked="true" strokeweight=".48pt" strokecolor="#000000">
                <v:path arrowok="t"/>
              </v:shape>
            </v:group>
            <v:group style="position:absolute;left:5485;top:9260;width:860;height:2" coordorigin="5485,9260" coordsize="860,2">
              <v:shape style="position:absolute;left:5485;top:9260;width:860;height:2" coordorigin="5485,9260" coordsize="860,0" path="m5485,9260l6344,9260e" filled="false" stroked="true" strokeweight=".48pt" strokecolor="#000000">
                <v:path arrowok="t"/>
              </v:shape>
            </v:group>
            <v:group style="position:absolute;left:6354;top:9260;width:860;height:2" coordorigin="6354,9260" coordsize="860,2">
              <v:shape style="position:absolute;left:6354;top:9260;width:860;height:2" coordorigin="6354,9260" coordsize="860,0" path="m6354,9260l7213,9260e" filled="false" stroked="true" strokeweight=".48pt" strokecolor="#000000">
                <v:path arrowok="t"/>
              </v:shape>
            </v:group>
            <v:group style="position:absolute;left:7222;top:9260;width:860;height:2" coordorigin="7222,9260" coordsize="860,2">
              <v:shape style="position:absolute;left:7222;top:9260;width:860;height:2" coordorigin="7222,9260" coordsize="860,0" path="m7222,9260l8082,9260e" filled="false" stroked="true" strokeweight=".48pt" strokecolor="#000000">
                <v:path arrowok="t"/>
              </v:shape>
            </v:group>
            <v:group style="position:absolute;left:8091;top:9260;width:861;height:2" coordorigin="8091,9260" coordsize="861,2">
              <v:shape style="position:absolute;left:8091;top:9260;width:861;height:2" coordorigin="8091,9260" coordsize="861,0" path="m8091,9260l8952,9260e" filled="false" stroked="true" strokeweight=".48pt" strokecolor="#000000">
                <v:path arrowok="t"/>
              </v:shape>
            </v:group>
            <v:group style="position:absolute;left:8962;top:9260;width:860;height:2" coordorigin="8962,9260" coordsize="860,2">
              <v:shape style="position:absolute;left:8962;top:9260;width:860;height:2" coordorigin="8962,9260" coordsize="860,0" path="m8962,9260l9821,9260e" filled="false" stroked="true" strokeweight=".48pt" strokecolor="#000000">
                <v:path arrowok="t"/>
              </v:shape>
            </v:group>
            <v:group style="position:absolute;left:9830;top:9260;width:860;height:2" coordorigin="9830,9260" coordsize="860,2">
              <v:shape style="position:absolute;left:9830;top:9260;width:860;height:2" coordorigin="9830,9260" coordsize="860,0" path="m9830,9260l10690,9260e" filled="false" stroked="true" strokeweight=".48pt" strokecolor="#000000">
                <v:path arrowok="t"/>
              </v:shape>
            </v:group>
            <v:group style="position:absolute;left:1150;top:9979;width:2;height:1017" coordorigin="1150,9979" coordsize="2,1017">
              <v:shape style="position:absolute;left:1150;top:9979;width:2;height:1017" coordorigin="1150,9979" coordsize="0,1017" path="m1150,9979l1150,10995e" filled="false" stroked="true" strokeweight="1.140pt" strokecolor="#d2d2d2">
                <v:path arrowok="t"/>
              </v:shape>
            </v:group>
            <v:group style="position:absolute;left:1987;top:9979;width:2;height:1017" coordorigin="1987,9979" coordsize="2,1017">
              <v:shape style="position:absolute;left:1987;top:9979;width:2;height:1017" coordorigin="1987,9979" coordsize="0,1017" path="m1987,9979l1987,10995e" filled="false" stroked="true" strokeweight="1.140pt" strokecolor="#d2d2d2">
                <v:path arrowok="t"/>
              </v:shape>
            </v:group>
            <v:group style="position:absolute;left:1162;top:9979;width:814;height:352" coordorigin="1162,9979" coordsize="814,352">
              <v:shape style="position:absolute;left:1162;top:9979;width:814;height:352" coordorigin="1162,9979" coordsize="814,352" path="m1162,10330l1976,10330,1976,9979,1162,9979,1162,10330xe" filled="true" fillcolor="#d2d2d2" stroked="false">
                <v:path arrowok="t"/>
                <v:fill type="solid"/>
              </v:shape>
            </v:group>
            <v:group style="position:absolute;left:1162;top:10330;width:814;height:312" coordorigin="1162,10330" coordsize="814,312">
              <v:shape style="position:absolute;left:1162;top:10330;width:814;height:312" coordorigin="1162,10330" coordsize="814,312" path="m1162,10642l1976,10642,1976,10330,1162,10330,1162,10642xe" filled="true" fillcolor="#d2d2d2" stroked="false">
                <v:path arrowok="t"/>
                <v:fill type="solid"/>
              </v:shape>
            </v:group>
            <v:group style="position:absolute;left:1162;top:10642;width:814;height:353" coordorigin="1162,10642" coordsize="814,353">
              <v:shape style="position:absolute;left:1162;top:10642;width:814;height:353" coordorigin="1162,10642" coordsize="814,353" path="m1162,10995l1976,10995,1976,10642,1162,10642,1162,10995xe" filled="true" fillcolor="#d2d2d2" stroked="false">
                <v:path arrowok="t"/>
                <v:fill type="solid"/>
              </v:shape>
            </v:group>
            <v:group style="position:absolute;left:1139;top:9974;width:860;height:2" coordorigin="1139,9974" coordsize="860,2">
              <v:shape style="position:absolute;left:1139;top:9974;width:860;height:2" coordorigin="1139,9974" coordsize="860,0" path="m1139,9974l1998,9974e" filled="false" stroked="true" strokeweight=".48pt" strokecolor="#000000">
                <v:path arrowok="t"/>
              </v:shape>
            </v:group>
            <v:group style="position:absolute;left:2008;top:9974;width:860;height:2" coordorigin="2008,9974" coordsize="860,2">
              <v:shape style="position:absolute;left:2008;top:9974;width:860;height:2" coordorigin="2008,9974" coordsize="860,0" path="m2008,9974l2867,9974e" filled="false" stroked="true" strokeweight=".48pt" strokecolor="#000000">
                <v:path arrowok="t"/>
              </v:shape>
            </v:group>
            <v:group style="position:absolute;left:2877;top:9974;width:861;height:2" coordorigin="2877,9974" coordsize="861,2">
              <v:shape style="position:absolute;left:2877;top:9974;width:861;height:2" coordorigin="2877,9974" coordsize="861,0" path="m2877,9974l3737,9974e" filled="false" stroked="true" strokeweight=".48pt" strokecolor="#000000">
                <v:path arrowok="t"/>
              </v:shape>
            </v:group>
            <v:group style="position:absolute;left:3747;top:9974;width:860;height:2" coordorigin="3747,9974" coordsize="860,2">
              <v:shape style="position:absolute;left:3747;top:9974;width:860;height:2" coordorigin="3747,9974" coordsize="860,0" path="m3747,9974l4606,9974e" filled="false" stroked="true" strokeweight=".48pt" strokecolor="#000000">
                <v:path arrowok="t"/>
              </v:shape>
            </v:group>
            <v:group style="position:absolute;left:4616;top:9974;width:860;height:2" coordorigin="4616,9974" coordsize="860,2">
              <v:shape style="position:absolute;left:4616;top:9974;width:860;height:2" coordorigin="4616,9974" coordsize="860,0" path="m4616,9974l5475,9974e" filled="false" stroked="true" strokeweight=".48pt" strokecolor="#000000">
                <v:path arrowok="t"/>
              </v:shape>
            </v:group>
            <v:group style="position:absolute;left:5485;top:9974;width:860;height:2" coordorigin="5485,9974" coordsize="860,2">
              <v:shape style="position:absolute;left:5485;top:9974;width:860;height:2" coordorigin="5485,9974" coordsize="860,0" path="m5485,9974l6344,9974e" filled="false" stroked="true" strokeweight=".48pt" strokecolor="#000000">
                <v:path arrowok="t"/>
              </v:shape>
            </v:group>
            <v:group style="position:absolute;left:6354;top:9974;width:860;height:2" coordorigin="6354,9974" coordsize="860,2">
              <v:shape style="position:absolute;left:6354;top:9974;width:860;height:2" coordorigin="6354,9974" coordsize="860,0" path="m6354,9974l7213,9974e" filled="false" stroked="true" strokeweight=".48pt" strokecolor="#000000">
                <v:path arrowok="t"/>
              </v:shape>
            </v:group>
            <v:group style="position:absolute;left:7222;top:9974;width:860;height:2" coordorigin="7222,9974" coordsize="860,2">
              <v:shape style="position:absolute;left:7222;top:9974;width:860;height:2" coordorigin="7222,9974" coordsize="860,0" path="m7222,9974l8082,9974e" filled="false" stroked="true" strokeweight=".48pt" strokecolor="#000000">
                <v:path arrowok="t"/>
              </v:shape>
            </v:group>
            <v:group style="position:absolute;left:8091;top:9974;width:861;height:2" coordorigin="8091,9974" coordsize="861,2">
              <v:shape style="position:absolute;left:8091;top:9974;width:861;height:2" coordorigin="8091,9974" coordsize="861,0" path="m8091,9974l8952,9974e" filled="false" stroked="true" strokeweight=".48pt" strokecolor="#000000">
                <v:path arrowok="t"/>
              </v:shape>
            </v:group>
            <v:group style="position:absolute;left:8962;top:9974;width:860;height:2" coordorigin="8962,9974" coordsize="860,2">
              <v:shape style="position:absolute;left:8962;top:9974;width:860;height:2" coordorigin="8962,9974" coordsize="860,0" path="m8962,9974l9821,9974e" filled="false" stroked="true" strokeweight=".48pt" strokecolor="#000000">
                <v:path arrowok="t"/>
              </v:shape>
            </v:group>
            <v:group style="position:absolute;left:9830;top:9974;width:860;height:2" coordorigin="9830,9974" coordsize="860,2">
              <v:shape style="position:absolute;left:9830;top:9974;width:860;height:2" coordorigin="9830,9974" coordsize="860,0" path="m9830,9974l10690,9974e" filled="false" stroked="true" strokeweight=".48pt" strokecolor="#000000">
                <v:path arrowok="t"/>
              </v:shape>
            </v:group>
            <v:group style="position:absolute;left:1150;top:11005;width:2;height:705" coordorigin="1150,11005" coordsize="2,705">
              <v:shape style="position:absolute;left:1150;top:11005;width:2;height:705" coordorigin="1150,11005" coordsize="0,705" path="m1150,11005l1150,11709e" filled="false" stroked="true" strokeweight="1.140pt" strokecolor="#d2d2d2">
                <v:path arrowok="t"/>
              </v:shape>
            </v:group>
            <v:group style="position:absolute;left:1987;top:11005;width:2;height:705" coordorigin="1987,11005" coordsize="2,705">
              <v:shape style="position:absolute;left:1987;top:11005;width:2;height:705" coordorigin="1987,11005" coordsize="0,705" path="m1987,11005l1987,11709e" filled="false" stroked="true" strokeweight="1.140pt" strokecolor="#d2d2d2">
                <v:path arrowok="t"/>
              </v:shape>
            </v:group>
            <v:group style="position:absolute;left:1162;top:11005;width:814;height:352" coordorigin="1162,11005" coordsize="814,352">
              <v:shape style="position:absolute;left:1162;top:11005;width:814;height:352" coordorigin="1162,11005" coordsize="814,352" path="m1162,11356l1976,11356,1976,11005,1162,11005,1162,11356xe" filled="true" fillcolor="#d2d2d2" stroked="false">
                <v:path arrowok="t"/>
                <v:fill type="solid"/>
              </v:shape>
            </v:group>
            <v:group style="position:absolute;left:1162;top:11356;width:814;height:353" coordorigin="1162,11356" coordsize="814,353">
              <v:shape style="position:absolute;left:1162;top:11356;width:814;height:353" coordorigin="1162,11356" coordsize="814,353" path="m1162,11709l1976,11709,1976,11356,1162,11356,1162,11709xe" filled="true" fillcolor="#d2d2d2" stroked="false">
                <v:path arrowok="t"/>
                <v:fill type="solid"/>
              </v:shape>
            </v:group>
            <v:group style="position:absolute;left:2008;top:11005;width:860;height:156" coordorigin="2008,11005" coordsize="860,156">
              <v:shape style="position:absolute;left:2008;top:11005;width:860;height:156" coordorigin="2008,11005" coordsize="860,156" path="m2008,11161l2867,11161,2867,11005,2008,11005,2008,11161xe" filled="true" fillcolor="#ffffff" stroked="false">
                <v:path arrowok="t"/>
                <v:fill type="solid"/>
              </v:shape>
            </v:group>
            <v:group style="position:absolute;left:2019;top:11161;width:2;height:393" coordorigin="2019,11161" coordsize="2,393">
              <v:shape style="position:absolute;left:2019;top:11161;width:2;height:393" coordorigin="2019,11161" coordsize="0,393" path="m2019,11161l2019,11553e" filled="false" stroked="true" strokeweight="1.140pt" strokecolor="#ffffff">
                <v:path arrowok="t"/>
              </v:shape>
            </v:group>
            <v:group style="position:absolute;left:2031;top:11161;width:814;height:393" coordorigin="2031,11161" coordsize="814,393">
              <v:shape style="position:absolute;left:2031;top:11161;width:814;height:393" coordorigin="2031,11161" coordsize="814,393" path="m2031,11553l2844,11553,2844,11161,2031,11161,2031,11553xe" filled="true" fillcolor="#ffffff" stroked="false">
                <v:path arrowok="t"/>
                <v:fill type="solid"/>
              </v:shape>
            </v:group>
            <v:group style="position:absolute;left:1139;top:11000;width:860;height:2" coordorigin="1139,11000" coordsize="860,2">
              <v:shape style="position:absolute;left:1139;top:11000;width:860;height:2" coordorigin="1139,11000" coordsize="860,0" path="m1139,11000l1998,11000e" filled="false" stroked="true" strokeweight=".48pt" strokecolor="#000000">
                <v:path arrowok="t"/>
              </v:shape>
            </v:group>
            <v:group style="position:absolute;left:2008;top:11000;width:860;height:2" coordorigin="2008,11000" coordsize="860,2">
              <v:shape style="position:absolute;left:2008;top:11000;width:860;height:2" coordorigin="2008,11000" coordsize="860,0" path="m2008,11000l2867,11000e" filled="false" stroked="true" strokeweight=".48pt" strokecolor="#000000">
                <v:path arrowok="t"/>
              </v:shape>
            </v:group>
            <v:group style="position:absolute;left:2877;top:11000;width:861;height:2" coordorigin="2877,11000" coordsize="861,2">
              <v:shape style="position:absolute;left:2877;top:11000;width:861;height:2" coordorigin="2877,11000" coordsize="861,0" path="m2877,11000l3737,11000e" filled="false" stroked="true" strokeweight=".48pt" strokecolor="#000000">
                <v:path arrowok="t"/>
              </v:shape>
            </v:group>
            <v:group style="position:absolute;left:3747;top:11000;width:860;height:2" coordorigin="3747,11000" coordsize="860,2">
              <v:shape style="position:absolute;left:3747;top:11000;width:860;height:2" coordorigin="3747,11000" coordsize="860,0" path="m3747,11000l4606,11000e" filled="false" stroked="true" strokeweight=".48pt" strokecolor="#000000">
                <v:path arrowok="t"/>
              </v:shape>
            </v:group>
            <v:group style="position:absolute;left:4616;top:11000;width:860;height:2" coordorigin="4616,11000" coordsize="860,2">
              <v:shape style="position:absolute;left:4616;top:11000;width:860;height:2" coordorigin="4616,11000" coordsize="860,0" path="m4616,11000l5475,11000e" filled="false" stroked="true" strokeweight=".48pt" strokecolor="#000000">
                <v:path arrowok="t"/>
              </v:shape>
            </v:group>
            <v:group style="position:absolute;left:5485;top:11000;width:860;height:2" coordorigin="5485,11000" coordsize="860,2">
              <v:shape style="position:absolute;left:5485;top:11000;width:860;height:2" coordorigin="5485,11000" coordsize="860,0" path="m5485,11000l6344,11000e" filled="false" stroked="true" strokeweight=".48pt" strokecolor="#000000">
                <v:path arrowok="t"/>
              </v:shape>
            </v:group>
            <v:group style="position:absolute;left:6354;top:11000;width:860;height:2" coordorigin="6354,11000" coordsize="860,2">
              <v:shape style="position:absolute;left:6354;top:11000;width:860;height:2" coordorigin="6354,11000" coordsize="860,0" path="m6354,11000l7213,11000e" filled="false" stroked="true" strokeweight=".48pt" strokecolor="#000000">
                <v:path arrowok="t"/>
              </v:shape>
            </v:group>
            <v:group style="position:absolute;left:7222;top:11000;width:860;height:2" coordorigin="7222,11000" coordsize="860,2">
              <v:shape style="position:absolute;left:7222;top:11000;width:860;height:2" coordorigin="7222,11000" coordsize="860,0" path="m7222,11000l8082,11000e" filled="false" stroked="true" strokeweight=".48pt" strokecolor="#000000">
                <v:path arrowok="t"/>
              </v:shape>
            </v:group>
            <v:group style="position:absolute;left:8091;top:11000;width:861;height:2" coordorigin="8091,11000" coordsize="861,2">
              <v:shape style="position:absolute;left:8091;top:11000;width:861;height:2" coordorigin="8091,11000" coordsize="861,0" path="m8091,11000l8952,11000e" filled="false" stroked="true" strokeweight=".48pt" strokecolor="#000000">
                <v:path arrowok="t"/>
              </v:shape>
            </v:group>
            <v:group style="position:absolute;left:8962;top:11000;width:860;height:2" coordorigin="8962,11000" coordsize="860,2">
              <v:shape style="position:absolute;left:8962;top:11000;width:860;height:2" coordorigin="8962,11000" coordsize="860,0" path="m8962,11000l9821,11000e" filled="false" stroked="true" strokeweight=".48pt" strokecolor="#000000">
                <v:path arrowok="t"/>
              </v:shape>
            </v:group>
            <v:group style="position:absolute;left:9830;top:11000;width:860;height:2" coordorigin="9830,11000" coordsize="860,2">
              <v:shape style="position:absolute;left:9830;top:11000;width:860;height:2" coordorigin="9830,11000" coordsize="860,0" path="m9830,11000l10690,11000e" filled="false" stroked="true" strokeweight=".48pt" strokecolor="#000000">
                <v:path arrowok="t"/>
              </v:shape>
            </v:group>
            <v:group style="position:absolute;left:1139;top:11719;width:860;height:156" coordorigin="1139,11719" coordsize="860,156">
              <v:shape style="position:absolute;left:1139;top:11719;width:860;height:156" coordorigin="1139,11719" coordsize="860,156" path="m1139,11875l1998,11875,1998,11719,1139,11719,1139,11875xe" filled="true" fillcolor="#e0ffff" stroked="false">
                <v:path arrowok="t"/>
                <v:fill type="solid"/>
              </v:shape>
            </v:group>
            <v:group style="position:absolute;left:1150;top:11875;width:2;height:393" coordorigin="1150,11875" coordsize="2,393">
              <v:shape style="position:absolute;left:1150;top:11875;width:2;height:393" coordorigin="1150,11875" coordsize="0,393" path="m1150,11875l1150,12267e" filled="false" stroked="true" strokeweight="1.140pt" strokecolor="#e0ffff">
                <v:path arrowok="t"/>
              </v:shape>
            </v:group>
            <v:group style="position:absolute;left:1987;top:11875;width:2;height:393" coordorigin="1987,11875" coordsize="2,393">
              <v:shape style="position:absolute;left:1987;top:11875;width:2;height:393" coordorigin="1987,11875" coordsize="0,393" path="m1987,11875l1987,12267e" filled="false" stroked="true" strokeweight="1.140pt" strokecolor="#e0ffff">
                <v:path arrowok="t"/>
              </v:shape>
            </v:group>
            <v:group style="position:absolute;left:1139;top:12267;width:860;height:156" coordorigin="1139,12267" coordsize="860,156">
              <v:shape style="position:absolute;left:1139;top:12267;width:860;height:156" coordorigin="1139,12267" coordsize="860,156" path="m1139,12423l1998,12423,1998,12267,1139,12267,1139,12423xe" filled="true" fillcolor="#e0ffff" stroked="false">
                <v:path arrowok="t"/>
                <v:fill type="solid"/>
              </v:shape>
            </v:group>
            <v:group style="position:absolute;left:1162;top:11875;width:814;height:393" coordorigin="1162,11875" coordsize="814,393">
              <v:shape style="position:absolute;left:1162;top:11875;width:814;height:393" coordorigin="1162,11875" coordsize="814,393" path="m1162,12267l1976,12267,1976,11875,1162,11875,1162,12267xe" filled="true" fillcolor="#e0ffff" stroked="false">
                <v:path arrowok="t"/>
                <v:fill type="solid"/>
              </v:shape>
            </v:group>
            <v:group style="position:absolute;left:1139;top:11714;width:860;height:2" coordorigin="1139,11714" coordsize="860,2">
              <v:shape style="position:absolute;left:1139;top:11714;width:860;height:2" coordorigin="1139,11714" coordsize="860,0" path="m1139,11714l1998,11714e" filled="false" stroked="true" strokeweight=".48pt" strokecolor="#000000">
                <v:path arrowok="t"/>
              </v:shape>
            </v:group>
            <v:group style="position:absolute;left:2008;top:11714;width:860;height:2" coordorigin="2008,11714" coordsize="860,2">
              <v:shape style="position:absolute;left:2008;top:11714;width:860;height:2" coordorigin="2008,11714" coordsize="860,0" path="m2008,11714l2867,11714e" filled="false" stroked="true" strokeweight=".48pt" strokecolor="#000000">
                <v:path arrowok="t"/>
              </v:shape>
            </v:group>
            <v:group style="position:absolute;left:2877;top:11714;width:861;height:2" coordorigin="2877,11714" coordsize="861,2">
              <v:shape style="position:absolute;left:2877;top:11714;width:861;height:2" coordorigin="2877,11714" coordsize="861,0" path="m2877,11714l3737,11714e" filled="false" stroked="true" strokeweight=".48pt" strokecolor="#000000">
                <v:path arrowok="t"/>
              </v:shape>
            </v:group>
            <v:group style="position:absolute;left:3747;top:11714;width:860;height:2" coordorigin="3747,11714" coordsize="860,2">
              <v:shape style="position:absolute;left:3747;top:11714;width:860;height:2" coordorigin="3747,11714" coordsize="860,0" path="m3747,11714l4606,11714e" filled="false" stroked="true" strokeweight=".48pt" strokecolor="#000000">
                <v:path arrowok="t"/>
              </v:shape>
            </v:group>
            <v:group style="position:absolute;left:4616;top:11714;width:860;height:2" coordorigin="4616,11714" coordsize="860,2">
              <v:shape style="position:absolute;left:4616;top:11714;width:860;height:2" coordorigin="4616,11714" coordsize="860,0" path="m4616,11714l5475,11714e" filled="false" stroked="true" strokeweight=".48pt" strokecolor="#000000">
                <v:path arrowok="t"/>
              </v:shape>
            </v:group>
            <v:group style="position:absolute;left:5485;top:11714;width:860;height:2" coordorigin="5485,11714" coordsize="860,2">
              <v:shape style="position:absolute;left:5485;top:11714;width:860;height:2" coordorigin="5485,11714" coordsize="860,0" path="m5485,11714l6344,11714e" filled="false" stroked="true" strokeweight=".48pt" strokecolor="#000000">
                <v:path arrowok="t"/>
              </v:shape>
            </v:group>
            <v:group style="position:absolute;left:6354;top:11714;width:860;height:2" coordorigin="6354,11714" coordsize="860,2">
              <v:shape style="position:absolute;left:6354;top:11714;width:860;height:2" coordorigin="6354,11714" coordsize="860,0" path="m6354,11714l7213,11714e" filled="false" stroked="true" strokeweight=".48pt" strokecolor="#000000">
                <v:path arrowok="t"/>
              </v:shape>
            </v:group>
            <v:group style="position:absolute;left:7222;top:11714;width:860;height:2" coordorigin="7222,11714" coordsize="860,2">
              <v:shape style="position:absolute;left:7222;top:11714;width:860;height:2" coordorigin="7222,11714" coordsize="860,0" path="m7222,11714l8082,11714e" filled="false" stroked="true" strokeweight=".48pt" strokecolor="#000000">
                <v:path arrowok="t"/>
              </v:shape>
            </v:group>
            <v:group style="position:absolute;left:8091;top:11714;width:861;height:2" coordorigin="8091,11714" coordsize="861,2">
              <v:shape style="position:absolute;left:8091;top:11714;width:861;height:2" coordorigin="8091,11714" coordsize="861,0" path="m8091,11714l8952,11714e" filled="false" stroked="true" strokeweight=".48pt" strokecolor="#000000">
                <v:path arrowok="t"/>
              </v:shape>
            </v:group>
            <v:group style="position:absolute;left:8962;top:11714;width:860;height:2" coordorigin="8962,11714" coordsize="860,2">
              <v:shape style="position:absolute;left:8962;top:11714;width:860;height:2" coordorigin="8962,11714" coordsize="860,0" path="m8962,11714l9821,11714e" filled="false" stroked="true" strokeweight=".48pt" strokecolor="#000000">
                <v:path arrowok="t"/>
              </v:shape>
            </v:group>
            <v:group style="position:absolute;left:9830;top:11714;width:860;height:2" coordorigin="9830,11714" coordsize="860,2">
              <v:shape style="position:absolute;left:9830;top:11714;width:860;height:2" coordorigin="9830,11714" coordsize="860,0" path="m9830,11714l10690,11714e" filled="false" stroked="true" strokeweight=".48pt" strokecolor="#000000">
                <v:path arrowok="t"/>
              </v:shape>
            </v:group>
            <v:group style="position:absolute;left:1150;top:12433;width:2;height:1017" coordorigin="1150,12433" coordsize="2,1017">
              <v:shape style="position:absolute;left:1150;top:12433;width:2;height:1017" coordorigin="1150,12433" coordsize="0,1017" path="m1150,12433l1150,13449e" filled="false" stroked="true" strokeweight="1.140pt" strokecolor="#d2d2d2">
                <v:path arrowok="t"/>
              </v:shape>
            </v:group>
            <v:group style="position:absolute;left:1987;top:12433;width:2;height:1017" coordorigin="1987,12433" coordsize="2,1017">
              <v:shape style="position:absolute;left:1987;top:12433;width:2;height:1017" coordorigin="1987,12433" coordsize="0,1017" path="m1987,12433l1987,13449e" filled="false" stroked="true" strokeweight="1.140pt" strokecolor="#d2d2d2">
                <v:path arrowok="t"/>
              </v:shape>
            </v:group>
            <v:group style="position:absolute;left:1162;top:12433;width:814;height:352" coordorigin="1162,12433" coordsize="814,352">
              <v:shape style="position:absolute;left:1162;top:12433;width:814;height:352" coordorigin="1162,12433" coordsize="814,352" path="m1162,12784l1976,12784,1976,12433,1162,12433,1162,12784xe" filled="true" fillcolor="#d2d2d2" stroked="false">
                <v:path arrowok="t"/>
                <v:fill type="solid"/>
              </v:shape>
            </v:group>
            <v:group style="position:absolute;left:1162;top:12784;width:814;height:312" coordorigin="1162,12784" coordsize="814,312">
              <v:shape style="position:absolute;left:1162;top:12784;width:814;height:312" coordorigin="1162,12784" coordsize="814,312" path="m1162,13096l1976,13096,1976,12784,1162,12784,1162,13096xe" filled="true" fillcolor="#d2d2d2" stroked="false">
                <v:path arrowok="t"/>
                <v:fill type="solid"/>
              </v:shape>
            </v:group>
            <v:group style="position:absolute;left:1162;top:13096;width:814;height:353" coordorigin="1162,13096" coordsize="814,353">
              <v:shape style="position:absolute;left:1162;top:13096;width:814;height:353" coordorigin="1162,13096" coordsize="814,353" path="m1162,13449l1976,13449,1976,13096,1162,13096,1162,13449xe" filled="true" fillcolor="#d2d2d2" stroked="false">
                <v:path arrowok="t"/>
                <v:fill type="solid"/>
              </v:shape>
            </v:group>
            <v:group style="position:absolute;left:1139;top:12428;width:860;height:2" coordorigin="1139,12428" coordsize="860,2">
              <v:shape style="position:absolute;left:1139;top:12428;width:860;height:2" coordorigin="1139,12428" coordsize="860,0" path="m1139,12428l1998,12428e" filled="false" stroked="true" strokeweight=".48pt" strokecolor="#000000">
                <v:path arrowok="t"/>
              </v:shape>
            </v:group>
            <v:group style="position:absolute;left:2008;top:12428;width:860;height:2" coordorigin="2008,12428" coordsize="860,2">
              <v:shape style="position:absolute;left:2008;top:12428;width:860;height:2" coordorigin="2008,12428" coordsize="860,0" path="m2008,12428l2867,12428e" filled="false" stroked="true" strokeweight=".48pt" strokecolor="#000000">
                <v:path arrowok="t"/>
              </v:shape>
            </v:group>
            <v:group style="position:absolute;left:2877;top:12428;width:861;height:2" coordorigin="2877,12428" coordsize="861,2">
              <v:shape style="position:absolute;left:2877;top:12428;width:861;height:2" coordorigin="2877,12428" coordsize="861,0" path="m2877,12428l3737,12428e" filled="false" stroked="true" strokeweight=".48pt" strokecolor="#000000">
                <v:path arrowok="t"/>
              </v:shape>
            </v:group>
            <v:group style="position:absolute;left:3747;top:12428;width:860;height:2" coordorigin="3747,12428" coordsize="860,2">
              <v:shape style="position:absolute;left:3747;top:12428;width:860;height:2" coordorigin="3747,12428" coordsize="860,0" path="m3747,12428l4606,12428e" filled="false" stroked="true" strokeweight=".48pt" strokecolor="#000000">
                <v:path arrowok="t"/>
              </v:shape>
            </v:group>
            <v:group style="position:absolute;left:4616;top:12428;width:860;height:2" coordorigin="4616,12428" coordsize="860,2">
              <v:shape style="position:absolute;left:4616;top:12428;width:860;height:2" coordorigin="4616,12428" coordsize="860,0" path="m4616,12428l5475,12428e" filled="false" stroked="true" strokeweight=".48pt" strokecolor="#000000">
                <v:path arrowok="t"/>
              </v:shape>
            </v:group>
            <v:group style="position:absolute;left:5485;top:12428;width:860;height:2" coordorigin="5485,12428" coordsize="860,2">
              <v:shape style="position:absolute;left:5485;top:12428;width:860;height:2" coordorigin="5485,12428" coordsize="860,0" path="m5485,12428l6344,12428e" filled="false" stroked="true" strokeweight=".48pt" strokecolor="#000000">
                <v:path arrowok="t"/>
              </v:shape>
            </v:group>
            <v:group style="position:absolute;left:6354;top:12428;width:860;height:2" coordorigin="6354,12428" coordsize="860,2">
              <v:shape style="position:absolute;left:6354;top:12428;width:860;height:2" coordorigin="6354,12428" coordsize="860,0" path="m6354,12428l7213,12428e" filled="false" stroked="true" strokeweight=".48pt" strokecolor="#000000">
                <v:path arrowok="t"/>
              </v:shape>
            </v:group>
            <v:group style="position:absolute;left:7222;top:12428;width:860;height:2" coordorigin="7222,12428" coordsize="860,2">
              <v:shape style="position:absolute;left:7222;top:12428;width:860;height:2" coordorigin="7222,12428" coordsize="860,0" path="m7222,12428l8082,12428e" filled="false" stroked="true" strokeweight=".48pt" strokecolor="#000000">
                <v:path arrowok="t"/>
              </v:shape>
            </v:group>
            <v:group style="position:absolute;left:8091;top:12428;width:861;height:2" coordorigin="8091,12428" coordsize="861,2">
              <v:shape style="position:absolute;left:8091;top:12428;width:861;height:2" coordorigin="8091,12428" coordsize="861,0" path="m8091,12428l8952,12428e" filled="false" stroked="true" strokeweight=".48pt" strokecolor="#000000">
                <v:path arrowok="t"/>
              </v:shape>
            </v:group>
            <v:group style="position:absolute;left:8962;top:12428;width:860;height:2" coordorigin="8962,12428" coordsize="860,2">
              <v:shape style="position:absolute;left:8962;top:12428;width:860;height:2" coordorigin="8962,12428" coordsize="860,0" path="m8962,12428l9821,12428e" filled="false" stroked="true" strokeweight=".48pt" strokecolor="#000000">
                <v:path arrowok="t"/>
              </v:shape>
            </v:group>
            <v:group style="position:absolute;left:9830;top:12428;width:860;height:2" coordorigin="9830,12428" coordsize="860,2">
              <v:shape style="position:absolute;left:9830;top:12428;width:860;height:2" coordorigin="9830,12428" coordsize="860,0" path="m9830,12428l10690,12428e" filled="false" stroked="true" strokeweight=".48pt" strokecolor="#000000">
                <v:path arrowok="t"/>
              </v:shape>
            </v:group>
            <v:group style="position:absolute;left:1150;top:13459;width:2;height:705" coordorigin="1150,13459" coordsize="2,705">
              <v:shape style="position:absolute;left:1150;top:13459;width:2;height:705" coordorigin="1150,13459" coordsize="0,705" path="m1150,13459l1150,14164e" filled="false" stroked="true" strokeweight="1.140pt" strokecolor="#d2d2d2">
                <v:path arrowok="t"/>
              </v:shape>
            </v:group>
            <v:group style="position:absolute;left:1987;top:13459;width:2;height:705" coordorigin="1987,13459" coordsize="2,705">
              <v:shape style="position:absolute;left:1987;top:13459;width:2;height:705" coordorigin="1987,13459" coordsize="0,705" path="m1987,13459l1987,14164e" filled="false" stroked="true" strokeweight="1.140pt" strokecolor="#d2d2d2">
                <v:path arrowok="t"/>
              </v:shape>
            </v:group>
            <v:group style="position:absolute;left:1162;top:13459;width:814;height:352" coordorigin="1162,13459" coordsize="814,352">
              <v:shape style="position:absolute;left:1162;top:13459;width:814;height:352" coordorigin="1162,13459" coordsize="814,352" path="m1162,13810l1976,13810,1976,13459,1162,13459,1162,13810xe" filled="true" fillcolor="#d2d2d2" stroked="false">
                <v:path arrowok="t"/>
                <v:fill type="solid"/>
              </v:shape>
            </v:group>
            <v:group style="position:absolute;left:1162;top:13810;width:814;height:354" coordorigin="1162,13810" coordsize="814,354">
              <v:shape style="position:absolute;left:1162;top:13810;width:814;height:354" coordorigin="1162,13810" coordsize="814,354" path="m1162,14164l1976,14164,1976,13810,1162,13810,1162,14164xe" filled="true" fillcolor="#d2d2d2" stroked="false">
                <v:path arrowok="t"/>
                <v:fill type="solid"/>
              </v:shape>
            </v:group>
            <v:group style="position:absolute;left:2008;top:13459;width:860;height:156" coordorigin="2008,13459" coordsize="860,156">
              <v:shape style="position:absolute;left:2008;top:13459;width:860;height:156" coordorigin="2008,13459" coordsize="860,156" path="m2008,13615l2867,13615,2867,13459,2008,13459,2008,13615xe" filled="true" fillcolor="#ffffff" stroked="false">
                <v:path arrowok="t"/>
                <v:fill type="solid"/>
              </v:shape>
            </v:group>
            <v:group style="position:absolute;left:2019;top:13615;width:2;height:393" coordorigin="2019,13615" coordsize="2,393">
              <v:shape style="position:absolute;left:2019;top:13615;width:2;height:393" coordorigin="2019,13615" coordsize="0,393" path="m2019,13615l2019,14007e" filled="false" stroked="true" strokeweight="1.140pt" strokecolor="#ffffff">
                <v:path arrowok="t"/>
              </v:shape>
            </v:group>
            <v:group style="position:absolute;left:2031;top:13615;width:814;height:393" coordorigin="2031,13615" coordsize="814,393">
              <v:shape style="position:absolute;left:2031;top:13615;width:814;height:393" coordorigin="2031,13615" coordsize="814,393" path="m2031,14007l2844,14007,2844,13615,2031,13615,2031,14007xe" filled="true" fillcolor="#ffffff" stroked="false">
                <v:path arrowok="t"/>
                <v:fill type="solid"/>
              </v:shape>
            </v:group>
            <v:group style="position:absolute;left:1139;top:13454;width:860;height:2" coordorigin="1139,13454" coordsize="860,2">
              <v:shape style="position:absolute;left:1139;top:13454;width:860;height:2" coordorigin="1139,13454" coordsize="860,0" path="m1139,13454l1998,13454e" filled="false" stroked="true" strokeweight=".48pt" strokecolor="#000000">
                <v:path arrowok="t"/>
              </v:shape>
            </v:group>
            <v:group style="position:absolute;left:2008;top:13454;width:860;height:2" coordorigin="2008,13454" coordsize="860,2">
              <v:shape style="position:absolute;left:2008;top:13454;width:860;height:2" coordorigin="2008,13454" coordsize="860,0" path="m2008,13454l2867,13454e" filled="false" stroked="true" strokeweight=".48pt" strokecolor="#000000">
                <v:path arrowok="t"/>
              </v:shape>
            </v:group>
            <v:group style="position:absolute;left:2877;top:13454;width:861;height:2" coordorigin="2877,13454" coordsize="861,2">
              <v:shape style="position:absolute;left:2877;top:13454;width:861;height:2" coordorigin="2877,13454" coordsize="861,0" path="m2877,13454l3737,13454e" filled="false" stroked="true" strokeweight=".48pt" strokecolor="#000000">
                <v:path arrowok="t"/>
              </v:shape>
            </v:group>
            <v:group style="position:absolute;left:3747;top:13454;width:860;height:2" coordorigin="3747,13454" coordsize="860,2">
              <v:shape style="position:absolute;left:3747;top:13454;width:860;height:2" coordorigin="3747,13454" coordsize="860,0" path="m3747,13454l4606,13454e" filled="false" stroked="true" strokeweight=".48pt" strokecolor="#000000">
                <v:path arrowok="t"/>
              </v:shape>
            </v:group>
            <v:group style="position:absolute;left:4616;top:13454;width:860;height:2" coordorigin="4616,13454" coordsize="860,2">
              <v:shape style="position:absolute;left:4616;top:13454;width:860;height:2" coordorigin="4616,13454" coordsize="860,0" path="m4616,13454l5475,13454e" filled="false" stroked="true" strokeweight=".48pt" strokecolor="#000000">
                <v:path arrowok="t"/>
              </v:shape>
            </v:group>
            <v:group style="position:absolute;left:5485;top:13454;width:860;height:2" coordorigin="5485,13454" coordsize="860,2">
              <v:shape style="position:absolute;left:5485;top:13454;width:860;height:2" coordorigin="5485,13454" coordsize="860,0" path="m5485,13454l6344,13454e" filled="false" stroked="true" strokeweight=".48pt" strokecolor="#000000">
                <v:path arrowok="t"/>
              </v:shape>
            </v:group>
            <v:group style="position:absolute;left:6354;top:13454;width:860;height:2" coordorigin="6354,13454" coordsize="860,2">
              <v:shape style="position:absolute;left:6354;top:13454;width:860;height:2" coordorigin="6354,13454" coordsize="860,0" path="m6354,13454l7213,13454e" filled="false" stroked="true" strokeweight=".48pt" strokecolor="#000000">
                <v:path arrowok="t"/>
              </v:shape>
            </v:group>
            <v:group style="position:absolute;left:7222;top:13454;width:860;height:2" coordorigin="7222,13454" coordsize="860,2">
              <v:shape style="position:absolute;left:7222;top:13454;width:860;height:2" coordorigin="7222,13454" coordsize="860,0" path="m7222,13454l8082,13454e" filled="false" stroked="true" strokeweight=".48pt" strokecolor="#000000">
                <v:path arrowok="t"/>
              </v:shape>
            </v:group>
            <v:group style="position:absolute;left:8091;top:13454;width:861;height:2" coordorigin="8091,13454" coordsize="861,2">
              <v:shape style="position:absolute;left:8091;top:13454;width:861;height:2" coordorigin="8091,13454" coordsize="861,0" path="m8091,13454l8952,13454e" filled="false" stroked="true" strokeweight=".48pt" strokecolor="#000000">
                <v:path arrowok="t"/>
              </v:shape>
            </v:group>
            <v:group style="position:absolute;left:8962;top:13454;width:860;height:2" coordorigin="8962,13454" coordsize="860,2">
              <v:shape style="position:absolute;left:8962;top:13454;width:860;height:2" coordorigin="8962,13454" coordsize="860,0" path="m8962,13454l9821,13454e" filled="false" stroked="true" strokeweight=".48pt" strokecolor="#000000">
                <v:path arrowok="t"/>
              </v:shape>
            </v:group>
            <v:group style="position:absolute;left:9830;top:13454;width:860;height:2" coordorigin="9830,13454" coordsize="860,2">
              <v:shape style="position:absolute;left:9830;top:13454;width:860;height:2" coordorigin="9830,13454" coordsize="860,0" path="m9830,13454l10690,13454e" filled="false" stroked="true" strokeweight=".48pt" strokecolor="#000000">
                <v:path arrowok="t"/>
              </v:shape>
            </v:group>
            <v:group style="position:absolute;left:1150;top:14173;width:2;height:1017" coordorigin="1150,14173" coordsize="2,1017">
              <v:shape style="position:absolute;left:1150;top:14173;width:2;height:1017" coordorigin="1150,14173" coordsize="0,1017" path="m1150,14173l1150,15190e" filled="false" stroked="true" strokeweight="1.140pt" strokecolor="#e0ffff">
                <v:path arrowok="t"/>
              </v:shape>
            </v:group>
            <v:group style="position:absolute;left:1987;top:14173;width:2;height:1017" coordorigin="1987,14173" coordsize="2,1017">
              <v:shape style="position:absolute;left:1987;top:14173;width:2;height:1017" coordorigin="1987,14173" coordsize="0,1017" path="m1987,14173l1987,15190e" filled="false" stroked="true" strokeweight="1.140pt" strokecolor="#e0ffff">
                <v:path arrowok="t"/>
              </v:shape>
            </v:group>
            <v:group style="position:absolute;left:1162;top:14173;width:814;height:352" coordorigin="1162,14173" coordsize="814,352">
              <v:shape style="position:absolute;left:1162;top:14173;width:814;height:352" coordorigin="1162,14173" coordsize="814,352" path="m1162,14525l1976,14525,1976,14173,1162,14173,1162,14525xe" filled="true" fillcolor="#e0ffff" stroked="false">
                <v:path arrowok="t"/>
                <v:fill type="solid"/>
              </v:shape>
            </v:group>
            <v:group style="position:absolute;left:1162;top:14525;width:814;height:312" coordorigin="1162,14525" coordsize="814,312">
              <v:shape style="position:absolute;left:1162;top:14525;width:814;height:312" coordorigin="1162,14525" coordsize="814,312" path="m1162,14837l1976,14837,1976,14525,1162,14525,1162,14837xe" filled="true" fillcolor="#e0ffff" stroked="false">
                <v:path arrowok="t"/>
                <v:fill type="solid"/>
              </v:shape>
            </v:group>
            <v:group style="position:absolute;left:1162;top:14837;width:814;height:353" coordorigin="1162,14837" coordsize="814,353">
              <v:shape style="position:absolute;left:1162;top:14837;width:814;height:353" coordorigin="1162,14837" coordsize="814,353" path="m1162,15190l1976,15190,1976,14837,1162,14837,1162,15190xe" filled="true" fillcolor="#e0ffff" stroked="false">
                <v:path arrowok="t"/>
                <v:fill type="solid"/>
              </v:shape>
            </v:group>
            <v:group style="position:absolute;left:1139;top:14168;width:860;height:2" coordorigin="1139,14168" coordsize="860,2">
              <v:shape style="position:absolute;left:1139;top:14168;width:860;height:2" coordorigin="1139,14168" coordsize="860,0" path="m1139,14168l1998,14168e" filled="false" stroked="true" strokeweight=".48pt" strokecolor="#000000">
                <v:path arrowok="t"/>
              </v:shape>
            </v:group>
            <v:group style="position:absolute;left:2008;top:14168;width:860;height:2" coordorigin="2008,14168" coordsize="860,2">
              <v:shape style="position:absolute;left:2008;top:14168;width:860;height:2" coordorigin="2008,14168" coordsize="860,0" path="m2008,14168l2867,14168e" filled="false" stroked="true" strokeweight=".48pt" strokecolor="#000000">
                <v:path arrowok="t"/>
              </v:shape>
            </v:group>
            <v:group style="position:absolute;left:2877;top:14168;width:861;height:2" coordorigin="2877,14168" coordsize="861,2">
              <v:shape style="position:absolute;left:2877;top:14168;width:861;height:2" coordorigin="2877,14168" coordsize="861,0" path="m2877,14168l3737,14168e" filled="false" stroked="true" strokeweight=".48pt" strokecolor="#000000">
                <v:path arrowok="t"/>
              </v:shape>
            </v:group>
            <v:group style="position:absolute;left:3747;top:14168;width:860;height:2" coordorigin="3747,14168" coordsize="860,2">
              <v:shape style="position:absolute;left:3747;top:14168;width:860;height:2" coordorigin="3747,14168" coordsize="860,0" path="m3747,14168l4606,14168e" filled="false" stroked="true" strokeweight=".48pt" strokecolor="#000000">
                <v:path arrowok="t"/>
              </v:shape>
            </v:group>
            <v:group style="position:absolute;left:4616;top:14168;width:860;height:2" coordorigin="4616,14168" coordsize="860,2">
              <v:shape style="position:absolute;left:4616;top:14168;width:860;height:2" coordorigin="4616,14168" coordsize="860,0" path="m4616,14168l5475,14168e" filled="false" stroked="true" strokeweight=".48pt" strokecolor="#000000">
                <v:path arrowok="t"/>
              </v:shape>
            </v:group>
            <v:group style="position:absolute;left:5485;top:14168;width:860;height:2" coordorigin="5485,14168" coordsize="860,2">
              <v:shape style="position:absolute;left:5485;top:14168;width:860;height:2" coordorigin="5485,14168" coordsize="860,0" path="m5485,14168l6344,14168e" filled="false" stroked="true" strokeweight=".48pt" strokecolor="#000000">
                <v:path arrowok="t"/>
              </v:shape>
            </v:group>
            <v:group style="position:absolute;left:6354;top:14168;width:860;height:2" coordorigin="6354,14168" coordsize="860,2">
              <v:shape style="position:absolute;left:6354;top:14168;width:860;height:2" coordorigin="6354,14168" coordsize="860,0" path="m6354,14168l7213,14168e" filled="false" stroked="true" strokeweight=".48pt" strokecolor="#000000">
                <v:path arrowok="t"/>
              </v:shape>
            </v:group>
            <v:group style="position:absolute;left:7222;top:14168;width:860;height:2" coordorigin="7222,14168" coordsize="860,2">
              <v:shape style="position:absolute;left:7222;top:14168;width:860;height:2" coordorigin="7222,14168" coordsize="860,0" path="m7222,14168l8082,14168e" filled="false" stroked="true" strokeweight=".48pt" strokecolor="#000000">
                <v:path arrowok="t"/>
              </v:shape>
            </v:group>
            <v:group style="position:absolute;left:8091;top:14168;width:861;height:2" coordorigin="8091,14168" coordsize="861,2">
              <v:shape style="position:absolute;left:8091;top:14168;width:861;height:2" coordorigin="8091,14168" coordsize="861,0" path="m8091,14168l8952,14168e" filled="false" stroked="true" strokeweight=".48pt" strokecolor="#000000">
                <v:path arrowok="t"/>
              </v:shape>
            </v:group>
            <v:group style="position:absolute;left:8962;top:14168;width:860;height:2" coordorigin="8962,14168" coordsize="860,2">
              <v:shape style="position:absolute;left:8962;top:14168;width:860;height:2" coordorigin="8962,14168" coordsize="860,0" path="m8962,14168l9821,14168e" filled="false" stroked="true" strokeweight=".48pt" strokecolor="#000000">
                <v:path arrowok="t"/>
              </v:shape>
            </v:group>
            <v:group style="position:absolute;left:9830;top:14168;width:860;height:2" coordorigin="9830,14168" coordsize="860,2">
              <v:shape style="position:absolute;left:9830;top:14168;width:860;height:2" coordorigin="9830,14168" coordsize="860,0" path="m9830,14168l10690,14168e" filled="false" stroked="true" strokeweight=".48pt" strokecolor="#000000">
                <v:path arrowok="t"/>
              </v:shape>
            </v:group>
            <v:group style="position:absolute;left:1134;top:1440;width:2;height:13760" coordorigin="1134,1440" coordsize="2,13760">
              <v:shape style="position:absolute;left:1134;top:1440;width:2;height:13760" coordorigin="1134,1440" coordsize="0,13760" path="m1134,1440l1134,15199e" filled="false" stroked="true" strokeweight=".48pt" strokecolor="#000000">
                <v:path arrowok="t"/>
              </v:shape>
            </v:group>
            <v:group style="position:absolute;left:1139;top:15194;width:860;height:2" coordorigin="1139,15194" coordsize="860,2">
              <v:shape style="position:absolute;left:1139;top:15194;width:860;height:2" coordorigin="1139,15194" coordsize="860,0" path="m1139,15194l1998,15194e" filled="false" stroked="true" strokeweight=".48pt" strokecolor="#000000">
                <v:path arrowok="t"/>
              </v:shape>
            </v:group>
            <v:group style="position:absolute;left:2003;top:1440;width:2;height:13760" coordorigin="2003,1440" coordsize="2,13760">
              <v:shape style="position:absolute;left:2003;top:1440;width:2;height:13760" coordorigin="2003,1440" coordsize="0,13760" path="m2003,1440l2003,15199e" filled="false" stroked="true" strokeweight=".48pt" strokecolor="#000000">
                <v:path arrowok="t"/>
              </v:shape>
            </v:group>
            <v:group style="position:absolute;left:2008;top:15194;width:860;height:2" coordorigin="2008,15194" coordsize="860,2">
              <v:shape style="position:absolute;left:2008;top:15194;width:860;height:2" coordorigin="2008,15194" coordsize="860,0" path="m2008,15194l2867,15194e" filled="false" stroked="true" strokeweight=".48pt" strokecolor="#000000">
                <v:path arrowok="t"/>
              </v:shape>
            </v:group>
            <v:group style="position:absolute;left:2872;top:1440;width:2;height:13760" coordorigin="2872,1440" coordsize="2,13760">
              <v:shape style="position:absolute;left:2872;top:1440;width:2;height:13760" coordorigin="2872,1440" coordsize="0,13760" path="m2872,1440l2872,15199e" filled="false" stroked="true" strokeweight=".48pt" strokecolor="#000000">
                <v:path arrowok="t"/>
              </v:shape>
            </v:group>
            <v:group style="position:absolute;left:2877;top:15194;width:861;height:2" coordorigin="2877,15194" coordsize="861,2">
              <v:shape style="position:absolute;left:2877;top:15194;width:861;height:2" coordorigin="2877,15194" coordsize="861,0" path="m2877,15194l3737,15194e" filled="false" stroked="true" strokeweight=".48pt" strokecolor="#000000">
                <v:path arrowok="t"/>
              </v:shape>
            </v:group>
            <v:group style="position:absolute;left:3742;top:1440;width:2;height:13760" coordorigin="3742,1440" coordsize="2,13760">
              <v:shape style="position:absolute;left:3742;top:1440;width:2;height:13760" coordorigin="3742,1440" coordsize="0,13760" path="m3742,1440l3742,15199e" filled="false" stroked="true" strokeweight=".48pt" strokecolor="#000000">
                <v:path arrowok="t"/>
              </v:shape>
            </v:group>
            <v:group style="position:absolute;left:3747;top:15194;width:860;height:2" coordorigin="3747,15194" coordsize="860,2">
              <v:shape style="position:absolute;left:3747;top:15194;width:860;height:2" coordorigin="3747,15194" coordsize="860,0" path="m3747,15194l4606,15194e" filled="false" stroked="true" strokeweight=".48pt" strokecolor="#000000">
                <v:path arrowok="t"/>
              </v:shape>
            </v:group>
            <v:group style="position:absolute;left:4611;top:1440;width:2;height:13760" coordorigin="4611,1440" coordsize="2,13760">
              <v:shape style="position:absolute;left:4611;top:1440;width:2;height:13760" coordorigin="4611,1440" coordsize="0,13760" path="m4611,1440l4611,15199e" filled="false" stroked="true" strokeweight=".48pt" strokecolor="#000000">
                <v:path arrowok="t"/>
              </v:shape>
            </v:group>
            <v:group style="position:absolute;left:4616;top:15194;width:860;height:2" coordorigin="4616,15194" coordsize="860,2">
              <v:shape style="position:absolute;left:4616;top:15194;width:860;height:2" coordorigin="4616,15194" coordsize="860,0" path="m4616,15194l5475,15194e" filled="false" stroked="true" strokeweight=".48pt" strokecolor="#000000">
                <v:path arrowok="t"/>
              </v:shape>
            </v:group>
            <v:group style="position:absolute;left:5480;top:1440;width:2;height:13760" coordorigin="5480,1440" coordsize="2,13760">
              <v:shape style="position:absolute;left:5480;top:1440;width:2;height:13760" coordorigin="5480,1440" coordsize="0,13760" path="m5480,1440l5480,15199e" filled="false" stroked="true" strokeweight=".48pt" strokecolor="#000000">
                <v:path arrowok="t"/>
              </v:shape>
            </v:group>
            <v:group style="position:absolute;left:5485;top:15194;width:860;height:2" coordorigin="5485,15194" coordsize="860,2">
              <v:shape style="position:absolute;left:5485;top:15194;width:860;height:2" coordorigin="5485,15194" coordsize="860,0" path="m5485,15194l6344,15194e" filled="false" stroked="true" strokeweight=".48pt" strokecolor="#000000">
                <v:path arrowok="t"/>
              </v:shape>
            </v:group>
            <v:group style="position:absolute;left:6349;top:1440;width:2;height:13760" coordorigin="6349,1440" coordsize="2,13760">
              <v:shape style="position:absolute;left:6349;top:1440;width:2;height:13760" coordorigin="6349,1440" coordsize="0,13760" path="m6349,1440l6349,15199e" filled="false" stroked="true" strokeweight=".48pt" strokecolor="#000000">
                <v:path arrowok="t"/>
              </v:shape>
            </v:group>
            <v:group style="position:absolute;left:6354;top:15194;width:860;height:2" coordorigin="6354,15194" coordsize="860,2">
              <v:shape style="position:absolute;left:6354;top:15194;width:860;height:2" coordorigin="6354,15194" coordsize="860,0" path="m6354,15194l7213,15194e" filled="false" stroked="true" strokeweight=".48pt" strokecolor="#000000">
                <v:path arrowok="t"/>
              </v:shape>
            </v:group>
            <v:group style="position:absolute;left:7218;top:1440;width:2;height:13760" coordorigin="7218,1440" coordsize="2,13760">
              <v:shape style="position:absolute;left:7218;top:1440;width:2;height:13760" coordorigin="7218,1440" coordsize="0,13760" path="m7218,1440l7218,15199e" filled="false" stroked="true" strokeweight=".48pt" strokecolor="#000000">
                <v:path arrowok="t"/>
              </v:shape>
            </v:group>
            <v:group style="position:absolute;left:7222;top:15194;width:860;height:2" coordorigin="7222,15194" coordsize="860,2">
              <v:shape style="position:absolute;left:7222;top:15194;width:860;height:2" coordorigin="7222,15194" coordsize="860,0" path="m7222,15194l8082,15194e" filled="false" stroked="true" strokeweight=".48pt" strokecolor="#000000">
                <v:path arrowok="t"/>
              </v:shape>
            </v:group>
            <v:group style="position:absolute;left:8086;top:1440;width:2;height:13760" coordorigin="8086,1440" coordsize="2,13760">
              <v:shape style="position:absolute;left:8086;top:1440;width:2;height:13760" coordorigin="8086,1440" coordsize="0,13760" path="m8086,1440l8086,15199e" filled="false" stroked="true" strokeweight=".48pt" strokecolor="#000000">
                <v:path arrowok="t"/>
              </v:shape>
            </v:group>
            <v:group style="position:absolute;left:8091;top:15194;width:861;height:2" coordorigin="8091,15194" coordsize="861,2">
              <v:shape style="position:absolute;left:8091;top:15194;width:861;height:2" coordorigin="8091,15194" coordsize="861,0" path="m8091,15194l8952,15194e" filled="false" stroked="true" strokeweight=".48pt" strokecolor="#000000">
                <v:path arrowok="t"/>
              </v:shape>
            </v:group>
            <v:group style="position:absolute;left:8957;top:1440;width:2;height:13760" coordorigin="8957,1440" coordsize="2,13760">
              <v:shape style="position:absolute;left:8957;top:1440;width:2;height:13760" coordorigin="8957,1440" coordsize="0,13760" path="m8957,1440l8957,15199e" filled="false" stroked="true" strokeweight=".48pt" strokecolor="#000000">
                <v:path arrowok="t"/>
              </v:shape>
            </v:group>
            <v:group style="position:absolute;left:8962;top:15194;width:860;height:2" coordorigin="8962,15194" coordsize="860,2">
              <v:shape style="position:absolute;left:8962;top:15194;width:860;height:2" coordorigin="8962,15194" coordsize="860,0" path="m8962,15194l9821,15194e" filled="false" stroked="true" strokeweight=".48pt" strokecolor="#000000">
                <v:path arrowok="t"/>
              </v:shape>
            </v:group>
            <v:group style="position:absolute;left:9826;top:1440;width:2;height:13760" coordorigin="9826,1440" coordsize="2,13760">
              <v:shape style="position:absolute;left:9826;top:1440;width:2;height:13760" coordorigin="9826,1440" coordsize="0,13760" path="m9826,1440l9826,15199e" filled="false" stroked="true" strokeweight=".48pt" strokecolor="#000000">
                <v:path arrowok="t"/>
              </v:shape>
            </v:group>
            <v:group style="position:absolute;left:9830;top:15194;width:860;height:2" coordorigin="9830,15194" coordsize="860,2">
              <v:shape style="position:absolute;left:9830;top:15194;width:860;height:2" coordorigin="9830,15194" coordsize="860,0" path="m9830,15194l10690,15194e" filled="false" stroked="true" strokeweight=".48pt" strokecolor="#000000">
                <v:path arrowok="t"/>
              </v:shape>
            </v:group>
            <v:group style="position:absolute;left:10694;top:1440;width:2;height:13760" coordorigin="10694,1440" coordsize="2,13760">
              <v:shape style="position:absolute;left:10694;top:1440;width:2;height:13760" coordorigin="10694,1440" coordsize="0,13760" path="m10694,1440l10694,15199e" filled="false" stroked="true" strokeweight=".48pt" strokecolor="#000000">
                <v:path arrowok="t"/>
              </v:shape>
            </v:group>
            <w10:wrap type="none"/>
          </v:group>
        </w:pict>
      </w:r>
      <w:r>
        <w:rPr>
          <w:rFonts w:ascii="宋体"/>
        </w:rPr>
        <w:t>47</w:t>
        <w:tab/>
        <w:t>75</w:t>
      </w:r>
    </w:p>
    <w:p>
      <w:pPr>
        <w:pStyle w:val="BodyText"/>
        <w:spacing w:line="196" w:lineRule="exact"/>
        <w:ind w:left="181" w:right="0"/>
        <w:jc w:val="left"/>
      </w:pPr>
      <w:r>
        <w:rPr/>
        <w:t>响</w:t>
      </w:r>
    </w:p>
    <w:p>
      <w:pPr>
        <w:pStyle w:val="BodyText"/>
        <w:tabs>
          <w:tab w:pos="1050" w:val="left" w:leader="none"/>
        </w:tabs>
        <w:spacing w:line="157" w:lineRule="exact"/>
        <w:ind w:left="181" w:right="-20"/>
        <w:jc w:val="left"/>
        <w:rPr>
          <w:rFonts w:ascii="宋体" w:hAnsi="宋体" w:cs="宋体" w:eastAsia="宋体" w:hint="default"/>
        </w:rPr>
      </w:pPr>
      <w:r>
        <w:rPr/>
        <w:br w:type="column"/>
      </w:r>
      <w:r>
        <w:rPr>
          <w:rFonts w:ascii="宋体"/>
        </w:rPr>
        <w:t>28</w:t>
        <w:tab/>
        <w:t>60</w:t>
      </w:r>
    </w:p>
    <w:p>
      <w:pPr>
        <w:pStyle w:val="BodyText"/>
        <w:tabs>
          <w:tab w:pos="1231" w:val="left" w:leader="none"/>
        </w:tabs>
        <w:spacing w:line="157" w:lineRule="exact"/>
        <w:ind w:left="181" w:right="-19"/>
        <w:jc w:val="left"/>
        <w:rPr>
          <w:rFonts w:ascii="宋体" w:hAnsi="宋体" w:cs="宋体" w:eastAsia="宋体" w:hint="default"/>
        </w:rPr>
      </w:pPr>
      <w:r>
        <w:rPr/>
        <w:br w:type="column"/>
      </w:r>
      <w:r>
        <w:rPr>
          <w:rFonts w:ascii="宋体"/>
        </w:rPr>
        <w:t>9.38</w:t>
        <w:tab/>
        <w:t>95</w:t>
      </w:r>
    </w:p>
    <w:p>
      <w:pPr>
        <w:pStyle w:val="BodyText"/>
        <w:spacing w:line="157" w:lineRule="exact"/>
        <w:ind w:left="181" w:right="0"/>
        <w:jc w:val="left"/>
        <w:rPr>
          <w:rFonts w:ascii="宋体" w:hAnsi="宋体" w:cs="宋体" w:eastAsia="宋体" w:hint="default"/>
        </w:rPr>
      </w:pPr>
      <w:r>
        <w:rPr/>
        <w:br w:type="column"/>
      </w:r>
      <w:r>
        <w:rPr>
          <w:rFonts w:ascii="宋体"/>
        </w:rPr>
        <w:t>9.43</w:t>
      </w:r>
    </w:p>
    <w:p>
      <w:pPr>
        <w:spacing w:after="0" w:line="157" w:lineRule="exact"/>
        <w:jc w:val="left"/>
        <w:rPr>
          <w:rFonts w:ascii="宋体" w:hAnsi="宋体" w:cs="宋体" w:eastAsia="宋体" w:hint="default"/>
        </w:rPr>
        <w:sectPr>
          <w:type w:val="continuous"/>
          <w:pgSz w:w="11910" w:h="16840"/>
          <w:pgMar w:top="1060" w:bottom="1380" w:left="980" w:right="0"/>
          <w:cols w:num="4" w:equalWidth="0">
            <w:col w:w="4472" w:space="507"/>
            <w:col w:w="1231" w:space="327"/>
            <w:col w:w="1413" w:space="1195"/>
            <w:col w:w="1785"/>
          </w:cols>
        </w:sectPr>
      </w:pPr>
    </w:p>
    <w:p>
      <w:pPr>
        <w:spacing w:line="240" w:lineRule="auto" w:before="6"/>
        <w:rPr>
          <w:rFonts w:ascii="宋体" w:hAnsi="宋体" w:cs="宋体" w:eastAsia="宋体" w:hint="default"/>
          <w:sz w:val="24"/>
          <w:szCs w:val="24"/>
        </w:rPr>
      </w:pPr>
      <w:r>
        <w:rPr/>
        <w:pict>
          <v:group style="position:absolute;margin-left:100.400002pt;margin-top:230.899979pt;width:43pt;height:28pt;mso-position-horizontal-relative:page;mso-position-vertical-relative:page;z-index:-1181320" coordorigin="2008,4618" coordsize="860,560">
            <v:group style="position:absolute;left:2008;top:4618;width:860;height:156" coordorigin="2008,4618" coordsize="860,156">
              <v:shape style="position:absolute;left:2008;top:4618;width:860;height:156" coordorigin="2008,4618" coordsize="860,156" path="m2008,4774l2867,4774,2867,4618,2008,4618,2008,4774xe" filled="true" fillcolor="#ffffff" stroked="false">
                <v:path arrowok="t"/>
                <v:fill type="solid"/>
              </v:shape>
            </v:group>
            <v:group style="position:absolute;left:2019;top:4774;width:2;height:393" coordorigin="2019,4774" coordsize="2,393">
              <v:shape style="position:absolute;left:2019;top:4774;width:2;height:393" coordorigin="2019,4774" coordsize="0,393" path="m2019,4774l2019,5166e" filled="false" stroked="true" strokeweight="1.140pt" strokecolor="#ffffff">
                <v:path arrowok="t"/>
              </v:shape>
            </v:group>
            <v:group style="position:absolute;left:2031;top:4774;width:814;height:393" coordorigin="2031,4774" coordsize="814,393">
              <v:shape style="position:absolute;left:2031;top:4774;width:814;height:393" coordorigin="2031,4774" coordsize="814,393" path="m2031,5166l2844,5166,2844,4774,2031,4774,2031,5166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869"/>
        <w:gridCol w:w="869"/>
        <w:gridCol w:w="870"/>
        <w:gridCol w:w="869"/>
        <w:gridCol w:w="869"/>
        <w:gridCol w:w="869"/>
        <w:gridCol w:w="869"/>
        <w:gridCol w:w="869"/>
        <w:gridCol w:w="870"/>
        <w:gridCol w:w="869"/>
        <w:gridCol w:w="869"/>
      </w:tblGrid>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4" w:firstLine="36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 末余额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6,936,134</w:t>
            </w:r>
          </w:p>
          <w:p>
            <w:pPr>
              <w:pStyle w:val="TableParagraph"/>
              <w:spacing w:line="240" w:lineRule="auto" w:before="77"/>
              <w:ind w:left="566" w:right="0"/>
              <w:jc w:val="left"/>
              <w:rPr>
                <w:rFonts w:ascii="宋体" w:hAnsi="宋体" w:cs="宋体" w:eastAsia="宋体" w:hint="default"/>
                <w:sz w:val="18"/>
                <w:szCs w:val="18"/>
              </w:rPr>
            </w:pPr>
            <w:r>
              <w:rPr>
                <w:rFonts w:ascii="宋体"/>
                <w:sz w:val="18"/>
              </w:rPr>
              <w:t>.95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245,415.3</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sz w:val="18"/>
              </w:rPr>
              <w:t>32,755,04</w:t>
            </w:r>
          </w:p>
          <w:p>
            <w:pPr>
              <w:pStyle w:val="TableParagraph"/>
              <w:spacing w:line="240" w:lineRule="auto" w:before="77"/>
              <w:ind w:left="475" w:right="0"/>
              <w:jc w:val="left"/>
              <w:rPr>
                <w:rFonts w:ascii="宋体" w:hAnsi="宋体" w:cs="宋体" w:eastAsia="宋体" w:hint="default"/>
                <w:sz w:val="18"/>
                <w:szCs w:val="18"/>
              </w:rPr>
            </w:pPr>
            <w:r>
              <w:rPr>
                <w:rFonts w:ascii="宋体"/>
                <w:sz w:val="18"/>
              </w:rPr>
              <w:t>4.39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sz w:val="18"/>
              </w:rPr>
              <w:t>5,339,429</w:t>
            </w:r>
          </w:p>
          <w:p>
            <w:pPr>
              <w:pStyle w:val="TableParagraph"/>
              <w:spacing w:line="240" w:lineRule="auto" w:before="77"/>
              <w:ind w:left="565" w:right="0"/>
              <w:jc w:val="left"/>
              <w:rPr>
                <w:rFonts w:ascii="宋体" w:hAnsi="宋体" w:cs="宋体" w:eastAsia="宋体" w:hint="default"/>
                <w:sz w:val="18"/>
                <w:szCs w:val="18"/>
              </w:rPr>
            </w:pPr>
            <w:r>
              <w:rPr>
                <w:rFonts w:ascii="宋体"/>
                <w:sz w:val="18"/>
              </w:rPr>
              <w:t>.87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sz w:val="18"/>
              </w:rPr>
              <w:t>14,997,34</w:t>
            </w:r>
          </w:p>
          <w:p>
            <w:pPr>
              <w:pStyle w:val="TableParagraph"/>
              <w:spacing w:line="240" w:lineRule="auto" w:before="77"/>
              <w:ind w:left="475" w:right="0"/>
              <w:jc w:val="left"/>
              <w:rPr>
                <w:rFonts w:ascii="宋体" w:hAnsi="宋体" w:cs="宋体" w:eastAsia="宋体" w:hint="default"/>
                <w:sz w:val="18"/>
                <w:szCs w:val="18"/>
              </w:rPr>
            </w:pPr>
            <w:r>
              <w:rPr>
                <w:rFonts w:ascii="宋体"/>
                <w:sz w:val="18"/>
              </w:rPr>
              <w:t>6.29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sz w:val="18"/>
              </w:rPr>
              <w:t>31,315,87</w:t>
            </w:r>
          </w:p>
          <w:p>
            <w:pPr>
              <w:pStyle w:val="TableParagraph"/>
              <w:spacing w:line="240" w:lineRule="auto" w:before="77"/>
              <w:ind w:left="475" w:right="0"/>
              <w:jc w:val="left"/>
              <w:rPr>
                <w:rFonts w:ascii="宋体" w:hAnsi="宋体" w:cs="宋体" w:eastAsia="宋体" w:hint="default"/>
                <w:sz w:val="18"/>
                <w:szCs w:val="18"/>
              </w:rPr>
            </w:pPr>
            <w:r>
              <w:rPr>
                <w:rFonts w:ascii="宋体"/>
                <w:sz w:val="18"/>
              </w:rPr>
              <w:t>8.27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6,779,718</w:t>
            </w:r>
          </w:p>
          <w:p>
            <w:pPr>
              <w:pStyle w:val="TableParagraph"/>
              <w:spacing w:line="240" w:lineRule="auto" w:before="77"/>
              <w:ind w:left="566" w:right="0"/>
              <w:jc w:val="left"/>
              <w:rPr>
                <w:rFonts w:ascii="宋体" w:hAnsi="宋体" w:cs="宋体" w:eastAsia="宋体" w:hint="default"/>
                <w:sz w:val="18"/>
                <w:szCs w:val="18"/>
              </w:rPr>
            </w:pPr>
            <w:r>
              <w:rPr>
                <w:rFonts w:ascii="宋体"/>
                <w:sz w:val="18"/>
              </w:rPr>
              <w:t>.06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sz w:val="18"/>
              </w:rPr>
              <w:t>49,831,17</w:t>
            </w:r>
          </w:p>
          <w:p>
            <w:pPr>
              <w:pStyle w:val="TableParagraph"/>
              <w:spacing w:line="240" w:lineRule="auto" w:before="77"/>
              <w:ind w:left="475" w:right="0"/>
              <w:jc w:val="left"/>
              <w:rPr>
                <w:rFonts w:ascii="宋体" w:hAnsi="宋体" w:cs="宋体" w:eastAsia="宋体" w:hint="default"/>
                <w:sz w:val="18"/>
                <w:szCs w:val="18"/>
              </w:rPr>
            </w:pPr>
            <w:r>
              <w:rPr>
                <w:rFonts w:ascii="宋体"/>
                <w:sz w:val="18"/>
              </w:rPr>
              <w:t>3.06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sz w:val="18"/>
              </w:rPr>
              <w:t>148,200,1</w:t>
            </w:r>
          </w:p>
          <w:p>
            <w:pPr>
              <w:pStyle w:val="TableParagraph"/>
              <w:spacing w:line="240" w:lineRule="auto" w:before="77"/>
              <w:ind w:left="385" w:right="0"/>
              <w:jc w:val="left"/>
              <w:rPr>
                <w:rFonts w:ascii="宋体" w:hAnsi="宋体" w:cs="宋体" w:eastAsia="宋体" w:hint="default"/>
                <w:sz w:val="18"/>
                <w:szCs w:val="18"/>
              </w:rPr>
            </w:pPr>
            <w:r>
              <w:rPr>
                <w:rFonts w:ascii="宋体"/>
                <w:sz w:val="18"/>
              </w:rPr>
              <w:t>40.19</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8"/>
                <w:sz w:val="18"/>
                <w:szCs w:val="18"/>
              </w:rPr>
              <w:t>三、减值准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4" w:firstLine="36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 初余额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450,905.0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450,905.0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r>
      <w:tr>
        <w:trPr>
          <w:trHeight w:val="1026"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4" w:firstLine="36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 期增加金 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9"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4" w:firstLine="36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 期减少金 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 处置</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14"/>
              <w:jc w:val="both"/>
              <w:rPr>
                <w:rFonts w:ascii="宋体" w:hAnsi="宋体" w:cs="宋体" w:eastAsia="宋体" w:hint="default"/>
                <w:sz w:val="18"/>
                <w:szCs w:val="18"/>
              </w:rPr>
            </w:pPr>
            <w:r>
              <w:rPr>
                <w:rFonts w:ascii="宋体" w:hAnsi="宋体" w:cs="宋体" w:eastAsia="宋体" w:hint="default"/>
                <w:sz w:val="18"/>
                <w:szCs w:val="18"/>
              </w:rPr>
              <w:t>外币报表 折算的影 响</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-26,182.0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-26,182.0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4" w:firstLine="36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 末余额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424,723.0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424,723.0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8"/>
                <w:sz w:val="18"/>
                <w:szCs w:val="18"/>
              </w:rPr>
              <w:t>四、账面价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值</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4" w:firstLine="36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 末账面价 值</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80,627,40</w:t>
            </w:r>
          </w:p>
          <w:p>
            <w:pPr>
              <w:pStyle w:val="TableParagraph"/>
              <w:spacing w:line="240" w:lineRule="auto" w:before="77"/>
              <w:ind w:left="476" w:right="0"/>
              <w:jc w:val="left"/>
              <w:rPr>
                <w:rFonts w:ascii="宋体" w:hAnsi="宋体" w:cs="宋体" w:eastAsia="宋体" w:hint="default"/>
                <w:sz w:val="18"/>
                <w:szCs w:val="18"/>
              </w:rPr>
            </w:pPr>
            <w:r>
              <w:rPr>
                <w:rFonts w:ascii="宋体"/>
                <w:sz w:val="18"/>
              </w:rPr>
              <w:t>5.18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434,196.3</w:t>
            </w:r>
          </w:p>
          <w:p>
            <w:pPr>
              <w:pStyle w:val="TableParagraph"/>
              <w:spacing w:line="240" w:lineRule="auto" w:before="77"/>
              <w:ind w:right="23"/>
              <w:jc w:val="right"/>
              <w:rPr>
                <w:rFonts w:ascii="宋体" w:hAnsi="宋体" w:cs="宋体" w:eastAsia="宋体" w:hint="default"/>
                <w:sz w:val="18"/>
                <w:szCs w:val="18"/>
              </w:rPr>
            </w:pPr>
            <w:r>
              <w:rPr>
                <w:rFonts w:ascii="宋体"/>
                <w:sz w:val="18"/>
              </w:rPr>
              <w:t>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sz w:val="18"/>
              </w:rPr>
              <w:t>83,264,19</w:t>
            </w:r>
          </w:p>
          <w:p>
            <w:pPr>
              <w:pStyle w:val="TableParagraph"/>
              <w:spacing w:line="240" w:lineRule="auto" w:before="77"/>
              <w:ind w:left="475" w:right="0"/>
              <w:jc w:val="left"/>
              <w:rPr>
                <w:rFonts w:ascii="宋体" w:hAnsi="宋体" w:cs="宋体" w:eastAsia="宋体" w:hint="default"/>
                <w:sz w:val="18"/>
                <w:szCs w:val="18"/>
              </w:rPr>
            </w:pPr>
            <w:r>
              <w:rPr>
                <w:rFonts w:ascii="宋体"/>
                <w:sz w:val="18"/>
              </w:rPr>
              <w:t>4.52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sz w:val="18"/>
              </w:rPr>
              <w:t>39,129,74</w:t>
            </w:r>
          </w:p>
          <w:p>
            <w:pPr>
              <w:pStyle w:val="TableParagraph"/>
              <w:spacing w:line="240" w:lineRule="auto" w:before="77"/>
              <w:ind w:left="475" w:right="0"/>
              <w:jc w:val="left"/>
              <w:rPr>
                <w:rFonts w:ascii="宋体" w:hAnsi="宋体" w:cs="宋体" w:eastAsia="宋体" w:hint="default"/>
                <w:sz w:val="18"/>
                <w:szCs w:val="18"/>
              </w:rPr>
            </w:pPr>
            <w:r>
              <w:rPr>
                <w:rFonts w:ascii="宋体"/>
                <w:sz w:val="18"/>
              </w:rPr>
              <w:t>7.98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sz w:val="18"/>
              </w:rPr>
              <w:t>86,999,56</w:t>
            </w:r>
          </w:p>
          <w:p>
            <w:pPr>
              <w:pStyle w:val="TableParagraph"/>
              <w:spacing w:line="240" w:lineRule="auto" w:before="77"/>
              <w:ind w:left="475" w:right="0"/>
              <w:jc w:val="left"/>
              <w:rPr>
                <w:rFonts w:ascii="宋体" w:hAnsi="宋体" w:cs="宋体" w:eastAsia="宋体" w:hint="default"/>
                <w:sz w:val="18"/>
                <w:szCs w:val="18"/>
              </w:rPr>
            </w:pPr>
            <w:r>
              <w:rPr>
                <w:rFonts w:ascii="宋体"/>
                <w:sz w:val="18"/>
              </w:rPr>
              <w:t>0.99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sz w:val="18"/>
              </w:rPr>
              <w:t>79,912,57</w:t>
            </w:r>
          </w:p>
          <w:p>
            <w:pPr>
              <w:pStyle w:val="TableParagraph"/>
              <w:spacing w:line="240" w:lineRule="auto" w:before="77"/>
              <w:ind w:left="475" w:right="0"/>
              <w:jc w:val="left"/>
              <w:rPr>
                <w:rFonts w:ascii="宋体" w:hAnsi="宋体" w:cs="宋体" w:eastAsia="宋体" w:hint="default"/>
                <w:sz w:val="18"/>
                <w:szCs w:val="18"/>
              </w:rPr>
            </w:pPr>
            <w:r>
              <w:rPr>
                <w:rFonts w:ascii="宋体"/>
                <w:sz w:val="18"/>
              </w:rPr>
              <w:t>7.23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5,699,297</w:t>
            </w:r>
          </w:p>
          <w:p>
            <w:pPr>
              <w:pStyle w:val="TableParagraph"/>
              <w:spacing w:line="240" w:lineRule="auto" w:before="77"/>
              <w:ind w:left="566" w:right="0"/>
              <w:jc w:val="left"/>
              <w:rPr>
                <w:rFonts w:ascii="宋体" w:hAnsi="宋体" w:cs="宋体" w:eastAsia="宋体" w:hint="default"/>
                <w:sz w:val="18"/>
                <w:szCs w:val="18"/>
              </w:rPr>
            </w:pPr>
            <w:r>
              <w:rPr>
                <w:rFonts w:ascii="宋体"/>
                <w:sz w:val="18"/>
              </w:rPr>
              <w:t>.10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sz w:val="18"/>
              </w:rPr>
              <w:t>5,975,729</w:t>
            </w:r>
          </w:p>
          <w:p>
            <w:pPr>
              <w:pStyle w:val="TableParagraph"/>
              <w:spacing w:line="240" w:lineRule="auto" w:before="77"/>
              <w:ind w:left="565" w:right="0"/>
              <w:jc w:val="left"/>
              <w:rPr>
                <w:rFonts w:ascii="宋体" w:hAnsi="宋体" w:cs="宋体" w:eastAsia="宋体" w:hint="default"/>
                <w:sz w:val="18"/>
                <w:szCs w:val="18"/>
              </w:rPr>
            </w:pPr>
            <w:r>
              <w:rPr>
                <w:rFonts w:ascii="宋体"/>
                <w:sz w:val="18"/>
              </w:rPr>
              <w:t>.98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sz w:val="18"/>
              </w:rPr>
              <w:t>382,042,7</w:t>
            </w:r>
          </w:p>
          <w:p>
            <w:pPr>
              <w:pStyle w:val="TableParagraph"/>
              <w:spacing w:line="240" w:lineRule="auto" w:before="77"/>
              <w:ind w:left="385" w:right="0"/>
              <w:jc w:val="left"/>
              <w:rPr>
                <w:rFonts w:ascii="宋体" w:hAnsi="宋体" w:cs="宋体" w:eastAsia="宋体" w:hint="default"/>
                <w:sz w:val="18"/>
                <w:szCs w:val="18"/>
              </w:rPr>
            </w:pPr>
            <w:r>
              <w:rPr>
                <w:rFonts w:ascii="宋体"/>
                <w:sz w:val="18"/>
              </w:rPr>
              <w:t>09.34</w:t>
            </w:r>
          </w:p>
        </w:tc>
      </w:tr>
      <w:tr>
        <w:trPr>
          <w:trHeight w:val="1026"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4" w:firstLine="36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 初账面价 值</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91,047,27</w:t>
            </w:r>
          </w:p>
          <w:p>
            <w:pPr>
              <w:pStyle w:val="TableParagraph"/>
              <w:spacing w:line="240" w:lineRule="auto" w:before="77"/>
              <w:ind w:left="476" w:right="0"/>
              <w:jc w:val="left"/>
              <w:rPr>
                <w:rFonts w:ascii="宋体" w:hAnsi="宋体" w:cs="宋体" w:eastAsia="宋体" w:hint="default"/>
                <w:sz w:val="18"/>
                <w:szCs w:val="18"/>
              </w:rPr>
            </w:pPr>
            <w:r>
              <w:rPr>
                <w:rFonts w:ascii="宋体"/>
                <w:sz w:val="18"/>
              </w:rPr>
              <w:t>0.60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660,733.5</w:t>
            </w:r>
          </w:p>
          <w:p>
            <w:pPr>
              <w:pStyle w:val="TableParagraph"/>
              <w:spacing w:line="240" w:lineRule="auto" w:before="77"/>
              <w:ind w:right="23"/>
              <w:jc w:val="right"/>
              <w:rPr>
                <w:rFonts w:ascii="宋体" w:hAnsi="宋体" w:cs="宋体" w:eastAsia="宋体" w:hint="default"/>
                <w:sz w:val="18"/>
                <w:szCs w:val="18"/>
              </w:rPr>
            </w:pPr>
            <w:r>
              <w:rPr>
                <w:rFonts w:ascii="宋体"/>
                <w:sz w:val="18"/>
              </w:rPr>
              <w:t>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sz w:val="18"/>
              </w:rPr>
              <w:t>89,327,69</w:t>
            </w:r>
          </w:p>
          <w:p>
            <w:pPr>
              <w:pStyle w:val="TableParagraph"/>
              <w:spacing w:line="240" w:lineRule="auto" w:before="77"/>
              <w:ind w:left="475" w:right="0"/>
              <w:jc w:val="left"/>
              <w:rPr>
                <w:rFonts w:ascii="宋体" w:hAnsi="宋体" w:cs="宋体" w:eastAsia="宋体" w:hint="default"/>
                <w:sz w:val="18"/>
                <w:szCs w:val="18"/>
              </w:rPr>
            </w:pPr>
            <w:r>
              <w:rPr>
                <w:rFonts w:ascii="宋体"/>
                <w:sz w:val="18"/>
              </w:rPr>
              <w:t>7.45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sz w:val="18"/>
              </w:rPr>
              <w:t>46,050,04</w:t>
            </w:r>
          </w:p>
          <w:p>
            <w:pPr>
              <w:pStyle w:val="TableParagraph"/>
              <w:spacing w:line="240" w:lineRule="auto" w:before="77"/>
              <w:ind w:left="475" w:right="0"/>
              <w:jc w:val="left"/>
              <w:rPr>
                <w:rFonts w:ascii="宋体" w:hAnsi="宋体" w:cs="宋体" w:eastAsia="宋体" w:hint="default"/>
                <w:sz w:val="18"/>
                <w:szCs w:val="18"/>
              </w:rPr>
            </w:pPr>
            <w:r>
              <w:rPr>
                <w:rFonts w:ascii="宋体"/>
                <w:sz w:val="18"/>
              </w:rPr>
              <w:t>6.22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sz w:val="18"/>
              </w:rPr>
              <w:t>102,991,7</w:t>
            </w:r>
          </w:p>
          <w:p>
            <w:pPr>
              <w:pStyle w:val="TableParagraph"/>
              <w:spacing w:line="240" w:lineRule="auto" w:before="77"/>
              <w:ind w:left="385" w:right="0"/>
              <w:jc w:val="left"/>
              <w:rPr>
                <w:rFonts w:ascii="宋体" w:hAnsi="宋体" w:cs="宋体" w:eastAsia="宋体" w:hint="default"/>
                <w:sz w:val="18"/>
                <w:szCs w:val="18"/>
              </w:rPr>
            </w:pPr>
            <w:r>
              <w:rPr>
                <w:rFonts w:ascii="宋体"/>
                <w:sz w:val="18"/>
              </w:rPr>
              <w:t>33.01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sz w:val="18"/>
              </w:rPr>
              <w:t>95,540,14</w:t>
            </w:r>
          </w:p>
          <w:p>
            <w:pPr>
              <w:pStyle w:val="TableParagraph"/>
              <w:spacing w:line="240" w:lineRule="auto" w:before="77"/>
              <w:ind w:left="475" w:right="0"/>
              <w:jc w:val="left"/>
              <w:rPr>
                <w:rFonts w:ascii="宋体" w:hAnsi="宋体" w:cs="宋体" w:eastAsia="宋体" w:hint="default"/>
                <w:sz w:val="18"/>
                <w:szCs w:val="18"/>
              </w:rPr>
            </w:pPr>
            <w:r>
              <w:rPr>
                <w:rFonts w:ascii="宋体"/>
                <w:sz w:val="18"/>
              </w:rPr>
              <w:t>5.70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7,375,453</w:t>
            </w:r>
          </w:p>
          <w:p>
            <w:pPr>
              <w:pStyle w:val="TableParagraph"/>
              <w:spacing w:line="240" w:lineRule="auto" w:before="77"/>
              <w:ind w:left="566" w:right="0"/>
              <w:jc w:val="left"/>
              <w:rPr>
                <w:rFonts w:ascii="宋体" w:hAnsi="宋体" w:cs="宋体" w:eastAsia="宋体" w:hint="default"/>
                <w:sz w:val="18"/>
                <w:szCs w:val="18"/>
              </w:rPr>
            </w:pPr>
            <w:r>
              <w:rPr>
                <w:rFonts w:ascii="宋体"/>
                <w:sz w:val="18"/>
              </w:rPr>
              <w:t>.08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sz w:val="18"/>
              </w:rPr>
              <w:t>13,001,14</w:t>
            </w:r>
          </w:p>
          <w:p>
            <w:pPr>
              <w:pStyle w:val="TableParagraph"/>
              <w:spacing w:line="240" w:lineRule="auto" w:before="77"/>
              <w:ind w:left="475" w:right="0"/>
              <w:jc w:val="left"/>
              <w:rPr>
                <w:rFonts w:ascii="宋体" w:hAnsi="宋体" w:cs="宋体" w:eastAsia="宋体" w:hint="default"/>
                <w:sz w:val="18"/>
                <w:szCs w:val="18"/>
              </w:rPr>
            </w:pPr>
            <w:r>
              <w:rPr>
                <w:rFonts w:ascii="宋体"/>
                <w:sz w:val="18"/>
              </w:rPr>
              <w:t>5.61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sz w:val="18"/>
              </w:rPr>
              <w:t>445,994,2</w:t>
            </w:r>
          </w:p>
          <w:p>
            <w:pPr>
              <w:pStyle w:val="TableParagraph"/>
              <w:spacing w:line="240" w:lineRule="auto" w:before="77"/>
              <w:ind w:left="385" w:right="0"/>
              <w:jc w:val="left"/>
              <w:rPr>
                <w:rFonts w:ascii="宋体" w:hAnsi="宋体" w:cs="宋体" w:eastAsia="宋体" w:hint="default"/>
                <w:sz w:val="18"/>
                <w:szCs w:val="18"/>
              </w:rPr>
            </w:pPr>
            <w:r>
              <w:rPr>
                <w:rFonts w:ascii="宋体"/>
                <w:sz w:val="18"/>
              </w:rPr>
              <w:t>25.23</w:t>
            </w:r>
          </w:p>
        </w:tc>
      </w:tr>
    </w:tbl>
    <w:p>
      <w:pPr>
        <w:pStyle w:val="BodyText"/>
        <w:spacing w:line="240" w:lineRule="auto" w:before="51"/>
        <w:ind w:right="0"/>
        <w:jc w:val="left"/>
      </w:pPr>
      <w:r>
        <w:rPr/>
        <w:t>本期末通过公司内部研发形成的无形资产占无形资产余额的比例</w:t>
      </w:r>
      <w:r>
        <w:rPr>
          <w:spacing w:val="-45"/>
        </w:rPr>
        <w:t> </w:t>
      </w:r>
      <w:r>
        <w:rPr>
          <w:rFonts w:ascii="宋体" w:hAnsi="宋体" w:cs="宋体" w:eastAsia="宋体" w:hint="default"/>
        </w:rPr>
        <w:t>4.45%</w:t>
      </w:r>
      <w:r>
        <w:rPr/>
        <w:t>。</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未办妥产权证书的土地使用权情况" w:id="306"/>
      <w:bookmarkEnd w:id="306"/>
      <w:r>
        <w:rPr>
          <w:b w:val="0"/>
          <w:bCs w:val="0"/>
        </w:rPr>
      </w:r>
      <w:r>
        <w:rPr/>
        <w:t>（</w:t>
      </w:r>
      <w:r>
        <w:rPr>
          <w:rFonts w:ascii="宋体" w:hAnsi="宋体" w:cs="宋体" w:eastAsia="宋体" w:hint="default"/>
        </w:rPr>
        <w:t>2</w:t>
      </w:r>
      <w:r>
        <w:rPr/>
        <w:t>）未办妥产权证书的土地使用权情况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0"/>
        <w:jc w:val="left"/>
      </w:pPr>
      <w:r>
        <w:rPr/>
        <w:t>其他说明：</w:t>
      </w:r>
    </w:p>
    <w:p>
      <w:pPr>
        <w:spacing w:after="0" w:line="240" w:lineRule="auto"/>
        <w:jc w:val="left"/>
        <w:sectPr>
          <w:pgSz w:w="11910" w:h="16840"/>
          <w:pgMar w:header="877" w:footer="1187" w:top="1100" w:bottom="138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26、开发支出" w:id="307"/>
      <w:bookmarkEnd w:id="307"/>
      <w:r>
        <w:rPr>
          <w:b w:val="0"/>
          <w:bCs w:val="0"/>
        </w:rPr>
      </w:r>
      <w:r>
        <w:rPr>
          <w:rFonts w:ascii="宋体" w:hAnsi="宋体" w:cs="宋体" w:eastAsia="宋体" w:hint="default"/>
        </w:rPr>
        <w:t>26</w:t>
      </w:r>
      <w:r>
        <w:rPr/>
        <w:t>、开发支出</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6"/>
              <w:jc w:val="center"/>
              <w:rPr>
                <w:rFonts w:ascii="宋体" w:hAnsi="宋体" w:cs="宋体" w:eastAsia="宋体" w:hint="default"/>
                <w:sz w:val="18"/>
                <w:szCs w:val="18"/>
              </w:rPr>
            </w:pPr>
            <w:r>
              <w:rPr>
                <w:rFonts w:ascii="宋体" w:hAnsi="宋体" w:cs="宋体" w:eastAsia="宋体" w:hint="default"/>
                <w:sz w:val="18"/>
                <w:szCs w:val="18"/>
              </w:rPr>
              <w:t>胜效通平台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5,826,014.4</w:t>
            </w:r>
          </w:p>
          <w:p>
            <w:pPr>
              <w:pStyle w:val="TableParagraph"/>
              <w:spacing w:line="240" w:lineRule="auto" w:before="76"/>
              <w:ind w:right="23"/>
              <w:jc w:val="right"/>
              <w:rPr>
                <w:rFonts w:ascii="宋体" w:hAnsi="宋体" w:cs="宋体" w:eastAsia="宋体" w:hint="default"/>
                <w:sz w:val="18"/>
                <w:szCs w:val="18"/>
              </w:rPr>
            </w:pPr>
            <w:r>
              <w:rPr>
                <w:rFonts w:ascii="宋体"/>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3,725,797.3</w:t>
            </w:r>
          </w:p>
          <w:p>
            <w:pPr>
              <w:pStyle w:val="TableParagraph"/>
              <w:spacing w:line="240" w:lineRule="auto" w:before="76"/>
              <w:ind w:right="23"/>
              <w:jc w:val="right"/>
              <w:rPr>
                <w:rFonts w:ascii="宋体" w:hAnsi="宋体" w:cs="宋体" w:eastAsia="宋体" w:hint="default"/>
                <w:sz w:val="18"/>
                <w:szCs w:val="18"/>
              </w:rPr>
            </w:pPr>
            <w:r>
              <w:rPr>
                <w:rFonts w:ascii="宋体"/>
                <w:sz w:val="18"/>
              </w:rPr>
              <w:t>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9,551,811.7</w:t>
            </w:r>
          </w:p>
          <w:p>
            <w:pPr>
              <w:pStyle w:val="TableParagraph"/>
              <w:spacing w:line="240" w:lineRule="auto" w:before="76"/>
              <w:ind w:right="23"/>
              <w:jc w:val="right"/>
              <w:rPr>
                <w:rFonts w:ascii="宋体" w:hAnsi="宋体" w:cs="宋体" w:eastAsia="宋体" w:hint="default"/>
                <w:sz w:val="18"/>
                <w:szCs w:val="18"/>
              </w:rPr>
            </w:pPr>
            <w:r>
              <w:rPr>
                <w:rFonts w:ascii="宋体"/>
                <w:sz w:val="18"/>
              </w:rPr>
              <w:t>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CPE</w:t>
            </w:r>
            <w:r>
              <w:rPr>
                <w:rFonts w:ascii="宋体" w:hAnsi="宋体" w:cs="宋体" w:eastAsia="宋体" w:hint="default"/>
                <w:spacing w:val="-46"/>
                <w:sz w:val="18"/>
                <w:szCs w:val="18"/>
              </w:rPr>
              <w:t> </w:t>
            </w:r>
            <w:r>
              <w:rPr>
                <w:rFonts w:ascii="宋体" w:hAnsi="宋体" w:cs="宋体" w:eastAsia="宋体" w:hint="default"/>
                <w:sz w:val="18"/>
                <w:szCs w:val="18"/>
              </w:rPr>
              <w:t>时效精 准营销平台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4,278,962.8</w:t>
            </w:r>
          </w:p>
          <w:p>
            <w:pPr>
              <w:pStyle w:val="TableParagraph"/>
              <w:spacing w:line="240" w:lineRule="auto" w:before="76"/>
              <w:ind w:right="23"/>
              <w:jc w:val="right"/>
              <w:rPr>
                <w:rFonts w:ascii="宋体" w:hAnsi="宋体" w:cs="宋体" w:eastAsia="宋体" w:hint="default"/>
                <w:sz w:val="18"/>
                <w:szCs w:val="18"/>
              </w:rPr>
            </w:pPr>
            <w:r>
              <w:rPr>
                <w:rFonts w:ascii="宋体"/>
                <w:sz w:val="18"/>
              </w:rPr>
              <w:t>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4,278,962.8</w:t>
            </w:r>
          </w:p>
          <w:p>
            <w:pPr>
              <w:pStyle w:val="TableParagraph"/>
              <w:spacing w:line="240" w:lineRule="auto" w:before="76"/>
              <w:ind w:right="23"/>
              <w:jc w:val="right"/>
              <w:rPr>
                <w:rFonts w:ascii="宋体" w:hAnsi="宋体" w:cs="宋体" w:eastAsia="宋体" w:hint="default"/>
                <w:sz w:val="18"/>
                <w:szCs w:val="18"/>
              </w:rPr>
            </w:pPr>
            <w:r>
              <w:rPr>
                <w:rFonts w:ascii="宋体"/>
                <w:sz w:val="18"/>
              </w:rPr>
              <w:t>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399"/>
              <w:jc w:val="left"/>
              <w:rPr>
                <w:rFonts w:ascii="宋体" w:hAnsi="宋体" w:cs="宋体" w:eastAsia="宋体" w:hint="default"/>
                <w:sz w:val="18"/>
                <w:szCs w:val="18"/>
              </w:rPr>
            </w:pPr>
            <w:r>
              <w:rPr>
                <w:rFonts w:ascii="宋体"/>
                <w:sz w:val="18"/>
              </w:rPr>
              <w:t>Admath Trading Desk</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11,118,779.</w:t>
            </w:r>
          </w:p>
          <w:p>
            <w:pPr>
              <w:pStyle w:val="TableParagraph"/>
              <w:spacing w:line="240" w:lineRule="auto" w:before="76"/>
              <w:ind w:right="23"/>
              <w:jc w:val="right"/>
              <w:rPr>
                <w:rFonts w:ascii="宋体" w:hAnsi="宋体" w:cs="宋体" w:eastAsia="宋体" w:hint="default"/>
                <w:sz w:val="18"/>
                <w:szCs w:val="18"/>
              </w:rPr>
            </w:pPr>
            <w:r>
              <w:rPr>
                <w:rFonts w:ascii="宋体"/>
                <w:sz w:val="18"/>
              </w:rPr>
              <w:t>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8,684,935.6</w:t>
            </w:r>
          </w:p>
          <w:p>
            <w:pPr>
              <w:pStyle w:val="TableParagraph"/>
              <w:spacing w:line="240" w:lineRule="auto" w:before="76"/>
              <w:ind w:right="23"/>
              <w:jc w:val="right"/>
              <w:rPr>
                <w:rFonts w:ascii="宋体" w:hAnsi="宋体" w:cs="宋体" w:eastAsia="宋体" w:hint="default"/>
                <w:sz w:val="18"/>
                <w:szCs w:val="18"/>
              </w:rPr>
            </w:pPr>
            <w:r>
              <w:rPr>
                <w:rFonts w:ascii="宋体"/>
                <w:sz w:val="18"/>
              </w:rPr>
              <w:t>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19,803,714.</w:t>
            </w:r>
          </w:p>
          <w:p>
            <w:pPr>
              <w:pStyle w:val="TableParagraph"/>
              <w:spacing w:line="240" w:lineRule="auto" w:before="76"/>
              <w:ind w:right="23"/>
              <w:jc w:val="right"/>
              <w:rPr>
                <w:rFonts w:ascii="宋体" w:hAnsi="宋体" w:cs="宋体" w:eastAsia="宋体" w:hint="default"/>
                <w:sz w:val="18"/>
                <w:szCs w:val="18"/>
              </w:rPr>
            </w:pPr>
            <w:r>
              <w:rPr>
                <w:rFonts w:ascii="宋体"/>
                <w:sz w:val="18"/>
              </w:rPr>
              <w:t>93</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21,223,756.</w:t>
            </w:r>
          </w:p>
          <w:p>
            <w:pPr>
              <w:pStyle w:val="TableParagraph"/>
              <w:spacing w:line="240" w:lineRule="auto" w:before="76"/>
              <w:ind w:right="23"/>
              <w:jc w:val="right"/>
              <w:rPr>
                <w:rFonts w:ascii="宋体" w:hAnsi="宋体" w:cs="宋体" w:eastAsia="宋体" w:hint="default"/>
                <w:sz w:val="18"/>
                <w:szCs w:val="18"/>
              </w:rPr>
            </w:pPr>
            <w:r>
              <w:rPr>
                <w:rFonts w:ascii="宋体"/>
                <w:sz w:val="18"/>
              </w:rPr>
              <w:t>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12,410,732.</w:t>
            </w:r>
          </w:p>
          <w:p>
            <w:pPr>
              <w:pStyle w:val="TableParagraph"/>
              <w:spacing w:line="240" w:lineRule="auto" w:before="76"/>
              <w:ind w:right="23"/>
              <w:jc w:val="right"/>
              <w:rPr>
                <w:rFonts w:ascii="宋体" w:hAnsi="宋体" w:cs="宋体" w:eastAsia="宋体" w:hint="default"/>
                <w:sz w:val="18"/>
                <w:szCs w:val="18"/>
              </w:rPr>
            </w:pPr>
            <w:r>
              <w:rPr>
                <w:rFonts w:ascii="宋体"/>
                <w:sz w:val="18"/>
              </w:rPr>
              <w:t>98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13,830,774.</w:t>
            </w:r>
          </w:p>
          <w:p>
            <w:pPr>
              <w:pStyle w:val="TableParagraph"/>
              <w:spacing w:line="240" w:lineRule="auto" w:before="76"/>
              <w:ind w:right="23"/>
              <w:jc w:val="right"/>
              <w:rPr>
                <w:rFonts w:ascii="宋体" w:hAnsi="宋体" w:cs="宋体" w:eastAsia="宋体" w:hint="default"/>
                <w:sz w:val="18"/>
                <w:szCs w:val="18"/>
              </w:rPr>
            </w:pPr>
            <w:r>
              <w:rPr>
                <w:rFonts w:ascii="宋体"/>
                <w:sz w:val="18"/>
              </w:rPr>
              <w:t>60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19,803,714.</w:t>
            </w:r>
          </w:p>
          <w:p>
            <w:pPr>
              <w:pStyle w:val="TableParagraph"/>
              <w:spacing w:line="240" w:lineRule="auto" w:before="76"/>
              <w:ind w:right="23"/>
              <w:jc w:val="right"/>
              <w:rPr>
                <w:rFonts w:ascii="宋体" w:hAnsi="宋体" w:cs="宋体" w:eastAsia="宋体" w:hint="default"/>
                <w:sz w:val="18"/>
                <w:szCs w:val="18"/>
              </w:rPr>
            </w:pPr>
            <w:r>
              <w:rPr>
                <w:rFonts w:ascii="宋体"/>
                <w:sz w:val="18"/>
              </w:rPr>
              <w:t>93</w:t>
            </w:r>
          </w:p>
        </w:tc>
      </w:tr>
    </w:tbl>
    <w:p>
      <w:pPr>
        <w:pStyle w:val="BodyText"/>
        <w:spacing w:line="240" w:lineRule="auto" w:before="51"/>
        <w:ind w:right="0"/>
        <w:jc w:val="left"/>
      </w:pPr>
      <w:r>
        <w:rPr/>
        <w:t>其他说明</w:t>
      </w:r>
    </w:p>
    <w:p>
      <w:pPr>
        <w:pStyle w:val="BodyText"/>
        <w:spacing w:line="319" w:lineRule="auto" w:before="115"/>
        <w:ind w:left="153" w:right="1140" w:firstLine="360"/>
        <w:jc w:val="both"/>
      </w:pPr>
      <w:r>
        <w:rPr>
          <w:spacing w:val="-4"/>
        </w:rPr>
        <w:t>（</w:t>
      </w:r>
      <w:r>
        <w:rPr>
          <w:rFonts w:ascii="宋体" w:hAnsi="宋体" w:cs="宋体" w:eastAsia="宋体" w:hint="default"/>
          <w:spacing w:val="-4"/>
        </w:rPr>
        <w:t>1</w:t>
      </w:r>
      <w:r>
        <w:rPr>
          <w:spacing w:val="-4"/>
        </w:rPr>
        <w:t>）胜效通（即“</w:t>
      </w:r>
      <w:r>
        <w:rPr>
          <w:rFonts w:ascii="宋体" w:hAnsi="宋体" w:cs="宋体" w:eastAsia="宋体" w:hint="default"/>
          <w:spacing w:val="-4"/>
        </w:rPr>
        <w:t>FMOBI</w:t>
      </w:r>
      <w:r>
        <w:rPr>
          <w:spacing w:val="-4"/>
        </w:rPr>
        <w:t>”）平台，资本化开始时点为</w:t>
      </w:r>
      <w:r>
        <w:rPr>
          <w:spacing w:val="-43"/>
        </w:rPr>
        <w:t> </w:t>
      </w:r>
      <w:r>
        <w:rPr>
          <w:rFonts w:ascii="宋体" w:hAnsi="宋体" w:cs="宋体" w:eastAsia="宋体" w:hint="default"/>
        </w:rPr>
        <w:t>2016</w:t>
      </w:r>
      <w:r>
        <w:rPr>
          <w:rFonts w:ascii="宋体" w:hAnsi="宋体" w:cs="宋体" w:eastAsia="宋体" w:hint="default"/>
          <w:spacing w:val="-43"/>
        </w:rPr>
        <w:t> </w:t>
      </w:r>
      <w:r>
        <w:rPr/>
        <w:t>年</w:t>
      </w:r>
      <w:r>
        <w:rPr>
          <w:spacing w:val="-43"/>
        </w:rPr>
        <w:t> </w:t>
      </w:r>
      <w:r>
        <w:rPr>
          <w:rFonts w:ascii="宋体" w:hAnsi="宋体" w:cs="宋体" w:eastAsia="宋体" w:hint="default"/>
        </w:rPr>
        <w:t>5</w:t>
      </w:r>
      <w:r>
        <w:rPr>
          <w:rFonts w:ascii="宋体" w:hAnsi="宋体" w:cs="宋体" w:eastAsia="宋体" w:hint="default"/>
          <w:spacing w:val="-43"/>
        </w:rPr>
        <w:t> </w:t>
      </w:r>
      <w:r>
        <w:rPr/>
        <w:t>月，依据《胜效通平台</w:t>
      </w:r>
      <w:r>
        <w:rPr>
          <w:spacing w:val="-43"/>
        </w:rPr>
        <w:t> </w:t>
      </w:r>
      <w:r>
        <w:rPr>
          <w:rFonts w:ascii="宋体" w:hAnsi="宋体" w:cs="宋体" w:eastAsia="宋体" w:hint="default"/>
        </w:rPr>
        <w:t>V3</w:t>
      </w:r>
      <w:r>
        <w:rPr>
          <w:rFonts w:ascii="宋体" w:hAnsi="宋体" w:cs="宋体" w:eastAsia="宋体" w:hint="default"/>
          <w:spacing w:val="-43"/>
        </w:rPr>
        <w:t> </w:t>
      </w:r>
      <w:r>
        <w:rPr/>
        <w:t>版项目开发立项书》及《胜 效通平台</w:t>
      </w:r>
      <w:r>
        <w:rPr>
          <w:spacing w:val="-46"/>
        </w:rPr>
        <w:t> </w:t>
      </w:r>
      <w:r>
        <w:rPr>
          <w:rFonts w:ascii="宋体" w:hAnsi="宋体" w:cs="宋体" w:eastAsia="宋体" w:hint="default"/>
        </w:rPr>
        <w:t>V4</w:t>
      </w:r>
      <w:r>
        <w:rPr>
          <w:rFonts w:ascii="宋体" w:hAnsi="宋体" w:cs="宋体" w:eastAsia="宋体" w:hint="default"/>
          <w:spacing w:val="-46"/>
        </w:rPr>
        <w:t> </w:t>
      </w:r>
      <w:r>
        <w:rPr/>
        <w:t>版项目开发立项书》对胜效通平台进行功能完善及升级，项目进度符合预期，按进度完成对广告主端产品优化 和第三方媒体或平台流量的接入及管理，实现广告策略的控量与定向等功能，于</w:t>
      </w:r>
      <w:r>
        <w:rPr>
          <w:spacing w:val="-45"/>
        </w:rPr>
        <w:t> </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8</w:t>
      </w:r>
      <w:r>
        <w:rPr>
          <w:rFonts w:ascii="宋体" w:hAnsi="宋体" w:cs="宋体" w:eastAsia="宋体" w:hint="default"/>
          <w:spacing w:val="-46"/>
        </w:rPr>
        <w:t> </w:t>
      </w:r>
      <w:r>
        <w:rPr/>
        <w:t>月完成开发并达到预定用途，转 入无形资产。</w:t>
      </w:r>
    </w:p>
    <w:p>
      <w:pPr>
        <w:pStyle w:val="BodyText"/>
        <w:spacing w:line="319" w:lineRule="auto" w:before="56"/>
        <w:ind w:right="1132" w:firstLine="360"/>
        <w:jc w:val="both"/>
      </w:pPr>
      <w:r>
        <w:rPr/>
        <w:t>（</w:t>
      </w:r>
      <w:r>
        <w:rPr>
          <w:rFonts w:ascii="宋体" w:hAnsi="宋体" w:cs="宋体" w:eastAsia="宋体" w:hint="default"/>
        </w:rPr>
        <w:t>2</w:t>
      </w:r>
      <w:r>
        <w:rPr/>
        <w:t>）</w:t>
      </w:r>
      <w:r>
        <w:rPr>
          <w:rFonts w:ascii="宋体" w:hAnsi="宋体" w:cs="宋体" w:eastAsia="宋体" w:hint="default"/>
        </w:rPr>
        <w:t>CPE</w:t>
      </w:r>
      <w:r>
        <w:rPr>
          <w:rFonts w:ascii="宋体" w:hAnsi="宋体" w:cs="宋体" w:eastAsia="宋体" w:hint="default"/>
          <w:spacing w:val="-46"/>
        </w:rPr>
        <w:t> </w:t>
      </w:r>
      <w:r>
        <w:rPr/>
        <w:t>时效精准营销平台项目，资本化开始时点为</w:t>
      </w:r>
      <w:r>
        <w:rPr>
          <w:spacing w:val="-46"/>
        </w:rPr>
        <w:t> </w:t>
      </w:r>
      <w:r>
        <w:rPr>
          <w:rFonts w:ascii="宋体" w:hAnsi="宋体" w:cs="宋体" w:eastAsia="宋体" w:hint="default"/>
        </w:rPr>
        <w:t>2016</w:t>
      </w:r>
      <w:r>
        <w:rPr>
          <w:rFonts w:ascii="宋体" w:hAnsi="宋体" w:cs="宋体" w:eastAsia="宋体" w:hint="default"/>
          <w:spacing w:val="-46"/>
        </w:rPr>
        <w:t> </w:t>
      </w:r>
      <w:r>
        <w:rPr/>
        <w:t>年</w:t>
      </w:r>
      <w:r>
        <w:rPr>
          <w:spacing w:val="-46"/>
        </w:rPr>
        <w:t> </w:t>
      </w:r>
      <w:r>
        <w:rPr>
          <w:rFonts w:ascii="宋体" w:hAnsi="宋体" w:cs="宋体" w:eastAsia="宋体" w:hint="default"/>
        </w:rPr>
        <w:t>6</w:t>
      </w:r>
      <w:r>
        <w:rPr>
          <w:rFonts w:ascii="宋体" w:hAnsi="宋体" w:cs="宋体" w:eastAsia="宋体" w:hint="default"/>
          <w:spacing w:val="-46"/>
        </w:rPr>
        <w:t> </w:t>
      </w:r>
      <w:r>
        <w:rPr/>
        <w:t>月，依据《</w:t>
      </w:r>
      <w:r>
        <w:rPr>
          <w:rFonts w:ascii="宋体" w:hAnsi="宋体" w:cs="宋体" w:eastAsia="宋体" w:hint="default"/>
        </w:rPr>
        <w:t>CPE</w:t>
      </w:r>
      <w:r>
        <w:rPr>
          <w:rFonts w:ascii="宋体" w:hAnsi="宋体" w:cs="宋体" w:eastAsia="宋体" w:hint="default"/>
          <w:spacing w:val="-46"/>
        </w:rPr>
        <w:t> </w:t>
      </w:r>
      <w:r>
        <w:rPr/>
        <w:t>时效精准营销平台项目开发立项书》开 发了专为游戏产品推广的营销平台，其功能包括流量管理、第三方平台或媒体流量的</w:t>
      </w:r>
      <w:r>
        <w:rPr>
          <w:spacing w:val="-66"/>
        </w:rPr>
        <w:t> </w:t>
      </w:r>
      <w:r>
        <w:rPr>
          <w:rFonts w:ascii="宋体" w:hAnsi="宋体" w:cs="宋体" w:eastAsia="宋体" w:hint="default"/>
        </w:rPr>
        <w:t>API</w:t>
      </w:r>
      <w:r>
        <w:rPr>
          <w:rFonts w:ascii="宋体" w:hAnsi="宋体" w:cs="宋体" w:eastAsia="宋体" w:hint="default"/>
          <w:spacing w:val="-66"/>
        </w:rPr>
        <w:t> </w:t>
      </w:r>
      <w:r>
        <w:rPr>
          <w:spacing w:val="-5"/>
        </w:rPr>
        <w:t>接入、产品的精准投放等，于</w:t>
      </w:r>
      <w:r>
        <w:rPr>
          <w:spacing w:val="-66"/>
        </w:rPr>
        <w:t> </w:t>
      </w:r>
      <w:r>
        <w:rPr>
          <w:rFonts w:ascii="宋体" w:hAnsi="宋体" w:cs="宋体" w:eastAsia="宋体" w:hint="default"/>
        </w:rPr>
        <w:t>2017 </w:t>
      </w:r>
      <w:r>
        <w:rPr/>
        <w:t>年</w:t>
      </w:r>
      <w:r>
        <w:rPr>
          <w:spacing w:val="-46"/>
        </w:rPr>
        <w:t> </w:t>
      </w:r>
      <w:r>
        <w:rPr>
          <w:rFonts w:ascii="宋体" w:hAnsi="宋体" w:cs="宋体" w:eastAsia="宋体" w:hint="default"/>
        </w:rPr>
        <w:t>1</w:t>
      </w:r>
      <w:r>
        <w:rPr>
          <w:rFonts w:ascii="宋体" w:hAnsi="宋体" w:cs="宋体" w:eastAsia="宋体" w:hint="default"/>
          <w:spacing w:val="-46"/>
        </w:rPr>
        <w:t> </w:t>
      </w:r>
      <w:r>
        <w:rPr/>
        <w:t>月完成开发并达到预定用途，转入无形资产。</w:t>
      </w:r>
    </w:p>
    <w:p>
      <w:pPr>
        <w:pStyle w:val="BodyText"/>
        <w:spacing w:line="319" w:lineRule="auto" w:before="55"/>
        <w:ind w:left="153" w:right="1033" w:firstLine="360"/>
        <w:jc w:val="left"/>
      </w:pPr>
      <w:r>
        <w:rPr/>
        <w:t>（</w:t>
      </w:r>
      <w:r>
        <w:rPr>
          <w:rFonts w:ascii="宋体" w:hAnsi="宋体" w:cs="宋体" w:eastAsia="宋体" w:hint="default"/>
        </w:rPr>
        <w:t>3</w:t>
      </w:r>
      <w:r>
        <w:rPr/>
        <w:t>）</w:t>
      </w:r>
      <w:r>
        <w:rPr>
          <w:rFonts w:ascii="宋体" w:hAnsi="宋体" w:cs="宋体" w:eastAsia="宋体" w:hint="default"/>
        </w:rPr>
        <w:t>Admath</w:t>
      </w:r>
      <w:r>
        <w:rPr>
          <w:rFonts w:ascii="宋体" w:hAnsi="宋体" w:cs="宋体" w:eastAsia="宋体" w:hint="default"/>
          <w:spacing w:val="-41"/>
        </w:rPr>
        <w:t> </w:t>
      </w:r>
      <w:r>
        <w:rPr>
          <w:rFonts w:ascii="宋体" w:hAnsi="宋体" w:cs="宋体" w:eastAsia="宋体" w:hint="default"/>
        </w:rPr>
        <w:t>Trading</w:t>
      </w:r>
      <w:r>
        <w:rPr>
          <w:rFonts w:ascii="宋体" w:hAnsi="宋体" w:cs="宋体" w:eastAsia="宋体" w:hint="default"/>
          <w:spacing w:val="-41"/>
        </w:rPr>
        <w:t> </w:t>
      </w:r>
      <w:r>
        <w:rPr>
          <w:rFonts w:ascii="宋体" w:hAnsi="宋体" w:cs="宋体" w:eastAsia="宋体" w:hint="default"/>
        </w:rPr>
        <w:t>Desk</w:t>
      </w:r>
      <w:r>
        <w:rPr/>
        <w:t>，资本化开始时点为</w:t>
      </w:r>
      <w:r>
        <w:rPr>
          <w:spacing w:val="-46"/>
        </w:rPr>
        <w:t> </w:t>
      </w:r>
      <w:r>
        <w:rPr>
          <w:rFonts w:ascii="宋体" w:hAnsi="宋体" w:cs="宋体" w:eastAsia="宋体" w:hint="default"/>
        </w:rPr>
        <w:t>2015</w:t>
      </w:r>
      <w:r>
        <w:rPr>
          <w:rFonts w:ascii="宋体" w:hAnsi="宋体" w:cs="宋体" w:eastAsia="宋体" w:hint="default"/>
          <w:spacing w:val="-46"/>
        </w:rPr>
        <w:t> </w:t>
      </w:r>
      <w:r>
        <w:rPr/>
        <w:t>年</w:t>
      </w:r>
      <w:r>
        <w:rPr>
          <w:spacing w:val="-46"/>
        </w:rPr>
        <w:t> </w:t>
      </w:r>
      <w:r>
        <w:rPr>
          <w:rFonts w:ascii="宋体" w:hAnsi="宋体" w:cs="宋体" w:eastAsia="宋体" w:hint="default"/>
        </w:rPr>
        <w:t>11</w:t>
      </w:r>
      <w:r>
        <w:rPr>
          <w:rFonts w:ascii="宋体" w:hAnsi="宋体" w:cs="宋体" w:eastAsia="宋体" w:hint="default"/>
          <w:spacing w:val="-45"/>
        </w:rPr>
        <w:t> </w:t>
      </w:r>
      <w:r>
        <w:rPr/>
        <w:t>月，已完成上海智度亦复信息技术有限公司（以下简称“上 海亦复信息公司”）</w:t>
      </w:r>
      <w:r>
        <w:rPr>
          <w:rFonts w:ascii="宋体" w:hAnsi="宋体" w:cs="宋体" w:eastAsia="宋体" w:hint="default"/>
        </w:rPr>
        <w:t>Admath Trading Desk</w:t>
      </w:r>
      <w:r>
        <w:rPr>
          <w:rFonts w:ascii="宋体" w:hAnsi="宋体" w:cs="宋体" w:eastAsia="宋体" w:hint="default"/>
          <w:spacing w:val="-46"/>
        </w:rPr>
        <w:t> </w:t>
      </w:r>
      <w:r>
        <w:rPr/>
        <w:t>第二阶段验收，按进度完成</w:t>
      </w:r>
      <w:r>
        <w:rPr>
          <w:spacing w:val="-46"/>
        </w:rPr>
        <w:t> </w:t>
      </w:r>
      <w:r>
        <w:rPr>
          <w:rFonts w:ascii="宋体" w:hAnsi="宋体" w:cs="宋体" w:eastAsia="宋体" w:hint="default"/>
        </w:rPr>
        <w:t>API</w:t>
      </w:r>
      <w:r>
        <w:rPr>
          <w:rFonts w:ascii="宋体" w:hAnsi="宋体" w:cs="宋体" w:eastAsia="宋体" w:hint="default"/>
          <w:spacing w:val="-46"/>
        </w:rPr>
        <w:t> </w:t>
      </w:r>
      <w:r>
        <w:rPr/>
        <w:t>模式与多个媒体效果平台（</w:t>
      </w:r>
      <w:r>
        <w:rPr>
          <w:rFonts w:ascii="宋体" w:hAnsi="宋体" w:cs="宋体" w:eastAsia="宋体" w:hint="default"/>
        </w:rPr>
        <w:t>GDT</w:t>
      </w:r>
      <w:r>
        <w:rPr/>
        <w:t>，智子云，</w:t>
      </w:r>
      <w:r>
        <w:rPr>
          <w:rFonts w:ascii="宋体" w:hAnsi="宋体" w:cs="宋体" w:eastAsia="宋体" w:hint="default"/>
        </w:rPr>
        <w:t>JD</w:t>
      </w:r>
      <w:r>
        <w:rPr>
          <w:rFonts w:ascii="宋体" w:hAnsi="宋体" w:cs="宋体" w:eastAsia="宋体" w:hint="default"/>
          <w:spacing w:val="-46"/>
        </w:rPr>
        <w:t> </w:t>
      </w:r>
      <w:r>
        <w:rPr/>
        <w:t>精 </w:t>
      </w:r>
      <w:r>
        <w:rPr>
          <w:spacing w:val="-2"/>
        </w:rPr>
        <w:t>准通，</w:t>
      </w:r>
      <w:r>
        <w:rPr>
          <w:rFonts w:ascii="宋体" w:hAnsi="宋体" w:cs="宋体" w:eastAsia="宋体" w:hint="default"/>
          <w:spacing w:val="-2"/>
        </w:rPr>
        <w:t>JD</w:t>
      </w:r>
      <w:r>
        <w:rPr>
          <w:rFonts w:ascii="宋体" w:hAnsi="宋体" w:cs="宋体" w:eastAsia="宋体" w:hint="default"/>
          <w:spacing w:val="-30"/>
        </w:rPr>
        <w:t> </w:t>
      </w:r>
      <w:r>
        <w:rPr>
          <w:spacing w:val="-1"/>
        </w:rPr>
        <w:t>小黑珑，百度信息流等等）技术对接并且通过测试等。符合项目进度预期，不存在技术上的障碍或其他不确定性，</w:t>
      </w:r>
      <w:r>
        <w:rPr>
          <w:spacing w:val="-86"/>
        </w:rPr>
        <w:t> </w:t>
      </w:r>
      <w:r>
        <w:rPr>
          <w:spacing w:val="-86"/>
        </w:rPr>
      </w:r>
      <w:r>
        <w:rPr/>
        <w:t>并有能力使用该无形资产。截至期末研发进度达到</w:t>
      </w:r>
      <w:r>
        <w:rPr>
          <w:spacing w:val="-45"/>
        </w:rPr>
        <w:t> </w:t>
      </w:r>
      <w:r>
        <w:rPr>
          <w:rFonts w:ascii="宋体" w:hAnsi="宋体" w:cs="宋体" w:eastAsia="宋体" w:hint="default"/>
        </w:rPr>
        <w:t>63.36%</w:t>
      </w:r>
      <w:r>
        <w:rPr/>
        <w:t>。期末对该项目的开发支出进行减值测试，未发生减值。</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27、商誉" w:id="308"/>
      <w:bookmarkEnd w:id="308"/>
      <w:r>
        <w:rPr>
          <w:b w:val="0"/>
          <w:bCs w:val="0"/>
        </w:rPr>
      </w:r>
      <w:r>
        <w:rPr>
          <w:rFonts w:ascii="宋体" w:hAnsi="宋体" w:cs="宋体" w:eastAsia="宋体" w:hint="default"/>
        </w:rPr>
        <w:t>27</w:t>
      </w:r>
      <w:r>
        <w:rPr/>
        <w:t>、商誉</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商誉账面原值" w:id="309"/>
      <w:bookmarkEnd w:id="309"/>
      <w:r>
        <w:rPr>
          <w:b w:val="0"/>
          <w:bCs w:val="0"/>
        </w:rPr>
      </w:r>
      <w:r>
        <w:rPr/>
        <w:t>（</w:t>
      </w:r>
      <w:r>
        <w:rPr>
          <w:rFonts w:ascii="宋体" w:hAnsi="宋体" w:cs="宋体" w:eastAsia="宋体" w:hint="default"/>
        </w:rPr>
        <w:t>1</w:t>
      </w:r>
      <w:r>
        <w:rPr/>
        <w:t>）商誉账面原值</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397"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6" w:hRule="exact"/>
        </w:trPr>
        <w:tc>
          <w:tcPr>
            <w:tcW w:w="1367" w:type="dxa"/>
            <w:vMerge/>
            <w:tcBorders>
              <w:left w:val="single" w:sz="4" w:space="0" w:color="000000"/>
              <w:right w:val="single" w:sz="4" w:space="0" w:color="000000"/>
            </w:tcBorders>
            <w:shd w:val="clear" w:color="auto" w:fill="D2D2D2"/>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9" w:space="0" w:color="D2D2D2"/>
              <w:right w:val="single" w:sz="9" w:space="0" w:color="D2D2D2"/>
            </w:tcBorders>
            <w:shd w:val="clear" w:color="auto" w:fill="E0FFFF"/>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10" w:space="0" w:color="D2D2D2"/>
              <w:right w:val="single" w:sz="9" w:space="0" w:color="D2D2D2"/>
            </w:tcBorders>
            <w:shd w:val="clear" w:color="auto" w:fill="E0FFFF"/>
          </w:tcPr>
          <w:p>
            <w:pPr>
              <w:pStyle w:val="TableParagraph"/>
              <w:spacing w:line="316" w:lineRule="auto" w:before="56"/>
              <w:ind w:left="491" w:right="40" w:hanging="451"/>
              <w:jc w:val="left"/>
              <w:rPr>
                <w:rFonts w:ascii="宋体" w:hAnsi="宋体" w:cs="宋体" w:eastAsia="宋体" w:hint="default"/>
                <w:sz w:val="18"/>
                <w:szCs w:val="18"/>
              </w:rPr>
            </w:pPr>
            <w:r>
              <w:rPr>
                <w:rFonts w:ascii="宋体" w:hAnsi="宋体" w:cs="宋体" w:eastAsia="宋体" w:hint="default"/>
                <w:sz w:val="18"/>
                <w:szCs w:val="18"/>
              </w:rPr>
              <w:t>外币报表折算的 影响</w:t>
            </w: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67" w:type="dxa"/>
            <w:vMerge/>
            <w:tcBorders>
              <w:left w:val="single" w:sz="4" w:space="0" w:color="000000"/>
              <w:right w:val="single" w:sz="4" w:space="0" w:color="000000"/>
            </w:tcBorders>
            <w:shd w:val="clear" w:color="auto" w:fill="D2D2D2"/>
          </w:tcPr>
          <w:p>
            <w:pPr/>
          </w:p>
        </w:tc>
        <w:tc>
          <w:tcPr>
            <w:tcW w:w="136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9"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vMerge/>
            <w:tcBorders>
              <w:left w:val="single" w:sz="9" w:space="0" w:color="D2D2D2"/>
              <w:right w:val="single" w:sz="9" w:space="0" w:color="D2D2D2"/>
            </w:tcBorders>
            <w:shd w:val="clear" w:color="auto" w:fill="E0FFFF"/>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tcBorders>
              <w:left w:val="single" w:sz="10" w:space="0" w:color="D2D2D2"/>
              <w:right w:val="single" w:sz="9" w:space="0" w:color="D2D2D2"/>
            </w:tcBorders>
            <w:shd w:val="clear" w:color="auto" w:fill="E0FFFF"/>
          </w:tcPr>
          <w:p>
            <w:pPr/>
          </w:p>
        </w:tc>
        <w:tc>
          <w:tcPr>
            <w:tcW w:w="1367"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67" w:type="dxa"/>
            <w:vMerge/>
            <w:tcBorders>
              <w:left w:val="single" w:sz="4" w:space="0" w:color="000000"/>
              <w:right w:val="single" w:sz="4" w:space="0" w:color="000000"/>
            </w:tcBorders>
            <w:shd w:val="clear" w:color="auto" w:fill="D2D2D2"/>
          </w:tcPr>
          <w:p>
            <w:pPr/>
          </w:p>
        </w:tc>
        <w:tc>
          <w:tcPr>
            <w:tcW w:w="1367" w:type="dxa"/>
            <w:vMerge w:val="restart"/>
            <w:tcBorders>
              <w:top w:val="nil" w:sz="6" w:space="0" w:color="auto"/>
              <w:left w:val="single" w:sz="4" w:space="0" w:color="000000"/>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tcBorders>
              <w:left w:val="single" w:sz="9" w:space="0" w:color="D2D2D2"/>
              <w:right w:val="single" w:sz="9" w:space="0" w:color="D2D2D2"/>
            </w:tcBorders>
            <w:shd w:val="clear" w:color="auto" w:fill="E0FFFF"/>
          </w:tcPr>
          <w:p>
            <w:pPr/>
          </w:p>
        </w:tc>
        <w:tc>
          <w:tcPr>
            <w:tcW w:w="1367" w:type="dxa"/>
            <w:vMerge/>
            <w:tcBorders>
              <w:left w:val="single" w:sz="4" w:space="0" w:color="000000"/>
              <w:bottom w:val="nil" w:sz="6" w:space="0" w:color="auto"/>
              <w:right w:val="single" w:sz="4" w:space="0" w:color="000000"/>
            </w:tcBorders>
            <w:shd w:val="clear" w:color="auto" w:fill="D2D2D2"/>
          </w:tcPr>
          <w:p>
            <w:pPr/>
          </w:p>
        </w:tc>
        <w:tc>
          <w:tcPr>
            <w:tcW w:w="1367" w:type="dxa"/>
            <w:vMerge/>
            <w:tcBorders>
              <w:left w:val="single" w:sz="10" w:space="0" w:color="D2D2D2"/>
              <w:right w:val="single" w:sz="9" w:space="0" w:color="D2D2D2"/>
            </w:tcBorders>
            <w:shd w:val="clear" w:color="auto" w:fill="E0FFFF"/>
          </w:tcPr>
          <w:p>
            <w:pPr/>
          </w:p>
        </w:tc>
        <w:tc>
          <w:tcPr>
            <w:tcW w:w="136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9" w:space="0" w:color="D2D2D2"/>
              <w:bottom w:val="single" w:sz="4" w:space="0" w:color="000000"/>
              <w:right w:val="single" w:sz="9" w:space="0" w:color="D2D2D2"/>
            </w:tcBorders>
            <w:shd w:val="clear" w:color="auto" w:fill="E0FFFF"/>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10" w:space="0" w:color="D2D2D2"/>
              <w:bottom w:val="single" w:sz="4" w:space="0" w:color="000000"/>
              <w:right w:val="single" w:sz="9" w:space="0" w:color="D2D2D2"/>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7" w:type="dxa"/>
            <w:tcBorders>
              <w:top w:val="single" w:sz="22" w:space="0" w:color="D2D2D2"/>
              <w:left w:val="single" w:sz="4" w:space="0" w:color="000000"/>
              <w:bottom w:val="single" w:sz="4" w:space="0" w:color="000000"/>
              <w:right w:val="single" w:sz="4" w:space="0" w:color="000000"/>
            </w:tcBorders>
            <w:shd w:val="clear" w:color="auto" w:fill="E0FFFF"/>
          </w:tcPr>
          <w:p>
            <w:pPr>
              <w:pStyle w:val="TableParagraph"/>
              <w:spacing w:line="316" w:lineRule="auto" w:before="28"/>
              <w:ind w:left="22" w:right="72"/>
              <w:jc w:val="left"/>
              <w:rPr>
                <w:rFonts w:ascii="宋体" w:hAnsi="宋体" w:cs="宋体" w:eastAsia="宋体" w:hint="default"/>
                <w:sz w:val="18"/>
                <w:szCs w:val="18"/>
              </w:rPr>
            </w:pPr>
            <w:r>
              <w:rPr>
                <w:rFonts w:ascii="宋体" w:hAnsi="宋体" w:cs="宋体" w:eastAsia="宋体" w:hint="default"/>
                <w:sz w:val="18"/>
                <w:szCs w:val="18"/>
              </w:rPr>
              <w:t>北京掌汇天下科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30,625,381.67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center"/>
              <w:rPr>
                <w:rFonts w:ascii="宋体" w:hAnsi="宋体" w:cs="宋体" w:eastAsia="宋体" w:hint="default"/>
                <w:sz w:val="18"/>
                <w:szCs w:val="18"/>
              </w:rPr>
            </w:pPr>
            <w:r>
              <w:rPr>
                <w:rFonts w:ascii="宋体"/>
                <w:sz w:val="18"/>
              </w:rPr>
              <w:t>30,625,381.67</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上海猎鹰网络有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640,116,082.57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 w:right="0"/>
              <w:jc w:val="center"/>
              <w:rPr>
                <w:rFonts w:ascii="宋体" w:hAnsi="宋体" w:cs="宋体" w:eastAsia="宋体" w:hint="default"/>
                <w:sz w:val="18"/>
                <w:szCs w:val="18"/>
              </w:rPr>
            </w:pPr>
            <w:r>
              <w:rPr>
                <w:rFonts w:ascii="宋体"/>
                <w:sz w:val="18"/>
              </w:rPr>
              <w:t>640,116,082.57</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Spigot,Inc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1,585,311,799.</w:t>
            </w:r>
          </w:p>
          <w:p>
            <w:pPr>
              <w:pStyle w:val="TableParagraph"/>
              <w:spacing w:line="240" w:lineRule="auto" w:before="76"/>
              <w:ind w:right="20"/>
              <w:jc w:val="right"/>
              <w:rPr>
                <w:rFonts w:ascii="宋体" w:hAnsi="宋体" w:cs="宋体" w:eastAsia="宋体" w:hint="default"/>
                <w:sz w:val="18"/>
                <w:szCs w:val="18"/>
              </w:rPr>
            </w:pPr>
            <w:r>
              <w:rPr>
                <w:rFonts w:ascii="宋体"/>
                <w:sz w:val="18"/>
              </w:rPr>
              <w:t>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sz w:val="18"/>
              </w:rPr>
              <w:t>92,051,836.92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1,493,259,962.</w:t>
            </w:r>
          </w:p>
          <w:p>
            <w:pPr>
              <w:pStyle w:val="TableParagraph"/>
              <w:spacing w:line="240" w:lineRule="auto" w:before="76"/>
              <w:ind w:right="20"/>
              <w:jc w:val="right"/>
              <w:rPr>
                <w:rFonts w:ascii="宋体" w:hAnsi="宋体" w:cs="宋体" w:eastAsia="宋体" w:hint="default"/>
                <w:sz w:val="18"/>
                <w:szCs w:val="18"/>
              </w:rPr>
            </w:pPr>
            <w:r>
              <w:rPr>
                <w:rFonts w:ascii="宋体"/>
                <w:sz w:val="18"/>
              </w:rPr>
              <w:t>28</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上海智度亦复信 息技术有限公司</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sz w:val="18"/>
              </w:rPr>
              <w:t>268,199,641.97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sz w:val="18"/>
              </w:rPr>
              <w:t>268,199,641.97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2,524,252,905.</w:t>
            </w:r>
          </w:p>
          <w:p>
            <w:pPr>
              <w:pStyle w:val="TableParagraph"/>
              <w:spacing w:line="240" w:lineRule="auto" w:before="77"/>
              <w:ind w:right="20"/>
              <w:jc w:val="right"/>
              <w:rPr>
                <w:rFonts w:ascii="宋体" w:hAnsi="宋体" w:cs="宋体" w:eastAsia="宋体" w:hint="default"/>
                <w:sz w:val="18"/>
                <w:szCs w:val="18"/>
              </w:rPr>
            </w:pPr>
            <w:r>
              <w:rPr>
                <w:rFonts w:ascii="宋体"/>
                <w:sz w:val="18"/>
              </w:rPr>
              <w:t>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sz w:val="18"/>
              </w:rPr>
              <w:t>92,051,836.92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2,432,201,068.</w:t>
            </w:r>
          </w:p>
          <w:p>
            <w:pPr>
              <w:pStyle w:val="TableParagraph"/>
              <w:spacing w:line="240" w:lineRule="auto" w:before="77"/>
              <w:ind w:right="20"/>
              <w:jc w:val="right"/>
              <w:rPr>
                <w:rFonts w:ascii="宋体" w:hAnsi="宋体" w:cs="宋体" w:eastAsia="宋体" w:hint="default"/>
                <w:sz w:val="18"/>
                <w:szCs w:val="18"/>
              </w:rPr>
            </w:pPr>
            <w:r>
              <w:rPr>
                <w:rFonts w:ascii="宋体"/>
                <w:sz w:val="18"/>
              </w:rPr>
              <w:t>49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商誉减值准备" w:id="310"/>
      <w:bookmarkEnd w:id="310"/>
      <w:r>
        <w:rPr>
          <w:b w:val="0"/>
          <w:bCs w:val="0"/>
        </w:rPr>
      </w:r>
      <w:r>
        <w:rPr/>
        <w:t>（</w:t>
      </w:r>
      <w:r>
        <w:rPr>
          <w:rFonts w:ascii="宋体" w:hAnsi="宋体" w:cs="宋体" w:eastAsia="宋体" w:hint="default"/>
        </w:rPr>
        <w:t>2</w:t>
      </w:r>
      <w:r>
        <w:rPr/>
        <w:t>）商誉减值准备</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60" w:lineRule="auto" w:before="51"/>
        <w:ind w:left="514" w:right="6072" w:hanging="360"/>
        <w:jc w:val="left"/>
      </w:pPr>
      <w:r>
        <w:rPr/>
        <w:t>说明商誉减值测试过程、参数及商誉减值损失的确认方法： 说明：本公司于年末对商誉进行减值测试的情况如下</w:t>
      </w:r>
    </w:p>
    <w:p>
      <w:pPr>
        <w:pStyle w:val="BodyText"/>
        <w:spacing w:line="319" w:lineRule="auto" w:before="25"/>
        <w:ind w:left="153" w:right="1036" w:firstLine="360"/>
        <w:jc w:val="left"/>
      </w:pPr>
      <w:r>
        <w:rPr/>
        <w:t>（</w:t>
      </w:r>
      <w:r>
        <w:rPr>
          <w:rFonts w:ascii="宋体" w:hAnsi="宋体" w:cs="宋体" w:eastAsia="宋体" w:hint="default"/>
        </w:rPr>
        <w:t>1</w:t>
      </w:r>
      <w:r>
        <w:rPr/>
        <w:t>）本公司将</w:t>
      </w:r>
      <w:r>
        <w:rPr>
          <w:spacing w:val="-47"/>
        </w:rPr>
        <w:t> </w:t>
      </w:r>
      <w:r>
        <w:rPr>
          <w:rFonts w:ascii="宋体" w:hAnsi="宋体" w:cs="宋体" w:eastAsia="宋体" w:hint="default"/>
        </w:rPr>
        <w:t>Spigot,Inc</w:t>
      </w:r>
      <w:r>
        <w:rPr/>
        <w:t>，</w:t>
      </w:r>
      <w:r>
        <w:rPr>
          <w:rFonts w:ascii="宋体" w:hAnsi="宋体" w:cs="宋体" w:eastAsia="宋体" w:hint="default"/>
        </w:rPr>
        <w:t>Polarity</w:t>
      </w:r>
      <w:r>
        <w:rPr>
          <w:rFonts w:ascii="宋体" w:hAnsi="宋体" w:cs="宋体" w:eastAsia="宋体" w:hint="default"/>
          <w:spacing w:val="-33"/>
        </w:rPr>
        <w:t> </w:t>
      </w:r>
      <w:r>
        <w:rPr>
          <w:rFonts w:ascii="宋体" w:hAnsi="宋体" w:cs="宋体" w:eastAsia="宋体" w:hint="default"/>
        </w:rPr>
        <w:t>Technologies</w:t>
      </w:r>
      <w:r>
        <w:rPr>
          <w:rFonts w:ascii="宋体" w:hAnsi="宋体" w:cs="宋体" w:eastAsia="宋体" w:hint="default"/>
          <w:spacing w:val="-33"/>
        </w:rPr>
        <w:t> </w:t>
      </w:r>
      <w:r>
        <w:rPr>
          <w:rFonts w:ascii="宋体" w:hAnsi="宋体" w:cs="宋体" w:eastAsia="宋体" w:hint="default"/>
        </w:rPr>
        <w:t>Ltd.</w:t>
      </w:r>
      <w:r>
        <w:rPr/>
        <w:t>及</w:t>
      </w:r>
      <w:r>
        <w:rPr>
          <w:spacing w:val="-47"/>
        </w:rPr>
        <w:t> </w:t>
      </w:r>
      <w:r>
        <w:rPr>
          <w:rFonts w:ascii="宋体" w:hAnsi="宋体" w:cs="宋体" w:eastAsia="宋体" w:hint="default"/>
        </w:rPr>
        <w:t>Eightpoint</w:t>
      </w:r>
      <w:r>
        <w:rPr>
          <w:rFonts w:ascii="宋体" w:hAnsi="宋体" w:cs="宋体" w:eastAsia="宋体" w:hint="default"/>
          <w:spacing w:val="-33"/>
        </w:rPr>
        <w:t> </w:t>
      </w:r>
      <w:r>
        <w:rPr>
          <w:rFonts w:ascii="宋体" w:hAnsi="宋体" w:cs="宋体" w:eastAsia="宋体" w:hint="default"/>
        </w:rPr>
        <w:t>Technologies</w:t>
      </w:r>
      <w:r>
        <w:rPr>
          <w:rFonts w:ascii="宋体" w:hAnsi="宋体" w:cs="宋体" w:eastAsia="宋体" w:hint="default"/>
          <w:spacing w:val="-33"/>
        </w:rPr>
        <w:t> </w:t>
      </w:r>
      <w:r>
        <w:rPr>
          <w:rFonts w:ascii="宋体" w:hAnsi="宋体" w:cs="宋体" w:eastAsia="宋体" w:hint="default"/>
        </w:rPr>
        <w:t>Ltd.</w:t>
      </w:r>
      <w:r>
        <w:rPr/>
        <w:t>（以下简称“</w:t>
      </w:r>
      <w:r>
        <w:rPr>
          <w:rFonts w:ascii="宋体" w:hAnsi="宋体" w:cs="宋体" w:eastAsia="宋体" w:hint="default"/>
        </w:rPr>
        <w:t>SPE</w:t>
      </w:r>
      <w:r>
        <w:rPr>
          <w:rFonts w:ascii="宋体" w:hAnsi="宋体" w:cs="宋体" w:eastAsia="宋体" w:hint="default"/>
          <w:spacing w:val="-47"/>
        </w:rPr>
        <w:t> </w:t>
      </w:r>
      <w:r>
        <w:rPr/>
        <w:t>公司”） 整体视为一个资产组，期末采用预计未来现金流现值的方法计算资产组的可收回金额。本公司根据</w:t>
      </w:r>
      <w:r>
        <w:rPr>
          <w:spacing w:val="-65"/>
        </w:rPr>
        <w:t> </w:t>
      </w:r>
      <w:r>
        <w:rPr>
          <w:rFonts w:ascii="宋体" w:hAnsi="宋体" w:cs="宋体" w:eastAsia="宋体" w:hint="default"/>
        </w:rPr>
        <w:t>SPE</w:t>
      </w:r>
      <w:r>
        <w:rPr>
          <w:rFonts w:ascii="宋体" w:hAnsi="宋体" w:cs="宋体" w:eastAsia="宋体" w:hint="default"/>
          <w:spacing w:val="-66"/>
        </w:rPr>
        <w:t> </w:t>
      </w:r>
      <w:r>
        <w:rPr/>
        <w:t>公司管理层批准的财 务预算预计未来</w:t>
      </w:r>
      <w:r>
        <w:rPr>
          <w:spacing w:val="-43"/>
        </w:rPr>
        <w:t> </w:t>
      </w:r>
      <w:r>
        <w:rPr>
          <w:rFonts w:ascii="宋体" w:hAnsi="宋体" w:cs="宋体" w:eastAsia="宋体" w:hint="default"/>
        </w:rPr>
        <w:t>6</w:t>
      </w:r>
      <w:r>
        <w:rPr>
          <w:rFonts w:ascii="宋体" w:hAnsi="宋体" w:cs="宋体" w:eastAsia="宋体" w:hint="default"/>
          <w:spacing w:val="-43"/>
        </w:rPr>
        <w:t> </w:t>
      </w:r>
      <w:r>
        <w:rPr>
          <w:spacing w:val="-1"/>
        </w:rPr>
        <w:t>年内现金流量，其后年度采用的现金流量增长率预计为</w:t>
      </w:r>
      <w:r>
        <w:rPr>
          <w:spacing w:val="-43"/>
        </w:rPr>
        <w:t> </w:t>
      </w:r>
      <w:r>
        <w:rPr>
          <w:rFonts w:ascii="宋体" w:hAnsi="宋体" w:cs="宋体" w:eastAsia="宋体" w:hint="default"/>
          <w:spacing w:val="-5"/>
        </w:rPr>
        <w:t>0%</w:t>
      </w:r>
      <w:r>
        <w:rPr>
          <w:spacing w:val="-5"/>
        </w:rPr>
        <w:t>（上期：</w:t>
      </w:r>
      <w:r>
        <w:rPr>
          <w:rFonts w:ascii="宋体" w:hAnsi="宋体" w:cs="宋体" w:eastAsia="宋体" w:hint="default"/>
          <w:spacing w:val="-5"/>
        </w:rPr>
        <w:t>0%</w:t>
      </w:r>
      <w:r>
        <w:rPr>
          <w:spacing w:val="-5"/>
        </w:rPr>
        <w:t>），不会超过资产组经营业务的长期</w:t>
      </w:r>
      <w:r>
        <w:rPr>
          <w:spacing w:val="-83"/>
        </w:rPr>
        <w:t> </w:t>
      </w:r>
      <w:r>
        <w:rPr>
          <w:spacing w:val="-83"/>
        </w:rPr>
      </w:r>
      <w:r>
        <w:rPr/>
        <w:t>平均增长率。管理层根据过往表现及其对市场发展的预期编制上述财务预算。计算未来现金流现值所采用的税前折现率为 </w:t>
      </w:r>
      <w:r>
        <w:rPr>
          <w:rFonts w:ascii="宋体" w:hAnsi="宋体" w:cs="宋体" w:eastAsia="宋体" w:hint="default"/>
          <w:spacing w:val="-2"/>
        </w:rPr>
        <w:t>15.80%</w:t>
      </w:r>
      <w:r>
        <w:rPr>
          <w:spacing w:val="-2"/>
        </w:rPr>
        <w:t>（上期：</w:t>
      </w:r>
      <w:r>
        <w:rPr>
          <w:rFonts w:ascii="宋体" w:hAnsi="宋体" w:cs="宋体" w:eastAsia="宋体" w:hint="default"/>
          <w:spacing w:val="-2"/>
        </w:rPr>
        <w:t>16.53%</w:t>
      </w:r>
      <w:r>
        <w:rPr>
          <w:spacing w:val="-2"/>
        </w:rPr>
        <w:t>），已反映了相对于有关分部的风险。根据减值测试的结果，本期期末商誉未发生减值（上期期末：</w:t>
      </w:r>
      <w:r>
        <w:rPr>
          <w:spacing w:val="-60"/>
        </w:rPr>
        <w:t> </w:t>
      </w:r>
      <w:r>
        <w:rPr>
          <w:spacing w:val="-60"/>
        </w:rPr>
      </w:r>
      <w:r>
        <w:rPr>
          <w:spacing w:val="-30"/>
        </w:rPr>
        <w:t>无）。</w:t>
      </w:r>
    </w:p>
    <w:p>
      <w:pPr>
        <w:pStyle w:val="BodyText"/>
        <w:spacing w:line="319" w:lineRule="auto" w:before="55"/>
        <w:ind w:left="153" w:right="1042" w:firstLine="360"/>
        <w:jc w:val="left"/>
      </w:pPr>
      <w:r>
        <w:rPr/>
        <w:t>（</w:t>
      </w:r>
      <w:r>
        <w:rPr>
          <w:rFonts w:ascii="宋体" w:hAnsi="宋体" w:cs="宋体" w:eastAsia="宋体" w:hint="default"/>
        </w:rPr>
        <w:t>2</w:t>
      </w:r>
      <w:r>
        <w:rPr/>
        <w:t>）本公司将上海猎鹰公司整体视为一个资产组，期末采用预计未来现金流现值的方法计算资产组的可收回金额。本 公司根据上海猎鹰公司管理层批准的财务预算预计未来</w:t>
      </w:r>
      <w:r>
        <w:rPr>
          <w:spacing w:val="-51"/>
        </w:rPr>
        <w:t> </w:t>
      </w:r>
      <w:r>
        <w:rPr>
          <w:rFonts w:ascii="宋体" w:hAnsi="宋体" w:cs="宋体" w:eastAsia="宋体" w:hint="default"/>
        </w:rPr>
        <w:t>5</w:t>
      </w:r>
      <w:r>
        <w:rPr>
          <w:rFonts w:ascii="宋体" w:hAnsi="宋体" w:cs="宋体" w:eastAsia="宋体" w:hint="default"/>
          <w:spacing w:val="-52"/>
        </w:rPr>
        <w:t> </w:t>
      </w:r>
      <w:r>
        <w:rPr/>
        <w:t>年内现金流量，其后年度采用的现金流量增长率预计为</w:t>
      </w:r>
      <w:r>
        <w:rPr>
          <w:spacing w:val="-52"/>
        </w:rPr>
        <w:t> </w:t>
      </w:r>
      <w:r>
        <w:rPr>
          <w:rFonts w:ascii="宋体" w:hAnsi="宋体" w:cs="宋体" w:eastAsia="宋体" w:hint="default"/>
          <w:spacing w:val="-3"/>
        </w:rPr>
        <w:t>0%</w:t>
      </w:r>
      <w:r>
        <w:rPr>
          <w:spacing w:val="-3"/>
        </w:rPr>
        <w:t>（上期：</w:t>
      </w:r>
      <w:r>
        <w:rPr/>
        <w:t> </w:t>
      </w:r>
      <w:r>
        <w:rPr>
          <w:rFonts w:ascii="宋体" w:hAnsi="宋体" w:cs="宋体" w:eastAsia="宋体" w:hint="default"/>
          <w:spacing w:val="-2"/>
        </w:rPr>
        <w:t>0%</w:t>
      </w:r>
      <w:r>
        <w:rPr>
          <w:spacing w:val="-2"/>
        </w:rPr>
        <w:t>），不会超过资产组经营业务的长期平均增长率。管理层根据过往表现及其对市场发展的预期编制上述财务预算。计算未</w:t>
      </w:r>
      <w:r>
        <w:rPr>
          <w:spacing w:val="-70"/>
        </w:rPr>
        <w:t> </w:t>
      </w:r>
      <w:r>
        <w:rPr>
          <w:spacing w:val="-70"/>
        </w:rPr>
      </w:r>
      <w:r>
        <w:rPr>
          <w:spacing w:val="-1"/>
        </w:rPr>
        <w:t>来现金流现值所采用的税前折现率：</w:t>
      </w:r>
      <w:r>
        <w:rPr>
          <w:rFonts w:ascii="宋体" w:hAnsi="宋体" w:cs="宋体" w:eastAsia="宋体" w:hint="default"/>
          <w:spacing w:val="-1"/>
        </w:rPr>
        <w:t>2018-2019</w:t>
      </w:r>
      <w:r>
        <w:rPr>
          <w:rFonts w:ascii="宋体" w:hAnsi="宋体" w:cs="宋体" w:eastAsia="宋体" w:hint="default"/>
          <w:spacing w:val="-43"/>
        </w:rPr>
        <w:t> </w:t>
      </w:r>
      <w:r>
        <w:rPr/>
        <w:t>年为</w:t>
      </w:r>
      <w:r>
        <w:rPr>
          <w:spacing w:val="-43"/>
        </w:rPr>
        <w:t> </w:t>
      </w:r>
      <w:r>
        <w:rPr>
          <w:rFonts w:ascii="宋体" w:hAnsi="宋体" w:cs="宋体" w:eastAsia="宋体" w:hint="default"/>
          <w:spacing w:val="-2"/>
        </w:rPr>
        <w:t>16.07%</w:t>
      </w:r>
      <w:r>
        <w:rPr>
          <w:spacing w:val="-2"/>
        </w:rPr>
        <w:t>，</w:t>
      </w:r>
      <w:r>
        <w:rPr>
          <w:rFonts w:ascii="宋体" w:hAnsi="宋体" w:cs="宋体" w:eastAsia="宋体" w:hint="default"/>
          <w:spacing w:val="-2"/>
        </w:rPr>
        <w:t>2020</w:t>
      </w:r>
      <w:r>
        <w:rPr>
          <w:rFonts w:ascii="宋体" w:hAnsi="宋体" w:cs="宋体" w:eastAsia="宋体" w:hint="default"/>
          <w:spacing w:val="-43"/>
        </w:rPr>
        <w:t> </w:t>
      </w:r>
      <w:r>
        <w:rPr/>
        <w:t>年及以后年度为</w:t>
      </w:r>
      <w:r>
        <w:rPr>
          <w:spacing w:val="-43"/>
        </w:rPr>
        <w:t> </w:t>
      </w:r>
      <w:r>
        <w:rPr>
          <w:rFonts w:ascii="宋体" w:hAnsi="宋体" w:cs="宋体" w:eastAsia="宋体" w:hint="default"/>
          <w:spacing w:val="-6"/>
        </w:rPr>
        <w:t>16.61%</w:t>
      </w:r>
      <w:r>
        <w:rPr>
          <w:spacing w:val="-6"/>
        </w:rPr>
        <w:t>（上期：</w:t>
      </w:r>
      <w:r>
        <w:rPr>
          <w:rFonts w:ascii="宋体" w:hAnsi="宋体" w:cs="宋体" w:eastAsia="宋体" w:hint="default"/>
          <w:spacing w:val="-6"/>
        </w:rPr>
        <w:t>15.37%</w:t>
      </w:r>
      <w:r>
        <w:rPr>
          <w:spacing w:val="-6"/>
        </w:rPr>
        <w:t>），已反映了相对</w:t>
      </w:r>
      <w:r>
        <w:rPr>
          <w:spacing w:val="-84"/>
        </w:rPr>
        <w:t> </w:t>
      </w:r>
      <w:r>
        <w:rPr>
          <w:spacing w:val="-84"/>
        </w:rPr>
      </w:r>
      <w:r>
        <w:rPr>
          <w:spacing w:val="-3"/>
        </w:rPr>
        <w:t>于有关分部的风险。根据减值测试的结果，本期期末商誉未发生减值（上期期末：无）。</w:t>
      </w:r>
    </w:p>
    <w:p>
      <w:pPr>
        <w:pStyle w:val="BodyText"/>
        <w:spacing w:line="319" w:lineRule="auto" w:before="56"/>
        <w:ind w:left="153" w:right="1041" w:firstLine="360"/>
        <w:jc w:val="left"/>
      </w:pPr>
      <w:r>
        <w:rPr>
          <w:spacing w:val="-2"/>
        </w:rPr>
        <w:t>（</w:t>
      </w:r>
      <w:r>
        <w:rPr>
          <w:rFonts w:ascii="宋体" w:hAnsi="宋体" w:cs="宋体" w:eastAsia="宋体" w:hint="default"/>
          <w:spacing w:val="-2"/>
        </w:rPr>
        <w:t>3</w:t>
      </w:r>
      <w:r>
        <w:rPr>
          <w:spacing w:val="-2"/>
        </w:rPr>
        <w:t>）本公司将上海亦复信息公司整体视为一个资产组，期末采用预计未来现金流现值的方法计算资产组的可收回金额。</w:t>
      </w:r>
      <w:r>
        <w:rPr/>
        <w:t> 本公司根据亦复信息公司管理层批准的财务预算预计未来</w:t>
      </w:r>
      <w:r>
        <w:rPr>
          <w:spacing w:val="-46"/>
        </w:rPr>
        <w:t> </w:t>
      </w:r>
      <w:r>
        <w:rPr>
          <w:rFonts w:ascii="宋体" w:hAnsi="宋体" w:cs="宋体" w:eastAsia="宋体" w:hint="default"/>
        </w:rPr>
        <w:t>5</w:t>
      </w:r>
      <w:r>
        <w:rPr>
          <w:rFonts w:ascii="宋体" w:hAnsi="宋体" w:cs="宋体" w:eastAsia="宋体" w:hint="default"/>
          <w:spacing w:val="-46"/>
        </w:rPr>
        <w:t> </w:t>
      </w:r>
      <w:r>
        <w:rPr/>
        <w:t>年内现金流量，其后年度采用的现金流量增长率预计为</w:t>
      </w:r>
      <w:r>
        <w:rPr>
          <w:spacing w:val="-46"/>
        </w:rPr>
        <w:t> </w:t>
      </w:r>
      <w:r>
        <w:rPr>
          <w:rFonts w:ascii="宋体" w:hAnsi="宋体" w:cs="宋体" w:eastAsia="宋体" w:hint="default"/>
        </w:rPr>
        <w:t>0%</w:t>
      </w:r>
      <w:r>
        <w:rPr/>
        <w:t>（上 </w:t>
      </w:r>
      <w:r>
        <w:rPr>
          <w:spacing w:val="-2"/>
        </w:rPr>
        <w:t>期：</w:t>
      </w:r>
      <w:r>
        <w:rPr>
          <w:rFonts w:ascii="宋体" w:hAnsi="宋体" w:cs="宋体" w:eastAsia="宋体" w:hint="default"/>
          <w:spacing w:val="-2"/>
        </w:rPr>
        <w:t>0%</w:t>
      </w:r>
      <w:r>
        <w:rPr>
          <w:spacing w:val="-2"/>
        </w:rPr>
        <w:t>），不会超过资产组经营业务的长期平均增长率。管理层根据过往表现及其对市场发展的预期编制上述财务预算。计</w:t>
      </w:r>
      <w:r>
        <w:rPr>
          <w:spacing w:val="-70"/>
        </w:rPr>
        <w:t> </w:t>
      </w:r>
      <w:r>
        <w:rPr>
          <w:spacing w:val="-70"/>
        </w:rPr>
      </w:r>
      <w:r>
        <w:rPr>
          <w:spacing w:val="-1"/>
        </w:rPr>
        <w:t>算未来现金流现值所采用的税前折现率：</w:t>
      </w:r>
      <w:r>
        <w:rPr>
          <w:rFonts w:ascii="宋体" w:hAnsi="宋体" w:cs="宋体" w:eastAsia="宋体" w:hint="default"/>
          <w:spacing w:val="-1"/>
        </w:rPr>
        <w:t>2018-2020</w:t>
      </w:r>
      <w:r>
        <w:rPr>
          <w:rFonts w:ascii="宋体" w:hAnsi="宋体" w:cs="宋体" w:eastAsia="宋体" w:hint="default"/>
          <w:spacing w:val="-42"/>
        </w:rPr>
        <w:t> </w:t>
      </w:r>
      <w:r>
        <w:rPr/>
        <w:t>年为</w:t>
      </w:r>
      <w:r>
        <w:rPr>
          <w:spacing w:val="-41"/>
        </w:rPr>
        <w:t> </w:t>
      </w:r>
      <w:r>
        <w:rPr>
          <w:rFonts w:ascii="宋体" w:hAnsi="宋体" w:cs="宋体" w:eastAsia="宋体" w:hint="default"/>
          <w:spacing w:val="-2"/>
        </w:rPr>
        <w:t>15.92%</w:t>
      </w:r>
      <w:r>
        <w:rPr>
          <w:spacing w:val="-2"/>
        </w:rPr>
        <w:t>，</w:t>
      </w:r>
      <w:r>
        <w:rPr>
          <w:rFonts w:ascii="宋体" w:hAnsi="宋体" w:cs="宋体" w:eastAsia="宋体" w:hint="default"/>
          <w:spacing w:val="-2"/>
        </w:rPr>
        <w:t>2021</w:t>
      </w:r>
      <w:r>
        <w:rPr>
          <w:rFonts w:ascii="宋体" w:hAnsi="宋体" w:cs="宋体" w:eastAsia="宋体" w:hint="default"/>
          <w:spacing w:val="-41"/>
        </w:rPr>
        <w:t> </w:t>
      </w:r>
      <w:r>
        <w:rPr/>
        <w:t>年及以后年度为</w:t>
      </w:r>
      <w:r>
        <w:rPr>
          <w:spacing w:val="-42"/>
        </w:rPr>
        <w:t> </w:t>
      </w:r>
      <w:r>
        <w:rPr>
          <w:rFonts w:ascii="宋体" w:hAnsi="宋体" w:cs="宋体" w:eastAsia="宋体" w:hint="default"/>
          <w:spacing w:val="-7"/>
        </w:rPr>
        <w:t>17.43%</w:t>
      </w:r>
      <w:r>
        <w:rPr>
          <w:spacing w:val="-7"/>
        </w:rPr>
        <w:t>（上期：</w:t>
      </w:r>
      <w:r>
        <w:rPr>
          <w:rFonts w:ascii="宋体" w:hAnsi="宋体" w:cs="宋体" w:eastAsia="宋体" w:hint="default"/>
          <w:spacing w:val="-7"/>
        </w:rPr>
        <w:t>15.06%</w:t>
      </w:r>
      <w:r>
        <w:rPr>
          <w:spacing w:val="-7"/>
        </w:rPr>
        <w:t>），已反映了</w:t>
      </w:r>
      <w:r>
        <w:rPr>
          <w:spacing w:val="-80"/>
        </w:rPr>
        <w:t> </w:t>
      </w:r>
      <w:r>
        <w:rPr>
          <w:spacing w:val="-80"/>
        </w:rPr>
      </w:r>
      <w:r>
        <w:rPr>
          <w:spacing w:val="-3"/>
        </w:rPr>
        <w:t>相对于有关分部的风险。根据减值测试的结果，本期期末商誉未发生减值（上期期末：无）。</w:t>
      </w:r>
    </w:p>
    <w:p>
      <w:pPr>
        <w:pStyle w:val="BodyText"/>
        <w:spacing w:line="319" w:lineRule="auto" w:before="55"/>
        <w:ind w:left="153" w:right="1132" w:firstLine="360"/>
        <w:jc w:val="both"/>
      </w:pPr>
      <w:r>
        <w:rPr/>
        <w:t>（</w:t>
      </w:r>
      <w:r>
        <w:rPr>
          <w:rFonts w:ascii="宋体" w:hAnsi="宋体" w:cs="宋体" w:eastAsia="宋体" w:hint="default"/>
        </w:rPr>
        <w:t>4</w:t>
      </w:r>
      <w:r>
        <w:rPr/>
        <w:t>）本公司将北京掌汇天下公司视为一个资产组，期末采用预计未来现金流现值的方法计算资产组的可收回金额。本 公司根据北京掌汇天下公司管理层批准的财务预算预计未来</w:t>
      </w:r>
      <w:r>
        <w:rPr>
          <w:spacing w:val="-43"/>
        </w:rPr>
        <w:t> </w:t>
      </w:r>
      <w:r>
        <w:rPr>
          <w:rFonts w:ascii="宋体" w:hAnsi="宋体" w:cs="宋体" w:eastAsia="宋体" w:hint="default"/>
        </w:rPr>
        <w:t>5</w:t>
      </w:r>
      <w:r>
        <w:rPr>
          <w:rFonts w:ascii="宋体" w:hAnsi="宋体" w:cs="宋体" w:eastAsia="宋体" w:hint="default"/>
          <w:spacing w:val="-44"/>
        </w:rPr>
        <w:t> </w:t>
      </w:r>
      <w:r>
        <w:rPr>
          <w:spacing w:val="-3"/>
        </w:rPr>
        <w:t>年内现金流量，其后年度采用的现金流量增长率预计为</w:t>
      </w:r>
      <w:r>
        <w:rPr>
          <w:spacing w:val="-44"/>
        </w:rPr>
        <w:t> </w:t>
      </w:r>
      <w:r>
        <w:rPr>
          <w:rFonts w:ascii="宋体" w:hAnsi="宋体" w:cs="宋体" w:eastAsia="宋体" w:hint="default"/>
          <w:spacing w:val="-16"/>
        </w:rPr>
        <w:t>0%</w:t>
      </w:r>
      <w:r>
        <w:rPr>
          <w:spacing w:val="-16"/>
        </w:rPr>
        <w:t>（上</w:t>
      </w:r>
      <w:r>
        <w:rPr/>
        <w:t> </w:t>
      </w:r>
      <w:r>
        <w:rPr>
          <w:spacing w:val="-2"/>
        </w:rPr>
        <w:t>期：无），不会超过资产组经营业务的长期平均增长率。管理层根据过往表现及其对市场发展的预期编制上述财务预算。计</w:t>
      </w:r>
      <w:r>
        <w:rPr>
          <w:spacing w:val="-72"/>
        </w:rPr>
        <w:t> </w:t>
      </w:r>
      <w:r>
        <w:rPr>
          <w:spacing w:val="-72"/>
        </w:rPr>
      </w:r>
      <w:r>
        <w:rPr/>
        <w:t>算未来现金流现值所采用的税前折现率为</w:t>
      </w:r>
      <w:r>
        <w:rPr>
          <w:spacing w:val="-46"/>
        </w:rPr>
        <w:t> </w:t>
      </w:r>
      <w:r>
        <w:rPr>
          <w:rFonts w:ascii="宋体" w:hAnsi="宋体" w:cs="宋体" w:eastAsia="宋体" w:hint="default"/>
        </w:rPr>
        <w:t>15.43%</w:t>
      </w:r>
      <w:r>
        <w:rPr/>
        <w:t>，已反映了相对于有关分部的风险。根据减值测试的结果，本期期末商誉 </w:t>
      </w:r>
      <w:r>
        <w:rPr>
          <w:spacing w:val="-7"/>
        </w:rPr>
        <w:t>未发生减值（上期期末：无）。</w:t>
      </w:r>
    </w:p>
    <w:p>
      <w:pPr>
        <w:pStyle w:val="BodyText"/>
        <w:spacing w:line="240" w:lineRule="auto" w:before="56"/>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8、长期待摊费用" w:id="311"/>
      <w:bookmarkEnd w:id="311"/>
      <w:r>
        <w:rPr>
          <w:b w:val="0"/>
          <w:bCs w:val="0"/>
        </w:rPr>
      </w:r>
      <w:r>
        <w:rPr>
          <w:rFonts w:ascii="宋体" w:hAnsi="宋体" w:cs="宋体" w:eastAsia="宋体" w:hint="default"/>
        </w:rPr>
        <w:t>28</w:t>
      </w:r>
      <w:r>
        <w:rPr/>
        <w:t>、长期待摊费用</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63" w:right="0"/>
              <w:jc w:val="left"/>
              <w:rPr>
                <w:rFonts w:ascii="宋体" w:hAnsi="宋体" w:cs="宋体" w:eastAsia="宋体" w:hint="default"/>
                <w:sz w:val="18"/>
                <w:szCs w:val="18"/>
              </w:rPr>
            </w:pPr>
            <w:r>
              <w:rPr>
                <w:rFonts w:ascii="宋体"/>
                <w:sz w:val="18"/>
              </w:rPr>
              <w:t>447,446.07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宋体"/>
                <w:sz w:val="18"/>
              </w:rPr>
              <w:t>9,822,306.69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1" w:right="0"/>
              <w:jc w:val="left"/>
              <w:rPr>
                <w:rFonts w:ascii="宋体" w:hAnsi="宋体" w:cs="宋体" w:eastAsia="宋体" w:hint="default"/>
                <w:sz w:val="18"/>
                <w:szCs w:val="18"/>
              </w:rPr>
            </w:pPr>
            <w:r>
              <w:rPr>
                <w:rFonts w:ascii="宋体"/>
                <w:sz w:val="18"/>
              </w:rPr>
              <w:t>2,226,611.82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宋体"/>
                <w:sz w:val="18"/>
              </w:rPr>
              <w:t>8,043,140.94</w:t>
            </w:r>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广告代言费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144,994.72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144,994.72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游戏版权金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1,646,719.99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4,698,342.19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663,675.95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1,154,057.52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4,527,328.71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135,613.20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7,113.21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73,125.80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69,600.61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流量获取成本</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163,207,566.51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158,979,744.73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4,227,821.78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165,582,340.49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14,527,762.09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162,088,153.02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5,381,879.30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12,640,070.26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9、递延所得税资产/递延所得税负债" w:id="312"/>
      <w:bookmarkEnd w:id="312"/>
      <w:r>
        <w:rPr>
          <w:b w:val="0"/>
          <w:bCs w:val="0"/>
        </w:rPr>
      </w:r>
      <w:r>
        <w:rPr>
          <w:rFonts w:ascii="宋体" w:hAnsi="宋体" w:cs="宋体" w:eastAsia="宋体" w:hint="default"/>
        </w:rPr>
        <w:t>29</w:t>
      </w:r>
      <w:r>
        <w:rPr/>
        <w:t>、递延所得税资产</w:t>
      </w:r>
      <w:r>
        <w:rPr>
          <w:rFonts w:ascii="宋体" w:hAnsi="宋体" w:cs="宋体" w:eastAsia="宋体" w:hint="default"/>
        </w:rPr>
        <w:t>/</w:t>
      </w:r>
      <w:r>
        <w:rPr/>
        <w:t>递延所得税负债</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53" w:right="0"/>
        <w:jc w:val="left"/>
        <w:rPr>
          <w:b w:val="0"/>
          <w:bCs w:val="0"/>
        </w:rPr>
      </w:pPr>
      <w:bookmarkStart w:name="（1）未经抵销的递延所得税资产" w:id="313"/>
      <w:bookmarkEnd w:id="313"/>
      <w:r>
        <w:rPr>
          <w:b w:val="0"/>
          <w:bCs w:val="0"/>
        </w:rPr>
      </w:r>
      <w:r>
        <w:rPr/>
        <w:t>（</w:t>
      </w:r>
      <w:r>
        <w:rPr>
          <w:rFonts w:ascii="宋体" w:hAnsi="宋体" w:cs="宋体" w:eastAsia="宋体" w:hint="default"/>
        </w:rPr>
        <w:t>1</w:t>
      </w:r>
      <w:r>
        <w:rPr/>
        <w:t>）未经抵销的递延所得税资产</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20,195,338.83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4,449,606.18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7,002,479.01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1,323,353.16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1,093,534.31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360,863.87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2,243,460.49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740,341.96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13,206,859.79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3,045,566.84</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非同一控制下企业合并 资产评估减值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1,261,256.23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308,365.22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1,773,030.89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426,518.84</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摊销年限小于税法规定 的资产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133,070,386.43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18,820,893.76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23,437,414.02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7,731,035.06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未付奖金及业绩奖励</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91,085,980.17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20,578,854.96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246,706,495.97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44,518,583.99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47,663,244.20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13,266,815.86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314"/>
      <w:bookmarkEnd w:id="314"/>
      <w:r>
        <w:rPr>
          <w:b w:val="0"/>
          <w:bCs w:val="0"/>
        </w:rPr>
      </w:r>
      <w:r>
        <w:rPr/>
        <w:t>（</w:t>
      </w:r>
      <w:r>
        <w:rPr>
          <w:rFonts w:ascii="宋体" w:hAnsi="宋体" w:cs="宋体" w:eastAsia="宋体" w:hint="default"/>
        </w:rPr>
        <w:t>2</w:t>
      </w:r>
      <w:r>
        <w:rPr/>
        <w:t>）未经抵销的递延所得税负债</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65,330,216.38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13,557,113.84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74,110,824.28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22,389,512.86</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摊销年限大于税法规定 的资产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1,721,007.00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404,210.51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122,405,334.27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40,393,760.31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67,051,223.38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13,961,324.35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196,516,158.55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62,783,273.17</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未确认递延所得税资产明细" w:id="315"/>
      <w:bookmarkEnd w:id="315"/>
      <w:r>
        <w:rPr>
          <w:b w:val="0"/>
          <w:bCs w:val="0"/>
        </w:rPr>
      </w:r>
      <w:r>
        <w:rPr/>
        <w:t>（</w:t>
      </w:r>
      <w:r>
        <w:rPr>
          <w:rFonts w:ascii="宋体" w:hAnsi="宋体" w:cs="宋体" w:eastAsia="宋体" w:hint="default"/>
        </w:rPr>
        <w:t>3</w:t>
      </w:r>
      <w:r>
        <w:rPr/>
        <w:t>）未确认递延所得税资产明细</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after="0" w:line="240" w:lineRule="auto"/>
        <w:jc w:val="right"/>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2,382,680.08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3,027,293.81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46,404,873.94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36,066,634.64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48,787,554.02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39,093,928.45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的可抵扣亏损将于以下年度到期" w:id="316"/>
      <w:bookmarkEnd w:id="316"/>
      <w:r>
        <w:rPr>
          <w:b w:val="0"/>
          <w:bCs w:val="0"/>
        </w:rPr>
      </w:r>
      <w:r>
        <w:rPr/>
        <w:t>（</w:t>
      </w:r>
      <w:r>
        <w:rPr>
          <w:rFonts w:ascii="宋体" w:hAnsi="宋体" w:cs="宋体" w:eastAsia="宋体" w:hint="default"/>
        </w:rPr>
        <w:t>4</w:t>
      </w:r>
      <w:r>
        <w:rPr/>
        <w:t>）未确认递延所得税资产的可抵扣亏损将于以下年度到期</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2,073,386.96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2,369,970.93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3,271,516.19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3,320,160.36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24,827,944.01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23,398,941.52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7,625,629.03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4,904,174.87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10,679,784.71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46,404,873.94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36,066,634.64</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0、其他非流动资产" w:id="317"/>
      <w:bookmarkEnd w:id="317"/>
      <w:r>
        <w:rPr>
          <w:b w:val="0"/>
          <w:bCs w:val="0"/>
        </w:rPr>
      </w:r>
      <w:r>
        <w:rPr>
          <w:rFonts w:ascii="宋体" w:hAnsi="宋体" w:cs="宋体" w:eastAsia="宋体" w:hint="default"/>
        </w:rPr>
        <w:t>30</w:t>
      </w:r>
      <w:r>
        <w:rPr/>
        <w:t>、其他非流动资产</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2,988,462.96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预付购买软件款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232,612.74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232,612.74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2,988,462.96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1、短期借款" w:id="318"/>
      <w:bookmarkEnd w:id="318"/>
      <w:r>
        <w:rPr>
          <w:b w:val="0"/>
          <w:bCs w:val="0"/>
        </w:rPr>
      </w:r>
      <w:r>
        <w:rPr>
          <w:rFonts w:ascii="宋体" w:hAnsi="宋体" w:cs="宋体" w:eastAsia="宋体" w:hint="default"/>
        </w:rPr>
        <w:t>31</w:t>
      </w:r>
      <w:r>
        <w:rPr/>
        <w:t>、短期借款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53" w:right="0"/>
        <w:jc w:val="left"/>
        <w:rPr>
          <w:b w:val="0"/>
          <w:bCs w:val="0"/>
        </w:rPr>
      </w:pPr>
      <w:bookmarkStart w:name="（1）短期借款分类" w:id="319"/>
      <w:bookmarkEnd w:id="319"/>
      <w:r>
        <w:rPr>
          <w:b w:val="0"/>
          <w:bCs w:val="0"/>
        </w:rPr>
      </w:r>
      <w:r>
        <w:rPr/>
        <w:t>（</w:t>
      </w:r>
      <w:r>
        <w:rPr>
          <w:rFonts w:ascii="宋体" w:hAnsi="宋体" w:cs="宋体" w:eastAsia="宋体" w:hint="default"/>
        </w:rPr>
        <w:t>1</w:t>
      </w:r>
      <w:r>
        <w:rPr/>
        <w:t>）短期借款分类</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20,000,000.00</w:t>
            </w:r>
          </w:p>
        </w:tc>
      </w:tr>
    </w:tbl>
    <w:p>
      <w:pPr>
        <w:pStyle w:val="BodyText"/>
        <w:spacing w:line="240" w:lineRule="auto" w:before="51"/>
        <w:ind w:right="0"/>
        <w:jc w:val="left"/>
      </w:pPr>
      <w:r>
        <w:rPr/>
        <w:t>短期借款分类的说明：</w:t>
      </w:r>
    </w:p>
    <w:p>
      <w:pPr>
        <w:pStyle w:val="BodyText"/>
        <w:spacing w:line="319" w:lineRule="auto" w:before="116"/>
        <w:ind w:right="1170" w:firstLine="360"/>
        <w:jc w:val="left"/>
      </w:pPr>
      <w:r>
        <w:rPr/>
        <w:t>（</w:t>
      </w:r>
      <w:r>
        <w:rPr>
          <w:rFonts w:ascii="宋体" w:hAnsi="宋体" w:cs="宋体" w:eastAsia="宋体" w:hint="default"/>
        </w:rPr>
        <w:t>1</w:t>
      </w:r>
      <w:r>
        <w:rPr/>
        <w:t>）本公司之子公司深圳范特西公司向银行借款</w:t>
      </w:r>
      <w:r>
        <w:rPr>
          <w:spacing w:val="-46"/>
        </w:rPr>
        <w:t> </w:t>
      </w:r>
      <w:r>
        <w:rPr>
          <w:rFonts w:ascii="宋体" w:hAnsi="宋体" w:cs="宋体" w:eastAsia="宋体" w:hint="default"/>
        </w:rPr>
        <w:t>3,000.00</w:t>
      </w:r>
      <w:r>
        <w:rPr>
          <w:rFonts w:ascii="宋体" w:hAnsi="宋体" w:cs="宋体" w:eastAsia="宋体" w:hint="default"/>
          <w:spacing w:val="-46"/>
        </w:rPr>
        <w:t> </w:t>
      </w:r>
      <w:r>
        <w:rPr/>
        <w:t>万元，由</w:t>
      </w:r>
      <w:r>
        <w:rPr>
          <w:spacing w:val="-46"/>
        </w:rPr>
        <w:t> </w:t>
      </w:r>
      <w:r>
        <w:rPr>
          <w:rFonts w:ascii="宋体" w:hAnsi="宋体" w:cs="宋体" w:eastAsia="宋体" w:hint="default"/>
        </w:rPr>
        <w:t>JOHN ZHENG </w:t>
      </w:r>
      <w:r>
        <w:rPr>
          <w:rFonts w:ascii="宋体" w:hAnsi="宋体" w:cs="宋体" w:eastAsia="宋体" w:hint="default"/>
          <w:spacing w:val="-5"/>
        </w:rPr>
        <w:t>TANG</w:t>
      </w:r>
      <w:r>
        <w:rPr>
          <w:spacing w:val="-5"/>
        </w:rPr>
        <w:t>（汤政）、汤克云和上海范特西</w:t>
      </w:r>
      <w:r>
        <w:rPr/>
        <w:t> 网络科技有限公司提供连带责任保证。</w:t>
      </w:r>
    </w:p>
    <w:p>
      <w:pPr>
        <w:spacing w:after="0" w:line="319" w:lineRule="auto"/>
        <w:jc w:val="left"/>
        <w:sectPr>
          <w:pgSz w:w="11910" w:h="16840"/>
          <w:pgMar w:header="877" w:footer="1187" w:top="1100" w:bottom="1380" w:left="980" w:right="0"/>
        </w:sectPr>
      </w:pPr>
    </w:p>
    <w:p>
      <w:pPr>
        <w:spacing w:line="240" w:lineRule="auto" w:before="13"/>
        <w:rPr>
          <w:rFonts w:ascii="宋体" w:hAnsi="宋体" w:cs="宋体" w:eastAsia="宋体" w:hint="default"/>
          <w:sz w:val="21"/>
          <w:szCs w:val="21"/>
        </w:rPr>
      </w:pPr>
    </w:p>
    <w:p>
      <w:pPr>
        <w:pStyle w:val="BodyText"/>
        <w:spacing w:line="240" w:lineRule="auto" w:before="44"/>
        <w:ind w:left="514" w:right="0"/>
        <w:jc w:val="left"/>
      </w:pPr>
      <w:r>
        <w:rPr/>
        <w:t>（</w:t>
      </w:r>
      <w:r>
        <w:rPr>
          <w:rFonts w:ascii="宋体" w:hAnsi="宋体" w:cs="宋体" w:eastAsia="宋体" w:hint="default"/>
        </w:rPr>
        <w:t>2</w:t>
      </w:r>
      <w:r>
        <w:rPr/>
        <w:t>）本公司之子公司上海猎鹰公司向银行借款</w:t>
      </w:r>
      <w:r>
        <w:rPr>
          <w:spacing w:val="-46"/>
        </w:rPr>
        <w:t> </w:t>
      </w:r>
      <w:r>
        <w:rPr>
          <w:rFonts w:ascii="宋体" w:hAnsi="宋体" w:cs="宋体" w:eastAsia="宋体" w:hint="default"/>
        </w:rPr>
        <w:t>4,000.00</w:t>
      </w:r>
      <w:r>
        <w:rPr>
          <w:rFonts w:ascii="宋体" w:hAnsi="宋体" w:cs="宋体" w:eastAsia="宋体" w:hint="default"/>
          <w:spacing w:val="-45"/>
        </w:rPr>
        <w:t> </w:t>
      </w:r>
      <w:r>
        <w:rPr/>
        <w:t>万元，由深圳范特西公司提供连带责任保证。</w:t>
      </w:r>
    </w:p>
    <w:p>
      <w:pPr>
        <w:pStyle w:val="BodyText"/>
        <w:spacing w:line="240" w:lineRule="auto" w:before="116"/>
        <w:ind w:left="513" w:right="0"/>
        <w:jc w:val="left"/>
      </w:pPr>
      <w:r>
        <w:rPr/>
        <w:t>（</w:t>
      </w:r>
      <w:r>
        <w:rPr>
          <w:rFonts w:ascii="宋体" w:hAnsi="宋体" w:cs="宋体" w:eastAsia="宋体" w:hint="default"/>
        </w:rPr>
        <w:t>3</w:t>
      </w:r>
      <w:r>
        <w:rPr/>
        <w:t>）本公司之子公司上海猎鹰公司向银行借款</w:t>
      </w:r>
      <w:r>
        <w:rPr>
          <w:spacing w:val="-46"/>
        </w:rPr>
        <w:t> </w:t>
      </w:r>
      <w:r>
        <w:rPr>
          <w:rFonts w:ascii="宋体" w:hAnsi="宋体" w:cs="宋体" w:eastAsia="宋体" w:hint="default"/>
        </w:rPr>
        <w:t>3,000.00</w:t>
      </w:r>
      <w:r>
        <w:rPr>
          <w:rFonts w:ascii="宋体" w:hAnsi="宋体" w:cs="宋体" w:eastAsia="宋体" w:hint="default"/>
          <w:spacing w:val="-45"/>
        </w:rPr>
        <w:t> </w:t>
      </w:r>
      <w:r>
        <w:rPr/>
        <w:t>万元，由深圳范特西公司和肖燕提供连带责任保证。</w:t>
      </w:r>
    </w:p>
    <w:p>
      <w:pPr>
        <w:pStyle w:val="BodyText"/>
        <w:spacing w:line="240" w:lineRule="auto" w:before="117"/>
        <w:ind w:left="513" w:right="0"/>
        <w:jc w:val="left"/>
      </w:pPr>
      <w:r>
        <w:rPr/>
        <w:t>（</w:t>
      </w:r>
      <w:r>
        <w:rPr>
          <w:rFonts w:ascii="宋体" w:hAnsi="宋体" w:cs="宋体" w:eastAsia="宋体" w:hint="default"/>
        </w:rPr>
        <w:t>4</w:t>
      </w:r>
      <w:r>
        <w:rPr/>
        <w:t>）期末本公司无已到期未偿还的短期借款。</w:t>
      </w:r>
    </w:p>
    <w:p>
      <w:pPr>
        <w:pStyle w:val="BodyText"/>
        <w:spacing w:line="240" w:lineRule="auto" w:before="116"/>
        <w:ind w:left="514" w:right="0"/>
        <w:jc w:val="left"/>
      </w:pPr>
      <w:r>
        <w:rPr/>
        <w:t>（</w:t>
      </w:r>
      <w:r>
        <w:rPr>
          <w:rFonts w:ascii="宋体" w:hAnsi="宋体" w:cs="宋体" w:eastAsia="宋体" w:hint="default"/>
        </w:rPr>
        <w:t>5</w:t>
      </w:r>
      <w:r>
        <w:rPr/>
        <w:t>）资产负债表日后已偿还金额为</w:t>
      </w:r>
      <w:r>
        <w:rPr>
          <w:spacing w:val="-46"/>
        </w:rPr>
        <w:t> </w:t>
      </w:r>
      <w:r>
        <w:rPr>
          <w:rFonts w:ascii="宋体" w:hAnsi="宋体" w:cs="宋体" w:eastAsia="宋体" w:hint="default"/>
        </w:rPr>
        <w:t>6,000.00</w:t>
      </w:r>
      <w:r>
        <w:rPr>
          <w:rFonts w:ascii="宋体" w:hAnsi="宋体" w:cs="宋体" w:eastAsia="宋体" w:hint="default"/>
          <w:spacing w:val="-46"/>
        </w:rPr>
        <w:t> </w:t>
      </w:r>
      <w:r>
        <w:rPr/>
        <w:t>万元。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已逾期未偿还的短期借款情况" w:id="320"/>
      <w:bookmarkEnd w:id="320"/>
      <w:r>
        <w:rPr>
          <w:b w:val="0"/>
          <w:bCs w:val="0"/>
        </w:rPr>
      </w:r>
      <w:r>
        <w:rPr/>
        <w:t>（</w:t>
      </w:r>
      <w:r>
        <w:rPr>
          <w:rFonts w:ascii="宋体" w:hAnsi="宋体" w:cs="宋体" w:eastAsia="宋体" w:hint="default"/>
        </w:rPr>
        <w:t>2</w:t>
      </w:r>
      <w:r>
        <w:rPr/>
        <w:t>）已逾期未偿还的短期借款情况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right="0"/>
        <w:jc w:val="left"/>
      </w:pPr>
      <w:r>
        <w:rPr/>
        <w:t>本期末已逾期未偿还的短期借款总额为元，其中重要的已逾期未偿还的短期借款情况如下：</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2、以公允价值计量且其变动计入当期损益的金融负债" w:id="321"/>
      <w:bookmarkEnd w:id="321"/>
      <w:r>
        <w:rPr>
          <w:b w:val="0"/>
          <w:bCs w:val="0"/>
        </w:rPr>
      </w:r>
      <w:r>
        <w:rPr>
          <w:rFonts w:ascii="宋体" w:hAnsi="宋体" w:cs="宋体" w:eastAsia="宋体" w:hint="default"/>
        </w:rPr>
        <w:t>32</w:t>
      </w:r>
      <w:r>
        <w:rPr/>
        <w:t>、以公允价值计量且其变动计入当期损益的金融负债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3、衍生金融负债" w:id="322"/>
      <w:bookmarkEnd w:id="322"/>
      <w:r>
        <w:rPr>
          <w:b w:val="0"/>
          <w:bCs w:val="0"/>
        </w:rPr>
      </w:r>
      <w:r>
        <w:rPr>
          <w:rFonts w:ascii="宋体" w:hAnsi="宋体" w:cs="宋体" w:eastAsia="宋体" w:hint="default"/>
        </w:rPr>
        <w:t>33</w:t>
      </w:r>
      <w:r>
        <w:rPr/>
        <w:t>、衍生金融负债</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153"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4、应付票据" w:id="323"/>
      <w:bookmarkEnd w:id="323"/>
      <w:r>
        <w:rPr>
          <w:b w:val="0"/>
          <w:bCs w:val="0"/>
        </w:rPr>
      </w:r>
      <w:r>
        <w:rPr>
          <w:rFonts w:ascii="宋体" w:hAnsi="宋体" w:cs="宋体" w:eastAsia="宋体" w:hint="default"/>
        </w:rPr>
        <w:t>34</w:t>
      </w:r>
      <w:r>
        <w:rPr/>
        <w:t>、应付票据</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本期末已到期未支付的应付票据总额为元。</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5、应付账款" w:id="324"/>
      <w:bookmarkEnd w:id="324"/>
      <w:r>
        <w:rPr>
          <w:b w:val="0"/>
          <w:bCs w:val="0"/>
        </w:rPr>
      </w:r>
      <w:r>
        <w:rPr>
          <w:rFonts w:ascii="宋体" w:hAnsi="宋体" w:cs="宋体" w:eastAsia="宋体" w:hint="default"/>
        </w:rPr>
        <w:t>35</w:t>
      </w:r>
      <w:r>
        <w:rPr/>
        <w:t>、应付账款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应付账款列示" w:id="325"/>
      <w:bookmarkEnd w:id="325"/>
      <w:r>
        <w:rPr>
          <w:b w:val="0"/>
          <w:bCs w:val="0"/>
        </w:rPr>
      </w:r>
      <w:r>
        <w:rPr/>
        <w:t>（</w:t>
      </w:r>
      <w:r>
        <w:rPr>
          <w:rFonts w:ascii="宋体" w:hAnsi="宋体" w:cs="宋体" w:eastAsia="宋体" w:hint="default"/>
        </w:rPr>
        <w:t>1</w:t>
      </w:r>
      <w:r>
        <w:rPr/>
        <w:t>）应付账款列示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媒介及流量采购款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467,265,016.16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384,385,259.83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授权金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7,841,040.00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16,240,000.00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游戏推广费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32,521,555.72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7,554,890.67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2,835,414.66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2,330,097.09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510,463,026.54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410,510,247.59</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账龄超过1年的重要应付账款" w:id="326"/>
      <w:bookmarkEnd w:id="326"/>
      <w:r>
        <w:rPr>
          <w:b w:val="0"/>
          <w:bCs w:val="0"/>
        </w:rPr>
      </w:r>
      <w:r>
        <w:rPr/>
        <w:t>（</w:t>
      </w:r>
      <w:r>
        <w:rPr>
          <w:rFonts w:ascii="宋体" w:hAnsi="宋体" w:cs="宋体" w:eastAsia="宋体" w:hint="default"/>
        </w:rPr>
        <w:t>2</w:t>
      </w:r>
      <w:r>
        <w:rPr/>
        <w:t>）账龄超过</w:t>
      </w:r>
      <w:r>
        <w:rPr>
          <w:spacing w:val="-55"/>
        </w:rPr>
        <w:t> </w:t>
      </w:r>
      <w:r>
        <w:rPr>
          <w:rFonts w:ascii="宋体" w:hAnsi="宋体" w:cs="宋体" w:eastAsia="宋体" w:hint="default"/>
        </w:rPr>
        <w:t>1</w:t>
      </w:r>
      <w:r>
        <w:rPr>
          <w:rFonts w:ascii="宋体" w:hAnsi="宋体" w:cs="宋体" w:eastAsia="宋体" w:hint="default"/>
          <w:spacing w:val="-56"/>
        </w:rPr>
        <w:t> </w:t>
      </w:r>
      <w:r>
        <w:rPr/>
        <w:t>年的重要应付账款</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乐视网信息技术（北京）股份有限公司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2,261,427.69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上海全土豆文化传播有限公司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1,728,407.94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广州恒美广告有限公司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1,401,116.67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苏宁云商集团股份有限公司苏宁采购中 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750,750.00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北京微梦创科网络技术有限公司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720,000.00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宁波钱咖广告传媒有限公司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717,296.83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7,578,999.13</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36、预收款项" w:id="327"/>
      <w:bookmarkEnd w:id="327"/>
      <w:r>
        <w:rPr>
          <w:b w:val="0"/>
          <w:bCs w:val="0"/>
        </w:rPr>
      </w:r>
      <w:r>
        <w:rPr>
          <w:rFonts w:ascii="宋体" w:hAnsi="宋体" w:cs="宋体" w:eastAsia="宋体" w:hint="default"/>
        </w:rPr>
        <w:t>36</w:t>
      </w:r>
      <w:r>
        <w:rPr/>
        <w:t>、预收款项</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53" w:right="0"/>
        <w:jc w:val="left"/>
        <w:rPr>
          <w:b w:val="0"/>
          <w:bCs w:val="0"/>
        </w:rPr>
      </w:pPr>
      <w:bookmarkStart w:name="（1）预收款项列示" w:id="328"/>
      <w:bookmarkEnd w:id="328"/>
      <w:r>
        <w:rPr>
          <w:b w:val="0"/>
          <w:bCs w:val="0"/>
        </w:rPr>
      </w:r>
      <w:r>
        <w:rPr/>
        <w:t>（</w:t>
      </w:r>
      <w:r>
        <w:rPr>
          <w:rFonts w:ascii="宋体" w:hAnsi="宋体" w:cs="宋体" w:eastAsia="宋体" w:hint="default"/>
        </w:rPr>
        <w:t>1</w:t>
      </w:r>
      <w:r>
        <w:rPr/>
        <w:t>）预收款项列示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广告推广费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191,776,740.31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69,633,671.34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游戏充值款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4,991,185.90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2,023,004.39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137,572.12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196,905,498.33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71,656,675.73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329"/>
      <w:bookmarkEnd w:id="329"/>
      <w:r>
        <w:rPr>
          <w:b w:val="0"/>
          <w:bCs w:val="0"/>
        </w:rPr>
      </w:r>
      <w:r>
        <w:rPr/>
        <w:t>（</w:t>
      </w:r>
      <w:r>
        <w:rPr>
          <w:rFonts w:ascii="宋体" w:hAnsi="宋体" w:cs="宋体" w:eastAsia="宋体" w:hint="default"/>
        </w:rPr>
        <w:t>2</w:t>
      </w:r>
      <w:r>
        <w:rPr/>
        <w:t>）账龄超过</w:t>
      </w:r>
      <w:r>
        <w:rPr>
          <w:spacing w:val="-55"/>
        </w:rPr>
        <w:t> </w:t>
      </w:r>
      <w:r>
        <w:rPr>
          <w:rFonts w:ascii="宋体" w:hAnsi="宋体" w:cs="宋体" w:eastAsia="宋体" w:hint="default"/>
        </w:rPr>
        <w:t>1</w:t>
      </w:r>
      <w:r>
        <w:rPr>
          <w:rFonts w:ascii="宋体" w:hAnsi="宋体" w:cs="宋体" w:eastAsia="宋体" w:hint="default"/>
          <w:spacing w:val="-56"/>
        </w:rPr>
        <w:t> </w:t>
      </w:r>
      <w:r>
        <w:rPr/>
        <w:t>年的重要预收款项</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平安证券有限责任公司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593,742.09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服务尚未提供</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途家网网络技术</w:t>
            </w:r>
            <w:r>
              <w:rPr>
                <w:rFonts w:ascii="宋体" w:hAnsi="宋体" w:cs="宋体" w:eastAsia="宋体" w:hint="default"/>
                <w:sz w:val="18"/>
                <w:szCs w:val="18"/>
              </w:rPr>
              <w:t>(</w:t>
            </w:r>
            <w:r>
              <w:rPr>
                <w:rFonts w:ascii="宋体" w:hAnsi="宋体" w:cs="宋体" w:eastAsia="宋体" w:hint="default"/>
                <w:sz w:val="18"/>
                <w:szCs w:val="18"/>
              </w:rPr>
              <w:t>北京）有限公司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560,065.35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服务尚未提供</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1,153,807.44</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期末建造合同形成的已结算未完工项目情况" w:id="330"/>
      <w:bookmarkEnd w:id="330"/>
      <w:r>
        <w:rPr>
          <w:b w:val="0"/>
          <w:bCs w:val="0"/>
        </w:rPr>
      </w:r>
      <w:r>
        <w:rPr/>
        <w:t>（</w:t>
      </w:r>
      <w:r>
        <w:rPr>
          <w:rFonts w:ascii="宋体" w:hAnsi="宋体" w:cs="宋体" w:eastAsia="宋体" w:hint="default"/>
        </w:rPr>
        <w:t>3</w:t>
      </w:r>
      <w:r>
        <w:rPr/>
        <w:t>）期末建造合同形成的已结算未完工项目情况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right="0"/>
        <w:jc w:val="left"/>
      </w:pPr>
      <w:r>
        <w:rPr/>
        <w:t>其他说明：</w:t>
      </w:r>
    </w:p>
    <w:p>
      <w:pPr>
        <w:spacing w:after="0" w:line="240" w:lineRule="auto"/>
        <w:jc w:val="left"/>
        <w:sectPr>
          <w:pgSz w:w="11910" w:h="16840"/>
          <w:pgMar w:header="877" w:footer="1187" w:top="1100" w:bottom="138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37、应付职工薪酬" w:id="331"/>
      <w:bookmarkEnd w:id="331"/>
      <w:r>
        <w:rPr>
          <w:b w:val="0"/>
          <w:bCs w:val="0"/>
        </w:rPr>
      </w:r>
      <w:r>
        <w:rPr>
          <w:rFonts w:ascii="宋体" w:hAnsi="宋体" w:cs="宋体" w:eastAsia="宋体" w:hint="default"/>
        </w:rPr>
        <w:t>37</w:t>
      </w:r>
      <w:r>
        <w:rPr/>
        <w:t>、应付职工薪酬</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应付职工薪酬列示" w:id="332"/>
      <w:bookmarkEnd w:id="332"/>
      <w:r>
        <w:rPr>
          <w:b w:val="0"/>
          <w:bCs w:val="0"/>
        </w:rPr>
      </w:r>
      <w:r>
        <w:rPr/>
        <w:t>（</w:t>
      </w:r>
      <w:r>
        <w:rPr>
          <w:rFonts w:ascii="宋体" w:hAnsi="宋体" w:cs="宋体" w:eastAsia="宋体" w:hint="default"/>
        </w:rPr>
        <w:t>1</w:t>
      </w:r>
      <w:r>
        <w:rPr/>
        <w:t>）应付职工薪酬列示</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14,107,479.48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269,777,503.89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178,966,412.90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104,918,570.47</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宋体" w:hAnsi="宋体" w:cs="宋体" w:eastAsia="宋体" w:hint="default"/>
                <w:spacing w:val="-4"/>
                <w:sz w:val="18"/>
                <w:szCs w:val="18"/>
              </w:rPr>
              <w:t>-</w:t>
            </w:r>
            <w:r>
              <w:rPr>
                <w:rFonts w:ascii="宋体" w:hAnsi="宋体" w:cs="宋体" w:eastAsia="宋体" w:hint="default"/>
                <w:spacing w:val="-4"/>
                <w:sz w:val="18"/>
                <w:szCs w:val="18"/>
              </w:rPr>
              <w:t>设定提</w:t>
            </w:r>
            <w:r>
              <w:rPr>
                <w:rFonts w:ascii="宋体" w:hAnsi="宋体" w:cs="宋体" w:eastAsia="宋体" w:hint="default"/>
                <w:spacing w:val="-80"/>
                <w:sz w:val="18"/>
                <w:szCs w:val="18"/>
              </w:rPr>
              <w:t> </w:t>
            </w:r>
            <w:r>
              <w:rPr>
                <w:rFonts w:ascii="宋体" w:hAnsi="宋体" w:cs="宋体" w:eastAsia="宋体" w:hint="default"/>
                <w:sz w:val="18"/>
                <w:szCs w:val="18"/>
              </w:rPr>
              <w:t>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680,461.09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14,830,837.23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14,576,589.82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934,708.50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44,000.00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781,200.78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754,683.48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70,517.30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14,831,940.57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285,389,541.90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194,297,686.20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105,923,796.27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333"/>
      <w:bookmarkEnd w:id="333"/>
      <w:r>
        <w:rPr>
          <w:b w:val="0"/>
          <w:bCs w:val="0"/>
        </w:rPr>
      </w:r>
      <w:r>
        <w:rPr/>
        <w:t>（</w:t>
      </w:r>
      <w:r>
        <w:rPr>
          <w:rFonts w:ascii="宋体" w:hAnsi="宋体" w:cs="宋体" w:eastAsia="宋体" w:hint="default"/>
        </w:rPr>
        <w:t>2</w:t>
      </w:r>
      <w:r>
        <w:rPr/>
        <w:t>）短期薪酬列示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13,291,313.61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254,759,854.30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163,850,079.16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104,201,088.75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68,670.10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1,947,346.88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2,016,016.98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334,603.48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6,816,167.66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6,728,283.29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422,487.85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250,869.18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5,941,494.62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5,815,486.72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376,877.08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11,603.62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192,320.43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188,406.70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15,517.35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72,130.68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566,905.11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608,942.37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30,093.42</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7"/>
              <w:jc w:val="right"/>
              <w:rPr>
                <w:rFonts w:ascii="宋体" w:hAnsi="宋体" w:cs="宋体" w:eastAsia="宋体" w:hint="default"/>
                <w:sz w:val="18"/>
                <w:szCs w:val="18"/>
              </w:rPr>
            </w:pPr>
            <w:r>
              <w:rPr>
                <w:rFonts w:ascii="宋体" w:hAnsi="宋体" w:cs="宋体" w:eastAsia="宋体" w:hint="default"/>
                <w:sz w:val="18"/>
                <w:szCs w:val="18"/>
              </w:rPr>
              <w:t>综</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合保险费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115,447.50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115,447.50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189,729.00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6,112,829.17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6,007,564.30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294,993.87</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140,505.88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140,505.88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、短期带薪缺勤</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223,163.29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223,163.29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其他短期薪酬</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14,107,479.48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269,777,503.89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178,966,412.90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104,918,570.47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334"/>
      <w:bookmarkEnd w:id="334"/>
      <w:r>
        <w:rPr>
          <w:b w:val="0"/>
          <w:bCs w:val="0"/>
        </w:rPr>
      </w:r>
      <w:r>
        <w:rPr/>
        <w:t>（</w:t>
      </w:r>
      <w:r>
        <w:rPr>
          <w:rFonts w:ascii="宋体" w:hAnsi="宋体" w:cs="宋体" w:eastAsia="宋体" w:hint="default"/>
        </w:rPr>
        <w:t>3</w:t>
      </w:r>
      <w:r>
        <w:rPr/>
        <w:t>）设定提存计划列示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638,414.56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14,279,038.45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14,009,641.09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907,811.92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42,046.53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543,416.00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559,749.83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25,712.70</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8,382.78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7,198.90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1,183.88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3" w:right="0"/>
              <w:jc w:val="left"/>
              <w:rPr>
                <w:rFonts w:ascii="宋体" w:hAnsi="宋体" w:cs="宋体" w:eastAsia="宋体" w:hint="default"/>
                <w:sz w:val="18"/>
                <w:szCs w:val="18"/>
              </w:rPr>
            </w:pPr>
            <w:r>
              <w:rPr>
                <w:rFonts w:ascii="宋体"/>
                <w:sz w:val="18"/>
              </w:rPr>
              <w:t>680,461.09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14,830,837.23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14,576,589.82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934,708.50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8、应交税费" w:id="335"/>
      <w:bookmarkEnd w:id="335"/>
      <w:r>
        <w:rPr>
          <w:b w:val="0"/>
          <w:bCs w:val="0"/>
        </w:rPr>
      </w:r>
      <w:r>
        <w:rPr>
          <w:rFonts w:ascii="宋体" w:hAnsi="宋体" w:cs="宋体" w:eastAsia="宋体" w:hint="default"/>
        </w:rPr>
        <w:t>38</w:t>
      </w:r>
      <w:r>
        <w:rPr/>
        <w:t>、应交税费</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50,924,688.50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32,249,437.63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68,585,260.18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39,213,025.71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1,049,181.27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443,197.20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394,874.42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519,351.72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299,760.34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204,364.66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191,547.06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131,985.61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591,367.09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2,094,583.30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267,687.59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348,530.27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194,016.81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122,385,209.13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75,317,650.23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9、应付利息" w:id="336"/>
      <w:bookmarkEnd w:id="336"/>
      <w:r>
        <w:rPr>
          <w:b w:val="0"/>
          <w:bCs w:val="0"/>
        </w:rPr>
      </w:r>
      <w:r>
        <w:rPr>
          <w:rFonts w:ascii="宋体" w:hAnsi="宋体" w:cs="宋体" w:eastAsia="宋体" w:hint="default"/>
        </w:rPr>
        <w:t>39</w:t>
      </w:r>
      <w:r>
        <w:rPr/>
        <w:t>、应付利息</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254,724.55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150,841.67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28,602.74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405,566.22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28,602.74</w:t>
            </w:r>
          </w:p>
        </w:tc>
      </w:tr>
    </w:tbl>
    <w:p>
      <w:pPr>
        <w:pStyle w:val="BodyText"/>
        <w:spacing w:line="240" w:lineRule="auto" w:before="51"/>
        <w:ind w:right="0"/>
        <w:jc w:val="left"/>
      </w:pPr>
      <w:r>
        <w:rPr/>
        <w:t>重要的已逾期未支付的利息情况：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40、应付股利" w:id="337"/>
      <w:bookmarkEnd w:id="337"/>
      <w:r>
        <w:rPr>
          <w:b w:val="0"/>
          <w:bCs w:val="0"/>
        </w:rPr>
      </w:r>
      <w:r>
        <w:rPr>
          <w:rFonts w:ascii="宋体" w:hAnsi="宋体" w:cs="宋体" w:eastAsia="宋体" w:hint="default"/>
        </w:rPr>
        <w:t>40</w:t>
      </w:r>
      <w:r>
        <w:rPr/>
        <w:t>、应付股利</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639,181.49</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3190"/>
        <w:gridCol w:w="3194"/>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639,181.49</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其他说明，包括重要的超过</w:t>
      </w:r>
      <w:r>
        <w:rPr>
          <w:spacing w:val="-46"/>
        </w:rPr>
        <w:t> </w:t>
      </w:r>
      <w:r>
        <w:rPr>
          <w:rFonts w:ascii="宋体" w:hAnsi="宋体" w:cs="宋体" w:eastAsia="宋体" w:hint="default"/>
        </w:rPr>
        <w:t>1</w:t>
      </w:r>
      <w:r>
        <w:rPr>
          <w:rFonts w:ascii="宋体" w:hAnsi="宋体" w:cs="宋体" w:eastAsia="宋体" w:hint="default"/>
          <w:spacing w:val="-46"/>
        </w:rPr>
        <w:t> </w:t>
      </w:r>
      <w:r>
        <w:rPr/>
        <w:t>年未支付的应付股利，应披露未支付原因：</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41、其他应付款" w:id="338"/>
      <w:bookmarkEnd w:id="338"/>
      <w:r>
        <w:rPr>
          <w:b w:val="0"/>
          <w:bCs w:val="0"/>
        </w:rPr>
      </w:r>
      <w:r>
        <w:rPr>
          <w:rFonts w:ascii="宋体" w:hAnsi="宋体" w:cs="宋体" w:eastAsia="宋体" w:hint="default"/>
        </w:rPr>
        <w:t>41</w:t>
      </w:r>
      <w:r>
        <w:rPr/>
        <w:t>、其他应付款</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left="153" w:right="0"/>
        <w:jc w:val="left"/>
        <w:rPr>
          <w:b w:val="0"/>
          <w:bCs w:val="0"/>
        </w:rPr>
      </w:pPr>
      <w:bookmarkStart w:name="（1）按款项性质列示其他应付款" w:id="339"/>
      <w:bookmarkEnd w:id="339"/>
      <w:r>
        <w:rPr>
          <w:b w:val="0"/>
          <w:bCs w:val="0"/>
        </w:rPr>
      </w:r>
      <w:r>
        <w:rPr/>
        <w:t>（</w:t>
      </w:r>
      <w:r>
        <w:rPr>
          <w:rFonts w:ascii="宋体" w:hAnsi="宋体" w:cs="宋体" w:eastAsia="宋体" w:hint="default"/>
        </w:rPr>
        <w:t>1</w:t>
      </w:r>
      <w:r>
        <w:rPr/>
        <w:t>）按款项性质列示其他应付款</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156,313,560.15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105,795,000.00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境外原股东款项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97,787,380.61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35,170,252.86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8,421,443.03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8,472,196.50</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智度德普股权投资（香港）有限公司借 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201,648,226.61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5,883,586.39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709,891.94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268,405,970.18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351,795,567.91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其他应付款" w:id="340"/>
      <w:bookmarkEnd w:id="340"/>
      <w:r>
        <w:rPr>
          <w:b w:val="0"/>
          <w:bCs w:val="0"/>
        </w:rPr>
      </w:r>
      <w:r>
        <w:rPr/>
        <w:t>（</w:t>
      </w:r>
      <w:r>
        <w:rPr>
          <w:rFonts w:ascii="宋体" w:hAnsi="宋体" w:cs="宋体" w:eastAsia="宋体" w:hint="default"/>
        </w:rPr>
        <w:t>2</w:t>
      </w:r>
      <w:r>
        <w:rPr/>
        <w:t>）账龄超过</w:t>
      </w:r>
      <w:r>
        <w:rPr>
          <w:spacing w:val="-55"/>
        </w:rPr>
        <w:t> </w:t>
      </w:r>
      <w:r>
        <w:rPr>
          <w:rFonts w:ascii="宋体" w:hAnsi="宋体" w:cs="宋体" w:eastAsia="宋体" w:hint="default"/>
        </w:rPr>
        <w:t>1</w:t>
      </w:r>
      <w:r>
        <w:rPr>
          <w:rFonts w:ascii="宋体" w:hAnsi="宋体" w:cs="宋体" w:eastAsia="宋体" w:hint="default"/>
          <w:spacing w:val="-56"/>
        </w:rPr>
        <w:t> </w:t>
      </w:r>
      <w:r>
        <w:rPr/>
        <w:t>年的重要其他应付款</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境外原股东款项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97,787,380.61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尚未到结算期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97,787,380.61</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pStyle w:val="BodyText"/>
        <w:spacing w:line="240" w:lineRule="auto" w:before="51"/>
        <w:ind w:right="0"/>
        <w:jc w:val="left"/>
      </w:pPr>
      <w:r>
        <w:rPr/>
        <w:t>其他说明</w:t>
      </w:r>
    </w:p>
    <w:p>
      <w:pPr>
        <w:pStyle w:val="BodyText"/>
        <w:spacing w:line="316" w:lineRule="auto" w:before="116"/>
        <w:ind w:left="153" w:right="1037" w:firstLine="360"/>
        <w:jc w:val="left"/>
        <w:rPr>
          <w:rFonts w:ascii="宋体" w:hAnsi="宋体" w:cs="宋体" w:eastAsia="宋体" w:hint="default"/>
        </w:rPr>
      </w:pPr>
      <w:r>
        <w:rPr/>
        <w:t>说明：境外原股东款项包括应付境外原股东借款和应付境外原股东税款。应付境外原股东借款系</w:t>
      </w:r>
      <w:r>
        <w:rPr>
          <w:spacing w:val="-55"/>
        </w:rPr>
        <w:t> </w:t>
      </w:r>
      <w:r>
        <w:rPr>
          <w:rFonts w:ascii="宋体" w:hAnsi="宋体" w:cs="宋体" w:eastAsia="宋体" w:hint="default"/>
        </w:rPr>
        <w:t>2016</w:t>
      </w:r>
      <w:r>
        <w:rPr>
          <w:rFonts w:ascii="宋体" w:hAnsi="宋体" w:cs="宋体" w:eastAsia="宋体" w:hint="default"/>
          <w:spacing w:val="-55"/>
        </w:rPr>
        <w:t> </w:t>
      </w:r>
      <w:r>
        <w:rPr/>
        <w:t>年</w:t>
      </w:r>
      <w:r>
        <w:rPr>
          <w:spacing w:val="-56"/>
        </w:rPr>
        <w:t> </w:t>
      </w:r>
      <w:r>
        <w:rPr>
          <w:rFonts w:ascii="宋体" w:hAnsi="宋体" w:cs="宋体" w:eastAsia="宋体" w:hint="default"/>
        </w:rPr>
        <w:t>9</w:t>
      </w:r>
      <w:r>
        <w:rPr>
          <w:rFonts w:ascii="宋体" w:hAnsi="宋体" w:cs="宋体" w:eastAsia="宋体" w:hint="default"/>
          <w:spacing w:val="-56"/>
        </w:rPr>
        <w:t> </w:t>
      </w:r>
      <w:r>
        <w:rPr/>
        <w:t>月</w:t>
      </w:r>
      <w:r>
        <w:rPr>
          <w:spacing w:val="-56"/>
        </w:rPr>
        <w:t> </w:t>
      </w:r>
      <w:r>
        <w:rPr>
          <w:rFonts w:ascii="宋体" w:hAnsi="宋体" w:cs="宋体" w:eastAsia="宋体" w:hint="default"/>
        </w:rPr>
        <w:t>21</w:t>
      </w:r>
      <w:r>
        <w:rPr>
          <w:rFonts w:ascii="宋体" w:hAnsi="宋体" w:cs="宋体" w:eastAsia="宋体" w:hint="default"/>
          <w:spacing w:val="-56"/>
        </w:rPr>
        <w:t> </w:t>
      </w:r>
      <w:r>
        <w:rPr/>
        <w:t>日本公 司向</w:t>
      </w:r>
      <w:r>
        <w:rPr>
          <w:spacing w:val="-49"/>
        </w:rPr>
        <w:t> </w:t>
      </w:r>
      <w:r>
        <w:rPr>
          <w:rFonts w:ascii="宋体" w:hAnsi="宋体" w:cs="宋体" w:eastAsia="宋体" w:hint="default"/>
        </w:rPr>
        <w:t>Spigot,Inc.</w:t>
      </w:r>
      <w:r>
        <w:rPr/>
        <w:t>的原股东</w:t>
      </w:r>
      <w:r>
        <w:rPr>
          <w:spacing w:val="-49"/>
        </w:rPr>
        <w:t> </w:t>
      </w:r>
      <w:r>
        <w:rPr>
          <w:rFonts w:ascii="宋体" w:hAnsi="宋体" w:cs="宋体" w:eastAsia="宋体" w:hint="default"/>
        </w:rPr>
        <w:t>Rodrigo</w:t>
      </w:r>
      <w:r>
        <w:rPr>
          <w:rFonts w:ascii="宋体" w:hAnsi="宋体" w:cs="宋体" w:eastAsia="宋体" w:hint="default"/>
          <w:spacing w:val="-48"/>
        </w:rPr>
        <w:t> </w:t>
      </w:r>
      <w:r>
        <w:rPr>
          <w:rFonts w:ascii="宋体" w:hAnsi="宋体" w:cs="宋体" w:eastAsia="宋体" w:hint="default"/>
        </w:rPr>
        <w:t>Sales</w:t>
      </w:r>
      <w:r>
        <w:rPr/>
        <w:t>、</w:t>
      </w:r>
      <w:r>
        <w:rPr>
          <w:rFonts w:ascii="宋体" w:hAnsi="宋体" w:cs="宋体" w:eastAsia="宋体" w:hint="default"/>
        </w:rPr>
        <w:t>Michael</w:t>
      </w:r>
      <w:r>
        <w:rPr>
          <w:rFonts w:ascii="宋体" w:hAnsi="宋体" w:cs="宋体" w:eastAsia="宋体" w:hint="default"/>
          <w:spacing w:val="-48"/>
        </w:rPr>
        <w:t> </w:t>
      </w:r>
      <w:r>
        <w:rPr>
          <w:rFonts w:ascii="宋体" w:hAnsi="宋体" w:cs="宋体" w:eastAsia="宋体" w:hint="default"/>
        </w:rPr>
        <w:t>Levit</w:t>
      </w:r>
      <w:r>
        <w:rPr>
          <w:rFonts w:ascii="宋体" w:hAnsi="宋体" w:cs="宋体" w:eastAsia="宋体" w:hint="default"/>
          <w:spacing w:val="-49"/>
        </w:rPr>
        <w:t> </w:t>
      </w:r>
      <w:r>
        <w:rPr/>
        <w:t>及</w:t>
      </w:r>
      <w:r>
        <w:rPr>
          <w:spacing w:val="-49"/>
        </w:rPr>
        <w:t> </w:t>
      </w:r>
      <w:r>
        <w:rPr>
          <w:rFonts w:ascii="宋体" w:hAnsi="宋体" w:cs="宋体" w:eastAsia="宋体" w:hint="default"/>
        </w:rPr>
        <w:t>Ryan</w:t>
      </w:r>
      <w:r>
        <w:rPr>
          <w:rFonts w:ascii="宋体" w:hAnsi="宋体" w:cs="宋体" w:eastAsia="宋体" w:hint="default"/>
          <w:spacing w:val="-48"/>
        </w:rPr>
        <w:t> </w:t>
      </w:r>
      <w:r>
        <w:rPr>
          <w:rFonts w:ascii="宋体" w:hAnsi="宋体" w:cs="宋体" w:eastAsia="宋体" w:hint="default"/>
        </w:rPr>
        <w:t>Stephens</w:t>
      </w:r>
      <w:r>
        <w:rPr>
          <w:rFonts w:ascii="宋体" w:hAnsi="宋体" w:cs="宋体" w:eastAsia="宋体" w:hint="default"/>
          <w:spacing w:val="-49"/>
        </w:rPr>
        <w:t> </w:t>
      </w:r>
      <w:r>
        <w:rPr/>
        <w:t>共</w:t>
      </w:r>
      <w:r>
        <w:rPr>
          <w:spacing w:val="-49"/>
        </w:rPr>
        <w:t> </w:t>
      </w:r>
      <w:r>
        <w:rPr>
          <w:rFonts w:ascii="宋体" w:hAnsi="宋体" w:cs="宋体" w:eastAsia="宋体" w:hint="default"/>
        </w:rPr>
        <w:t>3</w:t>
      </w:r>
      <w:r>
        <w:rPr>
          <w:rFonts w:ascii="宋体" w:hAnsi="宋体" w:cs="宋体" w:eastAsia="宋体" w:hint="default"/>
          <w:spacing w:val="-49"/>
        </w:rPr>
        <w:t> </w:t>
      </w:r>
      <w:r>
        <w:rPr/>
        <w:t>人借款</w:t>
      </w:r>
      <w:r>
        <w:rPr>
          <w:spacing w:val="-49"/>
        </w:rPr>
        <w:t> </w:t>
      </w:r>
      <w:r>
        <w:rPr>
          <w:rFonts w:ascii="宋体" w:hAnsi="宋体" w:cs="宋体" w:eastAsia="宋体" w:hint="default"/>
        </w:rPr>
        <w:t>500.00</w:t>
      </w:r>
      <w:r>
        <w:rPr>
          <w:rFonts w:ascii="宋体" w:hAnsi="宋体" w:cs="宋体" w:eastAsia="宋体" w:hint="default"/>
          <w:spacing w:val="-49"/>
        </w:rPr>
        <w:t> </w:t>
      </w:r>
      <w:r>
        <w:rPr/>
        <w:t>万美元，借款年利率为</w:t>
      </w:r>
      <w:r>
        <w:rPr>
          <w:spacing w:val="-49"/>
        </w:rPr>
        <w:t> </w:t>
      </w:r>
      <w:r>
        <w:rPr>
          <w:rFonts w:ascii="宋体" w:hAnsi="宋体" w:cs="宋体" w:eastAsia="宋体" w:hint="default"/>
        </w:rPr>
        <w:t>5%</w:t>
      </w:r>
      <w:r>
        <w:rPr/>
        <w:t>。 本公司签署了展期协议，借款到期日延长至</w:t>
      </w:r>
      <w:r>
        <w:rPr>
          <w:spacing w:val="-46"/>
        </w:rPr>
        <w:t> </w:t>
      </w:r>
      <w:r>
        <w:rPr>
          <w:rFonts w:ascii="宋体" w:hAnsi="宋体" w:cs="宋体" w:eastAsia="宋体" w:hint="default"/>
        </w:rPr>
        <w:t>2018</w:t>
      </w:r>
      <w:r>
        <w:rPr>
          <w:rFonts w:ascii="宋体" w:hAnsi="宋体" w:cs="宋体" w:eastAsia="宋体" w:hint="default"/>
          <w:spacing w:val="-46"/>
        </w:rPr>
        <w:t> </w:t>
      </w:r>
      <w:r>
        <w:rPr/>
        <w:t>年</w:t>
      </w:r>
      <w:r>
        <w:rPr>
          <w:spacing w:val="-45"/>
        </w:rPr>
        <w:t> </w:t>
      </w:r>
      <w:r>
        <w:rPr>
          <w:rFonts w:ascii="宋体" w:hAnsi="宋体" w:cs="宋体" w:eastAsia="宋体" w:hint="default"/>
        </w:rPr>
        <w:t>5</w:t>
      </w:r>
      <w:r>
        <w:rPr>
          <w:rFonts w:ascii="宋体" w:hAnsi="宋体" w:cs="宋体" w:eastAsia="宋体" w:hint="default"/>
          <w:spacing w:val="-46"/>
        </w:rPr>
        <w:t> </w:t>
      </w:r>
      <w:r>
        <w:rPr/>
        <w:t>月</w:t>
      </w:r>
      <w:r>
        <w:rPr>
          <w:spacing w:val="-45"/>
        </w:rPr>
        <w:t> </w:t>
      </w:r>
      <w:r>
        <w:rPr>
          <w:rFonts w:ascii="宋体" w:hAnsi="宋体" w:cs="宋体" w:eastAsia="宋体" w:hint="default"/>
        </w:rPr>
        <w:t>1</w:t>
      </w:r>
      <w:r>
        <w:rPr>
          <w:rFonts w:ascii="宋体" w:hAnsi="宋体" w:cs="宋体" w:eastAsia="宋体" w:hint="default"/>
          <w:spacing w:val="-46"/>
        </w:rPr>
        <w:t> </w:t>
      </w:r>
      <w:r>
        <w:rPr/>
        <w:t>日。截止</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日，应付借款本金及利息合计</w:t>
      </w:r>
      <w:r>
        <w:rPr>
          <w:spacing w:val="-46"/>
        </w:rPr>
        <w:t> </w:t>
      </w:r>
      <w:r>
        <w:rPr>
          <w:rFonts w:ascii="宋体" w:hAnsi="宋体" w:cs="宋体" w:eastAsia="宋体" w:hint="default"/>
        </w:rPr>
        <w:t>506.25</w:t>
      </w:r>
    </w:p>
    <w:p>
      <w:pPr>
        <w:pStyle w:val="BodyText"/>
        <w:spacing w:line="240" w:lineRule="auto" w:before="20"/>
        <w:ind w:left="153" w:right="0"/>
        <w:jc w:val="left"/>
      </w:pPr>
      <w:r>
        <w:rPr/>
        <w:t>万美元，折算人民币金额</w:t>
      </w:r>
      <w:r>
        <w:rPr>
          <w:spacing w:val="-46"/>
        </w:rPr>
        <w:t> </w:t>
      </w:r>
      <w:r>
        <w:rPr>
          <w:rFonts w:ascii="宋体" w:hAnsi="宋体" w:cs="宋体" w:eastAsia="宋体" w:hint="default"/>
        </w:rPr>
        <w:t>33,079,387.50</w:t>
      </w:r>
      <w:r>
        <w:rPr>
          <w:rFonts w:ascii="宋体" w:hAnsi="宋体" w:cs="宋体" w:eastAsia="宋体" w:hint="default"/>
          <w:spacing w:val="-46"/>
        </w:rPr>
        <w:t> </w:t>
      </w:r>
      <w:r>
        <w:rPr/>
        <w:t>元。应付境外原股东税款参见附注七、</w:t>
      </w:r>
      <w:r>
        <w:rPr>
          <w:rFonts w:ascii="宋体" w:hAnsi="宋体" w:cs="宋体" w:eastAsia="宋体" w:hint="default"/>
        </w:rPr>
        <w:t>50</w:t>
      </w:r>
      <w:r>
        <w:rPr/>
        <w:t>。</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42、持有待售的负债" w:id="341"/>
      <w:bookmarkEnd w:id="341"/>
      <w:r>
        <w:rPr>
          <w:b w:val="0"/>
          <w:bCs w:val="0"/>
        </w:rPr>
      </w:r>
      <w:r>
        <w:rPr>
          <w:rFonts w:ascii="宋体" w:hAnsi="宋体" w:cs="宋体" w:eastAsia="宋体" w:hint="default"/>
        </w:rPr>
        <w:t>42</w:t>
      </w:r>
      <w:r>
        <w:rPr/>
        <w:t>、持有待售的负债</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43、一年内到期的非流动负债" w:id="342"/>
      <w:bookmarkEnd w:id="342"/>
      <w:r>
        <w:rPr>
          <w:b w:val="0"/>
          <w:bCs w:val="0"/>
        </w:rPr>
      </w:r>
      <w:r>
        <w:rPr>
          <w:rFonts w:ascii="宋体" w:hAnsi="宋体" w:cs="宋体" w:eastAsia="宋体" w:hint="default"/>
        </w:rPr>
        <w:t>43</w:t>
      </w:r>
      <w:r>
        <w:rPr/>
        <w:t>、一年内到期的非流动负债</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181,818.00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181,818.00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254,620,991.52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203,078,499.51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254,802,809.52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203,260,317.51</w:t>
            </w:r>
          </w:p>
        </w:tc>
      </w:tr>
    </w:tbl>
    <w:p>
      <w:pPr>
        <w:pStyle w:val="BodyText"/>
        <w:spacing w:line="240" w:lineRule="auto" w:before="51"/>
        <w:ind w:right="0"/>
        <w:jc w:val="left"/>
      </w:pPr>
      <w:r>
        <w:rPr/>
        <w:t>其他说明：</w:t>
      </w:r>
    </w:p>
    <w:p>
      <w:pPr>
        <w:pStyle w:val="BodyText"/>
        <w:spacing w:line="240" w:lineRule="auto" w:before="117"/>
        <w:ind w:left="514" w:right="0"/>
        <w:jc w:val="left"/>
      </w:pPr>
      <w:r>
        <w:rPr/>
        <w:t>（</w:t>
      </w:r>
      <w:r>
        <w:rPr>
          <w:rFonts w:ascii="宋体" w:hAnsi="宋体" w:cs="宋体" w:eastAsia="宋体" w:hint="default"/>
        </w:rPr>
        <w:t>1</w:t>
      </w:r>
      <w:r>
        <w:rPr/>
        <w:t>）一年内到期的长期借款</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574"/>
        <w:gridCol w:w="2559"/>
        <w:gridCol w:w="2544"/>
      </w:tblGrid>
      <w:tr>
        <w:trPr>
          <w:trHeight w:val="359" w:hRule="exact"/>
        </w:trPr>
        <w:tc>
          <w:tcPr>
            <w:tcW w:w="4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r>
        <w:trPr>
          <w:trHeight w:val="343" w:hRule="exact"/>
        </w:trPr>
        <w:tc>
          <w:tcPr>
            <w:tcW w:w="4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181,818.00</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181,818.00</w:t>
            </w:r>
          </w:p>
        </w:tc>
      </w:tr>
    </w:tbl>
    <w:p>
      <w:pPr>
        <w:pStyle w:val="BodyText"/>
        <w:spacing w:line="240" w:lineRule="auto" w:before="51"/>
        <w:ind w:left="514" w:right="0"/>
        <w:jc w:val="left"/>
      </w:pPr>
      <w:r>
        <w:rPr/>
        <w:t>（</w:t>
      </w:r>
      <w:r>
        <w:rPr>
          <w:rFonts w:ascii="宋体" w:hAnsi="宋体" w:cs="宋体" w:eastAsia="宋体" w:hint="default"/>
        </w:rPr>
        <w:t>2</w:t>
      </w:r>
      <w:r>
        <w:rPr/>
        <w:t>）一年内到期的长期应付款</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020"/>
        <w:gridCol w:w="2090"/>
        <w:gridCol w:w="2521"/>
      </w:tblGrid>
      <w:tr>
        <w:trPr>
          <w:trHeight w:val="342" w:hRule="exact"/>
        </w:trPr>
        <w:tc>
          <w:tcPr>
            <w:tcW w:w="5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r>
        <w:trPr>
          <w:trHeight w:val="342" w:hRule="exact"/>
        </w:trPr>
        <w:tc>
          <w:tcPr>
            <w:tcW w:w="5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应付融资租赁款</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16,737.97</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17,040.00</w:t>
            </w:r>
          </w:p>
        </w:tc>
      </w:tr>
      <w:tr>
        <w:trPr>
          <w:trHeight w:val="342" w:hRule="exact"/>
        </w:trPr>
        <w:tc>
          <w:tcPr>
            <w:tcW w:w="5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尚未支付的股权收购价款</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254,604,253.55</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203,061,459.51</w:t>
            </w:r>
          </w:p>
        </w:tc>
      </w:tr>
      <w:tr>
        <w:trPr>
          <w:trHeight w:val="343" w:hRule="exact"/>
        </w:trPr>
        <w:tc>
          <w:tcPr>
            <w:tcW w:w="5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b/>
                <w:w w:val="95"/>
                <w:sz w:val="18"/>
              </w:rPr>
              <w:t>254,620,991.52</w:t>
            </w:r>
            <w:r>
              <w:rPr>
                <w:rFonts w:ascii="宋体"/>
                <w:sz w:val="18"/>
              </w:rPr>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
              <w:jc w:val="right"/>
              <w:rPr>
                <w:rFonts w:ascii="宋体" w:hAnsi="宋体" w:cs="宋体" w:eastAsia="宋体" w:hint="default"/>
                <w:sz w:val="18"/>
                <w:szCs w:val="18"/>
              </w:rPr>
            </w:pPr>
            <w:r>
              <w:rPr>
                <w:rFonts w:ascii="宋体"/>
                <w:b/>
                <w:w w:val="95"/>
                <w:sz w:val="18"/>
              </w:rPr>
              <w:t>203,078,499.51</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bookmarkStart w:name="44、其他流动负债" w:id="343"/>
      <w:bookmarkEnd w:id="343"/>
      <w:r>
        <w:rPr>
          <w:b w:val="0"/>
          <w:bCs w:val="0"/>
        </w:rPr>
      </w:r>
      <w:r>
        <w:rPr>
          <w:rFonts w:ascii="宋体" w:hAnsi="宋体" w:cs="宋体" w:eastAsia="宋体" w:hint="default"/>
        </w:rPr>
        <w:t>44</w:t>
      </w:r>
      <w:r>
        <w:rPr/>
        <w:t>、其他流动负债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短期应付债券的增减变动：</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45、长期借款" w:id="344"/>
      <w:bookmarkEnd w:id="344"/>
      <w:r>
        <w:rPr>
          <w:b w:val="0"/>
          <w:bCs w:val="0"/>
        </w:rPr>
      </w:r>
      <w:r>
        <w:rPr>
          <w:rFonts w:ascii="宋体" w:hAnsi="宋体" w:cs="宋体" w:eastAsia="宋体" w:hint="default"/>
        </w:rPr>
        <w:t>45</w:t>
      </w:r>
      <w:r>
        <w:rPr/>
        <w:t>、长期借款</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53" w:right="0"/>
        <w:jc w:val="left"/>
        <w:rPr>
          <w:b w:val="0"/>
          <w:bCs w:val="0"/>
        </w:rPr>
      </w:pPr>
      <w:bookmarkStart w:name="（1）长期借款分类" w:id="345"/>
      <w:bookmarkEnd w:id="345"/>
      <w:r>
        <w:rPr>
          <w:b w:val="0"/>
          <w:bCs w:val="0"/>
        </w:rPr>
      </w:r>
      <w:r>
        <w:rPr/>
        <w:t>（</w:t>
      </w:r>
      <w:r>
        <w:rPr>
          <w:rFonts w:ascii="宋体" w:hAnsi="宋体" w:cs="宋体" w:eastAsia="宋体" w:hint="default"/>
        </w:rPr>
        <w:t>1</w:t>
      </w:r>
      <w:r>
        <w:rPr/>
        <w:t>）长期借款分类</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98,013,000.00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信用借款（</w:t>
            </w: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年国债专项转贷资金）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545,456.00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727,274.00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减：一年内到期的长期借款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-181,818.00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-181,818.00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98,376,638.00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545,456.00</w:t>
            </w:r>
          </w:p>
        </w:tc>
      </w:tr>
    </w:tbl>
    <w:p>
      <w:pPr>
        <w:pStyle w:val="BodyText"/>
        <w:spacing w:line="240" w:lineRule="auto" w:before="51"/>
        <w:ind w:right="0"/>
        <w:jc w:val="left"/>
      </w:pPr>
      <w:r>
        <w:rPr/>
        <w:t>长期借款分类的说明：</w:t>
      </w:r>
    </w:p>
    <w:p>
      <w:pPr>
        <w:pStyle w:val="BodyText"/>
        <w:spacing w:line="357" w:lineRule="auto" w:before="117"/>
        <w:ind w:right="6434" w:firstLine="360"/>
        <w:jc w:val="left"/>
      </w:pPr>
      <w:r>
        <w:rPr/>
        <w:t>资产负债表日后已偿还金额为</w:t>
      </w:r>
      <w:r>
        <w:rPr>
          <w:spacing w:val="-46"/>
        </w:rPr>
        <w:t> </w:t>
      </w:r>
      <w:r>
        <w:rPr>
          <w:rFonts w:ascii="宋体" w:hAnsi="宋体" w:cs="宋体" w:eastAsia="宋体" w:hint="default"/>
        </w:rPr>
        <w:t>98,013,000.00</w:t>
      </w:r>
      <w:r>
        <w:rPr>
          <w:rFonts w:ascii="宋体" w:hAnsi="宋体" w:cs="宋体" w:eastAsia="宋体" w:hint="default"/>
          <w:spacing w:val="-46"/>
        </w:rPr>
        <w:t> </w:t>
      </w:r>
      <w:r>
        <w:rPr/>
        <w:t>元。 其他说明，包括利率区间：</w:t>
      </w:r>
    </w:p>
    <w:tbl>
      <w:tblPr>
        <w:tblW w:w="0" w:type="auto"/>
        <w:jc w:val="left"/>
        <w:tblInd w:w="149" w:type="dxa"/>
        <w:tblLayout w:type="fixed"/>
        <w:tblCellMar>
          <w:top w:w="0" w:type="dxa"/>
          <w:left w:w="0" w:type="dxa"/>
          <w:bottom w:w="0" w:type="dxa"/>
          <w:right w:w="0" w:type="dxa"/>
        </w:tblCellMar>
        <w:tblLook w:val="01E0"/>
      </w:tblPr>
      <w:tblGrid>
        <w:gridCol w:w="3456"/>
        <w:gridCol w:w="1742"/>
        <w:gridCol w:w="1741"/>
        <w:gridCol w:w="1348"/>
        <w:gridCol w:w="1270"/>
      </w:tblGrid>
      <w:tr>
        <w:trPr>
          <w:trHeight w:val="354"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03" w:right="0"/>
              <w:jc w:val="left"/>
              <w:rPr>
                <w:rFonts w:ascii="宋体" w:hAnsi="宋体" w:cs="宋体" w:eastAsia="宋体" w:hint="default"/>
                <w:sz w:val="18"/>
                <w:szCs w:val="18"/>
              </w:rPr>
            </w:pPr>
            <w:r>
              <w:rPr>
                <w:rFonts w:ascii="宋体" w:hAnsi="宋体" w:cs="宋体" w:eastAsia="宋体" w:hint="default"/>
                <w:b/>
                <w:bCs/>
                <w:sz w:val="18"/>
                <w:szCs w:val="18"/>
              </w:rPr>
              <w:t>利率区间</w:t>
            </w:r>
            <w:r>
              <w:rPr>
                <w:rFonts w:ascii="宋体" w:hAnsi="宋体" w:cs="宋体" w:eastAsia="宋体" w:hint="default"/>
                <w:sz w:val="18"/>
                <w:szCs w:val="18"/>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91" w:right="0"/>
              <w:jc w:val="lef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31" w:right="0"/>
              <w:jc w:val="left"/>
              <w:rPr>
                <w:rFonts w:ascii="宋体" w:hAnsi="宋体" w:cs="宋体" w:eastAsia="宋体" w:hint="default"/>
                <w:sz w:val="18"/>
                <w:szCs w:val="18"/>
              </w:rPr>
            </w:pPr>
            <w:r>
              <w:rPr>
                <w:rFonts w:ascii="宋体" w:hAnsi="宋体" w:cs="宋体" w:eastAsia="宋体" w:hint="default"/>
                <w:b/>
                <w:bCs/>
                <w:sz w:val="18"/>
                <w:szCs w:val="18"/>
              </w:rPr>
              <w:t>利率区间</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456"/>
        <w:gridCol w:w="1742"/>
        <w:gridCol w:w="1741"/>
        <w:gridCol w:w="1348"/>
        <w:gridCol w:w="1270"/>
      </w:tblGrid>
      <w:tr>
        <w:trPr>
          <w:trHeight w:val="353"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98,013,000.00</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3mlibor+1.3%</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r>
      <w:tr>
        <w:trPr>
          <w:trHeight w:val="342"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信用借款（</w:t>
            </w:r>
            <w:r>
              <w:rPr>
                <w:rFonts w:ascii="宋体" w:hAnsi="宋体" w:cs="宋体" w:eastAsia="宋体" w:hint="default"/>
                <w:sz w:val="18"/>
                <w:szCs w:val="18"/>
              </w:rPr>
              <w:t>2005</w:t>
            </w:r>
            <w:r>
              <w:rPr>
                <w:rFonts w:ascii="宋体" w:hAnsi="宋体" w:cs="宋体" w:eastAsia="宋体" w:hint="default"/>
                <w:sz w:val="18"/>
                <w:szCs w:val="18"/>
              </w:rPr>
              <w:t>年国债专项转贷资金）</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545,456.00</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1.8%</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727,274.00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2.8%</w:t>
            </w:r>
          </w:p>
        </w:tc>
      </w:tr>
      <w:tr>
        <w:trPr>
          <w:trHeight w:val="353"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减：一年内到期的长期借款</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181,818.00</w:t>
            </w:r>
          </w:p>
        </w:tc>
        <w:tc>
          <w:tcPr>
            <w:tcW w:w="1741"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181,818.00</w:t>
            </w: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354"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b/>
                <w:w w:val="95"/>
                <w:sz w:val="18"/>
              </w:rPr>
              <w:t>98,376,638.00</w:t>
            </w:r>
            <w:r>
              <w:rPr>
                <w:rFonts w:ascii="宋体"/>
                <w:sz w:val="18"/>
              </w:rPr>
            </w:r>
          </w:p>
        </w:tc>
        <w:tc>
          <w:tcPr>
            <w:tcW w:w="1741"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b/>
                <w:w w:val="95"/>
                <w:sz w:val="18"/>
              </w:rPr>
              <w:t>545,456.00</w:t>
            </w:r>
            <w:r>
              <w:rPr>
                <w:rFonts w:ascii="宋体"/>
                <w:sz w:val="18"/>
              </w:rPr>
            </w:r>
          </w:p>
        </w:tc>
        <w:tc>
          <w:tcPr>
            <w:tcW w:w="12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bookmarkStart w:name="46、应付债券" w:id="346"/>
      <w:bookmarkEnd w:id="346"/>
      <w:r>
        <w:rPr>
          <w:b w:val="0"/>
          <w:bCs w:val="0"/>
        </w:rPr>
      </w:r>
      <w:r>
        <w:rPr>
          <w:rFonts w:ascii="宋体" w:hAnsi="宋体" w:cs="宋体" w:eastAsia="宋体" w:hint="default"/>
        </w:rPr>
        <w:t>46</w:t>
      </w:r>
      <w:r>
        <w:rPr/>
        <w:t>、应付债券</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应付债券" w:id="347"/>
      <w:bookmarkEnd w:id="347"/>
      <w:r>
        <w:rPr>
          <w:b w:val="0"/>
          <w:bCs w:val="0"/>
        </w:rPr>
      </w:r>
      <w:r>
        <w:rPr/>
        <w:t>（</w:t>
      </w:r>
      <w:r>
        <w:rPr>
          <w:rFonts w:ascii="宋体" w:hAnsi="宋体" w:cs="宋体" w:eastAsia="宋体" w:hint="default"/>
        </w:rPr>
        <w:t>1</w:t>
      </w:r>
      <w:r>
        <w:rPr/>
        <w:t>）应付债券</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应付债券的增减变动（不包括划分为金融负债的优先股、永续债等其他金融工具）" w:id="348"/>
      <w:bookmarkEnd w:id="348"/>
      <w:r>
        <w:rPr>
          <w:b w:val="0"/>
          <w:bCs w:val="0"/>
        </w:rPr>
      </w:r>
      <w:r>
        <w:rPr/>
        <w:t>（</w:t>
      </w:r>
      <w:r>
        <w:rPr>
          <w:rFonts w:ascii="宋体" w:hAnsi="宋体" w:cs="宋体" w:eastAsia="宋体" w:hint="default"/>
        </w:rPr>
        <w:t>2</w:t>
      </w:r>
      <w:r>
        <w:rPr/>
        <w:t>）应付债券的增减变动（不包括划分为金融负债的优先股、永续债等其他金融工具）</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24"/>
          <w:szCs w:val="24"/>
        </w:rPr>
      </w:pPr>
    </w:p>
    <w:p>
      <w:pPr>
        <w:pStyle w:val="Heading3"/>
        <w:spacing w:line="240" w:lineRule="auto" w:before="35"/>
        <w:ind w:left="153" w:right="0"/>
        <w:jc w:val="left"/>
        <w:rPr>
          <w:b w:val="0"/>
          <w:bCs w:val="0"/>
        </w:rPr>
      </w:pPr>
      <w:bookmarkStart w:name="（3）可转换公司债券的转股条件、转股时间说明" w:id="349"/>
      <w:bookmarkEnd w:id="349"/>
      <w:r>
        <w:rPr>
          <w:b w:val="0"/>
          <w:bCs w:val="0"/>
        </w:rPr>
      </w:r>
      <w:r>
        <w:rPr/>
        <w:t>（</w:t>
      </w:r>
      <w:r>
        <w:rPr>
          <w:rFonts w:ascii="宋体" w:hAnsi="宋体" w:cs="宋体" w:eastAsia="宋体" w:hint="default"/>
        </w:rPr>
        <w:t>3</w:t>
      </w:r>
      <w:r>
        <w:rPr/>
        <w:t>）可转换公司债券的转股条件、转股时间说明</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53" w:right="0"/>
        <w:jc w:val="left"/>
        <w:rPr>
          <w:b w:val="0"/>
          <w:bCs w:val="0"/>
        </w:rPr>
      </w:pPr>
      <w:bookmarkStart w:name="（4）划分为金融负债的其他金融工具说明" w:id="350"/>
      <w:bookmarkEnd w:id="350"/>
      <w:r>
        <w:rPr>
          <w:b w:val="0"/>
          <w:bCs w:val="0"/>
        </w:rPr>
      </w:r>
      <w:r>
        <w:rPr/>
        <w:t>（</w:t>
      </w:r>
      <w:r>
        <w:rPr>
          <w:rFonts w:ascii="宋体" w:hAnsi="宋体" w:cs="宋体" w:eastAsia="宋体" w:hint="default"/>
        </w:rPr>
        <w:t>4</w:t>
      </w:r>
      <w:r>
        <w:rPr/>
        <w:t>）划分为金融负债的其他金融工具说明</w:t>
      </w:r>
      <w:r>
        <w:rPr>
          <w:b w:val="0"/>
          <w:bCs w:val="0"/>
        </w:rPr>
      </w:r>
    </w:p>
    <w:p>
      <w:pPr>
        <w:spacing w:line="240" w:lineRule="auto" w:before="6"/>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77" w:footer="1187" w:top="1100" w:bottom="1380" w:left="980" w:right="0"/>
        </w:sectPr>
      </w:pPr>
    </w:p>
    <w:p>
      <w:pPr>
        <w:pStyle w:val="BodyText"/>
        <w:spacing w:line="357" w:lineRule="auto" w:before="44"/>
        <w:ind w:left="153" w:right="-19"/>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380" w:left="980" w:right="0"/>
          <w:cols w:num="2" w:equalWidth="0">
            <w:col w:w="4655" w:space="417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7512"/>
        <w:jc w:val="left"/>
      </w:pPr>
      <w:r>
        <w:rPr/>
        <w:t>其他金融工具划分为金融负债的依据说明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47、长期应付款" w:id="351"/>
      <w:bookmarkEnd w:id="351"/>
      <w:r>
        <w:rPr>
          <w:b w:val="0"/>
          <w:bCs w:val="0"/>
        </w:rPr>
      </w:r>
      <w:r>
        <w:rPr>
          <w:rFonts w:ascii="宋体" w:hAnsi="宋体" w:cs="宋体" w:eastAsia="宋体" w:hint="default"/>
        </w:rPr>
        <w:t>47</w:t>
      </w:r>
      <w:r>
        <w:rPr/>
        <w:t>、长期应付款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按款项性质列示长期应付款" w:id="352"/>
      <w:bookmarkEnd w:id="352"/>
      <w:r>
        <w:rPr>
          <w:b w:val="0"/>
          <w:bCs w:val="0"/>
        </w:rPr>
      </w:r>
      <w:r>
        <w:rPr/>
        <w:t>（</w:t>
      </w:r>
      <w:r>
        <w:rPr>
          <w:rFonts w:ascii="宋体" w:hAnsi="宋体" w:cs="宋体" w:eastAsia="宋体" w:hint="default"/>
        </w:rPr>
        <w:t>1</w:t>
      </w:r>
      <w:r>
        <w:rPr/>
        <w:t>）按款项性质列示长期应付款</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尚未支付的股权收购价款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553,795,992.99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790,996,142.16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应付融资租赁款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16,737.97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32,349.94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553,812,730.96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791,028,492.10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减：一年内到期长期应付款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254,620,991.52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203,078,499.51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299,191,739.44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587,949,992.59</w:t>
            </w:r>
          </w:p>
        </w:tc>
      </w:tr>
    </w:tbl>
    <w:p>
      <w:pPr>
        <w:pStyle w:val="BodyText"/>
        <w:spacing w:line="240" w:lineRule="auto" w:before="51"/>
        <w:ind w:right="0"/>
        <w:jc w:val="left"/>
      </w:pPr>
      <w:r>
        <w:rPr/>
        <w:t>其他说明：</w:t>
      </w:r>
    </w:p>
    <w:p>
      <w:pPr>
        <w:spacing w:after="0" w:line="240" w:lineRule="auto"/>
        <w:jc w:val="left"/>
        <w:sectPr>
          <w:type w:val="continuous"/>
          <w:pgSz w:w="11910" w:h="16840"/>
          <w:pgMar w:top="1060" w:bottom="1380" w:left="980" w:right="0"/>
        </w:sectPr>
      </w:pPr>
    </w:p>
    <w:p>
      <w:pPr>
        <w:spacing w:line="240" w:lineRule="auto" w:before="12"/>
        <w:rPr>
          <w:rFonts w:ascii="宋体" w:hAnsi="宋体" w:cs="宋体" w:eastAsia="宋体" w:hint="default"/>
          <w:sz w:val="21"/>
          <w:szCs w:val="21"/>
        </w:rPr>
      </w:pPr>
    </w:p>
    <w:p>
      <w:pPr>
        <w:pStyle w:val="BodyText"/>
        <w:spacing w:line="316" w:lineRule="auto" w:before="44"/>
        <w:ind w:left="153" w:right="1132" w:firstLine="360"/>
        <w:jc w:val="right"/>
      </w:pPr>
      <w:r>
        <w:rPr/>
        <w:t>说明：根据本公司与</w:t>
      </w:r>
      <w:r>
        <w:rPr>
          <w:spacing w:val="-60"/>
        </w:rPr>
        <w:t> </w:t>
      </w:r>
      <w:r>
        <w:rPr>
          <w:rFonts w:ascii="宋体" w:hAnsi="宋体" w:cs="宋体" w:eastAsia="宋体" w:hint="default"/>
        </w:rPr>
        <w:t>Spigot,Inc.</w:t>
      </w:r>
      <w:r>
        <w:rPr/>
        <w:t>公司共</w:t>
      </w:r>
      <w:r>
        <w:rPr>
          <w:spacing w:val="-60"/>
        </w:rPr>
        <w:t> </w:t>
      </w:r>
      <w:r>
        <w:rPr>
          <w:rFonts w:ascii="宋体" w:hAnsi="宋体" w:cs="宋体" w:eastAsia="宋体" w:hint="default"/>
        </w:rPr>
        <w:t>10</w:t>
      </w:r>
      <w:r>
        <w:rPr>
          <w:rFonts w:ascii="宋体" w:hAnsi="宋体" w:cs="宋体" w:eastAsia="宋体" w:hint="default"/>
          <w:spacing w:val="-58"/>
        </w:rPr>
        <w:t> </w:t>
      </w:r>
      <w:r>
        <w:rPr/>
        <w:t>名原股东签署的《</w:t>
      </w:r>
      <w:r>
        <w:rPr>
          <w:rFonts w:ascii="宋体" w:hAnsi="宋体" w:cs="宋体" w:eastAsia="宋体" w:hint="default"/>
        </w:rPr>
        <w:t>Spigot,Inc.</w:t>
      </w:r>
      <w:r>
        <w:rPr/>
        <w:t>股权购买协议》及其附件，本公司收购上述 原股东合计持有</w:t>
      </w:r>
      <w:r>
        <w:rPr>
          <w:spacing w:val="-46"/>
        </w:rPr>
        <w:t> </w:t>
      </w:r>
      <w:r>
        <w:rPr>
          <w:rFonts w:ascii="宋体" w:hAnsi="宋体" w:cs="宋体" w:eastAsia="宋体" w:hint="default"/>
        </w:rPr>
        <w:t>Spigot,Inc.</w:t>
      </w:r>
      <w:r>
        <w:rPr/>
        <w:t>公司的</w:t>
      </w:r>
      <w:r>
        <w:rPr>
          <w:spacing w:val="-46"/>
        </w:rPr>
        <w:t> </w:t>
      </w:r>
      <w:r>
        <w:rPr>
          <w:rFonts w:ascii="宋体" w:hAnsi="宋体" w:cs="宋体" w:eastAsia="宋体" w:hint="default"/>
        </w:rPr>
        <w:t>100%</w:t>
      </w:r>
      <w:r>
        <w:rPr/>
        <w:t>股权，整体作价</w:t>
      </w:r>
      <w:r>
        <w:rPr>
          <w:spacing w:val="-46"/>
        </w:rPr>
        <w:t> </w:t>
      </w:r>
      <w:r>
        <w:rPr>
          <w:rFonts w:ascii="宋体" w:hAnsi="宋体" w:cs="宋体" w:eastAsia="宋体" w:hint="default"/>
        </w:rPr>
        <w:t>25,169.67</w:t>
      </w:r>
      <w:r>
        <w:rPr>
          <w:rFonts w:ascii="宋体" w:hAnsi="宋体" w:cs="宋体" w:eastAsia="宋体" w:hint="default"/>
          <w:spacing w:val="-46"/>
        </w:rPr>
        <w:t> </w:t>
      </w:r>
      <w:r>
        <w:rPr/>
        <w:t>万美元。截至</w:t>
      </w:r>
      <w:r>
        <w:rPr>
          <w:spacing w:val="-46"/>
        </w:rPr>
        <w:t> </w:t>
      </w:r>
      <w:r>
        <w:rPr>
          <w:rFonts w:ascii="宋体" w:hAnsi="宋体" w:cs="宋体" w:eastAsia="宋体" w:hint="default"/>
        </w:rPr>
        <w:t>2016</w:t>
      </w:r>
      <w:r>
        <w:rPr>
          <w:rFonts w:ascii="宋体" w:hAnsi="宋体" w:cs="宋体" w:eastAsia="宋体" w:hint="default"/>
          <w:spacing w:val="-45"/>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日，本公司尚未支付的</w:t>
      </w:r>
    </w:p>
    <w:p>
      <w:pPr>
        <w:pStyle w:val="BodyText"/>
        <w:spacing w:line="240" w:lineRule="auto" w:before="19"/>
        <w:ind w:right="0"/>
        <w:jc w:val="left"/>
      </w:pPr>
      <w:r>
        <w:rPr/>
        <w:t>金额为</w:t>
      </w:r>
      <w:r>
        <w:rPr>
          <w:spacing w:val="-46"/>
        </w:rPr>
        <w:t> </w:t>
      </w:r>
      <w:r>
        <w:rPr>
          <w:rFonts w:ascii="宋体" w:hAnsi="宋体" w:cs="宋体" w:eastAsia="宋体" w:hint="default"/>
        </w:rPr>
        <w:t>11,402.57</w:t>
      </w:r>
      <w:r>
        <w:rPr>
          <w:rFonts w:ascii="宋体" w:hAnsi="宋体" w:cs="宋体" w:eastAsia="宋体" w:hint="default"/>
          <w:spacing w:val="-46"/>
        </w:rPr>
        <w:t> </w:t>
      </w:r>
      <w:r>
        <w:rPr/>
        <w:t>万美元，</w:t>
      </w:r>
      <w:r>
        <w:rPr>
          <w:rFonts w:ascii="宋体" w:hAnsi="宋体" w:cs="宋体" w:eastAsia="宋体" w:hint="default"/>
        </w:rPr>
        <w:t>2017</w:t>
      </w:r>
      <w:r>
        <w:rPr>
          <w:rFonts w:ascii="宋体" w:hAnsi="宋体" w:cs="宋体" w:eastAsia="宋体" w:hint="default"/>
          <w:spacing w:val="-46"/>
        </w:rPr>
        <w:t> </w:t>
      </w:r>
      <w:r>
        <w:rPr/>
        <w:t>年支付</w:t>
      </w:r>
      <w:r>
        <w:rPr>
          <w:spacing w:val="-46"/>
        </w:rPr>
        <w:t> </w:t>
      </w:r>
      <w:r>
        <w:rPr>
          <w:rFonts w:ascii="宋体" w:hAnsi="宋体" w:cs="宋体" w:eastAsia="宋体" w:hint="default"/>
        </w:rPr>
        <w:t>2,927.22</w:t>
      </w:r>
      <w:r>
        <w:rPr>
          <w:rFonts w:ascii="宋体" w:hAnsi="宋体" w:cs="宋体" w:eastAsia="宋体" w:hint="default"/>
          <w:spacing w:val="-46"/>
        </w:rPr>
        <w:t> </w:t>
      </w:r>
      <w:r>
        <w:rPr/>
        <w:t>万美元，截止</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日，尚需支付的金额为</w:t>
      </w:r>
      <w:r>
        <w:rPr>
          <w:spacing w:val="-46"/>
        </w:rPr>
        <w:t> </w:t>
      </w:r>
      <w:r>
        <w:rPr>
          <w:rFonts w:ascii="宋体" w:hAnsi="宋体" w:cs="宋体" w:eastAsia="宋体" w:hint="default"/>
        </w:rPr>
        <w:t>8,475.35</w:t>
      </w:r>
      <w:r>
        <w:rPr>
          <w:rFonts w:ascii="宋体" w:hAnsi="宋体" w:cs="宋体" w:eastAsia="宋体" w:hint="default"/>
          <w:spacing w:val="-46"/>
        </w:rPr>
        <w:t> </w:t>
      </w:r>
      <w:r>
        <w:rPr/>
        <w:t>万美元，</w:t>
      </w:r>
    </w:p>
    <w:p>
      <w:pPr>
        <w:pStyle w:val="BodyText"/>
        <w:spacing w:line="240" w:lineRule="auto" w:before="77"/>
        <w:ind w:right="0"/>
        <w:jc w:val="left"/>
      </w:pPr>
      <w:r>
        <w:rPr/>
        <w:t>折算人民币金额为</w:t>
      </w:r>
      <w:r>
        <w:rPr>
          <w:spacing w:val="-46"/>
        </w:rPr>
        <w:t> </w:t>
      </w:r>
      <w:r>
        <w:rPr>
          <w:rFonts w:ascii="宋体" w:hAnsi="宋体" w:cs="宋体" w:eastAsia="宋体" w:hint="default"/>
        </w:rPr>
        <w:t>553,795,992.99</w:t>
      </w:r>
      <w:r>
        <w:rPr>
          <w:rFonts w:ascii="宋体" w:hAnsi="宋体" w:cs="宋体" w:eastAsia="宋体" w:hint="default"/>
          <w:spacing w:val="-46"/>
        </w:rPr>
        <w:t> </w:t>
      </w:r>
      <w:r>
        <w:rPr/>
        <w:t>元，其中一年内到期金额</w:t>
      </w:r>
      <w:r>
        <w:rPr>
          <w:spacing w:val="-46"/>
        </w:rPr>
        <w:t> </w:t>
      </w:r>
      <w:r>
        <w:rPr>
          <w:rFonts w:ascii="宋体" w:hAnsi="宋体" w:cs="宋体" w:eastAsia="宋体" w:hint="default"/>
        </w:rPr>
        <w:t>3,896.49</w:t>
      </w:r>
      <w:r>
        <w:rPr>
          <w:rFonts w:ascii="宋体" w:hAnsi="宋体" w:cs="宋体" w:eastAsia="宋体" w:hint="default"/>
          <w:spacing w:val="-46"/>
        </w:rPr>
        <w:t> </w:t>
      </w:r>
      <w:r>
        <w:rPr/>
        <w:t>万美元，折算人民币金额为</w:t>
      </w:r>
      <w:r>
        <w:rPr>
          <w:spacing w:val="-46"/>
        </w:rPr>
        <w:t> </w:t>
      </w:r>
      <w:r>
        <w:rPr>
          <w:rFonts w:ascii="宋体" w:hAnsi="宋体" w:cs="宋体" w:eastAsia="宋体" w:hint="default"/>
        </w:rPr>
        <w:t>254,604,253.55</w:t>
      </w:r>
      <w:r>
        <w:rPr>
          <w:rFonts w:ascii="宋体" w:hAnsi="宋体" w:cs="宋体" w:eastAsia="宋体" w:hint="default"/>
          <w:spacing w:val="-46"/>
        </w:rPr>
        <w:t> </w:t>
      </w:r>
      <w:r>
        <w:rPr/>
        <w:t>元。</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48、长期应付职工薪酬" w:id="353"/>
      <w:bookmarkEnd w:id="353"/>
      <w:r>
        <w:rPr>
          <w:b w:val="0"/>
          <w:bCs w:val="0"/>
        </w:rPr>
      </w:r>
      <w:r>
        <w:rPr>
          <w:rFonts w:ascii="宋体" w:hAnsi="宋体" w:cs="宋体" w:eastAsia="宋体" w:hint="default"/>
        </w:rPr>
        <w:t>48</w:t>
      </w:r>
      <w:r>
        <w:rPr/>
        <w:t>、长期应付职工薪酬</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53" w:right="0"/>
        <w:jc w:val="left"/>
        <w:rPr>
          <w:b w:val="0"/>
          <w:bCs w:val="0"/>
        </w:rPr>
      </w:pPr>
      <w:bookmarkStart w:name="（1）长期应付职工薪酬表" w:id="354"/>
      <w:bookmarkEnd w:id="354"/>
      <w:r>
        <w:rPr>
          <w:b w:val="0"/>
          <w:bCs w:val="0"/>
        </w:rPr>
      </w:r>
      <w:r>
        <w:rPr/>
        <w:t>（</w:t>
      </w:r>
      <w:r>
        <w:rPr>
          <w:rFonts w:ascii="宋体" w:hAnsi="宋体" w:cs="宋体" w:eastAsia="宋体" w:hint="default"/>
        </w:rPr>
        <w:t>1</w:t>
      </w:r>
      <w:r>
        <w:rPr/>
        <w:t>）长期应付职工薪酬表</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设定受益计划变动情况" w:id="355"/>
      <w:bookmarkEnd w:id="355"/>
      <w:r>
        <w:rPr>
          <w:b w:val="0"/>
          <w:bCs w:val="0"/>
        </w:rPr>
      </w:r>
      <w:r>
        <w:rPr/>
        <w:t>（</w:t>
      </w:r>
      <w:r>
        <w:rPr>
          <w:rFonts w:ascii="宋体" w:hAnsi="宋体" w:cs="宋体" w:eastAsia="宋体" w:hint="default"/>
        </w:rPr>
        <w:t>2</w:t>
      </w:r>
      <w:r>
        <w:rPr/>
        <w:t>）设定受益计划变动情况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right="0"/>
        <w:jc w:val="left"/>
      </w:pPr>
      <w:r>
        <w:rPr/>
        <w:t>设定受益计划义务现值：</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计划资产：</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设定受益计划净负债（净资产）</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left="153" w:right="3553"/>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9、专项应付款" w:id="356"/>
      <w:bookmarkEnd w:id="356"/>
      <w:r>
        <w:rPr>
          <w:b w:val="0"/>
          <w:bCs w:val="0"/>
        </w:rPr>
      </w:r>
      <w:r>
        <w:rPr>
          <w:rFonts w:ascii="宋体" w:hAnsi="宋体" w:cs="宋体" w:eastAsia="宋体" w:hint="default"/>
        </w:rPr>
        <w:t>49</w:t>
      </w:r>
      <w:r>
        <w:rPr/>
        <w:t>、专项应付款</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50、预计负债" w:id="357"/>
      <w:bookmarkEnd w:id="357"/>
      <w:r>
        <w:rPr>
          <w:b w:val="0"/>
          <w:bCs w:val="0"/>
        </w:rPr>
      </w:r>
      <w:r>
        <w:rPr>
          <w:rFonts w:ascii="宋体" w:hAnsi="宋体" w:cs="宋体" w:eastAsia="宋体" w:hint="default"/>
        </w:rPr>
        <w:t>50</w:t>
      </w:r>
      <w:r>
        <w:rPr/>
        <w:t>、预计负债</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50,693.20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81,892,397.76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员工离职补偿金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50,693.20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r>
              <w:rPr>
                <w:rFonts w:ascii="宋体" w:hAnsi="宋体" w:cs="宋体" w:eastAsia="宋体" w:hint="default"/>
                <w:spacing w:val="-46"/>
                <w:sz w:val="18"/>
                <w:szCs w:val="18"/>
              </w:rPr>
              <w:t> </w:t>
            </w:r>
            <w:r>
              <w:rPr>
                <w:rFonts w:ascii="宋体" w:hAnsi="宋体" w:cs="宋体" w:eastAsia="宋体" w:hint="default"/>
                <w:sz w:val="18"/>
                <w:szCs w:val="18"/>
              </w:rPr>
              <w:t>Spigot,Inc.</w:t>
            </w:r>
            <w:r>
              <w:rPr>
                <w:rFonts w:ascii="宋体" w:hAnsi="宋体" w:cs="宋体" w:eastAsia="宋体" w:hint="default"/>
                <w:sz w:val="18"/>
                <w:szCs w:val="18"/>
              </w:rPr>
              <w:t>或有对价</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71,486,897.76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r>
              <w:rPr>
                <w:rFonts w:ascii="宋体" w:hAnsi="宋体" w:cs="宋体" w:eastAsia="宋体" w:hint="default"/>
                <w:spacing w:val="-46"/>
                <w:sz w:val="18"/>
                <w:szCs w:val="18"/>
              </w:rPr>
              <w:t> </w:t>
            </w:r>
            <w:r>
              <w:rPr>
                <w:rFonts w:ascii="宋体" w:hAnsi="宋体" w:cs="宋体" w:eastAsia="宋体" w:hint="default"/>
                <w:sz w:val="18"/>
                <w:szCs w:val="18"/>
              </w:rPr>
              <w:t>Get Jar</w:t>
            </w:r>
            <w:r>
              <w:rPr>
                <w:rFonts w:ascii="宋体" w:hAnsi="宋体" w:cs="宋体" w:eastAsia="宋体" w:hint="default"/>
                <w:spacing w:val="-44"/>
                <w:sz w:val="18"/>
                <w:szCs w:val="18"/>
              </w:rPr>
              <w:t> </w:t>
            </w:r>
            <w:r>
              <w:rPr>
                <w:rFonts w:ascii="宋体" w:hAnsi="宋体" w:cs="宋体" w:eastAsia="宋体" w:hint="default"/>
                <w:sz w:val="18"/>
                <w:szCs w:val="18"/>
              </w:rPr>
              <w:t>或有对价</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10,405,500.00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52" w:right="0"/>
              <w:jc w:val="left"/>
              <w:rPr>
                <w:rFonts w:ascii="宋体" w:hAnsi="宋体" w:cs="宋体" w:eastAsia="宋体" w:hint="default"/>
                <w:sz w:val="18"/>
                <w:szCs w:val="18"/>
              </w:rPr>
            </w:pPr>
            <w:r>
              <w:rPr>
                <w:rFonts w:ascii="宋体"/>
                <w:sz w:val="18"/>
              </w:rPr>
              <w:t>50,693.20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81,892,397.76</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bl>
    <w:p>
      <w:pPr>
        <w:pStyle w:val="BodyText"/>
        <w:spacing w:line="240" w:lineRule="auto" w:before="51"/>
        <w:ind w:right="0"/>
        <w:jc w:val="left"/>
      </w:pPr>
      <w:r>
        <w:rPr/>
        <w:t>其他说明，包括重要预计负债的相关重要假设、估计说明：</w:t>
      </w:r>
    </w:p>
    <w:p>
      <w:pPr>
        <w:pStyle w:val="BodyText"/>
        <w:spacing w:line="319" w:lineRule="auto" w:before="116"/>
        <w:ind w:left="153" w:right="1127" w:firstLine="360"/>
        <w:jc w:val="left"/>
      </w:pPr>
      <w:r>
        <w:rPr/>
        <w:t>（</w:t>
      </w:r>
      <w:r>
        <w:rPr>
          <w:rFonts w:ascii="宋体" w:hAnsi="宋体" w:cs="宋体" w:eastAsia="宋体" w:hint="default"/>
        </w:rPr>
        <w:t>1</w:t>
      </w:r>
      <w:r>
        <w:rPr/>
        <w:t>） 根据本公司与</w:t>
      </w:r>
      <w:r>
        <w:rPr>
          <w:spacing w:val="-46"/>
        </w:rPr>
        <w:t> </w:t>
      </w:r>
      <w:r>
        <w:rPr>
          <w:rFonts w:ascii="宋体" w:hAnsi="宋体" w:cs="宋体" w:eastAsia="宋体" w:hint="default"/>
        </w:rPr>
        <w:t>Spigot,Inc.</w:t>
      </w:r>
      <w:r>
        <w:rPr/>
        <w:t>公司共</w:t>
      </w:r>
      <w:r>
        <w:rPr>
          <w:spacing w:val="-46"/>
        </w:rPr>
        <w:t> </w:t>
      </w:r>
      <w:r>
        <w:rPr>
          <w:rFonts w:ascii="宋体" w:hAnsi="宋体" w:cs="宋体" w:eastAsia="宋体" w:hint="default"/>
        </w:rPr>
        <w:t>10</w:t>
      </w:r>
      <w:r>
        <w:rPr>
          <w:rFonts w:ascii="宋体" w:hAnsi="宋体" w:cs="宋体" w:eastAsia="宋体" w:hint="default"/>
          <w:spacing w:val="-44"/>
        </w:rPr>
        <w:t> </w:t>
      </w:r>
      <w:r>
        <w:rPr/>
        <w:t>名原股东签署的《</w:t>
      </w:r>
      <w:r>
        <w:rPr>
          <w:rFonts w:ascii="宋体" w:hAnsi="宋体" w:cs="宋体" w:eastAsia="宋体" w:hint="default"/>
        </w:rPr>
        <w:t>Spigot, Inc.</w:t>
      </w:r>
      <w:r>
        <w:rPr/>
        <w:t>股权购买协议》及其附件，交易双方签署 确认书备忘录明确约定，在交易完成后，作为交易行为和交易价款的一部分，本公司需向</w:t>
      </w:r>
      <w:r>
        <w:rPr>
          <w:spacing w:val="-45"/>
        </w:rPr>
        <w:t> </w:t>
      </w:r>
      <w:r>
        <w:rPr>
          <w:rFonts w:ascii="宋体" w:hAnsi="宋体" w:cs="宋体" w:eastAsia="宋体" w:hint="default"/>
        </w:rPr>
        <w:t>Spigot,Inc.</w:t>
      </w:r>
      <w:r>
        <w:rPr/>
        <w:t>公司共</w:t>
      </w:r>
      <w:r>
        <w:rPr>
          <w:spacing w:val="-46"/>
        </w:rPr>
        <w:t> </w:t>
      </w:r>
      <w:r>
        <w:rPr>
          <w:rFonts w:ascii="宋体" w:hAnsi="宋体" w:cs="宋体" w:eastAsia="宋体" w:hint="default"/>
        </w:rPr>
        <w:t>10</w:t>
      </w:r>
      <w:r>
        <w:rPr>
          <w:rFonts w:ascii="宋体" w:hAnsi="宋体" w:cs="宋体" w:eastAsia="宋体" w:hint="default"/>
          <w:spacing w:val="-45"/>
        </w:rPr>
        <w:t> </w:t>
      </w:r>
      <w:r>
        <w:rPr/>
        <w:t>名原股东 </w:t>
      </w:r>
      <w:r>
        <w:rPr>
          <w:spacing w:val="-2"/>
        </w:rPr>
        <w:t>因收购事项所导致的在美国税收法规下应计缴的个人所得税进行补偿支付。于重组交易完成后，该支付义务应作为重大资产</w:t>
      </w:r>
      <w:r>
        <w:rPr>
          <w:spacing w:val="-64"/>
        </w:rPr>
        <w:t> </w:t>
      </w:r>
      <w:r>
        <w:rPr>
          <w:spacing w:val="-64"/>
        </w:rPr>
      </w:r>
      <w:r>
        <w:rPr/>
        <w:t>重组交易购买日的公允价值计入合并成本。截止</w:t>
      </w:r>
      <w:r>
        <w:rPr>
          <w:spacing w:val="-45"/>
        </w:rPr>
        <w:t> </w:t>
      </w:r>
      <w:r>
        <w:rPr>
          <w:rFonts w:ascii="宋体" w:hAnsi="宋体" w:cs="宋体" w:eastAsia="宋体" w:hint="default"/>
        </w:rPr>
        <w:t>2016</w:t>
      </w:r>
      <w:r>
        <w:rPr>
          <w:rFonts w:ascii="宋体" w:hAnsi="宋体" w:cs="宋体" w:eastAsia="宋体" w:hint="default"/>
          <w:spacing w:val="-46"/>
        </w:rPr>
        <w:t> </w:t>
      </w:r>
      <w:r>
        <w:rPr/>
        <w:t>年</w:t>
      </w:r>
      <w:r>
        <w:rPr>
          <w:spacing w:val="-45"/>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日，交易双方根据合同协议及美国个人报税档案记录等， 计算在美国税收法规下应计缴的个人所得税最佳估计金额为</w:t>
      </w:r>
      <w:r>
        <w:rPr>
          <w:spacing w:val="-45"/>
        </w:rPr>
        <w:t> </w:t>
      </w:r>
      <w:r>
        <w:rPr>
          <w:rFonts w:ascii="宋体" w:hAnsi="宋体" w:cs="宋体" w:eastAsia="宋体" w:hint="default"/>
        </w:rPr>
        <w:t>10,305,160.41</w:t>
      </w:r>
      <w:r>
        <w:rPr>
          <w:rFonts w:ascii="宋体" w:hAnsi="宋体" w:cs="宋体" w:eastAsia="宋体" w:hint="default"/>
          <w:spacing w:val="-46"/>
        </w:rPr>
        <w:t> </w:t>
      </w:r>
      <w:r>
        <w:rPr/>
        <w:t>美元，</w:t>
      </w:r>
      <w:r>
        <w:rPr>
          <w:rFonts w:ascii="宋体" w:hAnsi="宋体" w:cs="宋体" w:eastAsia="宋体" w:hint="default"/>
        </w:rPr>
        <w:t>2017</w:t>
      </w:r>
      <w:r>
        <w:rPr>
          <w:rFonts w:ascii="宋体" w:hAnsi="宋体" w:cs="宋体" w:eastAsia="宋体" w:hint="default"/>
          <w:spacing w:val="-46"/>
        </w:rPr>
        <w:t> </w:t>
      </w:r>
      <w:r>
        <w:rPr/>
        <w:t>年最终纳税申报确认金额为 </w:t>
      </w:r>
      <w:r>
        <w:rPr>
          <w:rFonts w:ascii="宋体" w:hAnsi="宋体" w:cs="宋体" w:eastAsia="宋体" w:hint="default"/>
        </w:rPr>
        <w:t>9,902,971.00</w:t>
      </w:r>
      <w:r>
        <w:rPr>
          <w:rFonts w:ascii="宋体" w:hAnsi="宋体" w:cs="宋体" w:eastAsia="宋体" w:hint="default"/>
          <w:spacing w:val="-46"/>
        </w:rPr>
        <w:t> </w:t>
      </w:r>
      <w:r>
        <w:rPr/>
        <w:t>美元，计入其他应付款，差额</w:t>
      </w:r>
      <w:r>
        <w:rPr>
          <w:spacing w:val="-46"/>
        </w:rPr>
        <w:t> </w:t>
      </w:r>
      <w:r>
        <w:rPr>
          <w:rFonts w:ascii="宋体" w:hAnsi="宋体" w:cs="宋体" w:eastAsia="宋体" w:hint="default"/>
        </w:rPr>
        <w:t>402,189.41</w:t>
      </w:r>
      <w:r>
        <w:rPr>
          <w:rFonts w:ascii="宋体" w:hAnsi="宋体" w:cs="宋体" w:eastAsia="宋体" w:hint="default"/>
          <w:spacing w:val="-44"/>
        </w:rPr>
        <w:t> </w:t>
      </w:r>
      <w:r>
        <w:rPr/>
        <w:t>美元折算人民币</w:t>
      </w:r>
      <w:r>
        <w:rPr>
          <w:spacing w:val="-46"/>
        </w:rPr>
        <w:t> </w:t>
      </w:r>
      <w:r>
        <w:rPr>
          <w:rFonts w:ascii="宋体" w:hAnsi="宋体" w:cs="宋体" w:eastAsia="宋体" w:hint="default"/>
        </w:rPr>
        <w:t>2,717,714.50</w:t>
      </w:r>
      <w:r>
        <w:rPr>
          <w:rFonts w:ascii="宋体" w:hAnsi="宋体" w:cs="宋体" w:eastAsia="宋体" w:hint="default"/>
          <w:spacing w:val="-46"/>
        </w:rPr>
        <w:t> </w:t>
      </w:r>
      <w:r>
        <w:rPr/>
        <w:t>元，计入本年投资收益。</w:t>
      </w:r>
    </w:p>
    <w:p>
      <w:pPr>
        <w:pStyle w:val="BodyText"/>
        <w:spacing w:line="316" w:lineRule="auto" w:before="55"/>
        <w:ind w:left="153" w:right="1035" w:firstLine="360"/>
        <w:jc w:val="left"/>
      </w:pPr>
      <w:r>
        <w:rPr>
          <w:spacing w:val="-13"/>
        </w:rPr>
        <w:t>（</w:t>
      </w:r>
      <w:r>
        <w:rPr>
          <w:rFonts w:ascii="宋体" w:hAnsi="宋体" w:cs="宋体" w:eastAsia="宋体" w:hint="default"/>
          <w:spacing w:val="-13"/>
        </w:rPr>
        <w:t>2</w:t>
      </w:r>
      <w:r>
        <w:rPr>
          <w:spacing w:val="-13"/>
        </w:rPr>
        <w:t>）</w:t>
      </w:r>
      <w:r>
        <w:rPr>
          <w:rFonts w:ascii="宋体" w:hAnsi="宋体" w:cs="宋体" w:eastAsia="宋体" w:hint="default"/>
          <w:spacing w:val="-13"/>
        </w:rPr>
        <w:t>2014</w:t>
      </w:r>
      <w:r>
        <w:rPr>
          <w:rFonts w:ascii="宋体" w:hAnsi="宋体" w:cs="宋体" w:eastAsia="宋体" w:hint="default"/>
          <w:spacing w:val="-58"/>
        </w:rPr>
        <w:t> </w:t>
      </w:r>
      <w:r>
        <w:rPr/>
        <w:t>年</w:t>
      </w:r>
      <w:r>
        <w:rPr>
          <w:spacing w:val="-58"/>
        </w:rPr>
        <w:t> </w:t>
      </w:r>
      <w:r>
        <w:rPr>
          <w:rFonts w:ascii="宋体" w:hAnsi="宋体" w:cs="宋体" w:eastAsia="宋体" w:hint="default"/>
        </w:rPr>
        <w:t>9</w:t>
      </w:r>
      <w:r>
        <w:rPr>
          <w:rFonts w:ascii="宋体" w:hAnsi="宋体" w:cs="宋体" w:eastAsia="宋体" w:hint="default"/>
          <w:spacing w:val="-59"/>
        </w:rPr>
        <w:t> </w:t>
      </w:r>
      <w:r>
        <w:rPr/>
        <w:t>月</w:t>
      </w:r>
      <w:r>
        <w:rPr>
          <w:spacing w:val="-58"/>
        </w:rPr>
        <w:t> </w:t>
      </w:r>
      <w:r>
        <w:rPr>
          <w:rFonts w:ascii="宋体" w:hAnsi="宋体" w:cs="宋体" w:eastAsia="宋体" w:hint="default"/>
        </w:rPr>
        <w:t>4</w:t>
      </w:r>
      <w:r>
        <w:rPr>
          <w:rFonts w:ascii="宋体" w:hAnsi="宋体" w:cs="宋体" w:eastAsia="宋体" w:hint="default"/>
          <w:spacing w:val="-58"/>
        </w:rPr>
        <w:t> </w:t>
      </w:r>
      <w:r>
        <w:rPr>
          <w:spacing w:val="-6"/>
        </w:rPr>
        <w:t>日，</w:t>
      </w:r>
      <w:r>
        <w:rPr>
          <w:rFonts w:ascii="宋体" w:hAnsi="宋体" w:cs="宋体" w:eastAsia="宋体" w:hint="default"/>
          <w:spacing w:val="-6"/>
        </w:rPr>
        <w:t>Spigot,Inc.</w:t>
      </w:r>
      <w:r>
        <w:rPr>
          <w:spacing w:val="-6"/>
        </w:rPr>
        <w:t>公司购买</w:t>
      </w:r>
      <w:r>
        <w:rPr>
          <w:spacing w:val="-58"/>
        </w:rPr>
        <w:t> </w:t>
      </w:r>
      <w:r>
        <w:rPr>
          <w:rFonts w:ascii="宋体" w:hAnsi="宋体" w:cs="宋体" w:eastAsia="宋体" w:hint="default"/>
        </w:rPr>
        <w:t>Getjar</w:t>
      </w:r>
      <w:r>
        <w:rPr>
          <w:rFonts w:ascii="宋体" w:hAnsi="宋体" w:cs="宋体" w:eastAsia="宋体" w:hint="default"/>
          <w:spacing w:val="-58"/>
        </w:rPr>
        <w:t> </w:t>
      </w:r>
      <w:r>
        <w:rPr>
          <w:spacing w:val="-6"/>
        </w:rPr>
        <w:t>公司业务，双方约定除了首次支付的</w:t>
      </w:r>
      <w:r>
        <w:rPr>
          <w:spacing w:val="-58"/>
        </w:rPr>
        <w:t> </w:t>
      </w:r>
      <w:r>
        <w:rPr>
          <w:rFonts w:ascii="宋体" w:hAnsi="宋体" w:cs="宋体" w:eastAsia="宋体" w:hint="default"/>
        </w:rPr>
        <w:t>748,200.00</w:t>
      </w:r>
      <w:r>
        <w:rPr>
          <w:rFonts w:ascii="宋体" w:hAnsi="宋体" w:cs="宋体" w:eastAsia="宋体" w:hint="default"/>
          <w:spacing w:val="-58"/>
        </w:rPr>
        <w:t> </w:t>
      </w:r>
      <w:r>
        <w:rPr>
          <w:spacing w:val="-6"/>
        </w:rPr>
        <w:t>美元外，</w:t>
      </w:r>
      <w:r>
        <w:rPr>
          <w:rFonts w:ascii="宋体" w:hAnsi="宋体" w:cs="宋体" w:eastAsia="宋体" w:hint="default"/>
          <w:spacing w:val="-6"/>
        </w:rPr>
        <w:t>Spigot,Inc.</w:t>
      </w:r>
      <w:r>
        <w:rPr>
          <w:rFonts w:ascii="宋体" w:hAnsi="宋体" w:cs="宋体" w:eastAsia="宋体" w:hint="default"/>
        </w:rPr>
        <w:t> </w:t>
      </w:r>
      <w:r>
        <w:rPr/>
        <w:t>公司同意向</w:t>
      </w:r>
      <w:r>
        <w:rPr>
          <w:spacing w:val="-46"/>
        </w:rPr>
        <w:t> </w:t>
      </w:r>
      <w:r>
        <w:rPr>
          <w:rFonts w:ascii="宋体" w:hAnsi="宋体" w:cs="宋体" w:eastAsia="宋体" w:hint="default"/>
        </w:rPr>
        <w:t>Getjar</w:t>
      </w:r>
      <w:r>
        <w:rPr>
          <w:rFonts w:ascii="宋体" w:hAnsi="宋体" w:cs="宋体" w:eastAsia="宋体" w:hint="default"/>
          <w:spacing w:val="-46"/>
        </w:rPr>
        <w:t> </w:t>
      </w:r>
      <w:r>
        <w:rPr/>
        <w:t>公司的股东</w:t>
      </w:r>
      <w:r>
        <w:rPr>
          <w:spacing w:val="-46"/>
        </w:rPr>
        <w:t> </w:t>
      </w:r>
      <w:r>
        <w:rPr>
          <w:rFonts w:ascii="宋体" w:hAnsi="宋体" w:cs="宋体" w:eastAsia="宋体" w:hint="default"/>
        </w:rPr>
        <w:t>GAXO Ventures Limited</w:t>
      </w:r>
      <w:r>
        <w:rPr>
          <w:rFonts w:ascii="宋体" w:hAnsi="宋体" w:cs="宋体" w:eastAsia="宋体" w:hint="default"/>
          <w:spacing w:val="-46"/>
        </w:rPr>
        <w:t> </w:t>
      </w:r>
      <w:r>
        <w:rPr/>
        <w:t>支付在购买资产的</w:t>
      </w:r>
      <w:r>
        <w:rPr>
          <w:spacing w:val="-46"/>
        </w:rPr>
        <w:t> </w:t>
      </w:r>
      <w:r>
        <w:rPr>
          <w:rFonts w:ascii="宋体" w:hAnsi="宋体" w:cs="宋体" w:eastAsia="宋体" w:hint="default"/>
        </w:rPr>
        <w:t>36</w:t>
      </w:r>
      <w:r>
        <w:rPr>
          <w:rFonts w:ascii="宋体" w:hAnsi="宋体" w:cs="宋体" w:eastAsia="宋体" w:hint="default"/>
          <w:spacing w:val="-46"/>
        </w:rPr>
        <w:t> </w:t>
      </w:r>
      <w:r>
        <w:rPr/>
        <w:t>个月后该期间利润的</w:t>
      </w:r>
      <w:r>
        <w:rPr>
          <w:spacing w:val="-46"/>
        </w:rPr>
        <w:t> </w:t>
      </w:r>
      <w:r>
        <w:rPr>
          <w:rFonts w:ascii="宋体" w:hAnsi="宋体" w:cs="宋体" w:eastAsia="宋体" w:hint="default"/>
        </w:rPr>
        <w:t>50%</w:t>
      </w:r>
      <w:r>
        <w:rPr/>
        <w:t>。</w:t>
      </w:r>
      <w:r>
        <w:rPr>
          <w:rFonts w:ascii="宋体" w:hAnsi="宋体" w:cs="宋体" w:eastAsia="宋体" w:hint="default"/>
        </w:rPr>
        <w:t>2016</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 </w:t>
      </w:r>
      <w:r>
        <w:rPr/>
        <w:t>日，本公司预计未来需要支付的金额为</w:t>
      </w:r>
      <w:r>
        <w:rPr>
          <w:spacing w:val="-46"/>
        </w:rPr>
        <w:t> </w:t>
      </w:r>
      <w:r>
        <w:rPr>
          <w:rFonts w:ascii="宋体" w:hAnsi="宋体" w:cs="宋体" w:eastAsia="宋体" w:hint="default"/>
        </w:rPr>
        <w:t>1,500,000.00</w:t>
      </w:r>
      <w:r>
        <w:rPr>
          <w:rFonts w:ascii="宋体" w:hAnsi="宋体" w:cs="宋体" w:eastAsia="宋体" w:hint="default"/>
          <w:spacing w:val="-46"/>
        </w:rPr>
        <w:t> </w:t>
      </w:r>
      <w:r>
        <w:rPr/>
        <w:t>美元，折算人民币金额</w:t>
      </w:r>
      <w:r>
        <w:rPr>
          <w:spacing w:val="-46"/>
        </w:rPr>
        <w:t> </w:t>
      </w:r>
      <w:r>
        <w:rPr>
          <w:rFonts w:ascii="宋体" w:hAnsi="宋体" w:cs="宋体" w:eastAsia="宋体" w:hint="default"/>
        </w:rPr>
        <w:t>10,405,500.00</w:t>
      </w:r>
      <w:r>
        <w:rPr>
          <w:rFonts w:ascii="宋体" w:hAnsi="宋体" w:cs="宋体" w:eastAsia="宋体" w:hint="default"/>
          <w:spacing w:val="-46"/>
        </w:rPr>
        <w:t> </w:t>
      </w:r>
      <w:r>
        <w:rPr/>
        <w:t>元。</w:t>
      </w:r>
      <w:r>
        <w:rPr>
          <w:rFonts w:ascii="宋体" w:hAnsi="宋体" w:cs="宋体" w:eastAsia="宋体" w:hint="default"/>
        </w:rPr>
        <w:t>2017</w:t>
      </w:r>
      <w:r>
        <w:rPr>
          <w:rFonts w:ascii="宋体" w:hAnsi="宋体" w:cs="宋体" w:eastAsia="宋体" w:hint="default"/>
          <w:spacing w:val="-45"/>
        </w:rPr>
        <w:t> </w:t>
      </w:r>
      <w:r>
        <w:rPr/>
        <w:t>年</w:t>
      </w:r>
      <w:r>
        <w:rPr>
          <w:spacing w:val="-46"/>
        </w:rPr>
        <w:t> </w:t>
      </w:r>
      <w:r>
        <w:rPr>
          <w:rFonts w:ascii="宋体" w:hAnsi="宋体" w:cs="宋体" w:eastAsia="宋体" w:hint="default"/>
        </w:rPr>
        <w:t>9</w:t>
      </w:r>
      <w:r>
        <w:rPr>
          <w:rFonts w:ascii="宋体" w:hAnsi="宋体" w:cs="宋体" w:eastAsia="宋体" w:hint="default"/>
          <w:spacing w:val="-46"/>
        </w:rPr>
        <w:t> </w:t>
      </w:r>
      <w:r>
        <w:rPr/>
        <w:t>月，根据</w:t>
      </w:r>
      <w:r>
        <w:rPr>
          <w:spacing w:val="-46"/>
        </w:rPr>
        <w:t> </w:t>
      </w:r>
      <w:r>
        <w:rPr>
          <w:rFonts w:ascii="宋体" w:hAnsi="宋体" w:cs="宋体" w:eastAsia="宋体" w:hint="default"/>
        </w:rPr>
        <w:t>36</w:t>
      </w:r>
      <w:r>
        <w:rPr>
          <w:rFonts w:ascii="宋体" w:hAnsi="宋体" w:cs="宋体" w:eastAsia="宋体" w:hint="default"/>
          <w:spacing w:val="-46"/>
        </w:rPr>
        <w:t> </w:t>
      </w:r>
      <w:r>
        <w:rPr/>
        <w:t>个</w:t>
      </w:r>
    </w:p>
    <w:p>
      <w:pPr>
        <w:pStyle w:val="BodyText"/>
        <w:spacing w:line="240" w:lineRule="auto" w:before="19"/>
        <w:ind w:left="153" w:right="0"/>
        <w:jc w:val="left"/>
      </w:pPr>
      <w:r>
        <w:rPr/>
        <w:t>月实际盈利情况计算并经双方确认的应付利润款为</w:t>
      </w:r>
      <w:r>
        <w:rPr>
          <w:spacing w:val="-45"/>
        </w:rPr>
        <w:t> </w:t>
      </w:r>
      <w:r>
        <w:rPr>
          <w:rFonts w:ascii="宋体" w:hAnsi="宋体" w:cs="宋体" w:eastAsia="宋体" w:hint="default"/>
        </w:rPr>
        <w:t>167,956.15</w:t>
      </w:r>
      <w:r>
        <w:rPr>
          <w:rFonts w:ascii="宋体" w:hAnsi="宋体" w:cs="宋体" w:eastAsia="宋体" w:hint="default"/>
          <w:spacing w:val="-46"/>
        </w:rPr>
        <w:t> </w:t>
      </w:r>
      <w:r>
        <w:rPr/>
        <w:t>美元，上期计提的金额与本期确认应结算金额的差额</w:t>
      </w:r>
    </w:p>
    <w:p>
      <w:pPr>
        <w:pStyle w:val="BodyText"/>
        <w:spacing w:line="240" w:lineRule="auto" w:before="77"/>
        <w:ind w:left="153" w:right="0"/>
        <w:jc w:val="left"/>
      </w:pPr>
      <w:r>
        <w:rPr>
          <w:rFonts w:ascii="宋体" w:hAnsi="宋体" w:cs="宋体" w:eastAsia="宋体" w:hint="default"/>
        </w:rPr>
        <w:t>1,332,043.85</w:t>
      </w:r>
      <w:r>
        <w:rPr>
          <w:rFonts w:ascii="宋体" w:hAnsi="宋体" w:cs="宋体" w:eastAsia="宋体" w:hint="default"/>
          <w:spacing w:val="-46"/>
        </w:rPr>
        <w:t> </w:t>
      </w:r>
      <w:r>
        <w:rPr/>
        <w:t>美元，折算人民币</w:t>
      </w:r>
      <w:r>
        <w:rPr>
          <w:spacing w:val="-46"/>
        </w:rPr>
        <w:t> </w:t>
      </w:r>
      <w:r>
        <w:rPr>
          <w:rFonts w:ascii="宋体" w:hAnsi="宋体" w:cs="宋体" w:eastAsia="宋体" w:hint="default"/>
        </w:rPr>
        <w:t>9,001,019.91</w:t>
      </w:r>
      <w:r>
        <w:rPr>
          <w:rFonts w:ascii="宋体" w:hAnsi="宋体" w:cs="宋体" w:eastAsia="宋体" w:hint="default"/>
          <w:spacing w:val="-46"/>
        </w:rPr>
        <w:t> </w:t>
      </w:r>
      <w:r>
        <w:rPr/>
        <w:t>元计入本年投资收益。</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51、递延收益" w:id="358"/>
      <w:bookmarkEnd w:id="358"/>
      <w:r>
        <w:rPr>
          <w:b w:val="0"/>
          <w:bCs w:val="0"/>
        </w:rPr>
      </w:r>
      <w:r>
        <w:rPr>
          <w:rFonts w:ascii="宋体" w:hAnsi="宋体" w:cs="宋体" w:eastAsia="宋体" w:hint="default"/>
        </w:rPr>
        <w:t>51</w:t>
      </w:r>
      <w:r>
        <w:rPr/>
        <w:t>、递延收益</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122,574.00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37,563.00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85,011.00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预收游戏授权金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813,919.48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262,054.47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551,865.01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936,493.48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299,617.47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636,876.01</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r>
    </w:tbl>
    <w:p>
      <w:pPr>
        <w:pStyle w:val="BodyText"/>
        <w:spacing w:line="240" w:lineRule="auto" w:before="51"/>
        <w:ind w:right="0"/>
        <w:jc w:val="left"/>
      </w:pPr>
      <w:r>
        <w:rPr/>
        <w:t>涉及政府补助的项目：</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29" w:hanging="4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自闭症儿童 辅助交流工 具软件</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1" w:right="0"/>
              <w:jc w:val="left"/>
              <w:rPr>
                <w:rFonts w:ascii="宋体" w:hAnsi="宋体" w:cs="宋体" w:eastAsia="宋体" w:hint="default"/>
                <w:sz w:val="18"/>
                <w:szCs w:val="18"/>
              </w:rPr>
            </w:pPr>
            <w:r>
              <w:rPr>
                <w:rFonts w:ascii="宋体"/>
                <w:sz w:val="18"/>
              </w:rPr>
              <w:t>122,574.00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37,563.00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85,011.00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1" w:right="0"/>
              <w:jc w:val="left"/>
              <w:rPr>
                <w:rFonts w:ascii="宋体" w:hAnsi="宋体" w:cs="宋体" w:eastAsia="宋体" w:hint="default"/>
                <w:sz w:val="18"/>
                <w:szCs w:val="18"/>
              </w:rPr>
            </w:pPr>
            <w:r>
              <w:rPr>
                <w:rFonts w:ascii="宋体"/>
                <w:sz w:val="18"/>
              </w:rPr>
              <w:t>122,574.00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37,563.00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85,011.00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pStyle w:val="BodyText"/>
        <w:spacing w:line="240" w:lineRule="auto" w:before="51"/>
        <w:ind w:right="0"/>
        <w:jc w:val="left"/>
      </w:pPr>
      <w:r>
        <w:rPr/>
        <w:t>其他说明：</w:t>
      </w:r>
    </w:p>
    <w:p>
      <w:pPr>
        <w:pStyle w:val="BodyText"/>
        <w:spacing w:line="240" w:lineRule="auto" w:before="117"/>
        <w:ind w:left="514" w:right="0"/>
        <w:jc w:val="left"/>
      </w:pPr>
      <w:r>
        <w:rPr/>
        <w:t>计入递延收益的政府补助参见附注七、</w:t>
      </w:r>
      <w:r>
        <w:rPr>
          <w:rFonts w:ascii="宋体" w:hAnsi="宋体" w:cs="宋体" w:eastAsia="宋体" w:hint="default"/>
        </w:rPr>
        <w:t>71</w:t>
      </w:r>
      <w:r>
        <w:rPr/>
        <w:t>、计入当期损益的政府补助。</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52、其他非流动负债" w:id="359"/>
      <w:bookmarkEnd w:id="359"/>
      <w:r>
        <w:rPr>
          <w:b w:val="0"/>
          <w:bCs w:val="0"/>
        </w:rPr>
      </w:r>
      <w:r>
        <w:rPr>
          <w:rFonts w:ascii="宋体" w:hAnsi="宋体" w:cs="宋体" w:eastAsia="宋体" w:hint="default"/>
        </w:rPr>
        <w:t>52</w:t>
      </w:r>
      <w:r>
        <w:rPr/>
        <w:t>、其他非流动负债</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after="0" w:line="240" w:lineRule="auto"/>
        <w:jc w:val="left"/>
        <w:sectPr>
          <w:pgSz w:w="11910" w:h="16840"/>
          <w:pgMar w:header="877" w:footer="1187" w:top="1100" w:bottom="138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53、股本" w:id="360"/>
      <w:bookmarkEnd w:id="360"/>
      <w:r>
        <w:rPr>
          <w:b w:val="0"/>
          <w:bCs w:val="0"/>
        </w:rPr>
      </w:r>
      <w:r>
        <w:rPr>
          <w:rFonts w:ascii="宋体" w:hAnsi="宋体" w:cs="宋体" w:eastAsia="宋体" w:hint="default"/>
        </w:rPr>
        <w:t>53</w:t>
      </w:r>
      <w:r>
        <w:rPr/>
        <w:t>、股本</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6"/>
        <w:gridCol w:w="1196"/>
        <w:gridCol w:w="1197"/>
        <w:gridCol w:w="1195"/>
        <w:gridCol w:w="1197"/>
        <w:gridCol w:w="1196"/>
        <w:gridCol w:w="119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965,710,782.</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1196"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965,710,782.</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r>
      <w:tr>
        <w:trPr>
          <w:trHeight w:val="391"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2"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54、其他权益工具" w:id="361"/>
      <w:bookmarkEnd w:id="361"/>
      <w:r>
        <w:rPr>
          <w:b w:val="0"/>
          <w:bCs w:val="0"/>
        </w:rPr>
      </w:r>
      <w:r>
        <w:rPr>
          <w:rFonts w:ascii="宋体" w:hAnsi="宋体" w:cs="宋体" w:eastAsia="宋体" w:hint="default"/>
        </w:rPr>
        <w:t>54</w:t>
      </w:r>
      <w:r>
        <w:rPr/>
        <w:t>、其他权益工具</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53" w:right="0"/>
        <w:jc w:val="left"/>
        <w:rPr>
          <w:b w:val="0"/>
          <w:bCs w:val="0"/>
        </w:rPr>
      </w:pPr>
      <w:bookmarkStart w:name="（1）期末发行在外的优先股、永续债等其他金融工具基本情况" w:id="362"/>
      <w:bookmarkEnd w:id="362"/>
      <w:r>
        <w:rPr>
          <w:b w:val="0"/>
          <w:bCs w:val="0"/>
        </w:rPr>
      </w:r>
      <w:r>
        <w:rPr/>
        <w:t>（</w:t>
      </w:r>
      <w:r>
        <w:rPr>
          <w:rFonts w:ascii="宋体" w:hAnsi="宋体" w:cs="宋体" w:eastAsia="宋体" w:hint="default"/>
        </w:rPr>
        <w:t>1</w:t>
      </w:r>
      <w:r>
        <w:rPr/>
        <w:t>）期末发行在外的优先股、永续债等其他金融工具基本情况</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53" w:right="0"/>
        <w:jc w:val="left"/>
        <w:rPr>
          <w:b w:val="0"/>
          <w:bCs w:val="0"/>
        </w:rPr>
      </w:pPr>
      <w:bookmarkStart w:name="（2）期末发行在外的优先股、永续债等金融工具变动情况表" w:id="363"/>
      <w:bookmarkEnd w:id="363"/>
      <w:r>
        <w:rPr>
          <w:b w:val="0"/>
          <w:bCs w:val="0"/>
        </w:rPr>
      </w:r>
      <w:r>
        <w:rPr/>
        <w:t>（</w:t>
      </w:r>
      <w:r>
        <w:rPr>
          <w:rFonts w:ascii="宋体" w:hAnsi="宋体" w:cs="宋体" w:eastAsia="宋体" w:hint="default"/>
        </w:rPr>
        <w:t>2</w:t>
      </w:r>
      <w:r>
        <w:rPr/>
        <w:t>）期末发行在外的优先股、永续债等金融工具变动情况表</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left="153" w:right="4633"/>
        <w:jc w:val="left"/>
      </w:pPr>
      <w:r>
        <w:rPr/>
        <w:t>其他权益工具本期增减变动情况、变动原因说明，以及相关会计处理的依据： 其他说明：</w:t>
      </w:r>
    </w:p>
    <w:p>
      <w:pPr>
        <w:spacing w:line="240" w:lineRule="auto" w:before="12"/>
        <w:rPr>
          <w:rFonts w:ascii="宋体" w:hAnsi="宋体" w:cs="宋体" w:eastAsia="宋体" w:hint="default"/>
          <w:sz w:val="19"/>
          <w:szCs w:val="19"/>
        </w:rPr>
      </w:pPr>
    </w:p>
    <w:p>
      <w:pPr>
        <w:pStyle w:val="Heading3"/>
        <w:spacing w:line="240" w:lineRule="auto"/>
        <w:ind w:left="153" w:right="0"/>
        <w:jc w:val="left"/>
        <w:rPr>
          <w:b w:val="0"/>
          <w:bCs w:val="0"/>
        </w:rPr>
      </w:pPr>
      <w:bookmarkStart w:name="55、资本公积" w:id="364"/>
      <w:bookmarkEnd w:id="364"/>
      <w:r>
        <w:rPr>
          <w:b w:val="0"/>
          <w:bCs w:val="0"/>
        </w:rPr>
      </w:r>
      <w:r>
        <w:rPr>
          <w:rFonts w:ascii="宋体" w:hAnsi="宋体" w:cs="宋体" w:eastAsia="宋体" w:hint="default"/>
        </w:rPr>
        <w:t>55</w:t>
      </w:r>
      <w:r>
        <w:rPr/>
        <w:t>、资本公积</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3,452,693,678.82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3,452,693,678.82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49,252,186.17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49,252,186.17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3,501,945,864.99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3,501,945,864.99</w:t>
            </w:r>
          </w:p>
        </w:tc>
      </w:tr>
    </w:tbl>
    <w:p>
      <w:pPr>
        <w:pStyle w:val="BodyText"/>
        <w:spacing w:line="240" w:lineRule="auto" w:before="51"/>
        <w:ind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6、库存股" w:id="365"/>
      <w:bookmarkEnd w:id="365"/>
      <w:r>
        <w:rPr>
          <w:b w:val="0"/>
          <w:bCs w:val="0"/>
        </w:rPr>
      </w:r>
      <w:r>
        <w:rPr>
          <w:rFonts w:ascii="宋体" w:hAnsi="宋体" w:cs="宋体" w:eastAsia="宋体" w:hint="default"/>
        </w:rPr>
        <w:t>56</w:t>
      </w:r>
      <w:r>
        <w:rPr/>
        <w:t>、库存股</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7、其他综合收益" w:id="366"/>
      <w:bookmarkEnd w:id="366"/>
      <w:r>
        <w:rPr>
          <w:b w:val="0"/>
          <w:bCs w:val="0"/>
        </w:rPr>
      </w:r>
      <w:r>
        <w:rPr>
          <w:rFonts w:ascii="宋体" w:hAnsi="宋体" w:cs="宋体" w:eastAsia="宋体" w:hint="default"/>
        </w:rPr>
        <w:t>57</w:t>
      </w:r>
      <w:r>
        <w:rPr/>
        <w:t>、其他综合收益</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4893"/>
        <w:gridCol w:w="798"/>
      </w:tblGrid>
      <w:tr>
        <w:trPr>
          <w:trHeight w:val="402"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161"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704" w:hRule="exact"/>
        </w:trPr>
        <w:tc>
          <w:tcPr>
            <w:tcW w:w="2799" w:type="dxa"/>
            <w:vMerge/>
            <w:tcBorders>
              <w:left w:val="single" w:sz="4" w:space="0" w:color="000000"/>
              <w:right w:val="single" w:sz="4" w:space="0" w:color="000000"/>
            </w:tcBorders>
            <w:shd w:val="clear" w:color="auto" w:fill="D2D2D2"/>
          </w:tcPr>
          <w:p>
            <w:pPr/>
          </w:p>
        </w:tc>
        <w:tc>
          <w:tcPr>
            <w:tcW w:w="1070" w:type="dxa"/>
            <w:vMerge/>
            <w:tcBorders>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vMerge/>
            <w:tcBorders>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60,090,499.</w:t>
            </w:r>
          </w:p>
          <w:p>
            <w:pPr>
              <w:pStyle w:val="TableParagraph"/>
              <w:spacing w:line="240" w:lineRule="auto" w:before="78"/>
              <w:ind w:right="22"/>
              <w:jc w:val="right"/>
              <w:rPr>
                <w:rFonts w:ascii="宋体" w:hAnsi="宋体" w:cs="宋体" w:eastAsia="宋体" w:hint="default"/>
                <w:sz w:val="18"/>
                <w:szCs w:val="18"/>
              </w:rPr>
            </w:pPr>
            <w:r>
              <w:rPr>
                <w:rFonts w:ascii="宋体"/>
                <w:sz w:val="18"/>
              </w:rPr>
              <w:t>69</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sz w:val="18"/>
              </w:rPr>
              <w:t>-82,440,8</w:t>
            </w:r>
          </w:p>
          <w:p>
            <w:pPr>
              <w:pStyle w:val="TableParagraph"/>
              <w:spacing w:line="240" w:lineRule="auto" w:before="78"/>
              <w:ind w:left="451" w:right="0"/>
              <w:jc w:val="left"/>
              <w:rPr>
                <w:rFonts w:ascii="宋体" w:hAnsi="宋体" w:cs="宋体" w:eastAsia="宋体" w:hint="default"/>
                <w:sz w:val="18"/>
                <w:szCs w:val="18"/>
              </w:rPr>
            </w:pPr>
            <w:r>
              <w:rPr>
                <w:rFonts w:ascii="宋体"/>
                <w:sz w:val="18"/>
              </w:rPr>
              <w:t>57.10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sz w:val="18"/>
              </w:rPr>
              <w:t>-82,440,8</w:t>
            </w:r>
          </w:p>
          <w:p>
            <w:pPr>
              <w:pStyle w:val="TableParagraph"/>
              <w:spacing w:line="240" w:lineRule="auto" w:before="78"/>
              <w:ind w:left="452" w:right="0"/>
              <w:jc w:val="left"/>
              <w:rPr>
                <w:rFonts w:ascii="宋体" w:hAnsi="宋体" w:cs="宋体" w:eastAsia="宋体" w:hint="default"/>
                <w:sz w:val="18"/>
                <w:szCs w:val="18"/>
              </w:rPr>
            </w:pPr>
            <w:r>
              <w:rPr>
                <w:rFonts w:ascii="宋体"/>
                <w:sz w:val="18"/>
              </w:rPr>
              <w:t>57.10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center"/>
              <w:rPr>
                <w:rFonts w:ascii="宋体" w:hAnsi="宋体" w:cs="宋体" w:eastAsia="宋体" w:hint="default"/>
                <w:sz w:val="18"/>
                <w:szCs w:val="18"/>
              </w:rPr>
            </w:pPr>
            <w:r>
              <w:rPr>
                <w:rFonts w:ascii="宋体"/>
                <w:sz w:val="18"/>
              </w:rPr>
              <w:t>-22,350,</w:t>
            </w:r>
          </w:p>
          <w:p>
            <w:pPr>
              <w:pStyle w:val="TableParagraph"/>
              <w:spacing w:line="240" w:lineRule="auto" w:before="78"/>
              <w:ind w:left="200" w:right="0"/>
              <w:jc w:val="center"/>
              <w:rPr>
                <w:rFonts w:ascii="宋体" w:hAnsi="宋体" w:cs="宋体" w:eastAsia="宋体" w:hint="default"/>
                <w:sz w:val="18"/>
                <w:szCs w:val="18"/>
              </w:rPr>
            </w:pPr>
            <w:r>
              <w:rPr>
                <w:rFonts w:ascii="宋体"/>
                <w:sz w:val="18"/>
              </w:rPr>
              <w:t>357.41</w:t>
            </w:r>
          </w:p>
        </w:tc>
      </w:tr>
      <w:tr>
        <w:trPr>
          <w:trHeight w:val="1026"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6"/>
              <w:jc w:val="both"/>
              <w:rPr>
                <w:rFonts w:ascii="宋体" w:hAnsi="宋体" w:cs="宋体" w:eastAsia="宋体" w:hint="default"/>
                <w:sz w:val="18"/>
                <w:szCs w:val="18"/>
              </w:rPr>
            </w:pPr>
            <w:r>
              <w:rPr>
                <w:rFonts w:ascii="宋体" w:hAnsi="宋体" w:cs="宋体" w:eastAsia="宋体" w:hint="default"/>
                <w:sz w:val="18"/>
                <w:szCs w:val="18"/>
              </w:rPr>
              <w:t>其中：权益法下在被投资单位以后 将重分类进损益的其他综合收益中 享有的份额</w:t>
            </w:r>
          </w:p>
        </w:tc>
        <w:tc>
          <w:tcPr>
            <w:tcW w:w="1070"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sz w:val="18"/>
              </w:rPr>
              <w:t>-1,073,60</w:t>
            </w:r>
          </w:p>
          <w:p>
            <w:pPr>
              <w:pStyle w:val="TableParagraph"/>
              <w:spacing w:line="240" w:lineRule="auto" w:before="77"/>
              <w:ind w:left="541" w:right="0"/>
              <w:jc w:val="left"/>
              <w:rPr>
                <w:rFonts w:ascii="宋体" w:hAnsi="宋体" w:cs="宋体" w:eastAsia="宋体" w:hint="default"/>
                <w:sz w:val="18"/>
                <w:szCs w:val="18"/>
              </w:rPr>
            </w:pPr>
            <w:r>
              <w:rPr>
                <w:rFonts w:ascii="宋体"/>
                <w:sz w:val="18"/>
              </w:rPr>
              <w:t>0.67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sz w:val="18"/>
              </w:rPr>
              <w:t>-1,073,60</w:t>
            </w:r>
          </w:p>
          <w:p>
            <w:pPr>
              <w:pStyle w:val="TableParagraph"/>
              <w:spacing w:line="240" w:lineRule="auto" w:before="77"/>
              <w:ind w:left="542" w:right="0"/>
              <w:jc w:val="left"/>
              <w:rPr>
                <w:rFonts w:ascii="宋体" w:hAnsi="宋体" w:cs="宋体" w:eastAsia="宋体" w:hint="default"/>
                <w:sz w:val="18"/>
                <w:szCs w:val="18"/>
              </w:rPr>
            </w:pPr>
            <w:r>
              <w:rPr>
                <w:rFonts w:ascii="宋体"/>
                <w:sz w:val="18"/>
              </w:rPr>
              <w:t>0.67</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sz w:val="18"/>
              </w:rPr>
              <w:t>-1,073,6</w:t>
            </w:r>
          </w:p>
          <w:p>
            <w:pPr>
              <w:pStyle w:val="TableParagraph"/>
              <w:spacing w:line="240" w:lineRule="auto" w:before="77"/>
              <w:ind w:left="313" w:right="0"/>
              <w:jc w:val="left"/>
              <w:rPr>
                <w:rFonts w:ascii="宋体" w:hAnsi="宋体" w:cs="宋体" w:eastAsia="宋体" w:hint="default"/>
                <w:sz w:val="18"/>
                <w:szCs w:val="18"/>
              </w:rPr>
            </w:pPr>
            <w:r>
              <w:rPr>
                <w:rFonts w:ascii="宋体"/>
                <w:sz w:val="18"/>
              </w:rPr>
              <w:t>00.67</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60,090,499.</w:t>
            </w:r>
          </w:p>
          <w:p>
            <w:pPr>
              <w:pStyle w:val="TableParagraph"/>
              <w:spacing w:line="240" w:lineRule="auto" w:before="77"/>
              <w:ind w:right="22"/>
              <w:jc w:val="right"/>
              <w:rPr>
                <w:rFonts w:ascii="宋体" w:hAnsi="宋体" w:cs="宋体" w:eastAsia="宋体" w:hint="default"/>
                <w:sz w:val="18"/>
                <w:szCs w:val="18"/>
              </w:rPr>
            </w:pPr>
            <w:r>
              <w:rPr>
                <w:rFonts w:ascii="宋体"/>
                <w:sz w:val="18"/>
              </w:rPr>
              <w:t>69</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sz w:val="18"/>
              </w:rPr>
              <w:t>-81,367,2</w:t>
            </w:r>
          </w:p>
          <w:p>
            <w:pPr>
              <w:pStyle w:val="TableParagraph"/>
              <w:spacing w:line="240" w:lineRule="auto" w:before="77"/>
              <w:ind w:left="451" w:right="0"/>
              <w:jc w:val="left"/>
              <w:rPr>
                <w:rFonts w:ascii="宋体" w:hAnsi="宋体" w:cs="宋体" w:eastAsia="宋体" w:hint="default"/>
                <w:sz w:val="18"/>
                <w:szCs w:val="18"/>
              </w:rPr>
            </w:pPr>
            <w:r>
              <w:rPr>
                <w:rFonts w:ascii="宋体"/>
                <w:sz w:val="18"/>
              </w:rPr>
              <w:t>56.43</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sz w:val="18"/>
              </w:rPr>
              <w:t>-81,367,2</w:t>
            </w:r>
          </w:p>
          <w:p>
            <w:pPr>
              <w:pStyle w:val="TableParagraph"/>
              <w:spacing w:line="240" w:lineRule="auto" w:before="77"/>
              <w:ind w:left="452" w:right="0"/>
              <w:jc w:val="left"/>
              <w:rPr>
                <w:rFonts w:ascii="宋体" w:hAnsi="宋体" w:cs="宋体" w:eastAsia="宋体" w:hint="default"/>
                <w:sz w:val="18"/>
                <w:szCs w:val="18"/>
              </w:rPr>
            </w:pPr>
            <w:r>
              <w:rPr>
                <w:rFonts w:ascii="宋体"/>
                <w:sz w:val="18"/>
              </w:rPr>
              <w:t>56.43</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51"/>
              <w:ind w:left="20" w:right="0"/>
              <w:jc w:val="center"/>
              <w:rPr>
                <w:rFonts w:ascii="宋体" w:hAnsi="宋体" w:cs="宋体" w:eastAsia="宋体" w:hint="default"/>
                <w:sz w:val="18"/>
                <w:szCs w:val="18"/>
              </w:rPr>
            </w:pPr>
            <w:r>
              <w:rPr>
                <w:rFonts w:ascii="宋体"/>
                <w:sz w:val="18"/>
              </w:rPr>
              <w:t>-21,276,</w:t>
            </w:r>
          </w:p>
          <w:p>
            <w:pPr>
              <w:pStyle w:val="TableParagraph"/>
              <w:spacing w:line="240" w:lineRule="auto" w:before="77"/>
              <w:ind w:left="200" w:right="0"/>
              <w:jc w:val="center"/>
              <w:rPr>
                <w:rFonts w:ascii="宋体" w:hAnsi="宋体" w:cs="宋体" w:eastAsia="宋体" w:hint="default"/>
                <w:sz w:val="18"/>
                <w:szCs w:val="18"/>
              </w:rPr>
            </w:pPr>
            <w:r>
              <w:rPr>
                <w:rFonts w:ascii="宋体"/>
                <w:sz w:val="18"/>
              </w:rPr>
              <w:t>756.74</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60,090,499.</w:t>
            </w:r>
          </w:p>
          <w:p>
            <w:pPr>
              <w:pStyle w:val="TableParagraph"/>
              <w:spacing w:line="240" w:lineRule="auto" w:before="77"/>
              <w:ind w:right="22"/>
              <w:jc w:val="right"/>
              <w:rPr>
                <w:rFonts w:ascii="宋体" w:hAnsi="宋体" w:cs="宋体" w:eastAsia="宋体" w:hint="default"/>
                <w:sz w:val="18"/>
                <w:szCs w:val="18"/>
              </w:rPr>
            </w:pPr>
            <w:r>
              <w:rPr>
                <w:rFonts w:ascii="宋体"/>
                <w:sz w:val="18"/>
              </w:rPr>
              <w:t>69</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sz w:val="18"/>
              </w:rPr>
              <w:t>-82,440,8</w:t>
            </w:r>
          </w:p>
          <w:p>
            <w:pPr>
              <w:pStyle w:val="TableParagraph"/>
              <w:spacing w:line="240" w:lineRule="auto" w:before="77"/>
              <w:ind w:left="451" w:right="0"/>
              <w:jc w:val="left"/>
              <w:rPr>
                <w:rFonts w:ascii="宋体" w:hAnsi="宋体" w:cs="宋体" w:eastAsia="宋体" w:hint="default"/>
                <w:sz w:val="18"/>
                <w:szCs w:val="18"/>
              </w:rPr>
            </w:pPr>
            <w:r>
              <w:rPr>
                <w:rFonts w:ascii="宋体"/>
                <w:sz w:val="18"/>
              </w:rPr>
              <w:t>57.10</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sz w:val="18"/>
              </w:rPr>
              <w:t>-82,440,8</w:t>
            </w:r>
          </w:p>
          <w:p>
            <w:pPr>
              <w:pStyle w:val="TableParagraph"/>
              <w:spacing w:line="240" w:lineRule="auto" w:before="77"/>
              <w:ind w:left="452" w:right="0"/>
              <w:jc w:val="left"/>
              <w:rPr>
                <w:rFonts w:ascii="宋体" w:hAnsi="宋体" w:cs="宋体" w:eastAsia="宋体" w:hint="default"/>
                <w:sz w:val="18"/>
                <w:szCs w:val="18"/>
              </w:rPr>
            </w:pPr>
            <w:r>
              <w:rPr>
                <w:rFonts w:ascii="宋体"/>
                <w:sz w:val="18"/>
              </w:rPr>
              <w:t>57.10</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51"/>
              <w:ind w:left="20" w:right="0"/>
              <w:jc w:val="center"/>
              <w:rPr>
                <w:rFonts w:ascii="宋体" w:hAnsi="宋体" w:cs="宋体" w:eastAsia="宋体" w:hint="default"/>
                <w:sz w:val="18"/>
                <w:szCs w:val="18"/>
              </w:rPr>
            </w:pPr>
            <w:r>
              <w:rPr>
                <w:rFonts w:ascii="宋体"/>
                <w:sz w:val="18"/>
              </w:rPr>
              <w:t>-22,350,</w:t>
            </w:r>
          </w:p>
          <w:p>
            <w:pPr>
              <w:pStyle w:val="TableParagraph"/>
              <w:spacing w:line="240" w:lineRule="auto" w:before="77"/>
              <w:ind w:left="200" w:right="0"/>
              <w:jc w:val="center"/>
              <w:rPr>
                <w:rFonts w:ascii="宋体" w:hAnsi="宋体" w:cs="宋体" w:eastAsia="宋体" w:hint="default"/>
                <w:sz w:val="18"/>
                <w:szCs w:val="18"/>
              </w:rPr>
            </w:pPr>
            <w:r>
              <w:rPr>
                <w:rFonts w:ascii="宋体"/>
                <w:sz w:val="18"/>
              </w:rPr>
              <w:t>357.41</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pStyle w:val="BodyText"/>
        <w:spacing w:line="357" w:lineRule="auto" w:before="51"/>
        <w:ind w:left="513" w:right="1185" w:hanging="360"/>
        <w:jc w:val="left"/>
      </w:pPr>
      <w:r>
        <w:rPr/>
        <w:t>其他说明，包括对现金流量套期损益的有效部分转为被套期项目初始确认金额调整： 其他综合收益的税后净额本期发生额为</w:t>
      </w:r>
      <w:r>
        <w:rPr>
          <w:rFonts w:ascii="宋体" w:hAnsi="宋体" w:cs="宋体" w:eastAsia="宋体" w:hint="default"/>
        </w:rPr>
        <w:t>-82,440,857.10</w:t>
      </w:r>
      <w:r>
        <w:rPr>
          <w:rFonts w:ascii="宋体" w:hAnsi="宋体" w:cs="宋体" w:eastAsia="宋体" w:hint="default"/>
          <w:spacing w:val="-46"/>
        </w:rPr>
        <w:t> </w:t>
      </w:r>
      <w:r>
        <w:rPr/>
        <w:t>元。其中，归属于母公司股东的其他综合收益的税后净额本期</w:t>
      </w:r>
    </w:p>
    <w:p>
      <w:pPr>
        <w:pStyle w:val="BodyText"/>
        <w:spacing w:line="225" w:lineRule="exact"/>
        <w:ind w:left="153" w:right="0"/>
        <w:jc w:val="left"/>
      </w:pPr>
      <w:r>
        <w:rPr/>
        <w:t>发生额为</w:t>
      </w:r>
      <w:r>
        <w:rPr>
          <w:rFonts w:ascii="宋体" w:hAnsi="宋体" w:cs="宋体" w:eastAsia="宋体" w:hint="default"/>
        </w:rPr>
        <w:t>-82,440,857.10</w:t>
      </w:r>
      <w:r>
        <w:rPr>
          <w:rFonts w:ascii="宋体" w:hAnsi="宋体" w:cs="宋体" w:eastAsia="宋体" w:hint="default"/>
          <w:spacing w:val="-46"/>
        </w:rPr>
        <w:t> </w:t>
      </w:r>
      <w:r>
        <w:rPr/>
        <w:t>元；归属于少数股东的其他综合收益的税后净额的本期发生额为</w:t>
      </w:r>
      <w:r>
        <w:rPr>
          <w:spacing w:val="-46"/>
        </w:rPr>
        <w:t> </w:t>
      </w:r>
      <w:r>
        <w:rPr>
          <w:rFonts w:ascii="宋体" w:hAnsi="宋体" w:cs="宋体" w:eastAsia="宋体" w:hint="default"/>
        </w:rPr>
        <w:t>0.00</w:t>
      </w:r>
      <w:r>
        <w:rPr>
          <w:rFonts w:ascii="宋体" w:hAnsi="宋体" w:cs="宋体" w:eastAsia="宋体" w:hint="default"/>
          <w:spacing w:val="-46"/>
        </w:rPr>
        <w:t> </w:t>
      </w:r>
      <w:r>
        <w:rPr/>
        <w:t>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8、专项储备" w:id="367"/>
      <w:bookmarkEnd w:id="367"/>
      <w:r>
        <w:rPr>
          <w:b w:val="0"/>
          <w:bCs w:val="0"/>
        </w:rPr>
      </w:r>
      <w:r>
        <w:rPr>
          <w:rFonts w:ascii="宋体" w:hAnsi="宋体" w:cs="宋体" w:eastAsia="宋体" w:hint="default"/>
        </w:rPr>
        <w:t>58</w:t>
      </w:r>
      <w:r>
        <w:rPr/>
        <w:t>、专项储备</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right="0"/>
        <w:jc w:val="left"/>
      </w:pPr>
      <w:r>
        <w:rPr/>
        <w:t>其他说明，包括本期增减变动情况、变动原因说明：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9、盈余公积" w:id="368"/>
      <w:bookmarkEnd w:id="368"/>
      <w:r>
        <w:rPr>
          <w:b w:val="0"/>
          <w:bCs w:val="0"/>
        </w:rPr>
      </w:r>
      <w:r>
        <w:rPr>
          <w:rFonts w:ascii="宋体" w:hAnsi="宋体" w:cs="宋体" w:eastAsia="宋体" w:hint="default"/>
        </w:rPr>
        <w:t>59</w:t>
      </w:r>
      <w:r>
        <w:rPr/>
        <w:t>、盈余公积</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31,771,673.94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3,339,503.80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35,111,177.74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31,771,673.94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3,339,503.80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35,111,177.74</w:t>
            </w:r>
          </w:p>
        </w:tc>
      </w:tr>
    </w:tbl>
    <w:p>
      <w:pPr>
        <w:pStyle w:val="BodyText"/>
        <w:spacing w:line="240" w:lineRule="auto" w:before="51"/>
        <w:ind w:right="0"/>
        <w:jc w:val="left"/>
      </w:pPr>
      <w:r>
        <w:rPr/>
        <w:t>盈余公积说明，包括本期增减变动情况、变动原因说明：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0、未分配利润" w:id="369"/>
      <w:bookmarkEnd w:id="369"/>
      <w:r>
        <w:rPr>
          <w:b w:val="0"/>
          <w:bCs w:val="0"/>
        </w:rPr>
      </w:r>
      <w:r>
        <w:rPr>
          <w:rFonts w:ascii="宋体" w:hAnsi="宋体" w:cs="宋体" w:eastAsia="宋体" w:hint="default"/>
        </w:rPr>
        <w:t>60</w:t>
      </w:r>
      <w:r>
        <w:rPr/>
        <w:t>、未分配利润</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48,331,784.53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-267,782,036.50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48,331,784.53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-267,782,036.50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527,325,402.70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316,113,821.03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3,339,503.80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572,317,683.43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48,331,784.53</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0"/>
        </w:sectPr>
      </w:pPr>
    </w:p>
    <w:p>
      <w:pPr>
        <w:spacing w:line="240" w:lineRule="auto" w:before="13"/>
        <w:rPr>
          <w:rFonts w:ascii="宋体" w:hAnsi="宋体" w:cs="宋体" w:eastAsia="宋体" w:hint="default"/>
          <w:sz w:val="21"/>
          <w:szCs w:val="21"/>
        </w:rPr>
      </w:pPr>
    </w:p>
    <w:p>
      <w:pPr>
        <w:pStyle w:val="BodyText"/>
        <w:spacing w:line="357" w:lineRule="auto" w:before="44"/>
        <w:ind w:right="4092"/>
        <w:jc w:val="left"/>
      </w:pPr>
      <w:r>
        <w:rPr/>
        <w:t>调整期初未分配利润明细： </w:t>
      </w:r>
      <w:r>
        <w:rPr>
          <w:rFonts w:ascii="宋体" w:hAnsi="宋体" w:cs="宋体" w:eastAsia="宋体" w:hint="default"/>
        </w:rPr>
        <w:t>1)</w:t>
      </w:r>
      <w:r>
        <w:rPr/>
        <w:t>、由于《企业会计准则》及其相关新规定进行追溯调整，影响期初未分配利润元。</w:t>
      </w:r>
    </w:p>
    <w:p>
      <w:pPr>
        <w:pStyle w:val="BodyText"/>
        <w:spacing w:line="240" w:lineRule="auto" w:before="29"/>
        <w:ind w:left="153" w:right="0"/>
        <w:jc w:val="left"/>
      </w:pPr>
      <w:r>
        <w:rPr>
          <w:rFonts w:ascii="宋体" w:hAnsi="宋体" w:cs="宋体" w:eastAsia="宋体" w:hint="default"/>
        </w:rPr>
        <w:t>2)</w:t>
      </w:r>
      <w:r>
        <w:rPr/>
        <w:t>、由于会计政策变更，影响期初未分配利润元。</w:t>
      </w:r>
    </w:p>
    <w:p>
      <w:pPr>
        <w:pStyle w:val="BodyText"/>
        <w:spacing w:line="240" w:lineRule="auto" w:before="116"/>
        <w:ind w:right="0"/>
        <w:jc w:val="left"/>
      </w:pPr>
      <w:r>
        <w:rPr>
          <w:rFonts w:ascii="宋体" w:hAnsi="宋体" w:cs="宋体" w:eastAsia="宋体" w:hint="default"/>
        </w:rPr>
        <w:t>3)</w:t>
      </w:r>
      <w:r>
        <w:rPr/>
        <w:t>、由于重大会计差错更正，影响期初未分配利润元。</w:t>
      </w:r>
    </w:p>
    <w:p>
      <w:pPr>
        <w:pStyle w:val="BodyText"/>
        <w:spacing w:line="240" w:lineRule="auto" w:before="116"/>
        <w:ind w:right="0"/>
        <w:jc w:val="left"/>
      </w:pPr>
      <w:r>
        <w:rPr>
          <w:rFonts w:ascii="宋体" w:hAnsi="宋体" w:cs="宋体" w:eastAsia="宋体" w:hint="default"/>
        </w:rPr>
        <w:t>4)</w:t>
      </w:r>
      <w:r>
        <w:rPr/>
        <w:t>、由于同一控制导致的合并范围变更，影响期初未分配利润元。</w:t>
      </w:r>
    </w:p>
    <w:p>
      <w:pPr>
        <w:pStyle w:val="BodyText"/>
        <w:spacing w:line="240" w:lineRule="auto" w:before="117"/>
        <w:ind w:left="153" w:right="0"/>
        <w:jc w:val="left"/>
      </w:pPr>
      <w:r>
        <w:rPr>
          <w:rFonts w:ascii="宋体" w:hAnsi="宋体" w:cs="宋体" w:eastAsia="宋体" w:hint="default"/>
        </w:rPr>
        <w:t>5)</w:t>
      </w:r>
      <w:r>
        <w:rPr/>
        <w:t>、其他调整合计影响期初未分配利润元。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1、营业收入和营业成本" w:id="370"/>
      <w:bookmarkEnd w:id="370"/>
      <w:r>
        <w:rPr>
          <w:b w:val="0"/>
          <w:bCs w:val="0"/>
        </w:rPr>
      </w:r>
      <w:r>
        <w:rPr>
          <w:rFonts w:ascii="宋体" w:hAnsi="宋体" w:cs="宋体" w:eastAsia="宋体" w:hint="default"/>
        </w:rPr>
        <w:t>61</w:t>
      </w:r>
      <w:r>
        <w:rPr/>
        <w:t>、营业收入和营业成本</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6,373,794,918.71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5,458,778,028.76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2,364,007,200.40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1,855,566,210.78</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6,373,794,918.71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5,458,778,028.76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2,364,007,200.40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1,855,566,210.78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2、税金及附加" w:id="371"/>
      <w:bookmarkEnd w:id="371"/>
      <w:r>
        <w:rPr>
          <w:b w:val="0"/>
          <w:bCs w:val="0"/>
        </w:rPr>
      </w:r>
      <w:r>
        <w:rPr>
          <w:rFonts w:ascii="宋体" w:hAnsi="宋体" w:cs="宋体" w:eastAsia="宋体" w:hint="default"/>
        </w:rPr>
        <w:t>62</w:t>
      </w:r>
      <w:r>
        <w:rPr/>
        <w:t>、税金及附加</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1,082,900.57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2,283,590.38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831,206.88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1,234,912.95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524,743.86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140,001.55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2,291.00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4,693,956.78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1,620,153.52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16,190.63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87,764.75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26,908.80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544,981.16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819,297.87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1,691,857.39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3,427,218.49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8,863,593.41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10,166,883.17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63、销售费用" w:id="372"/>
      <w:bookmarkEnd w:id="372"/>
      <w:r>
        <w:rPr>
          <w:b w:val="0"/>
          <w:bCs w:val="0"/>
        </w:rPr>
      </w:r>
      <w:r>
        <w:rPr>
          <w:rFonts w:ascii="宋体" w:hAnsi="宋体" w:cs="宋体" w:eastAsia="宋体" w:hint="default"/>
        </w:rPr>
        <w:t>63</w:t>
      </w:r>
      <w:r>
        <w:rPr/>
        <w:t>、销售费用</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73,114,106.57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36,606,127.12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8,436,091.90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8,232,012.51</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5,073,837.70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4,515,115.72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2,715,567.41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4,177,359.31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2,928,336.30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1,641,084.14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2,410,678.80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626,734.64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2,066,767.58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1,049,777.66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咨询及服务费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1,079,503.19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9,871,077.69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车辆交通费用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754,758.86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907,119.47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593,000.79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2,631,192.56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99,172,649.10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70,257,600.82</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64、管理费用" w:id="373"/>
      <w:bookmarkEnd w:id="373"/>
      <w:r>
        <w:rPr>
          <w:b w:val="0"/>
          <w:bCs w:val="0"/>
        </w:rPr>
      </w:r>
      <w:r>
        <w:rPr>
          <w:rFonts w:ascii="宋体" w:hAnsi="宋体" w:cs="宋体" w:eastAsia="宋体" w:hint="default"/>
        </w:rPr>
        <w:t>64</w:t>
      </w:r>
      <w:r>
        <w:rPr/>
        <w:t>、管理费用</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147,232,315.52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35,851,045.87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83,954,350.16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56,937,595.48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17,555,603.84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4,709,452.53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12,414,590.77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3,184,410.31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11,686,882.13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15,484,042.19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6,706,058.41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5,991,393.61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5,510,287.76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2,005,108.77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3,283,720.33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2,717,433.66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1,229,523.56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1,855,578.63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8,675,177.68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6,638,896.88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298,248,510.16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135,374,957.93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65、财务费用" w:id="374"/>
      <w:bookmarkEnd w:id="374"/>
      <w:r>
        <w:rPr>
          <w:b w:val="0"/>
          <w:bCs w:val="0"/>
        </w:rPr>
      </w:r>
      <w:r>
        <w:rPr>
          <w:rFonts w:ascii="宋体" w:hAnsi="宋体" w:cs="宋体" w:eastAsia="宋体" w:hint="default"/>
        </w:rPr>
        <w:t>65</w:t>
      </w:r>
      <w:r>
        <w:rPr/>
        <w:t>、财务费用</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18,519,562.47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6,660,399.62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3,267,210.62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4,764,052.49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-22,091.88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-939,455.92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6,901,395.30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798,895.94</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88" w:right="0"/>
              <w:jc w:val="left"/>
              <w:rPr>
                <w:rFonts w:ascii="宋体" w:hAnsi="宋体" w:cs="宋体" w:eastAsia="宋体" w:hint="default"/>
                <w:sz w:val="18"/>
                <w:szCs w:val="18"/>
              </w:rPr>
            </w:pPr>
            <w:r>
              <w:rPr>
                <w:rFonts w:ascii="宋体"/>
                <w:sz w:val="18"/>
              </w:rPr>
              <w:t>22,131,655.27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7" w:right="0"/>
              <w:jc w:val="left"/>
              <w:rPr>
                <w:rFonts w:ascii="宋体" w:hAnsi="宋体" w:cs="宋体" w:eastAsia="宋体" w:hint="default"/>
                <w:sz w:val="18"/>
                <w:szCs w:val="18"/>
              </w:rPr>
            </w:pPr>
            <w:r>
              <w:rPr>
                <w:rFonts w:ascii="宋体"/>
                <w:sz w:val="18"/>
              </w:rPr>
              <w:t>1,755,787.15</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66、资产减值损失" w:id="375"/>
      <w:bookmarkEnd w:id="375"/>
      <w:r>
        <w:rPr>
          <w:b w:val="0"/>
          <w:bCs w:val="0"/>
        </w:rPr>
      </w:r>
      <w:r>
        <w:rPr>
          <w:rFonts w:ascii="宋体" w:hAnsi="宋体" w:cs="宋体" w:eastAsia="宋体" w:hint="default"/>
        </w:rPr>
        <w:t>66</w:t>
      </w:r>
      <w:r>
        <w:rPr/>
        <w:t>、资产减值损失</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13,396,984.74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3,491,712.64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428,338.68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939,684.37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14,336,669.11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3,920,051.32</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67、公允价值变动收益" w:id="376"/>
      <w:bookmarkEnd w:id="376"/>
      <w:r>
        <w:rPr>
          <w:b w:val="0"/>
          <w:bCs w:val="0"/>
        </w:rPr>
      </w:r>
      <w:r>
        <w:rPr>
          <w:rFonts w:ascii="宋体" w:hAnsi="宋体" w:cs="宋体" w:eastAsia="宋体" w:hint="default"/>
        </w:rPr>
        <w:t>67</w:t>
      </w:r>
      <w:r>
        <w:rPr/>
        <w:t>、公允价值变动收益</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68、投资收益" w:id="377"/>
      <w:bookmarkEnd w:id="377"/>
      <w:r>
        <w:rPr>
          <w:b w:val="0"/>
          <w:bCs w:val="0"/>
        </w:rPr>
      </w:r>
      <w:r>
        <w:rPr>
          <w:rFonts w:ascii="宋体" w:hAnsi="宋体" w:cs="宋体" w:eastAsia="宋体" w:hint="default"/>
        </w:rPr>
        <w:t>68</w:t>
      </w:r>
      <w:r>
        <w:rPr/>
        <w:t>、投资收益</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7,046,669.19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-158,870.59</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43,587,618.13</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45,317,330.94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19,620,225.64</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无需支付的或有对价</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11,718,734.41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64,082,734.54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63,048,973.18</w:t>
            </w:r>
          </w:p>
        </w:tc>
      </w:tr>
    </w:tbl>
    <w:p>
      <w:pPr>
        <w:pStyle w:val="BodyText"/>
        <w:spacing w:line="240" w:lineRule="auto" w:before="51"/>
        <w:ind w:right="0"/>
        <w:jc w:val="left"/>
      </w:pPr>
      <w:r>
        <w:rPr/>
        <w:t>其他说明：</w:t>
      </w:r>
    </w:p>
    <w:p>
      <w:pPr>
        <w:pStyle w:val="BodyText"/>
        <w:spacing w:line="240" w:lineRule="auto" w:before="116"/>
        <w:ind w:left="514" w:right="0"/>
        <w:jc w:val="left"/>
      </w:pPr>
      <w:r>
        <w:rPr/>
        <w:t>说明：无需支付的或有对价参见附注七、</w:t>
      </w:r>
      <w:r>
        <w:rPr>
          <w:rFonts w:ascii="宋体" w:hAnsi="宋体" w:cs="宋体" w:eastAsia="宋体" w:hint="default"/>
        </w:rPr>
        <w:t>50</w:t>
      </w:r>
      <w:r>
        <w:rPr/>
        <w:t>。</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9、资产处置收益" w:id="378"/>
      <w:bookmarkEnd w:id="378"/>
      <w:r>
        <w:rPr>
          <w:b w:val="0"/>
          <w:bCs w:val="0"/>
        </w:rPr>
      </w:r>
      <w:r>
        <w:rPr>
          <w:rFonts w:ascii="宋体" w:hAnsi="宋体" w:cs="宋体" w:eastAsia="宋体" w:hint="default"/>
        </w:rPr>
        <w:t>69</w:t>
      </w:r>
      <w:r>
        <w:rPr/>
        <w:t>、资产处置收益</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54,259.77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626,080.46</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70、其他收益" w:id="379"/>
      <w:bookmarkEnd w:id="379"/>
      <w:r>
        <w:rPr>
          <w:b w:val="0"/>
          <w:bCs w:val="0"/>
        </w:rPr>
      </w:r>
      <w:r>
        <w:rPr>
          <w:rFonts w:ascii="宋体" w:hAnsi="宋体" w:cs="宋体" w:eastAsia="宋体" w:hint="default"/>
        </w:rPr>
        <w:t>70</w:t>
      </w:r>
      <w:r>
        <w:rPr/>
        <w:t>、其他收益</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87" w:right="0"/>
              <w:jc w:val="left"/>
              <w:rPr>
                <w:rFonts w:ascii="宋体" w:hAnsi="宋体" w:cs="宋体" w:eastAsia="宋体" w:hint="default"/>
                <w:sz w:val="18"/>
                <w:szCs w:val="18"/>
              </w:rPr>
            </w:pPr>
            <w:r>
              <w:rPr>
                <w:rFonts w:ascii="宋体"/>
                <w:sz w:val="18"/>
              </w:rPr>
              <w:t>11,274,920.46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1、营业外收入" w:id="380"/>
      <w:bookmarkEnd w:id="380"/>
      <w:r>
        <w:rPr>
          <w:b w:val="0"/>
          <w:bCs w:val="0"/>
        </w:rPr>
      </w:r>
      <w:r>
        <w:rPr>
          <w:rFonts w:ascii="宋体" w:hAnsi="宋体" w:cs="宋体" w:eastAsia="宋体" w:hint="default"/>
        </w:rPr>
        <w:t>71</w:t>
      </w:r>
      <w:r>
        <w:rPr/>
        <w:t>、营业外收入</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37,563.00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11,728,203.78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37,563.00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商标侵权赔偿</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1,351,460.00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152,178.13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1,351,460.00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23,178.78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23,178.78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1,412,201.78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11,880,381.91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1,412,201.78</w:t>
            </w:r>
          </w:p>
        </w:tc>
      </w:tr>
    </w:tbl>
    <w:p>
      <w:pPr>
        <w:pStyle w:val="BodyText"/>
        <w:spacing w:line="240" w:lineRule="auto" w:before="51"/>
        <w:ind w:right="0"/>
        <w:jc w:val="left"/>
      </w:pPr>
      <w:r>
        <w:rPr/>
        <w:t>计入当期损益的政府补助：</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29" w:hanging="4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41"/>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自闭症儿童 辅助交流工 具</w:t>
            </w:r>
            <w:r>
              <w:rPr>
                <w:rFonts w:ascii="宋体" w:hAnsi="宋体" w:cs="宋体" w:eastAsia="宋体" w:hint="default"/>
                <w:sz w:val="18"/>
                <w:szCs w:val="18"/>
              </w:rPr>
              <w:t>"</w:t>
            </w:r>
            <w:r>
              <w:rPr>
                <w:rFonts w:ascii="宋体" w:hAnsi="宋体" w:cs="宋体" w:eastAsia="宋体" w:hint="default"/>
                <w:sz w:val="18"/>
                <w:szCs w:val="18"/>
              </w:rPr>
              <w:t>软件开发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北京市科学 技术委员会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19" w:right="0"/>
              <w:jc w:val="left"/>
              <w:rPr>
                <w:rFonts w:ascii="宋体" w:hAnsi="宋体" w:cs="宋体" w:eastAsia="宋体" w:hint="default"/>
                <w:sz w:val="18"/>
                <w:szCs w:val="18"/>
              </w:rPr>
            </w:pPr>
            <w:r>
              <w:rPr>
                <w:rFonts w:ascii="宋体"/>
                <w:sz w:val="18"/>
              </w:rPr>
              <w:t>37,563.00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277,426.00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both"/>
              <w:rPr>
                <w:rFonts w:ascii="宋体" w:hAnsi="宋体" w:cs="宋体" w:eastAsia="宋体" w:hint="default"/>
                <w:sz w:val="18"/>
                <w:szCs w:val="18"/>
              </w:rPr>
            </w:pPr>
            <w:r>
              <w:rPr>
                <w:rFonts w:ascii="宋体" w:hAnsi="宋体" w:cs="宋体" w:eastAsia="宋体" w:hint="default"/>
                <w:sz w:val="18"/>
                <w:szCs w:val="18"/>
              </w:rPr>
              <w:t>上海市奉贤 区信息化委 员会软件和 信息服务业 专项奖励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上海市奉贤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18,700.00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both"/>
              <w:rPr>
                <w:rFonts w:ascii="宋体" w:hAnsi="宋体" w:cs="宋体" w:eastAsia="宋体" w:hint="default"/>
                <w:sz w:val="18"/>
                <w:szCs w:val="18"/>
              </w:rPr>
            </w:pPr>
            <w:r>
              <w:rPr>
                <w:rFonts w:ascii="宋体" w:hAnsi="宋体" w:cs="宋体" w:eastAsia="宋体" w:hint="default"/>
                <w:sz w:val="18"/>
                <w:szCs w:val="18"/>
              </w:rPr>
              <w:t>深圳市战略 性新兴产业 发展专项资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深圳市发展 和改革委员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both"/>
              <w:rPr>
                <w:rFonts w:ascii="宋体" w:hAnsi="宋体" w:cs="宋体" w:eastAsia="宋体" w:hint="default"/>
                <w:sz w:val="18"/>
                <w:szCs w:val="18"/>
              </w:rPr>
            </w:pPr>
            <w:r>
              <w:rPr>
                <w:rFonts w:ascii="宋体" w:hAnsi="宋体" w:cs="宋体" w:eastAsia="宋体" w:hint="default"/>
                <w:sz w:val="18"/>
                <w:szCs w:val="18"/>
              </w:rPr>
              <w:t>崇明县财政 局专项扶持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崇明县财政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1,205,100.0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31"/>
              <w:jc w:val="both"/>
              <w:rPr>
                <w:rFonts w:ascii="宋体" w:hAnsi="宋体" w:cs="宋体" w:eastAsia="宋体" w:hint="default"/>
                <w:sz w:val="18"/>
                <w:szCs w:val="18"/>
              </w:rPr>
            </w:pPr>
            <w:r>
              <w:rPr>
                <w:rFonts w:ascii="宋体" w:hAnsi="宋体" w:cs="宋体" w:eastAsia="宋体" w:hint="default"/>
                <w:sz w:val="18"/>
                <w:szCs w:val="18"/>
              </w:rPr>
              <w:t>上海徐汇区 财政局扶持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上海市徐汇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大学生场地 租赁补贴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7"/>
              <w:jc w:val="both"/>
              <w:rPr>
                <w:rFonts w:ascii="宋体" w:hAnsi="宋体" w:cs="宋体" w:eastAsia="宋体" w:hint="default"/>
                <w:sz w:val="18"/>
                <w:szCs w:val="18"/>
              </w:rPr>
            </w:pPr>
            <w:r>
              <w:rPr>
                <w:rFonts w:ascii="宋体" w:hAnsi="宋体" w:cs="宋体" w:eastAsia="宋体" w:hint="default"/>
                <w:sz w:val="18"/>
                <w:szCs w:val="18"/>
              </w:rPr>
              <w:t>南京钟山创 产业发展有 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22,300.00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企业引导扶 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西藏拉萨经 济技术开发 区管理委员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1,278,050.0</w:t>
            </w:r>
          </w:p>
          <w:p>
            <w:pPr>
              <w:pStyle w:val="TableParagraph"/>
              <w:spacing w:line="240" w:lineRule="auto" w:before="77"/>
              <w:ind w:right="20"/>
              <w:jc w:val="right"/>
              <w:rPr>
                <w:rFonts w:ascii="宋体" w:hAnsi="宋体" w:cs="宋体" w:eastAsia="宋体" w:hint="default"/>
                <w:sz w:val="18"/>
                <w:szCs w:val="18"/>
              </w:rPr>
            </w:pPr>
            <w:r>
              <w:rPr>
                <w:rFonts w:ascii="宋体"/>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奉贤税务局 财政扶持款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上海临港奉 贤企业服务 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4,565,760.0</w:t>
            </w:r>
          </w:p>
          <w:p>
            <w:pPr>
              <w:pStyle w:val="TableParagraph"/>
              <w:spacing w:line="240" w:lineRule="auto" w:before="77"/>
              <w:ind w:right="20"/>
              <w:jc w:val="right"/>
              <w:rPr>
                <w:rFonts w:ascii="宋体" w:hAnsi="宋体" w:cs="宋体" w:eastAsia="宋体" w:hint="default"/>
                <w:sz w:val="18"/>
                <w:szCs w:val="18"/>
              </w:rPr>
            </w:pPr>
            <w:r>
              <w:rPr>
                <w:rFonts w:ascii="宋体"/>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深圳市原创 文化创意企 业贷款贴息 资助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深圳市文体 旅游局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690,000.00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财政扶持资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859,234.60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南山区科学 技术局研发 投入支持补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深圳市南山 区科学技术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123,000.00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上海市科学 技术委员会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上海市科学 技术委员会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企业研发投 入支持</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深圳市南山 去科学技术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63,000.00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社保局稳岗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深圳市人力 资源和社会 保障局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90,595.68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高新技术企 业倍增支持</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深圳市南山 去科学技术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深圳市市场 监督管理局 著作权登记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深圳市市场 和质量监督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1,800.00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智能化用电 信息采集系 统产业化资 助款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深圳市发展 和改革委员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1,557,500.0</w:t>
            </w:r>
          </w:p>
          <w:p>
            <w:pPr>
              <w:pStyle w:val="TableParagraph"/>
              <w:spacing w:line="240" w:lineRule="auto" w:before="77"/>
              <w:ind w:right="20"/>
              <w:jc w:val="right"/>
              <w:rPr>
                <w:rFonts w:ascii="宋体" w:hAnsi="宋体" w:cs="宋体" w:eastAsia="宋体" w:hint="default"/>
                <w:sz w:val="18"/>
                <w:szCs w:val="18"/>
              </w:rPr>
            </w:pPr>
            <w:r>
              <w:rPr>
                <w:rFonts w:ascii="宋体"/>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年第一 批专利申请 资助款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深圳市市场 质量监督管 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125,000.00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年提升 国际化经营 能力资金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深圳市经济 贸易和信息 化委员会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172,409.00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社保局转生 育津贴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深圳市人力 资源和社会 保障局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8,328.46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9" w:right="0"/>
              <w:jc w:val="left"/>
              <w:rPr>
                <w:rFonts w:ascii="宋体" w:hAnsi="宋体" w:cs="宋体" w:eastAsia="宋体" w:hint="default"/>
                <w:sz w:val="18"/>
                <w:szCs w:val="18"/>
              </w:rPr>
            </w:pPr>
            <w:r>
              <w:rPr>
                <w:rFonts w:ascii="宋体"/>
                <w:sz w:val="18"/>
              </w:rPr>
              <w:t>37,563.00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11,728,203.</w:t>
            </w:r>
          </w:p>
          <w:p>
            <w:pPr>
              <w:pStyle w:val="TableParagraph"/>
              <w:spacing w:line="240" w:lineRule="auto" w:before="77"/>
              <w:ind w:right="20"/>
              <w:jc w:val="right"/>
              <w:rPr>
                <w:rFonts w:ascii="宋体" w:hAnsi="宋体" w:cs="宋体" w:eastAsia="宋体" w:hint="default"/>
                <w:sz w:val="18"/>
                <w:szCs w:val="18"/>
              </w:rPr>
            </w:pPr>
            <w:r>
              <w:rPr>
                <w:rFonts w:ascii="宋体"/>
                <w:sz w:val="18"/>
              </w:rPr>
              <w:t>78</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72、营业外支出" w:id="381"/>
      <w:bookmarkEnd w:id="381"/>
      <w:r>
        <w:rPr>
          <w:b w:val="0"/>
          <w:bCs w:val="0"/>
        </w:rPr>
      </w:r>
      <w:r>
        <w:rPr>
          <w:rFonts w:ascii="宋体" w:hAnsi="宋体" w:cs="宋体" w:eastAsia="宋体" w:hint="default"/>
        </w:rPr>
        <w:t>72</w:t>
      </w:r>
      <w:r>
        <w:rPr/>
        <w:t>、营业外支出</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诉讼赔款及违约金支出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251,562.03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1,530,000.00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68,462.54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231,821.63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68,462.54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1,598,462.54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483,383.66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1,598,462.54</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73、所得税费用" w:id="382"/>
      <w:bookmarkEnd w:id="382"/>
      <w:r>
        <w:rPr>
          <w:b w:val="0"/>
          <w:bCs w:val="0"/>
        </w:rPr>
      </w:r>
      <w:r>
        <w:rPr>
          <w:rFonts w:ascii="宋体" w:hAnsi="宋体" w:cs="宋体" w:eastAsia="宋体" w:hint="default"/>
        </w:rPr>
        <w:t>73</w:t>
      </w:r>
      <w:r>
        <w:rPr/>
        <w:t>、所得税费用</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53" w:right="0"/>
        <w:jc w:val="left"/>
        <w:rPr>
          <w:b w:val="0"/>
          <w:bCs w:val="0"/>
        </w:rPr>
      </w:pPr>
      <w:bookmarkStart w:name="（1）所得税费用表" w:id="383"/>
      <w:bookmarkEnd w:id="383"/>
      <w:r>
        <w:rPr>
          <w:b w:val="0"/>
          <w:bCs w:val="0"/>
        </w:rPr>
      </w:r>
      <w:r>
        <w:rPr/>
        <w:t>（</w:t>
      </w:r>
      <w:r>
        <w:rPr>
          <w:rFonts w:ascii="宋体" w:hAnsi="宋体" w:cs="宋体" w:eastAsia="宋体" w:hint="default"/>
        </w:rPr>
        <w:t>1</w:t>
      </w:r>
      <w:r>
        <w:rPr/>
        <w:t>）所得税费用表</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100,246,085.27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41,174,261.33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-79,635,859.05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4,603,844.98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20,610,226.22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45,778,106.31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384"/>
      <w:bookmarkEnd w:id="384"/>
      <w:r>
        <w:rPr>
          <w:b w:val="0"/>
          <w:bCs w:val="0"/>
        </w:rPr>
      </w:r>
      <w:r>
        <w:rPr/>
        <w:t>（</w:t>
      </w:r>
      <w:r>
        <w:rPr>
          <w:rFonts w:ascii="宋体" w:hAnsi="宋体" w:cs="宋体" w:eastAsia="宋体" w:hint="default"/>
        </w:rPr>
        <w:t>2</w:t>
      </w:r>
      <w:r>
        <w:rPr/>
        <w:t>）会计利润与所得税费用调整过程</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549,085,748.94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宋体" w:hAnsi="宋体" w:cs="宋体" w:eastAsia="宋体"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137,271,437.23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-121,385,874.90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2,010,940.79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-1,057,000.38</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2,347,652.56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-1,094,518.45</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2,863,572.41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税率变动对期初递延所得税余额的影响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5,948,479.79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研究开发费加成扣除的纳税影响（以</w:t>
            </w:r>
            <w:r>
              <w:rPr>
                <w:rFonts w:ascii="宋体" w:hAnsi="宋体" w:cs="宋体" w:eastAsia="宋体" w:hint="default"/>
                <w:sz w:val="18"/>
                <w:szCs w:val="18"/>
              </w:rPr>
              <w:t>"-"</w:t>
            </w:r>
            <w:r>
              <w:rPr>
                <w:rFonts w:ascii="宋体" w:hAnsi="宋体" w:cs="宋体" w:eastAsia="宋体" w:hint="default"/>
                <w:sz w:val="18"/>
                <w:szCs w:val="18"/>
              </w:rPr>
              <w:t>填列）</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-3,195,174.28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处置子公司投资收益合并报表调整的影响</w:t>
            </w:r>
          </w:p>
        </w:tc>
        <w:tc>
          <w:tcPr>
            <w:tcW w:w="47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-3,099,288.55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20,610,226.22</w:t>
            </w:r>
          </w:p>
        </w:tc>
      </w:tr>
    </w:tbl>
    <w:p>
      <w:pPr>
        <w:spacing w:line="578" w:lineRule="auto" w:before="51"/>
        <w:ind w:left="153" w:right="8412" w:firstLine="0"/>
        <w:jc w:val="left"/>
        <w:rPr>
          <w:rFonts w:ascii="宋体" w:hAnsi="宋体" w:cs="宋体" w:eastAsia="宋体" w:hint="default"/>
          <w:sz w:val="18"/>
          <w:szCs w:val="18"/>
        </w:rPr>
      </w:pPr>
      <w:r>
        <w:rPr>
          <w:rFonts w:ascii="宋体" w:hAnsi="宋体" w:cs="宋体" w:eastAsia="宋体" w:hint="default"/>
          <w:sz w:val="18"/>
          <w:szCs w:val="18"/>
        </w:rPr>
        <w:t>其他说明 </w:t>
      </w:r>
      <w:bookmarkStart w:name="74、其他综合收益" w:id="385"/>
      <w:bookmarkEnd w:id="385"/>
      <w:r>
        <w:rPr>
          <w:rFonts w:ascii="宋体" w:hAnsi="宋体" w:cs="宋体" w:eastAsia="宋体" w:hint="default"/>
          <w:sz w:val="18"/>
          <w:szCs w:val="18"/>
        </w:rPr>
      </w:r>
      <w:r>
        <w:rPr>
          <w:rFonts w:ascii="宋体" w:hAnsi="宋体" w:cs="宋体" w:eastAsia="宋体" w:hint="default"/>
          <w:b/>
          <w:bCs/>
          <w:sz w:val="21"/>
          <w:szCs w:val="21"/>
        </w:rPr>
        <w:t>74</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p>
    <w:p>
      <w:pPr>
        <w:pStyle w:val="Heading3"/>
        <w:spacing w:line="240" w:lineRule="auto" w:before="96"/>
        <w:ind w:left="153" w:right="0"/>
        <w:jc w:val="left"/>
        <w:rPr>
          <w:b w:val="0"/>
          <w:bCs w:val="0"/>
        </w:rPr>
      </w:pPr>
      <w:bookmarkStart w:name="75、现金流量表项目" w:id="386"/>
      <w:bookmarkEnd w:id="386"/>
      <w:r>
        <w:rPr>
          <w:b w:val="0"/>
          <w:bCs w:val="0"/>
        </w:rPr>
      </w:r>
      <w:r>
        <w:rPr>
          <w:rFonts w:ascii="宋体" w:hAnsi="宋体" w:cs="宋体" w:eastAsia="宋体" w:hint="default"/>
        </w:rPr>
        <w:t>75</w:t>
      </w:r>
      <w:r>
        <w:rPr/>
        <w:t>、现金流量表项目</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53" w:right="0"/>
        <w:jc w:val="left"/>
        <w:rPr>
          <w:b w:val="0"/>
          <w:bCs w:val="0"/>
        </w:rPr>
      </w:pPr>
      <w:bookmarkStart w:name="（1）收到的其他与经营活动有关的现金" w:id="387"/>
      <w:bookmarkEnd w:id="387"/>
      <w:r>
        <w:rPr>
          <w:b w:val="0"/>
          <w:bCs w:val="0"/>
        </w:rPr>
      </w:r>
      <w:r>
        <w:rPr/>
        <w:t>（</w:t>
      </w:r>
      <w:r>
        <w:rPr>
          <w:rFonts w:ascii="宋体" w:hAnsi="宋体" w:cs="宋体" w:eastAsia="宋体" w:hint="default"/>
        </w:rPr>
        <w:t>1</w:t>
      </w:r>
      <w:r>
        <w:rPr/>
        <w:t>）收到的其他与经营活动有关的现金</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3,267,210.62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4,647,674.69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11,274,920.46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9,393,277.77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1,371,376.37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资金往来及其他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224,770,287.09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66,703,284.75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240,683,794.54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80,744,237.21</w:t>
            </w:r>
          </w:p>
        </w:tc>
      </w:tr>
    </w:tbl>
    <w:p>
      <w:pPr>
        <w:pStyle w:val="BodyText"/>
        <w:spacing w:line="240" w:lineRule="auto" w:before="51"/>
        <w:ind w:right="0"/>
        <w:jc w:val="left"/>
      </w:pPr>
      <w:r>
        <w:rPr/>
        <w:t>收到的其他与经营活动有关的现金说明：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2）支付的其他与经营活动有关的现金" w:id="388"/>
      <w:bookmarkEnd w:id="388"/>
      <w:r>
        <w:rPr>
          <w:b w:val="0"/>
          <w:bCs w:val="0"/>
        </w:rPr>
      </w:r>
      <w:r>
        <w:rPr/>
        <w:t>（</w:t>
      </w:r>
      <w:r>
        <w:rPr>
          <w:rFonts w:ascii="宋体" w:hAnsi="宋体" w:cs="宋体" w:eastAsia="宋体" w:hint="default"/>
        </w:rPr>
        <w:t>2</w:t>
      </w:r>
      <w:r>
        <w:rPr/>
        <w:t>）支付的其他与经营活动有关的现金</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90,758,170.84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82,209,535.71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949,725.71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10,315.06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资金往来及其他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218,825,619.45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144,054,912.89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310,533,516.00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226,274,763.66</w:t>
            </w:r>
          </w:p>
        </w:tc>
      </w:tr>
    </w:tbl>
    <w:p>
      <w:pPr>
        <w:pStyle w:val="BodyText"/>
        <w:spacing w:line="240" w:lineRule="auto" w:before="51"/>
        <w:ind w:right="0"/>
        <w:jc w:val="left"/>
      </w:pPr>
      <w:r>
        <w:rPr/>
        <w:t>支付的其他与经营活动有关的现金说明：</w:t>
      </w:r>
    </w:p>
    <w:p>
      <w:pPr>
        <w:spacing w:after="0" w:line="240" w:lineRule="auto"/>
        <w:jc w:val="left"/>
        <w:sectPr>
          <w:pgSz w:w="11910" w:h="16840"/>
          <w:pgMar w:header="877" w:footer="1187" w:top="1100" w:bottom="138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3）收到的其他与投资活动有关的现金" w:id="389"/>
      <w:bookmarkEnd w:id="389"/>
      <w:r>
        <w:rPr>
          <w:b w:val="0"/>
          <w:bCs w:val="0"/>
        </w:rPr>
      </w:r>
      <w:r>
        <w:rPr/>
        <w:t>（</w:t>
      </w:r>
      <w:r>
        <w:rPr>
          <w:rFonts w:ascii="宋体" w:hAnsi="宋体" w:cs="宋体" w:eastAsia="宋体" w:hint="default"/>
        </w:rPr>
        <w:t>3</w:t>
      </w:r>
      <w:r>
        <w:rPr/>
        <w:t>）收到的其他与投资活动有关的现金</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9,463,890,000.00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29,610,411.80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重组交割过渡期业绩补偿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1,014,301.73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河南正弘置业有限公司借款本息</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20,061,972.60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9,464,904,301.73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49,672,384.40</w:t>
            </w:r>
          </w:p>
        </w:tc>
      </w:tr>
    </w:tbl>
    <w:p>
      <w:pPr>
        <w:pStyle w:val="BodyText"/>
        <w:spacing w:line="240" w:lineRule="auto" w:before="51"/>
        <w:ind w:right="0"/>
        <w:jc w:val="left"/>
      </w:pPr>
      <w:r>
        <w:rPr/>
        <w:t>收到的其他与投资活动有关的现金说明：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支付的其他与投资活动有关的现金" w:id="390"/>
      <w:bookmarkEnd w:id="390"/>
      <w:r>
        <w:rPr>
          <w:b w:val="0"/>
          <w:bCs w:val="0"/>
        </w:rPr>
      </w:r>
      <w:r>
        <w:rPr/>
        <w:t>（</w:t>
      </w:r>
      <w:r>
        <w:rPr>
          <w:rFonts w:ascii="宋体" w:hAnsi="宋体" w:cs="宋体" w:eastAsia="宋体" w:hint="default"/>
        </w:rPr>
        <w:t>4</w:t>
      </w:r>
      <w:r>
        <w:rPr/>
        <w:t>）支付的其他与投资活动有关的现金</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8,863,890,000.00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1,807,100,000.00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河南正弘置业有限公司借款本金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8,863,890,000.00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1,827,100,000.00</w:t>
            </w:r>
          </w:p>
        </w:tc>
      </w:tr>
    </w:tbl>
    <w:p>
      <w:pPr>
        <w:pStyle w:val="BodyText"/>
        <w:spacing w:line="240" w:lineRule="auto" w:before="51"/>
        <w:ind w:right="0"/>
        <w:jc w:val="left"/>
      </w:pPr>
      <w:r>
        <w:rPr/>
        <w:t>支付的其他与投资活动有关的现金说明：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收到的其他与筹资活动有关的现金" w:id="391"/>
      <w:bookmarkEnd w:id="391"/>
      <w:r>
        <w:rPr>
          <w:b w:val="0"/>
          <w:bCs w:val="0"/>
        </w:rPr>
      </w:r>
      <w:r>
        <w:rPr/>
        <w:t>（</w:t>
      </w:r>
      <w:r>
        <w:rPr>
          <w:rFonts w:ascii="宋体" w:hAnsi="宋体" w:cs="宋体" w:eastAsia="宋体" w:hint="default"/>
        </w:rPr>
        <w:t>5</w:t>
      </w:r>
      <w:r>
        <w:rPr/>
        <w:t>）收到的其他与筹资活动有关的现金</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关联方资金拆借款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616,000,000.00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33,615,000.00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76,520,000.00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692,520,000.00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33,615,000.00</w:t>
            </w:r>
          </w:p>
        </w:tc>
      </w:tr>
    </w:tbl>
    <w:p>
      <w:pPr>
        <w:pStyle w:val="BodyText"/>
        <w:spacing w:line="240" w:lineRule="auto" w:before="51"/>
        <w:ind w:right="0"/>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支付的其他与筹资活动有关的现金" w:id="392"/>
      <w:bookmarkEnd w:id="392"/>
      <w:r>
        <w:rPr>
          <w:b w:val="0"/>
          <w:bCs w:val="0"/>
        </w:rPr>
      </w:r>
      <w:r>
        <w:rPr/>
        <w:t>（</w:t>
      </w:r>
      <w:r>
        <w:rPr>
          <w:rFonts w:ascii="宋体" w:hAnsi="宋体" w:cs="宋体" w:eastAsia="宋体" w:hint="default"/>
        </w:rPr>
        <w:t>6</w:t>
      </w:r>
      <w:r>
        <w:rPr/>
        <w:t>）支付的其他与筹资活动有关的现金</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偿还关联方借款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818,597,337.11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273,000,000.00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贷款手续费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3,069,235.17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与非公开发行有关的中介机构费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3,344,445.65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17,040.00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8,520.00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1,094,683,612.28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23,352,965.65</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0"/>
        </w:sectPr>
      </w:pPr>
    </w:p>
    <w:p>
      <w:pPr>
        <w:spacing w:line="240" w:lineRule="auto" w:before="13"/>
        <w:rPr>
          <w:rFonts w:ascii="宋体" w:hAnsi="宋体" w:cs="宋体" w:eastAsia="宋体" w:hint="default"/>
          <w:sz w:val="21"/>
          <w:szCs w:val="21"/>
        </w:rPr>
      </w:pPr>
      <w:r>
        <w:rPr/>
        <w:pict>
          <v:group style="position:absolute;margin-left:223.339996pt;margin-top:373.48999pt;width:151.25pt;height:20.7pt;mso-position-horizontal-relative:page;mso-position-vertical-relative:page;z-index:-1181296" coordorigin="4467,7470" coordsize="3025,414">
            <v:group style="position:absolute;left:4478;top:7481;width:2;height:392" coordorigin="4478,7481" coordsize="2,392">
              <v:shape style="position:absolute;left:4478;top:7481;width:2;height:392" coordorigin="4478,7481" coordsize="0,392" path="m4478,7481l4478,7872e" filled="false" stroked="true" strokeweight="1.140pt" strokecolor="#ffffff">
                <v:path arrowok="t"/>
              </v:shape>
            </v:group>
            <v:group style="position:absolute;left:4490;top:7481;width:3002;height:392" coordorigin="4490,7481" coordsize="3002,392">
              <v:shape style="position:absolute;left:4490;top:7481;width:3002;height:392" coordorigin="4490,7481" coordsize="3002,392" path="m4490,7872l7491,7872,7491,7481,4490,7481,4490,7872xe" filled="true" fillcolor="#ffffff" stroked="false">
                <v:path arrowok="t"/>
                <v:fill type="solid"/>
              </v:shape>
            </v:group>
            <w10:wrap type="none"/>
          </v:group>
        </w:pict>
      </w:r>
    </w:p>
    <w:p>
      <w:pPr>
        <w:pStyle w:val="BodyText"/>
        <w:spacing w:line="240" w:lineRule="auto" w:before="44"/>
        <w:ind w:right="0"/>
        <w:jc w:val="left"/>
      </w:pPr>
      <w:r>
        <w:rPr/>
        <w:t>支付的其他与筹资活动有关的现金说明：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6、现金流量表补充资料" w:id="393"/>
      <w:bookmarkEnd w:id="393"/>
      <w:r>
        <w:rPr>
          <w:b w:val="0"/>
          <w:bCs w:val="0"/>
        </w:rPr>
      </w:r>
      <w:r>
        <w:rPr>
          <w:rFonts w:ascii="宋体" w:hAnsi="宋体" w:cs="宋体" w:eastAsia="宋体" w:hint="default"/>
        </w:rPr>
        <w:t>76</w:t>
      </w:r>
      <w:r>
        <w:rPr/>
        <w:t>、现金流量表补充资料</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right="0"/>
        <w:jc w:val="left"/>
        <w:rPr>
          <w:b w:val="0"/>
          <w:bCs w:val="0"/>
        </w:rPr>
      </w:pPr>
      <w:bookmarkStart w:name="（1）现金流量表补充资料" w:id="394"/>
      <w:bookmarkEnd w:id="394"/>
      <w:r>
        <w:rPr>
          <w:b w:val="0"/>
          <w:bCs w:val="0"/>
        </w:rPr>
      </w:r>
      <w:r>
        <w:rPr/>
        <w:t>（</w:t>
      </w:r>
      <w:r>
        <w:rPr>
          <w:rFonts w:ascii="宋体" w:hAnsi="宋体" w:cs="宋体" w:eastAsia="宋体" w:hint="default"/>
        </w:rPr>
        <w:t>1</w:t>
      </w:r>
      <w:r>
        <w:rPr/>
        <w:t>）现金流量表补充资料</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152"/>
        <w:gridCol w:w="1917"/>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764" w:right="0"/>
              <w:jc w:val="left"/>
              <w:rPr>
                <w:rFonts w:ascii="宋体" w:hAnsi="宋体" w:cs="宋体" w:eastAsia="宋体" w:hint="default"/>
                <w:sz w:val="18"/>
                <w:szCs w:val="18"/>
              </w:rPr>
            </w:pPr>
            <w:r>
              <w:rPr>
                <w:rFonts w:ascii="宋体"/>
                <w:sz w:val="18"/>
              </w:rPr>
              <w:t>528,475,522.72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316,259,654.81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854" w:right="0"/>
              <w:jc w:val="left"/>
              <w:rPr>
                <w:rFonts w:ascii="宋体" w:hAnsi="宋体" w:cs="宋体" w:eastAsia="宋体" w:hint="default"/>
                <w:sz w:val="18"/>
                <w:szCs w:val="18"/>
              </w:rPr>
            </w:pPr>
            <w:r>
              <w:rPr>
                <w:rFonts w:ascii="宋体"/>
                <w:sz w:val="18"/>
              </w:rPr>
              <w:t>14,336,669.11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3,920,051.32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4" w:right="0"/>
              <w:jc w:val="left"/>
              <w:rPr>
                <w:rFonts w:ascii="宋体" w:hAnsi="宋体" w:cs="宋体" w:eastAsia="宋体" w:hint="default"/>
                <w:sz w:val="18"/>
                <w:szCs w:val="18"/>
              </w:rPr>
            </w:pPr>
            <w:r>
              <w:rPr>
                <w:rFonts w:ascii="宋体"/>
                <w:sz w:val="18"/>
              </w:rPr>
              <w:t>2,626,073.44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4,990,062.16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854" w:right="0"/>
              <w:jc w:val="left"/>
              <w:rPr>
                <w:rFonts w:ascii="宋体" w:hAnsi="宋体" w:cs="宋体" w:eastAsia="宋体" w:hint="default"/>
                <w:sz w:val="18"/>
                <w:szCs w:val="18"/>
              </w:rPr>
            </w:pPr>
            <w:r>
              <w:rPr>
                <w:rFonts w:ascii="宋体"/>
                <w:sz w:val="18"/>
              </w:rPr>
              <w:t>64,007,130.20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28,496,488.79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764" w:right="0"/>
              <w:jc w:val="left"/>
              <w:rPr>
                <w:rFonts w:ascii="宋体" w:hAnsi="宋体" w:cs="宋体" w:eastAsia="宋体" w:hint="default"/>
                <w:sz w:val="18"/>
                <w:szCs w:val="18"/>
              </w:rPr>
            </w:pPr>
            <w:r>
              <w:rPr>
                <w:rFonts w:ascii="宋体"/>
                <w:sz w:val="18"/>
              </w:rPr>
              <w:t>162,088,153.02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37,540,888.36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-65,842.19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-626,080.46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4"/>
                <w:sz w:val="18"/>
                <w:szCs w:val="18"/>
              </w:rPr>
              <w:t>固定资产报废损失（收益以“－”号填列</w:t>
            </w:r>
          </w:p>
        </w:tc>
        <w:tc>
          <w:tcPr>
            <w:tcW w:w="115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078" w:right="0"/>
              <w:jc w:val="left"/>
              <w:rPr>
                <w:rFonts w:ascii="宋体" w:hAnsi="宋体" w:cs="宋体" w:eastAsia="宋体" w:hint="default"/>
                <w:sz w:val="18"/>
                <w:szCs w:val="18"/>
              </w:rPr>
            </w:pPr>
            <w:r>
              <w:rPr>
                <w:rFonts w:ascii="宋体"/>
                <w:sz w:val="18"/>
              </w:rPr>
              <w:t>11,582.42</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854" w:right="0"/>
              <w:jc w:val="left"/>
              <w:rPr>
                <w:rFonts w:ascii="宋体" w:hAnsi="宋体" w:cs="宋体" w:eastAsia="宋体" w:hint="default"/>
                <w:sz w:val="18"/>
                <w:szCs w:val="18"/>
              </w:rPr>
            </w:pPr>
            <w:r>
              <w:rPr>
                <w:rFonts w:ascii="宋体"/>
                <w:sz w:val="18"/>
              </w:rPr>
              <w:t>20,877,130.86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5,720,943.70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764" w:right="0"/>
              <w:jc w:val="left"/>
              <w:rPr>
                <w:rFonts w:ascii="宋体" w:hAnsi="宋体" w:cs="宋体" w:eastAsia="宋体" w:hint="default"/>
                <w:sz w:val="18"/>
                <w:szCs w:val="18"/>
              </w:rPr>
            </w:pPr>
            <w:r>
              <w:rPr>
                <w:rFonts w:ascii="宋体"/>
                <w:sz w:val="18"/>
              </w:rPr>
              <w:t>-64,082,734.54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-63,048,973.18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64" w:right="0"/>
              <w:jc w:val="left"/>
              <w:rPr>
                <w:rFonts w:ascii="宋体" w:hAnsi="宋体" w:cs="宋体" w:eastAsia="宋体" w:hint="default"/>
                <w:sz w:val="18"/>
                <w:szCs w:val="18"/>
              </w:rPr>
            </w:pPr>
            <w:r>
              <w:rPr>
                <w:rFonts w:ascii="宋体"/>
                <w:sz w:val="18"/>
              </w:rPr>
              <w:t>-32,823,939.54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-5,720,703.41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64" w:right="0"/>
              <w:jc w:val="left"/>
              <w:rPr>
                <w:rFonts w:ascii="宋体" w:hAnsi="宋体" w:cs="宋体" w:eastAsia="宋体" w:hint="default"/>
                <w:sz w:val="18"/>
                <w:szCs w:val="18"/>
              </w:rPr>
            </w:pPr>
            <w:r>
              <w:rPr>
                <w:rFonts w:ascii="宋体"/>
                <w:sz w:val="18"/>
              </w:rPr>
              <w:t>-46,811,919.51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10,324,548.38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-23,980,726.09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 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94" w:right="0"/>
              <w:jc w:val="left"/>
              <w:rPr>
                <w:rFonts w:ascii="宋体" w:hAnsi="宋体" w:cs="宋体" w:eastAsia="宋体" w:hint="default"/>
                <w:sz w:val="18"/>
                <w:szCs w:val="18"/>
              </w:rPr>
            </w:pPr>
            <w:r>
              <w:rPr>
                <w:rFonts w:ascii="宋体"/>
                <w:sz w:val="18"/>
              </w:rPr>
              <w:t>-1,125,000,551.11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-313,870,739.73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 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64" w:right="0"/>
              <w:jc w:val="left"/>
              <w:rPr>
                <w:rFonts w:ascii="宋体" w:hAnsi="宋体" w:cs="宋体" w:eastAsia="宋体" w:hint="default"/>
                <w:sz w:val="18"/>
                <w:szCs w:val="18"/>
              </w:rPr>
            </w:pPr>
            <w:r>
              <w:rPr>
                <w:rFonts w:ascii="宋体"/>
                <w:sz w:val="18"/>
              </w:rPr>
              <w:t>465,239,135.04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167,538,791.04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764" w:right="0"/>
              <w:jc w:val="left"/>
              <w:rPr>
                <w:rFonts w:ascii="宋体" w:hAnsi="宋体" w:cs="宋体" w:eastAsia="宋体" w:hint="default"/>
                <w:sz w:val="18"/>
                <w:szCs w:val="18"/>
              </w:rPr>
            </w:pPr>
            <w:r>
              <w:rPr>
                <w:rFonts w:ascii="宋体"/>
                <w:sz w:val="18"/>
              </w:rPr>
              <w:t>-11,123,590.08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167,544,205.69</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13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764" w:right="0"/>
              <w:jc w:val="left"/>
              <w:rPr>
                <w:rFonts w:ascii="宋体" w:hAnsi="宋体" w:cs="宋体" w:eastAsia="宋体" w:hint="default"/>
                <w:sz w:val="18"/>
                <w:szCs w:val="18"/>
              </w:rPr>
            </w:pPr>
            <w:r>
              <w:rPr>
                <w:rFonts w:ascii="宋体"/>
                <w:sz w:val="18"/>
              </w:rPr>
              <w:t>524,644,038.89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512,483,225.65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764" w:right="0"/>
              <w:jc w:val="left"/>
              <w:rPr>
                <w:rFonts w:ascii="宋体" w:hAnsi="宋体" w:cs="宋体" w:eastAsia="宋体" w:hint="default"/>
                <w:sz w:val="18"/>
                <w:szCs w:val="18"/>
              </w:rPr>
            </w:pPr>
            <w:r>
              <w:rPr>
                <w:rFonts w:ascii="宋体"/>
                <w:sz w:val="18"/>
              </w:rPr>
              <w:t>512,483,225.65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87,834,285.46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854" w:right="0"/>
              <w:jc w:val="left"/>
              <w:rPr>
                <w:rFonts w:ascii="宋体" w:hAnsi="宋体" w:cs="宋体" w:eastAsia="宋体" w:hint="default"/>
                <w:sz w:val="18"/>
                <w:szCs w:val="18"/>
              </w:rPr>
            </w:pPr>
            <w:r>
              <w:rPr>
                <w:rFonts w:ascii="宋体"/>
                <w:sz w:val="18"/>
              </w:rPr>
              <w:t>12,160,813.24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424,648,940.19</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本期支付的取得子公司的现金净额" w:id="395"/>
      <w:bookmarkEnd w:id="395"/>
      <w:r>
        <w:rPr>
          <w:b w:val="0"/>
          <w:bCs w:val="0"/>
        </w:rPr>
      </w:r>
      <w:r>
        <w:rPr/>
        <w:t>（</w:t>
      </w:r>
      <w:r>
        <w:rPr>
          <w:rFonts w:ascii="宋体" w:hAnsi="宋体" w:cs="宋体" w:eastAsia="宋体" w:hint="default"/>
        </w:rPr>
        <w:t>2</w:t>
      </w:r>
      <w:r>
        <w:rPr/>
        <w:t>）本期支付的取得子公司的现金净额</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sz w:val="18"/>
              </w:rPr>
              <w:t>--</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3）本期收到的处置子公司的现金净额" w:id="396"/>
      <w:bookmarkEnd w:id="396"/>
      <w:r>
        <w:rPr>
          <w:b w:val="0"/>
          <w:bCs w:val="0"/>
        </w:rPr>
      </w:r>
      <w:r>
        <w:rPr/>
        <w:t>（</w:t>
      </w:r>
      <w:r>
        <w:rPr>
          <w:rFonts w:ascii="宋体" w:hAnsi="宋体" w:cs="宋体" w:eastAsia="宋体" w:hint="default"/>
        </w:rPr>
        <w:t>3</w:t>
      </w:r>
      <w:r>
        <w:rPr/>
        <w:t>）本期收到的处置子公司的现金净额</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sz w:val="18"/>
              </w:rPr>
              <w:t>--</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4）现金和现金等价物的构成" w:id="397"/>
      <w:bookmarkEnd w:id="397"/>
      <w:r>
        <w:rPr>
          <w:b w:val="0"/>
          <w:bCs w:val="0"/>
        </w:rPr>
      </w:r>
      <w:r>
        <w:rPr/>
        <w:t>（</w:t>
      </w:r>
      <w:r>
        <w:rPr>
          <w:rFonts w:ascii="宋体" w:hAnsi="宋体" w:cs="宋体" w:eastAsia="宋体" w:hint="default"/>
        </w:rPr>
        <w:t>4</w:t>
      </w:r>
      <w:r>
        <w:rPr/>
        <w:t>）现金和现金等价物的构成</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524,644,038.89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512,483,225.65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89,293.04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127,258.61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513,243,661.48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492,196,727.90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11,311,084.37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20,159,239.14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524,644,038.89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512,483,225.65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196,480,000.00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16,240,000.00</w:t>
            </w:r>
          </w:p>
        </w:tc>
      </w:tr>
    </w:tbl>
    <w:p>
      <w:pPr>
        <w:pStyle w:val="BodyText"/>
        <w:spacing w:line="240" w:lineRule="auto" w:before="51"/>
        <w:ind w:right="0"/>
        <w:jc w:val="left"/>
      </w:pPr>
      <w:r>
        <w:rPr/>
        <w:t>其他说明：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9"/>
        <w:gridCol w:w="4028"/>
        <w:gridCol w:w="3108"/>
      </w:tblGrid>
      <w:tr>
        <w:trPr>
          <w:trHeight w:val="392"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4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hAnsi="宋体" w:cs="宋体" w:eastAsia="宋体" w:hint="default"/>
                <w:b/>
                <w:bCs/>
                <w:w w:val="95"/>
                <w:sz w:val="18"/>
                <w:szCs w:val="18"/>
              </w:rPr>
              <w:t>期末账面价值</w:t>
            </w:r>
            <w:r>
              <w:rPr>
                <w:rFonts w:ascii="宋体" w:hAnsi="宋体" w:cs="宋体" w:eastAsia="宋体" w:hint="default"/>
                <w:sz w:val="18"/>
                <w:szCs w:val="18"/>
              </w:rPr>
            </w:r>
          </w:p>
        </w:tc>
        <w:tc>
          <w:tcPr>
            <w:tcW w:w="3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hAnsi="宋体" w:cs="宋体" w:eastAsia="宋体" w:hint="default"/>
                <w:b/>
                <w:bCs/>
                <w:w w:val="95"/>
                <w:sz w:val="18"/>
                <w:szCs w:val="18"/>
              </w:rPr>
              <w:t>受限原因</w:t>
            </w:r>
            <w:r>
              <w:rPr>
                <w:rFonts w:ascii="宋体" w:hAnsi="宋体" w:cs="宋体" w:eastAsia="宋体" w:hint="default"/>
                <w:sz w:val="18"/>
                <w:szCs w:val="18"/>
              </w:rPr>
            </w:r>
          </w:p>
        </w:tc>
      </w:tr>
      <w:tr>
        <w:trPr>
          <w:trHeight w:val="377"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4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196,480,000.00</w:t>
            </w:r>
          </w:p>
        </w:tc>
        <w:tc>
          <w:tcPr>
            <w:tcW w:w="3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保函保证金</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5"/>
        <w:ind w:right="0"/>
        <w:jc w:val="left"/>
        <w:rPr>
          <w:b w:val="0"/>
          <w:bCs w:val="0"/>
        </w:rPr>
      </w:pPr>
      <w:bookmarkStart w:name="77、所有者权益变动表项目注释" w:id="398"/>
      <w:bookmarkEnd w:id="398"/>
      <w:r>
        <w:rPr>
          <w:b w:val="0"/>
          <w:bCs w:val="0"/>
        </w:rPr>
      </w:r>
      <w:r>
        <w:rPr>
          <w:rFonts w:ascii="宋体" w:hAnsi="宋体" w:cs="宋体" w:eastAsia="宋体" w:hint="default"/>
        </w:rPr>
        <w:t>77</w:t>
      </w:r>
      <w:r>
        <w:rPr/>
        <w:t>、所有者权益变动表项目注释</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53" w:right="0"/>
        <w:jc w:val="left"/>
      </w:pPr>
      <w:r>
        <w:rPr/>
        <w:t>说明对上年期末余额进行调整的“其他”项目名称及调整金额等事项：</w:t>
      </w:r>
    </w:p>
    <w:p>
      <w:pPr>
        <w:spacing w:after="0" w:line="240" w:lineRule="auto"/>
        <w:jc w:val="left"/>
        <w:sectPr>
          <w:pgSz w:w="11910" w:h="16840"/>
          <w:pgMar w:header="877" w:footer="1187" w:top="1100" w:bottom="138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78、所有权或使用权受到限制的资产" w:id="399"/>
      <w:bookmarkEnd w:id="399"/>
      <w:r>
        <w:rPr>
          <w:b w:val="0"/>
          <w:bCs w:val="0"/>
        </w:rPr>
      </w:r>
      <w:r>
        <w:rPr>
          <w:rFonts w:ascii="宋体" w:hAnsi="宋体" w:cs="宋体" w:eastAsia="宋体" w:hint="default"/>
        </w:rPr>
        <w:t>78</w:t>
      </w:r>
      <w:r>
        <w:rPr/>
        <w:t>、所有权或使用权受到限制的资产</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196,480,000.00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2"/>
              <w:ind w:right="9"/>
              <w:jc w:val="right"/>
              <w:rPr>
                <w:rFonts w:ascii="宋体" w:hAnsi="宋体" w:cs="宋体" w:eastAsia="宋体" w:hint="default"/>
                <w:sz w:val="18"/>
                <w:szCs w:val="18"/>
              </w:rPr>
            </w:pPr>
            <w:r>
              <w:rPr>
                <w:rFonts w:ascii="宋体"/>
                <w:sz w:val="18"/>
              </w:rPr>
              <w:t>196,480,000.00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79、外币货币性项目" w:id="400"/>
      <w:bookmarkEnd w:id="400"/>
      <w:r>
        <w:rPr>
          <w:b w:val="0"/>
          <w:bCs w:val="0"/>
        </w:rPr>
      </w:r>
      <w:r>
        <w:rPr>
          <w:rFonts w:ascii="宋体" w:hAnsi="宋体" w:cs="宋体" w:eastAsia="宋体" w:hint="default"/>
        </w:rPr>
        <w:t>79</w:t>
      </w:r>
      <w:r>
        <w:rPr/>
        <w:t>、外币货币性项目</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53" w:right="0"/>
        <w:jc w:val="left"/>
        <w:rPr>
          <w:b w:val="0"/>
          <w:bCs w:val="0"/>
        </w:rPr>
      </w:pPr>
      <w:bookmarkStart w:name="（1）外币货币性项目" w:id="401"/>
      <w:bookmarkEnd w:id="401"/>
      <w:r>
        <w:rPr>
          <w:b w:val="0"/>
          <w:bCs w:val="0"/>
        </w:rPr>
      </w:r>
      <w:r>
        <w:rPr/>
        <w:t>（</w:t>
      </w:r>
      <w:r>
        <w:rPr>
          <w:rFonts w:ascii="宋体" w:hAnsi="宋体" w:cs="宋体" w:eastAsia="宋体" w:hint="default"/>
        </w:rPr>
        <w:t>1</w:t>
      </w:r>
      <w:r>
        <w:rPr/>
        <w:t>）外币货币性项目</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20,152,740.13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131,682,034.56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308,824.01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7.8385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2,420,702.99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罗马尼亚列伊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4,427.91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1.6811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7,443.82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24,136.81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8.8290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213,104.18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213,104.18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44,965,018.24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293,810,422.18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758,802.07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116,127.77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758,802.07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307,994.81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47,135.81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307,994.81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91,464,402.54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13,997,796.60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91,464,402.54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150,296.01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23,001.44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150,296.01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299,191,739.44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45,788,580.00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299,191,739.44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254,604,253.55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38,964,870.00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254,604,253.55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101,244,389.36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15,494,534.81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101,244,389.36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98,013,000.00</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094" w:right="0"/>
              <w:jc w:val="left"/>
              <w:rPr>
                <w:rFonts w:ascii="宋体" w:hAnsi="宋体" w:cs="宋体" w:eastAsia="宋体" w:hint="default"/>
                <w:sz w:val="18"/>
                <w:szCs w:val="18"/>
              </w:rPr>
            </w:pPr>
            <w:r>
              <w:rPr>
                <w:rFonts w:ascii="宋体"/>
                <w:sz w:val="18"/>
              </w:rPr>
              <w:t>15,000,000.00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86" w:right="0"/>
              <w:jc w:val="left"/>
              <w:rPr>
                <w:rFonts w:ascii="宋体" w:hAnsi="宋体" w:cs="宋体" w:eastAsia="宋体" w:hint="default"/>
                <w:sz w:val="18"/>
                <w:szCs w:val="18"/>
              </w:rPr>
            </w:pPr>
            <w:r>
              <w:rPr>
                <w:rFonts w:ascii="宋体"/>
                <w:sz w:val="18"/>
              </w:rPr>
              <w:t>98,013,000.00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76" w:lineRule="auto"/>
        <w:ind w:left="153" w:right="0"/>
        <w:jc w:val="left"/>
        <w:rPr>
          <w:b w:val="0"/>
          <w:bCs w:val="0"/>
        </w:rPr>
      </w:pPr>
      <w:bookmarkStart w:name="（2）境外经营实体说明，包括对于重要的境外经营实体，应披露其境外主要经营地、记账" w:id="402"/>
      <w:bookmarkEnd w:id="402"/>
      <w:r>
        <w:rPr>
          <w:b w:val="0"/>
          <w:bCs w:val="0"/>
        </w:rPr>
      </w:r>
      <w:r>
        <w:rPr/>
        <w:t>（</w:t>
      </w:r>
      <w:r>
        <w:rPr>
          <w:rFonts w:ascii="宋体" w:hAnsi="宋体" w:cs="宋体" w:eastAsia="宋体" w:hint="default"/>
        </w:rPr>
        <w:t>2</w:t>
      </w:r>
      <w:r>
        <w:rPr/>
        <w:t>）境外经营实体说明，包括对于重要的境外经营实体，应披露其境外主要经营地、记账本位币及选择</w:t>
      </w:r>
      <w:r>
        <w:rPr>
          <w:spacing w:val="-73"/>
        </w:rPr>
        <w:t> </w:t>
      </w:r>
      <w:r>
        <w:rPr>
          <w:spacing w:val="-73"/>
        </w:rPr>
      </w:r>
      <w:r>
        <w:rPr/>
        <w:t>依据，记账本位币发生变化的还应披露原因。</w:t>
      </w:r>
      <w:r>
        <w:rPr>
          <w:b w:val="0"/>
          <w:bCs w:val="0"/>
        </w:rPr>
      </w:r>
    </w:p>
    <w:p>
      <w:pPr>
        <w:spacing w:line="240" w:lineRule="auto" w:before="5"/>
        <w:rPr>
          <w:rFonts w:ascii="宋体" w:hAnsi="宋体" w:cs="宋体" w:eastAsia="宋体" w:hint="default"/>
          <w:b/>
          <w:bCs/>
          <w:sz w:val="25"/>
          <w:szCs w:val="25"/>
        </w:rPr>
      </w:pPr>
    </w:p>
    <w:p>
      <w:pPr>
        <w:pStyle w:val="BodyText"/>
        <w:spacing w:line="240" w:lineRule="auto"/>
        <w:ind w:left="153" w:right="0"/>
        <w:jc w:val="left"/>
      </w:pPr>
      <w:r>
        <w:rPr/>
        <w:t>√ 适用 □ 不适用</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19"/>
        <w:gridCol w:w="1160"/>
        <w:gridCol w:w="1134"/>
        <w:gridCol w:w="3909"/>
      </w:tblGrid>
      <w:tr>
        <w:trPr>
          <w:trHeight w:val="649" w:hRule="exact"/>
        </w:trPr>
        <w:tc>
          <w:tcPr>
            <w:tcW w:w="351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b/>
                <w:bCs/>
                <w:sz w:val="18"/>
                <w:szCs w:val="18"/>
              </w:rPr>
              <w:t>境外经营实体</w:t>
            </w:r>
            <w:r>
              <w:rPr>
                <w:rFonts w:ascii="宋体" w:hAnsi="宋体" w:cs="宋体" w:eastAsia="宋体" w:hint="default"/>
                <w:sz w:val="18"/>
                <w:szCs w:val="18"/>
              </w:rPr>
            </w:r>
          </w:p>
        </w:tc>
        <w:tc>
          <w:tcPr>
            <w:tcW w:w="11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16"/>
              <w:ind w:left="4" w:right="599"/>
              <w:jc w:val="left"/>
              <w:rPr>
                <w:rFonts w:ascii="宋体" w:hAnsi="宋体" w:cs="宋体" w:eastAsia="宋体" w:hint="default"/>
                <w:sz w:val="18"/>
                <w:szCs w:val="18"/>
              </w:rPr>
            </w:pPr>
            <w:r>
              <w:rPr>
                <w:rFonts w:ascii="宋体" w:hAnsi="宋体" w:cs="宋体" w:eastAsia="宋体" w:hint="default"/>
                <w:b/>
                <w:bCs/>
                <w:sz w:val="18"/>
                <w:szCs w:val="18"/>
              </w:rPr>
              <w:t>主要</w:t>
            </w:r>
            <w:r>
              <w:rPr>
                <w:rFonts w:ascii="宋体" w:hAnsi="宋体" w:cs="宋体" w:eastAsia="宋体" w:hint="default"/>
                <w:b/>
                <w:bCs/>
                <w:spacing w:val="1"/>
                <w:w w:val="99"/>
                <w:sz w:val="18"/>
                <w:szCs w:val="18"/>
              </w:rPr>
              <w:t> </w:t>
            </w:r>
            <w:r>
              <w:rPr>
                <w:rFonts w:ascii="宋体" w:hAnsi="宋体" w:cs="宋体" w:eastAsia="宋体" w:hint="default"/>
                <w:b/>
                <w:bCs/>
                <w:sz w:val="18"/>
                <w:szCs w:val="18"/>
              </w:rPr>
              <w:t>经营地</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6"/>
              <w:ind w:left="6" w:right="0"/>
              <w:jc w:val="left"/>
              <w:rPr>
                <w:rFonts w:ascii="宋体" w:hAnsi="宋体" w:cs="宋体" w:eastAsia="宋体" w:hint="default"/>
                <w:sz w:val="18"/>
                <w:szCs w:val="18"/>
              </w:rPr>
            </w:pPr>
            <w:r>
              <w:rPr>
                <w:rFonts w:ascii="宋体" w:hAnsi="宋体" w:cs="宋体" w:eastAsia="宋体" w:hint="default"/>
                <w:b/>
                <w:bCs/>
                <w:sz w:val="18"/>
                <w:szCs w:val="18"/>
              </w:rPr>
              <w:t>记账本位币</w:t>
            </w:r>
            <w:r>
              <w:rPr>
                <w:rFonts w:ascii="宋体" w:hAnsi="宋体" w:cs="宋体" w:eastAsia="宋体" w:hint="default"/>
                <w:sz w:val="18"/>
                <w:szCs w:val="18"/>
              </w:rPr>
            </w:r>
          </w:p>
        </w:tc>
        <w:tc>
          <w:tcPr>
            <w:tcW w:w="390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6"/>
              <w:ind w:left="6" w:right="0"/>
              <w:jc w:val="left"/>
              <w:rPr>
                <w:rFonts w:ascii="宋体" w:hAnsi="宋体" w:cs="宋体" w:eastAsia="宋体" w:hint="default"/>
                <w:sz w:val="18"/>
                <w:szCs w:val="18"/>
              </w:rPr>
            </w:pPr>
            <w:r>
              <w:rPr>
                <w:rFonts w:ascii="宋体" w:hAnsi="宋体" w:cs="宋体" w:eastAsia="宋体" w:hint="default"/>
                <w:b/>
                <w:bCs/>
                <w:sz w:val="18"/>
                <w:szCs w:val="18"/>
              </w:rPr>
              <w:t>主要经营业务</w:t>
            </w:r>
            <w:r>
              <w:rPr>
                <w:rFonts w:ascii="宋体" w:hAnsi="宋体" w:cs="宋体" w:eastAsia="宋体" w:hint="default"/>
                <w:sz w:val="18"/>
                <w:szCs w:val="18"/>
              </w:rPr>
            </w:r>
          </w:p>
        </w:tc>
      </w:tr>
      <w:tr>
        <w:trPr>
          <w:trHeight w:val="342"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万乾网络有限公司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3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网络信息、电子类技术开发、技术服务、咨询等</w:t>
            </w:r>
          </w:p>
        </w:tc>
      </w:tr>
      <w:tr>
        <w:trPr>
          <w:trHeight w:val="342"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智度投资（香港）有限公司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3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投资与资产管理等</w:t>
            </w:r>
          </w:p>
        </w:tc>
      </w:tr>
      <w:tr>
        <w:trPr>
          <w:trHeight w:val="654"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262"/>
              <w:jc w:val="left"/>
              <w:rPr>
                <w:rFonts w:ascii="宋体" w:hAnsi="宋体" w:cs="宋体" w:eastAsia="宋体" w:hint="default"/>
                <w:sz w:val="18"/>
                <w:szCs w:val="18"/>
              </w:rPr>
            </w:pPr>
            <w:r>
              <w:rPr>
                <w:rFonts w:ascii="宋体"/>
                <w:sz w:val="18"/>
              </w:rPr>
              <w:t>Genimous Interactive Investment Co., Ltd.</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3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桌面与手机</w:t>
            </w:r>
            <w:r>
              <w:rPr>
                <w:rFonts w:ascii="宋体" w:hAnsi="宋体" w:cs="宋体" w:eastAsia="宋体" w:hint="default"/>
                <w:sz w:val="18"/>
                <w:szCs w:val="18"/>
              </w:rPr>
              <w:t>APP</w:t>
            </w:r>
            <w:r>
              <w:rPr>
                <w:rFonts w:ascii="宋体" w:hAnsi="宋体" w:cs="宋体" w:eastAsia="宋体" w:hint="default"/>
                <w:sz w:val="18"/>
                <w:szCs w:val="18"/>
              </w:rPr>
              <w:t>，互联网和移动业务的管理与变现</w:t>
            </w:r>
          </w:p>
        </w:tc>
      </w:tr>
      <w:tr>
        <w:trPr>
          <w:trHeight w:val="342"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Spigot,Inc.</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3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桌面与手机</w:t>
            </w:r>
            <w:r>
              <w:rPr>
                <w:rFonts w:ascii="宋体" w:hAnsi="宋体" w:cs="宋体" w:eastAsia="宋体" w:hint="default"/>
                <w:sz w:val="18"/>
                <w:szCs w:val="18"/>
              </w:rPr>
              <w:t>APP</w:t>
            </w:r>
            <w:r>
              <w:rPr>
                <w:rFonts w:ascii="宋体" w:hAnsi="宋体" w:cs="宋体" w:eastAsia="宋体" w:hint="default"/>
                <w:sz w:val="18"/>
                <w:szCs w:val="18"/>
              </w:rPr>
              <w:t>，互联网和移动业务的管理与变现</w:t>
            </w:r>
          </w:p>
        </w:tc>
      </w:tr>
      <w:tr>
        <w:trPr>
          <w:trHeight w:val="342"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GreenTree Applications SRL</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罗马尼亚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3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桌面与手机</w:t>
            </w:r>
            <w:r>
              <w:rPr>
                <w:rFonts w:ascii="宋体" w:hAnsi="宋体" w:cs="宋体" w:eastAsia="宋体" w:hint="default"/>
                <w:sz w:val="18"/>
                <w:szCs w:val="18"/>
              </w:rPr>
              <w:t>APP</w:t>
            </w:r>
            <w:r>
              <w:rPr>
                <w:rFonts w:ascii="宋体" w:hAnsi="宋体" w:cs="宋体" w:eastAsia="宋体" w:hint="default"/>
                <w:sz w:val="18"/>
                <w:szCs w:val="18"/>
              </w:rPr>
              <w:t>，互联网和移动业务的管理与变现</w:t>
            </w:r>
          </w:p>
        </w:tc>
      </w:tr>
      <w:tr>
        <w:trPr>
          <w:trHeight w:val="342"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Azureus Software, Inc.</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3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桌面与手机</w:t>
            </w:r>
            <w:r>
              <w:rPr>
                <w:rFonts w:ascii="宋体" w:hAnsi="宋体" w:cs="宋体" w:eastAsia="宋体" w:hint="default"/>
                <w:sz w:val="18"/>
                <w:szCs w:val="18"/>
              </w:rPr>
              <w:t>APP</w:t>
            </w:r>
            <w:r>
              <w:rPr>
                <w:rFonts w:ascii="宋体" w:hAnsi="宋体" w:cs="宋体" w:eastAsia="宋体" w:hint="default"/>
                <w:sz w:val="18"/>
                <w:szCs w:val="18"/>
              </w:rPr>
              <w:t>，互联网和移动业务的管理与变现</w:t>
            </w:r>
          </w:p>
        </w:tc>
      </w:tr>
      <w:tr>
        <w:trPr>
          <w:trHeight w:val="342"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GMGP LLC</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3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桌面与手机</w:t>
            </w:r>
            <w:r>
              <w:rPr>
                <w:rFonts w:ascii="宋体" w:hAnsi="宋体" w:cs="宋体" w:eastAsia="宋体" w:hint="default"/>
                <w:sz w:val="18"/>
                <w:szCs w:val="18"/>
              </w:rPr>
              <w:t>APP</w:t>
            </w:r>
            <w:r>
              <w:rPr>
                <w:rFonts w:ascii="宋体" w:hAnsi="宋体" w:cs="宋体" w:eastAsia="宋体" w:hint="default"/>
                <w:sz w:val="18"/>
                <w:szCs w:val="18"/>
              </w:rPr>
              <w:t>，互联网和移动业务的管理与变现</w:t>
            </w:r>
          </w:p>
        </w:tc>
      </w:tr>
      <w:tr>
        <w:trPr>
          <w:trHeight w:val="342"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Search Me Technologies, Inc.</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3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桌面与手机</w:t>
            </w:r>
            <w:r>
              <w:rPr>
                <w:rFonts w:ascii="宋体" w:hAnsi="宋体" w:cs="宋体" w:eastAsia="宋体" w:hint="default"/>
                <w:sz w:val="18"/>
                <w:szCs w:val="18"/>
              </w:rPr>
              <w:t>APP</w:t>
            </w:r>
            <w:r>
              <w:rPr>
                <w:rFonts w:ascii="宋体" w:hAnsi="宋体" w:cs="宋体" w:eastAsia="宋体" w:hint="default"/>
                <w:sz w:val="18"/>
                <w:szCs w:val="18"/>
              </w:rPr>
              <w:t>，互联网和移动业务的管理与变现</w:t>
            </w:r>
          </w:p>
        </w:tc>
      </w:tr>
      <w:tr>
        <w:trPr>
          <w:trHeight w:val="342"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Polarity Technologies Limited</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塞浦路斯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3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桌面与手机</w:t>
            </w:r>
            <w:r>
              <w:rPr>
                <w:rFonts w:ascii="宋体" w:hAnsi="宋体" w:cs="宋体" w:eastAsia="宋体" w:hint="default"/>
                <w:sz w:val="18"/>
                <w:szCs w:val="18"/>
              </w:rPr>
              <w:t>APP</w:t>
            </w:r>
            <w:r>
              <w:rPr>
                <w:rFonts w:ascii="宋体" w:hAnsi="宋体" w:cs="宋体" w:eastAsia="宋体" w:hint="default"/>
                <w:sz w:val="18"/>
                <w:szCs w:val="18"/>
              </w:rPr>
              <w:t>，互联网和移动业务的管理与变现</w:t>
            </w:r>
          </w:p>
        </w:tc>
      </w:tr>
      <w:tr>
        <w:trPr>
          <w:trHeight w:val="342"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Eightpoint Technologies Limited</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开曼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3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桌面与手机</w:t>
            </w:r>
            <w:r>
              <w:rPr>
                <w:rFonts w:ascii="宋体" w:hAnsi="宋体" w:cs="宋体" w:eastAsia="宋体" w:hint="default"/>
                <w:sz w:val="18"/>
                <w:szCs w:val="18"/>
              </w:rPr>
              <w:t>APP</w:t>
            </w:r>
            <w:r>
              <w:rPr>
                <w:rFonts w:ascii="宋体" w:hAnsi="宋体" w:cs="宋体" w:eastAsia="宋体" w:hint="default"/>
                <w:sz w:val="18"/>
                <w:szCs w:val="18"/>
              </w:rPr>
              <w:t>，互联网和移动业务的管理与变现</w:t>
            </w:r>
          </w:p>
        </w:tc>
      </w:tr>
      <w:tr>
        <w:trPr>
          <w:trHeight w:val="342"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Better Cloud Solutions Ltd.</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塞浦路斯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3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桌面与手机</w:t>
            </w:r>
            <w:r>
              <w:rPr>
                <w:rFonts w:ascii="宋体" w:hAnsi="宋体" w:cs="宋体" w:eastAsia="宋体" w:hint="default"/>
                <w:sz w:val="18"/>
                <w:szCs w:val="18"/>
              </w:rPr>
              <w:t>APP</w:t>
            </w:r>
            <w:r>
              <w:rPr>
                <w:rFonts w:ascii="宋体" w:hAnsi="宋体" w:cs="宋体" w:eastAsia="宋体" w:hint="default"/>
                <w:sz w:val="18"/>
                <w:szCs w:val="18"/>
              </w:rPr>
              <w:t>，互联网和移动业务的管理与变现</w:t>
            </w:r>
          </w:p>
        </w:tc>
      </w:tr>
      <w:tr>
        <w:trPr>
          <w:trHeight w:val="342"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Polarity Internet Technologies SRL</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罗马尼亚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3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桌面与手机</w:t>
            </w:r>
            <w:r>
              <w:rPr>
                <w:rFonts w:ascii="宋体" w:hAnsi="宋体" w:cs="宋体" w:eastAsia="宋体" w:hint="default"/>
                <w:sz w:val="18"/>
                <w:szCs w:val="18"/>
              </w:rPr>
              <w:t>APP</w:t>
            </w:r>
            <w:r>
              <w:rPr>
                <w:rFonts w:ascii="宋体" w:hAnsi="宋体" w:cs="宋体" w:eastAsia="宋体" w:hint="default"/>
                <w:sz w:val="18"/>
                <w:szCs w:val="18"/>
              </w:rPr>
              <w:t>，互联网和移动业务的管理与变现</w:t>
            </w:r>
          </w:p>
        </w:tc>
      </w:tr>
      <w:tr>
        <w:trPr>
          <w:trHeight w:val="342"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Springtech, Ltd.</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塞浦路斯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3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桌面与手机</w:t>
            </w:r>
            <w:r>
              <w:rPr>
                <w:rFonts w:ascii="宋体" w:hAnsi="宋体" w:cs="宋体" w:eastAsia="宋体" w:hint="default"/>
                <w:sz w:val="18"/>
                <w:szCs w:val="18"/>
              </w:rPr>
              <w:t>APP</w:t>
            </w:r>
            <w:r>
              <w:rPr>
                <w:rFonts w:ascii="宋体" w:hAnsi="宋体" w:cs="宋体" w:eastAsia="宋体" w:hint="default"/>
                <w:sz w:val="18"/>
                <w:szCs w:val="18"/>
              </w:rPr>
              <w:t>，互联网和移动业务的管理与变现</w:t>
            </w:r>
          </w:p>
        </w:tc>
      </w:tr>
    </w:tbl>
    <w:p>
      <w:pPr>
        <w:pStyle w:val="BodyText"/>
        <w:spacing w:line="319" w:lineRule="auto" w:before="51"/>
        <w:ind w:right="0" w:firstLine="360"/>
        <w:jc w:val="left"/>
      </w:pPr>
      <w:r>
        <w:rPr>
          <w:spacing w:val="-2"/>
        </w:rPr>
        <w:t>说明：境外经营实体确定美元为记账本位币的原因是：境外经营实体通常以美元进行商品和劳务的计价和结算，并且融</w:t>
      </w:r>
      <w:r>
        <w:rPr/>
        <w:t> 资活动获得的货币以及保存从经营活动中收取款项所使用的货币主要为美元。</w:t>
      </w:r>
    </w:p>
    <w:p>
      <w:pPr>
        <w:spacing w:line="240" w:lineRule="auto" w:before="3"/>
        <w:rPr>
          <w:rFonts w:ascii="宋体" w:hAnsi="宋体" w:cs="宋体" w:eastAsia="宋体" w:hint="default"/>
          <w:sz w:val="22"/>
          <w:szCs w:val="22"/>
        </w:rPr>
      </w:pPr>
    </w:p>
    <w:p>
      <w:pPr>
        <w:spacing w:line="578" w:lineRule="auto" w:before="0"/>
        <w:ind w:left="153" w:right="4633" w:firstLine="0"/>
        <w:jc w:val="left"/>
        <w:rPr>
          <w:rFonts w:ascii="宋体" w:hAnsi="宋体" w:cs="宋体" w:eastAsia="宋体" w:hint="default"/>
          <w:sz w:val="21"/>
          <w:szCs w:val="21"/>
        </w:rPr>
      </w:pPr>
      <w:bookmarkStart w:name="80、套期" w:id="403"/>
      <w:bookmarkEnd w:id="403"/>
      <w:r>
        <w:rPr/>
      </w:r>
      <w:r>
        <w:rPr>
          <w:rFonts w:ascii="宋体" w:hAnsi="宋体" w:cs="宋体" w:eastAsia="宋体" w:hint="default"/>
          <w:b/>
          <w:bCs/>
          <w:sz w:val="21"/>
          <w:szCs w:val="21"/>
        </w:rPr>
        <w:t>80</w:t>
      </w:r>
      <w:r>
        <w:rPr>
          <w:rFonts w:ascii="宋体" w:hAnsi="宋体" w:cs="宋体" w:eastAsia="宋体" w:hint="default"/>
          <w:b/>
          <w:bCs/>
          <w:sz w:val="21"/>
          <w:szCs w:val="21"/>
        </w:rPr>
        <w:t>、套期</w:t>
      </w:r>
      <w:r>
        <w:rPr>
          <w:rFonts w:ascii="宋体" w:hAnsi="宋体" w:cs="宋体" w:eastAsia="宋体" w:hint="default"/>
          <w:b/>
          <w:bCs/>
          <w:w w:val="99"/>
          <w:sz w:val="21"/>
          <w:szCs w:val="21"/>
        </w:rPr>
        <w:t> </w:t>
      </w:r>
      <w:r>
        <w:rPr>
          <w:rFonts w:ascii="宋体" w:hAnsi="宋体" w:cs="宋体" w:eastAsia="宋体" w:hint="default"/>
          <w:sz w:val="18"/>
          <w:szCs w:val="18"/>
        </w:rPr>
        <w:t>按照套期类别披露套期项目及相关套期工具、被套期风险的定性和定量信息： </w:t>
      </w:r>
      <w:bookmarkStart w:name="81、其他" w:id="404"/>
      <w:bookmarkEnd w:id="404"/>
      <w:r>
        <w:rPr>
          <w:rFonts w:ascii="宋体" w:hAnsi="宋体" w:cs="宋体" w:eastAsia="宋体" w:hint="default"/>
          <w:sz w:val="18"/>
          <w:szCs w:val="18"/>
        </w:rPr>
      </w:r>
      <w:r>
        <w:rPr>
          <w:rFonts w:ascii="宋体" w:hAnsi="宋体" w:cs="宋体" w:eastAsia="宋体" w:hint="default"/>
          <w:b/>
          <w:bCs/>
          <w:sz w:val="21"/>
          <w:szCs w:val="21"/>
        </w:rPr>
        <w:t>81</w:t>
      </w:r>
      <w:r>
        <w:rPr>
          <w:rFonts w:ascii="宋体" w:hAnsi="宋体" w:cs="宋体" w:eastAsia="宋体" w:hint="default"/>
          <w:b/>
          <w:bCs/>
          <w:sz w:val="21"/>
          <w:szCs w:val="21"/>
        </w:rPr>
        <w:t>、其他</w:t>
      </w:r>
      <w:r>
        <w:rPr>
          <w:rFonts w:ascii="宋体" w:hAnsi="宋体" w:cs="宋体" w:eastAsia="宋体" w:hint="default"/>
          <w:sz w:val="21"/>
          <w:szCs w:val="21"/>
        </w:rPr>
      </w:r>
    </w:p>
    <w:p>
      <w:pPr>
        <w:pStyle w:val="Heading2"/>
        <w:spacing w:line="240" w:lineRule="auto" w:before="20"/>
        <w:ind w:left="153" w:right="0"/>
        <w:jc w:val="left"/>
        <w:rPr>
          <w:b w:val="0"/>
          <w:bCs w:val="0"/>
        </w:rPr>
      </w:pPr>
      <w:bookmarkStart w:name="八、合并范围的变更" w:id="405"/>
      <w:bookmarkEnd w:id="405"/>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非同一控制下企业合并" w:id="406"/>
      <w:bookmarkEnd w:id="406"/>
      <w:r>
        <w:rPr>
          <w:b w:val="0"/>
          <w:bCs w:val="0"/>
        </w:rPr>
      </w:r>
      <w:r>
        <w:rPr>
          <w:rFonts w:ascii="宋体" w:hAnsi="宋体" w:cs="宋体" w:eastAsia="宋体" w:hint="default"/>
        </w:rPr>
        <w:t>1</w:t>
      </w:r>
      <w:r>
        <w:rPr/>
        <w:t>、非同一控制下企业合并</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53" w:right="0"/>
        <w:jc w:val="left"/>
        <w:rPr>
          <w:b w:val="0"/>
          <w:bCs w:val="0"/>
        </w:rPr>
      </w:pPr>
      <w:bookmarkStart w:name="（1）本期发生的非同一控制下企业合并" w:id="407"/>
      <w:bookmarkEnd w:id="407"/>
      <w:r>
        <w:rPr>
          <w:b w:val="0"/>
          <w:bCs w:val="0"/>
        </w:rPr>
      </w:r>
      <w:r>
        <w:rPr/>
        <w:t>（</w:t>
      </w:r>
      <w:r>
        <w:rPr>
          <w:rFonts w:ascii="宋体" w:hAnsi="宋体" w:cs="宋体" w:eastAsia="宋体" w:hint="default"/>
        </w:rPr>
        <w:t>1</w:t>
      </w:r>
      <w:r>
        <w:rPr/>
        <w:t>）本期发生的非同一控制下企业合并</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after="0" w:line="316" w:lineRule="auto"/>
        <w:jc w:val="both"/>
        <w:rPr>
          <w:rFonts w:ascii="宋体" w:hAnsi="宋体" w:cs="宋体" w:eastAsia="宋体" w:hint="default"/>
          <w:sz w:val="18"/>
          <w:szCs w:val="18"/>
        </w:rPr>
        <w:sectPr>
          <w:pgSz w:w="11910" w:h="16840"/>
          <w:pgMar w:header="877" w:footer="1187" w:top="1100" w:bottom="138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合并成本及商誉" w:id="408"/>
      <w:bookmarkEnd w:id="408"/>
      <w:r>
        <w:rPr>
          <w:b w:val="0"/>
          <w:bCs w:val="0"/>
        </w:rPr>
      </w:r>
      <w:r>
        <w:rPr/>
        <w:t>（</w:t>
      </w:r>
      <w:r>
        <w:rPr>
          <w:rFonts w:ascii="宋体" w:hAnsi="宋体" w:cs="宋体" w:eastAsia="宋体" w:hint="default"/>
        </w:rPr>
        <w:t>2</w:t>
      </w:r>
      <w:r>
        <w:rPr/>
        <w:t>）合并成本及商誉</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2d2d2">
                <v:path arrowok="t"/>
              </v:shape>
            </v:group>
            <v:group style="position:absolute;left:32;top:16;width:4729;height:392" coordorigin="32,16" coordsize="4729,392">
              <v:shape style="position:absolute;left:32;top:16;width:4729;height:392" coordorigin="32,16" coordsize="4729,392" path="m32,407l4761,407,4761,16,32,16,32,407xe" filled="true" fillcolor="#d2d2d2"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e0ffff">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e0ffff">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8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5;top:10;width:4785;height:404" type="#_x0000_t202" filled="false" stroked="false">
                <v:textbox inset="0,0,0,0">
                  <w:txbxContent>
                    <w:p>
                      <w:pPr>
                        <w:spacing w:before="57"/>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47"/>
        <w:ind w:right="6072"/>
        <w:jc w:val="left"/>
      </w:pPr>
      <w:r>
        <w:rPr/>
        <w:t>合并成本公允价值的确定方法、或有对价及其变动的说明： 大额商誉形成的主要原因：</w:t>
      </w:r>
    </w:p>
    <w:p>
      <w:pPr>
        <w:pStyle w:val="BodyText"/>
        <w:spacing w:line="240" w:lineRule="auto" w:before="29"/>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被购买方于购买日可辨认资产、负债" w:id="409"/>
      <w:bookmarkEnd w:id="409"/>
      <w:r>
        <w:rPr>
          <w:b w:val="0"/>
          <w:bCs w:val="0"/>
        </w:rPr>
      </w:r>
      <w:r>
        <w:rPr/>
        <w:t>（</w:t>
      </w:r>
      <w:r>
        <w:rPr>
          <w:rFonts w:ascii="宋体" w:hAnsi="宋体" w:cs="宋体" w:eastAsia="宋体" w:hint="default"/>
        </w:rPr>
        <w:t>3</w:t>
      </w:r>
      <w:r>
        <w:rPr/>
        <w:t>）被购买方于购买日可辨认资产、负债</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60" w:lineRule="auto" w:before="51"/>
        <w:ind w:right="7530"/>
        <w:jc w:val="both"/>
      </w:pPr>
      <w:r>
        <w:rPr/>
        <w:t>可辨认资产、负债公允价值的确定方法： 企业合并中承担的被购买方的或有负债： 其他说明：</w:t>
      </w:r>
    </w:p>
    <w:p>
      <w:pPr>
        <w:spacing w:line="240" w:lineRule="auto" w:before="12"/>
        <w:rPr>
          <w:rFonts w:ascii="宋体" w:hAnsi="宋体" w:cs="宋体" w:eastAsia="宋体" w:hint="default"/>
          <w:sz w:val="19"/>
          <w:szCs w:val="19"/>
        </w:rPr>
      </w:pPr>
    </w:p>
    <w:p>
      <w:pPr>
        <w:pStyle w:val="Heading3"/>
        <w:spacing w:line="240" w:lineRule="auto"/>
        <w:ind w:right="0"/>
        <w:jc w:val="both"/>
        <w:rPr>
          <w:b w:val="0"/>
          <w:bCs w:val="0"/>
        </w:rPr>
      </w:pPr>
      <w:bookmarkStart w:name="（4）购买日之前持有的股权按照公允价值重新计量产生的利得或损失" w:id="410"/>
      <w:bookmarkEnd w:id="410"/>
      <w:r>
        <w:rPr>
          <w:b w:val="0"/>
          <w:bCs w:val="0"/>
        </w:rPr>
      </w:r>
      <w:r>
        <w:rPr/>
        <w:t>（</w:t>
      </w:r>
      <w:r>
        <w:rPr>
          <w:rFonts w:ascii="宋体" w:hAnsi="宋体" w:cs="宋体" w:eastAsia="宋体" w:hint="default"/>
        </w:rPr>
        <w:t>4</w:t>
      </w:r>
      <w:r>
        <w:rPr/>
        <w:t>）购买日之前持有的股权按照公允价值重新计量产生的利得或损失</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6"/>
        <w:ind w:right="0"/>
        <w:jc w:val="both"/>
      </w:pPr>
      <w:r>
        <w:rPr/>
        <w:t>□ 是 √ 否</w:t>
      </w:r>
    </w:p>
    <w:p>
      <w:pPr>
        <w:spacing w:line="240" w:lineRule="auto" w:before="10"/>
        <w:rPr>
          <w:rFonts w:ascii="宋体" w:hAnsi="宋体" w:cs="宋体" w:eastAsia="宋体" w:hint="default"/>
          <w:sz w:val="26"/>
          <w:szCs w:val="26"/>
        </w:rPr>
      </w:pPr>
    </w:p>
    <w:p>
      <w:pPr>
        <w:pStyle w:val="Heading3"/>
        <w:spacing w:line="240" w:lineRule="auto"/>
        <w:ind w:left="153" w:right="0"/>
        <w:jc w:val="both"/>
        <w:rPr>
          <w:b w:val="0"/>
          <w:bCs w:val="0"/>
        </w:rPr>
      </w:pPr>
      <w:bookmarkStart w:name="（5）购买日或合并当期期末无法合理确定合并对价或被购买方可辨认资产、负债公允价值" w:id="411"/>
      <w:bookmarkEnd w:id="411"/>
      <w:r>
        <w:rPr>
          <w:b w:val="0"/>
          <w:bCs w:val="0"/>
        </w:rPr>
      </w:r>
      <w:r>
        <w:rPr/>
        <w:t>（</w:t>
      </w:r>
      <w:r>
        <w:rPr>
          <w:rFonts w:ascii="宋体" w:hAnsi="宋体" w:cs="宋体" w:eastAsia="宋体" w:hint="default"/>
        </w:rPr>
        <w:t>5</w:t>
      </w:r>
      <w:r>
        <w:rPr/>
        <w:t>）购买日或合并当期期末无法合理确定合并对价或被购买方可辨认资产、负债公允价值的相关说明</w:t>
      </w:r>
      <w:r>
        <w:rPr>
          <w:b w:val="0"/>
          <w:bCs w:val="0"/>
        </w:rPr>
      </w:r>
    </w:p>
    <w:p>
      <w:pPr>
        <w:spacing w:line="240" w:lineRule="auto" w:before="12"/>
        <w:rPr>
          <w:rFonts w:ascii="宋体" w:hAnsi="宋体" w:cs="宋体" w:eastAsia="宋体" w:hint="default"/>
          <w:b/>
          <w:bCs/>
          <w:sz w:val="25"/>
          <w:szCs w:val="25"/>
        </w:rPr>
      </w:pPr>
    </w:p>
    <w:p>
      <w:pPr>
        <w:pStyle w:val="Heading3"/>
        <w:spacing w:line="535" w:lineRule="auto"/>
        <w:ind w:right="8538"/>
        <w:jc w:val="left"/>
        <w:rPr>
          <w:b w:val="0"/>
          <w:bCs w:val="0"/>
        </w:rPr>
      </w:pPr>
      <w:bookmarkStart w:name="（6）其他说明" w:id="412"/>
      <w:bookmarkEnd w:id="412"/>
      <w:r>
        <w:rPr>
          <w:b w:val="0"/>
          <w:bCs w:val="0"/>
        </w:rPr>
      </w:r>
      <w:r>
        <w:rPr/>
        <w:t>（</w:t>
      </w:r>
      <w:r>
        <w:rPr>
          <w:rFonts w:ascii="宋体" w:hAnsi="宋体" w:cs="宋体" w:eastAsia="宋体" w:hint="default"/>
        </w:rPr>
        <w:t>6</w:t>
      </w:r>
      <w:r>
        <w:rPr/>
        <w:t>）其他说明</w:t>
      </w:r>
      <w:r>
        <w:rPr>
          <w:w w:val="99"/>
        </w:rPr>
        <w:t> </w:t>
      </w:r>
      <w:bookmarkStart w:name="2、同一控制下企业合并" w:id="413"/>
      <w:bookmarkEnd w:id="413"/>
      <w:r>
        <w:rPr>
          <w:w w:val="99"/>
        </w:rPr>
      </w:r>
      <w:r>
        <w:rPr>
          <w:rFonts w:ascii="宋体" w:hAnsi="宋体" w:cs="宋体" w:eastAsia="宋体" w:hint="default"/>
        </w:rPr>
        <w:t>2</w:t>
      </w:r>
      <w:r>
        <w:rPr/>
        <w:t>、同一控制下企业合并</w:t>
      </w:r>
      <w:r>
        <w:rPr>
          <w:b w:val="0"/>
          <w:bCs w:val="0"/>
        </w:rPr>
      </w:r>
    </w:p>
    <w:p>
      <w:pPr>
        <w:pStyle w:val="Heading3"/>
        <w:spacing w:line="240" w:lineRule="auto" w:before="80"/>
        <w:ind w:right="0"/>
        <w:jc w:val="both"/>
        <w:rPr>
          <w:b w:val="0"/>
          <w:bCs w:val="0"/>
        </w:rPr>
      </w:pPr>
      <w:bookmarkStart w:name="（1）本期发生的同一控制下企业合并" w:id="414"/>
      <w:bookmarkEnd w:id="414"/>
      <w:r>
        <w:rPr>
          <w:b w:val="0"/>
          <w:bCs w:val="0"/>
        </w:rPr>
      </w:r>
      <w:r>
        <w:rPr/>
        <w:t>（</w:t>
      </w:r>
      <w:r>
        <w:rPr>
          <w:rFonts w:ascii="宋体" w:hAnsi="宋体" w:cs="宋体" w:eastAsia="宋体" w:hint="default"/>
        </w:rPr>
        <w:t>1</w:t>
      </w:r>
      <w:r>
        <w:rPr/>
        <w:t>）本期发生的同一控制下企业合并</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合并成本" w:id="415"/>
      <w:bookmarkEnd w:id="415"/>
      <w:r>
        <w:rPr>
          <w:b w:val="0"/>
          <w:bCs w:val="0"/>
        </w:rPr>
      </w:r>
      <w:r>
        <w:rPr/>
        <w:t>（</w:t>
      </w:r>
      <w:r>
        <w:rPr>
          <w:rFonts w:ascii="宋体" w:hAnsi="宋体" w:cs="宋体" w:eastAsia="宋体" w:hint="default"/>
        </w:rPr>
        <w:t>2</w:t>
      </w:r>
      <w:r>
        <w:rPr/>
        <w:t>）合并成本</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after="0" w:line="240" w:lineRule="auto"/>
        <w:jc w:val="right"/>
        <w:sectPr>
          <w:pgSz w:w="11910" w:h="16840"/>
          <w:pgMar w:header="877" w:footer="1187" w:top="1100" w:bottom="1380" w:left="980" w:right="0"/>
        </w:sectPr>
      </w:pPr>
    </w:p>
    <w:p>
      <w:pPr>
        <w:spacing w:line="240" w:lineRule="auto" w:before="2"/>
        <w:rPr>
          <w:rFonts w:ascii="宋体" w:hAnsi="宋体" w:cs="宋体" w:eastAsia="宋体" w:hint="default"/>
          <w:sz w:val="24"/>
          <w:szCs w:val="24"/>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right="8592"/>
        <w:jc w:val="left"/>
      </w:pPr>
      <w:r>
        <w:rPr/>
        <w:t>或有对价及其变动的说明： 其他说明：</w:t>
      </w:r>
    </w:p>
    <w:p>
      <w:pPr>
        <w:spacing w:line="240" w:lineRule="auto" w:before="12"/>
        <w:rPr>
          <w:rFonts w:ascii="宋体" w:hAnsi="宋体" w:cs="宋体" w:eastAsia="宋体" w:hint="default"/>
          <w:sz w:val="19"/>
          <w:szCs w:val="19"/>
        </w:rPr>
      </w:pPr>
    </w:p>
    <w:p>
      <w:pPr>
        <w:pStyle w:val="Heading3"/>
        <w:spacing w:line="240" w:lineRule="auto"/>
        <w:ind w:left="153" w:right="0"/>
        <w:jc w:val="left"/>
        <w:rPr>
          <w:b w:val="0"/>
          <w:bCs w:val="0"/>
        </w:rPr>
      </w:pPr>
      <w:bookmarkStart w:name="（3）合并日被合并方资产、负债的账面价值" w:id="416"/>
      <w:bookmarkEnd w:id="416"/>
      <w:r>
        <w:rPr>
          <w:b w:val="0"/>
          <w:bCs w:val="0"/>
        </w:rPr>
      </w:r>
      <w:r>
        <w:rPr/>
        <w:t>（</w:t>
      </w:r>
      <w:r>
        <w:rPr>
          <w:rFonts w:ascii="宋体" w:hAnsi="宋体" w:cs="宋体" w:eastAsia="宋体" w:hint="default"/>
        </w:rPr>
        <w:t>3</w:t>
      </w:r>
      <w:r>
        <w:rPr/>
        <w:t>）合并日被合并方资产、负债的账面价值</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824"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5pt;mso-position-horizontal-relative:char;mso-position-vertical-relative:line" coordorigin="0,0" coordsize="9581,825">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3179;top:16;width:2;height:392" coordorigin="3179,16" coordsize="2,392">
              <v:shape style="position:absolute;left:3179;top:16;width:2;height:392" coordorigin="3179,16" coordsize="0,392" path="m3179,16l3179,407e" filled="false" stroked="true" strokeweight="1.140pt" strokecolor="#d2d2d2">
                <v:path arrowok="t"/>
              </v:shape>
            </v:group>
            <v:group style="position:absolute;left:32;top:16;width:3135;height:392" coordorigin="32,16" coordsize="3135,392">
              <v:shape style="position:absolute;left:32;top:16;width:3135;height:392" coordorigin="32,16" coordsize="3135,392" path="m32,407l3167,407,3167,16,32,16,32,407xe" filled="true" fillcolor="#d2d2d2" stroked="false">
                <v:path arrowok="t"/>
                <v:fill type="solid"/>
              </v:shape>
            </v:group>
            <v:group style="position:absolute;left:3212;top:16;width:2;height:392" coordorigin="3212,16" coordsize="2,392">
              <v:shape style="position:absolute;left:3212;top:16;width:2;height:392" coordorigin="3212,16" coordsize="0,392" path="m3212,16l3212,407e" filled="false" stroked="true" strokeweight="1.2pt" strokecolor="#e0ffff">
                <v:path arrowok="t"/>
              </v:shape>
            </v:group>
            <v:group style="position:absolute;left:9560;top:16;width:2;height:392" coordorigin="9560,16" coordsize="2,392">
              <v:shape style="position:absolute;left:9560;top:16;width:2;height:392" coordorigin="9560,16" coordsize="0,392" path="m9560,16l9560,407e" filled="false" stroked="true" strokeweight="1.140pt" strokecolor="#e0ffff">
                <v:path arrowok="t"/>
              </v:shape>
            </v:group>
            <v:group style="position:absolute;left:3224;top:16;width:6325;height:392" coordorigin="3224,16" coordsize="6325,392">
              <v:shape style="position:absolute;left:3224;top:16;width:6325;height:392" coordorigin="3224,16" coordsize="6325,392" path="m3224,407l9548,407,9548,16,3224,16,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8;width:2;height:392" coordorigin="21,418" coordsize="2,392">
              <v:shape style="position:absolute;left:21;top:418;width:2;height:392" coordorigin="21,418" coordsize="0,392" path="m21,418l21,809e" filled="false" stroked="true" strokeweight="1.140pt" strokecolor="#d2d2d2">
                <v:path arrowok="t"/>
              </v:shape>
            </v:group>
            <v:group style="position:absolute;left:3179;top:418;width:2;height:392" coordorigin="3179,418" coordsize="2,392">
              <v:shape style="position:absolute;left:3179;top:418;width:2;height:392" coordorigin="3179,418" coordsize="0,392" path="m3179,418l3179,809e" filled="false" stroked="true" strokeweight="1.140pt" strokecolor="#d2d2d2">
                <v:path arrowok="t"/>
              </v:shape>
            </v:group>
            <v:group style="position:absolute;left:32;top:418;width:3135;height:392" coordorigin="32,418" coordsize="3135,392">
              <v:shape style="position:absolute;left:32;top:418;width:3135;height:392" coordorigin="32,418" coordsize="3135,392" path="m32,809l3167,809,3167,418,32,418,32,809xe" filled="true" fillcolor="#d2d2d2" stroked="false">
                <v:path arrowok="t"/>
                <v:fill type="solid"/>
              </v:shape>
            </v:group>
            <v:group style="position:absolute;left:3212;top:418;width:2;height:392" coordorigin="3212,418" coordsize="2,392">
              <v:shape style="position:absolute;left:3212;top:418;width:2;height:392" coordorigin="3212,418" coordsize="0,392" path="m3212,418l3212,809e" filled="false" stroked="true" strokeweight="1.2pt" strokecolor="#d2d2d2">
                <v:path arrowok="t"/>
              </v:shape>
            </v:group>
            <v:group style="position:absolute;left:6369;top:418;width:2;height:392" coordorigin="6369,418" coordsize="2,392">
              <v:shape style="position:absolute;left:6369;top:418;width:2;height:392" coordorigin="6369,418" coordsize="0,392" path="m6369,418l6369,809e" filled="false" stroked="true" strokeweight="1.140pt" strokecolor="#d2d2d2">
                <v:path arrowok="t"/>
              </v:shape>
            </v:group>
            <v:group style="position:absolute;left:3224;top:418;width:3134;height:392" coordorigin="3224,418" coordsize="3134,392">
              <v:shape style="position:absolute;left:3224;top:418;width:3134;height:392" coordorigin="3224,418" coordsize="3134,392" path="m3224,809l6357,809,6357,418,3224,418,3224,809xe" filled="true" fillcolor="#d2d2d2" stroked="false">
                <v:path arrowok="t"/>
                <v:fill type="solid"/>
              </v:shape>
            </v:group>
            <v:group style="position:absolute;left:6402;top:418;width:2;height:392" coordorigin="6402,418" coordsize="2,392">
              <v:shape style="position:absolute;left:6402;top:418;width:2;height:392" coordorigin="6402,418" coordsize="0,392" path="m6402,418l6402,809e" filled="false" stroked="true" strokeweight="1.140pt" strokecolor="#d2d2d2">
                <v:path arrowok="t"/>
              </v:shape>
            </v:group>
            <v:group style="position:absolute;left:9560;top:418;width:2;height:392" coordorigin="9560,418" coordsize="2,392">
              <v:shape style="position:absolute;left:9560;top:418;width:2;height:392" coordorigin="9560,418" coordsize="0,392" path="m9560,418l9560,809e" filled="false" stroked="true" strokeweight="1.140pt" strokecolor="#d2d2d2">
                <v:path arrowok="t"/>
              </v:shape>
            </v:group>
            <v:group style="position:absolute;left:6414;top:418;width:3135;height:392" coordorigin="6414,418" coordsize="3135,392">
              <v:shape style="position:absolute;left:6414;top:418;width:3135;height:392" coordorigin="6414,418" coordsize="3135,392" path="m6414,809l9548,809,9548,418,6414,418,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5" coordorigin="5,5" coordsize="2,815">
              <v:shape style="position:absolute;left:5;top:5;width:2;height:815" coordorigin="5,5" coordsize="0,815" path="m5,5l5,820e" filled="false" stroked="true" strokeweight=".48pt" strokecolor="#000000">
                <v:path arrowok="t"/>
              </v:shape>
            </v:group>
            <v:group style="position:absolute;left:10;top:815;width:3181;height:2" coordorigin="10,815" coordsize="3181,2">
              <v:shape style="position:absolute;left:10;top:815;width:3181;height:2" coordorigin="10,815" coordsize="3181,0" path="m10,815l3190,815e" filled="false" stroked="true" strokeweight=".48pt" strokecolor="#000000">
                <v:path arrowok="t"/>
              </v:shape>
            </v:group>
            <v:group style="position:absolute;left:3195;top:5;width:2;height:815" coordorigin="3195,5" coordsize="2,815">
              <v:shape style="position:absolute;left:3195;top:5;width:2;height:815" coordorigin="3195,5" coordsize="0,815" path="m3195,5l3195,820e" filled="false" stroked="true" strokeweight=".48pt" strokecolor="#000000">
                <v:path arrowok="t"/>
              </v:shape>
            </v:group>
            <v:group style="position:absolute;left:3200;top:815;width:3182;height:2" coordorigin="3200,815" coordsize="3182,2">
              <v:shape style="position:absolute;left:3200;top:815;width:3182;height:2" coordorigin="3200,815" coordsize="3182,0" path="m3200,815l6381,815e" filled="false" stroked="true" strokeweight=".48pt" strokecolor="#000000">
                <v:path arrowok="t"/>
              </v:shape>
            </v:group>
            <v:group style="position:absolute;left:6386;top:407;width:2;height:413" coordorigin="6386,407" coordsize="2,413">
              <v:shape style="position:absolute;left:6386;top:407;width:2;height:413" coordorigin="6386,407" coordsize="0,413" path="m6386,407l6386,820e" filled="false" stroked="true" strokeweight=".48pt" strokecolor="#000000">
                <v:path arrowok="t"/>
              </v:shape>
            </v:group>
            <v:group style="position:absolute;left:6391;top:815;width:3181;height:2" coordorigin="6391,815" coordsize="3181,2">
              <v:shape style="position:absolute;left:6391;top:815;width:3181;height:2" coordorigin="6391,815" coordsize="3181,0" path="m6391,815l9571,815e" filled="false" stroked="true" strokeweight=".48pt" strokecolor="#000000">
                <v:path arrowok="t"/>
              </v:shape>
            </v:group>
            <v:group style="position:absolute;left:9576;top:5;width:2;height:815" coordorigin="9576,5" coordsize="2,815">
              <v:shape style="position:absolute;left:9576;top:5;width:2;height:815" coordorigin="9576,5" coordsize="0,815" path="m9576,5l9576,820e" filled="false" stroked="true" strokeweight=".48pt" strokecolor="#000000">
                <v:path arrowok="t"/>
              </v:shape>
              <v:shape style="position:absolute;left:3183;top:412;width:3202;height:403"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3"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57" w:lineRule="auto" w:before="47"/>
        <w:ind w:right="7512"/>
        <w:jc w:val="left"/>
      </w:pPr>
      <w:r>
        <w:rPr/>
        <w:t>企业合并中承担的被合并方的或有负债： 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3、反向购买" w:id="417"/>
      <w:bookmarkEnd w:id="417"/>
      <w:r>
        <w:rPr>
          <w:b w:val="0"/>
          <w:bCs w:val="0"/>
        </w:rPr>
      </w:r>
      <w:r>
        <w:rPr>
          <w:rFonts w:ascii="宋体" w:hAnsi="宋体" w:cs="宋体" w:eastAsia="宋体" w:hint="default"/>
        </w:rPr>
        <w:t>3</w:t>
      </w:r>
      <w:r>
        <w:rPr/>
        <w:t>、反向购买</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4、处置子公司" w:id="418"/>
      <w:bookmarkEnd w:id="418"/>
      <w:r>
        <w:rPr>
          <w:b w:val="0"/>
          <w:bCs w:val="0"/>
        </w:rPr>
      </w:r>
      <w:r>
        <w:rPr>
          <w:rFonts w:ascii="宋体" w:hAnsi="宋体" w:cs="宋体" w:eastAsia="宋体" w:hint="default"/>
        </w:rPr>
        <w:t>4</w:t>
      </w:r>
      <w:r>
        <w:rPr/>
        <w:t>、处置子公司</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是否存在单次处置对子公司投资即丧失控制权的情形</w:t>
      </w:r>
    </w:p>
    <w:p>
      <w:pPr>
        <w:pStyle w:val="BodyText"/>
        <w:spacing w:line="357" w:lineRule="auto" w:before="116"/>
        <w:ind w:left="153" w:right="4993"/>
        <w:jc w:val="left"/>
      </w:pPr>
      <w:r>
        <w:rPr/>
        <w:t>□ 是 √ 否 是否存在通过多次交易分步处置对子公司投资且在本期丧失控制权的情形</w:t>
      </w:r>
    </w:p>
    <w:p>
      <w:pPr>
        <w:pStyle w:val="BodyText"/>
        <w:spacing w:line="240" w:lineRule="auto" w:before="29"/>
        <w:ind w:left="153" w:right="0"/>
        <w:jc w:val="left"/>
      </w:pPr>
      <w:r>
        <w:rPr/>
        <w:t>□ 是 √ 否</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5、其他原因的合并范围变动" w:id="419"/>
      <w:bookmarkEnd w:id="419"/>
      <w:r>
        <w:rPr>
          <w:b w:val="0"/>
          <w:bCs w:val="0"/>
        </w:rPr>
      </w:r>
      <w:r>
        <w:rPr>
          <w:rFonts w:ascii="宋体" w:hAnsi="宋体" w:cs="宋体" w:eastAsia="宋体" w:hint="default"/>
        </w:rPr>
        <w:t>5</w:t>
      </w:r>
      <w:r>
        <w:rPr/>
        <w:t>、其他原因的合并范围变动</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153" w:right="0"/>
        <w:jc w:val="left"/>
      </w:pPr>
      <w:r>
        <w:rPr/>
        <w:t>说明其他原因导致的合并范围变动（如，新设子公司、清算子公司等）及其相关情况：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19"/>
        <w:gridCol w:w="851"/>
        <w:gridCol w:w="1700"/>
        <w:gridCol w:w="994"/>
        <w:gridCol w:w="992"/>
        <w:gridCol w:w="1691"/>
      </w:tblGrid>
      <w:tr>
        <w:trPr>
          <w:trHeight w:val="342" w:hRule="exact"/>
        </w:trPr>
        <w:tc>
          <w:tcPr>
            <w:tcW w:w="3119" w:type="dxa"/>
            <w:vMerge w:val="restart"/>
            <w:tcBorders>
              <w:top w:val="single" w:sz="4" w:space="0" w:color="000000"/>
              <w:left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本期新设子公司名称</w:t>
            </w:r>
            <w:r>
              <w:rPr>
                <w:rFonts w:ascii="宋体" w:hAnsi="宋体" w:cs="宋体" w:eastAsia="宋体" w:hint="default"/>
                <w:sz w:val="18"/>
                <w:szCs w:val="18"/>
              </w:rPr>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成立时间</w:t>
            </w:r>
            <w:r>
              <w:rPr>
                <w:rFonts w:ascii="宋体" w:hAnsi="宋体" w:cs="宋体" w:eastAsia="宋体" w:hint="default"/>
                <w:sz w:val="18"/>
                <w:szCs w:val="18"/>
              </w:rPr>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75"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b/>
                <w:bCs/>
                <w:sz w:val="18"/>
                <w:szCs w:val="18"/>
              </w:rPr>
              <w:t>(%)</w:t>
            </w:r>
            <w:r>
              <w:rPr>
                <w:rFonts w:ascii="宋体" w:hAnsi="宋体" w:cs="宋体" w:eastAsia="宋体" w:hint="default"/>
                <w:sz w:val="18"/>
                <w:szCs w:val="18"/>
              </w:rPr>
            </w:r>
          </w:p>
        </w:tc>
        <w:tc>
          <w:tcPr>
            <w:tcW w:w="1691" w:type="dxa"/>
            <w:vMerge w:val="restart"/>
            <w:tcBorders>
              <w:top w:val="single" w:sz="4" w:space="0" w:color="000000"/>
              <w:left w:val="single" w:sz="4" w:space="0" w:color="000000"/>
              <w:right w:val="single" w:sz="4" w:space="0" w:color="000000"/>
            </w:tcBorders>
          </w:tcPr>
          <w:p>
            <w:pPr>
              <w:pStyle w:val="TableParagraph"/>
              <w:spacing w:line="240" w:lineRule="auto" w:before="21"/>
              <w:ind w:left="952"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r>
      <w:tr>
        <w:trPr>
          <w:trHeight w:val="342" w:hRule="exact"/>
        </w:trPr>
        <w:tc>
          <w:tcPr>
            <w:tcW w:w="3119"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1691" w:type="dxa"/>
            <w:vMerge/>
            <w:tcBorders>
              <w:left w:val="single" w:sz="4" w:space="0" w:color="000000"/>
              <w:bottom w:val="single" w:sz="4" w:space="0" w:color="000000"/>
              <w:right w:val="single" w:sz="4" w:space="0" w:color="000000"/>
            </w:tcBorders>
          </w:tcPr>
          <w:p>
            <w:pPr/>
          </w:p>
        </w:tc>
      </w:tr>
      <w:tr>
        <w:trPr>
          <w:trHeight w:val="34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西藏智媒公司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z w:val="18"/>
                <w:szCs w:val="18"/>
              </w:rPr>
              <w:t>3,000.00</w:t>
            </w:r>
            <w:r>
              <w:rPr>
                <w:rFonts w:ascii="宋体" w:hAnsi="宋体" w:cs="宋体" w:eastAsia="宋体" w:hint="default"/>
                <w:sz w:val="18"/>
                <w:szCs w:val="18"/>
              </w:rPr>
              <w:t>万</w:t>
            </w:r>
          </w:p>
        </w:tc>
      </w:tr>
      <w:tr>
        <w:trPr>
          <w:trHeight w:val="34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上海宴杰网络科技有限公司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z w:val="18"/>
                <w:szCs w:val="18"/>
              </w:rPr>
              <w:t>1,000.00</w:t>
            </w:r>
            <w:r>
              <w:rPr>
                <w:rFonts w:ascii="宋体" w:hAnsi="宋体" w:cs="宋体" w:eastAsia="宋体" w:hint="default"/>
                <w:sz w:val="18"/>
                <w:szCs w:val="18"/>
              </w:rPr>
              <w:t>万</w:t>
            </w:r>
          </w:p>
        </w:tc>
      </w:tr>
      <w:tr>
        <w:trPr>
          <w:trHeight w:val="65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3"/>
              <w:jc w:val="left"/>
              <w:rPr>
                <w:rFonts w:ascii="宋体" w:hAnsi="宋体" w:cs="宋体" w:eastAsia="宋体" w:hint="default"/>
                <w:sz w:val="18"/>
                <w:szCs w:val="18"/>
              </w:rPr>
            </w:pPr>
            <w:r>
              <w:rPr>
                <w:rFonts w:ascii="宋体" w:hAnsi="宋体" w:cs="宋体" w:eastAsia="宋体" w:hint="default"/>
                <w:sz w:val="18"/>
                <w:szCs w:val="18"/>
              </w:rPr>
              <w:t>拉萨经济技术开发区猎鹰网络科技有限</w:t>
            </w:r>
            <w:r>
              <w:rPr>
                <w:rFonts w:ascii="宋体" w:hAnsi="宋体" w:cs="宋体" w:eastAsia="宋体" w:hint="default"/>
                <w:spacing w:val="-57"/>
                <w:sz w:val="18"/>
                <w:szCs w:val="18"/>
              </w:rPr>
              <w:t> </w:t>
            </w:r>
            <w:r>
              <w:rPr>
                <w:rFonts w:ascii="宋体" w:hAnsi="宋体" w:cs="宋体" w:eastAsia="宋体" w:hint="default"/>
                <w:sz w:val="18"/>
                <w:szCs w:val="18"/>
              </w:rPr>
              <w:t>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12</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z w:val="18"/>
                <w:szCs w:val="18"/>
              </w:rPr>
              <w:t>1,000.00</w:t>
            </w:r>
            <w:r>
              <w:rPr>
                <w:rFonts w:ascii="宋体" w:hAnsi="宋体" w:cs="宋体" w:eastAsia="宋体" w:hint="default"/>
                <w:sz w:val="18"/>
                <w:szCs w:val="18"/>
              </w:rPr>
              <w:t>万</w:t>
            </w:r>
          </w:p>
        </w:tc>
      </w:tr>
      <w:tr>
        <w:trPr>
          <w:trHeight w:val="34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深圳智度信息技术有限公司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z w:val="18"/>
                <w:szCs w:val="18"/>
              </w:rPr>
              <w:t>1,000.00</w:t>
            </w:r>
            <w:r>
              <w:rPr>
                <w:rFonts w:ascii="宋体" w:hAnsi="宋体" w:cs="宋体" w:eastAsia="宋体" w:hint="default"/>
                <w:sz w:val="18"/>
                <w:szCs w:val="18"/>
              </w:rPr>
              <w:t>万</w:t>
            </w:r>
          </w:p>
        </w:tc>
      </w:tr>
      <w:tr>
        <w:trPr>
          <w:trHeight w:val="34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智度小贷公司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z w:val="18"/>
                <w:szCs w:val="18"/>
              </w:rPr>
              <w:t>5,000.00</w:t>
            </w:r>
            <w:r>
              <w:rPr>
                <w:rFonts w:ascii="宋体" w:hAnsi="宋体" w:cs="宋体" w:eastAsia="宋体" w:hint="default"/>
                <w:sz w:val="18"/>
                <w:szCs w:val="18"/>
              </w:rPr>
              <w:t>万</w:t>
            </w:r>
          </w:p>
        </w:tc>
      </w:tr>
      <w:tr>
        <w:trPr>
          <w:trHeight w:val="34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广州市智度商业保理有限公司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60.00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z w:val="18"/>
                <w:szCs w:val="18"/>
              </w:rPr>
              <w:t>1,000.00</w:t>
            </w:r>
            <w:r>
              <w:rPr>
                <w:rFonts w:ascii="宋体" w:hAnsi="宋体" w:cs="宋体" w:eastAsia="宋体" w:hint="default"/>
                <w:sz w:val="18"/>
                <w:szCs w:val="18"/>
              </w:rPr>
              <w:t>万</w:t>
            </w:r>
          </w:p>
        </w:tc>
      </w:tr>
      <w:tr>
        <w:trPr>
          <w:trHeight w:val="34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上海智度网络科技有限公司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z w:val="18"/>
                <w:szCs w:val="18"/>
              </w:rPr>
              <w:t>3,000.00</w:t>
            </w:r>
            <w:r>
              <w:rPr>
                <w:rFonts w:ascii="宋体" w:hAnsi="宋体" w:cs="宋体" w:eastAsia="宋体" w:hint="default"/>
                <w:sz w:val="18"/>
                <w:szCs w:val="18"/>
              </w:rPr>
              <w:t>万</w:t>
            </w:r>
          </w:p>
        </w:tc>
      </w:tr>
      <w:tr>
        <w:trPr>
          <w:trHeight w:val="34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霍尔果斯白猫科技有限公司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霍尔果斯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6</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z w:val="18"/>
                <w:szCs w:val="18"/>
              </w:rPr>
              <w:t>1,000.00</w:t>
            </w:r>
            <w:r>
              <w:rPr>
                <w:rFonts w:ascii="宋体" w:hAnsi="宋体" w:cs="宋体" w:eastAsia="宋体" w:hint="default"/>
                <w:sz w:val="18"/>
                <w:szCs w:val="18"/>
              </w:rPr>
              <w:t>万</w:t>
            </w:r>
          </w:p>
        </w:tc>
      </w:tr>
      <w:tr>
        <w:trPr>
          <w:trHeight w:val="34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厦门智得天下金融信息服务有限公司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5</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z w:val="18"/>
                <w:szCs w:val="18"/>
              </w:rPr>
              <w:t>1,000.00</w:t>
            </w:r>
            <w:r>
              <w:rPr>
                <w:rFonts w:ascii="宋体" w:hAnsi="宋体" w:cs="宋体" w:eastAsia="宋体" w:hint="default"/>
                <w:sz w:val="18"/>
                <w:szCs w:val="18"/>
              </w:rPr>
              <w:t>万</w:t>
            </w:r>
          </w:p>
        </w:tc>
      </w:tr>
      <w:tr>
        <w:trPr>
          <w:trHeight w:val="65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Better Cloud Solutions Ltd.</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14"/>
              <w:jc w:val="left"/>
              <w:rPr>
                <w:rFonts w:ascii="宋体" w:hAnsi="宋体" w:cs="宋体" w:eastAsia="宋体" w:hint="default"/>
                <w:sz w:val="18"/>
                <w:szCs w:val="18"/>
              </w:rPr>
            </w:pPr>
            <w:r>
              <w:rPr>
                <w:rFonts w:ascii="宋体" w:hAnsi="宋体" w:cs="宋体" w:eastAsia="宋体" w:hint="default"/>
                <w:sz w:val="18"/>
                <w:szCs w:val="18"/>
              </w:rPr>
              <w:t>塞浦路斯 共和国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欧元  </w:t>
            </w:r>
            <w:r>
              <w:rPr>
                <w:rFonts w:ascii="宋体" w:hAnsi="宋体" w:cs="宋体" w:eastAsia="宋体" w:hint="default"/>
                <w:sz w:val="18"/>
                <w:szCs w:val="18"/>
              </w:rPr>
              <w:t>1.00</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19"/>
        <w:gridCol w:w="851"/>
        <w:gridCol w:w="1700"/>
        <w:gridCol w:w="994"/>
        <w:gridCol w:w="992"/>
        <w:gridCol w:w="1691"/>
      </w:tblGrid>
      <w:tr>
        <w:trPr>
          <w:trHeight w:val="34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Polarity Internet Technologies SRL</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罗马尼亚</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罗马尼亚列伊</w:t>
            </w:r>
            <w:r>
              <w:rPr>
                <w:rFonts w:ascii="宋体" w:hAnsi="宋体" w:cs="宋体" w:eastAsia="宋体" w:hint="default"/>
                <w:sz w:val="18"/>
                <w:szCs w:val="18"/>
              </w:rPr>
              <w:t>200.00</w:t>
            </w:r>
          </w:p>
        </w:tc>
      </w:tr>
      <w:tr>
        <w:trPr>
          <w:trHeight w:val="65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Springtech,Ltd.</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14"/>
              <w:jc w:val="left"/>
              <w:rPr>
                <w:rFonts w:ascii="宋体" w:hAnsi="宋体" w:cs="宋体" w:eastAsia="宋体" w:hint="default"/>
                <w:sz w:val="18"/>
                <w:szCs w:val="18"/>
              </w:rPr>
            </w:pPr>
            <w:r>
              <w:rPr>
                <w:rFonts w:ascii="宋体" w:hAnsi="宋体" w:cs="宋体" w:eastAsia="宋体" w:hint="default"/>
                <w:sz w:val="18"/>
                <w:szCs w:val="18"/>
              </w:rPr>
              <w:t>塞浦路斯 共和国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欧元  </w:t>
            </w:r>
            <w:r>
              <w:rPr>
                <w:rFonts w:ascii="宋体" w:hAnsi="宋体" w:cs="宋体" w:eastAsia="宋体" w:hint="default"/>
                <w:sz w:val="18"/>
                <w:szCs w:val="18"/>
              </w:rPr>
              <w:t>1.00</w:t>
            </w:r>
          </w:p>
        </w:tc>
      </w:tr>
    </w:tbl>
    <w:p>
      <w:pPr>
        <w:pStyle w:val="BodyText"/>
        <w:spacing w:line="240" w:lineRule="auto" w:before="51"/>
        <w:ind w:left="604" w:right="0"/>
        <w:jc w:val="left"/>
      </w:pPr>
      <w:r>
        <w:rPr/>
        <w:t>说明：上述公司自设立之日起纳入合并范围。</w:t>
      </w:r>
    </w:p>
    <w:p>
      <w:pPr>
        <w:spacing w:line="240" w:lineRule="auto" w:before="11"/>
        <w:rPr>
          <w:rFonts w:ascii="宋体" w:hAnsi="宋体" w:cs="宋体" w:eastAsia="宋体" w:hint="default"/>
          <w:sz w:val="26"/>
          <w:szCs w:val="26"/>
        </w:rPr>
      </w:pPr>
    </w:p>
    <w:p>
      <w:pPr>
        <w:spacing w:line="501" w:lineRule="auto" w:before="0"/>
        <w:ind w:left="154" w:right="7693" w:firstLine="0"/>
        <w:jc w:val="left"/>
        <w:rPr>
          <w:rFonts w:ascii="宋体" w:hAnsi="宋体" w:cs="宋体" w:eastAsia="宋体" w:hint="default"/>
          <w:sz w:val="21"/>
          <w:szCs w:val="21"/>
        </w:rPr>
      </w:pPr>
      <w:bookmarkStart w:name="6、其他" w:id="420"/>
      <w:bookmarkEnd w:id="420"/>
      <w:r>
        <w:rPr/>
      </w:r>
      <w:r>
        <w:rPr>
          <w:rFonts w:ascii="宋体" w:hAnsi="宋体" w:cs="宋体" w:eastAsia="宋体"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九、在其他主体中的权益" w:id="421"/>
      <w:bookmarkEnd w:id="421"/>
      <w:r>
        <w:rPr>
          <w:rFonts w:ascii="宋体" w:hAnsi="宋体" w:cs="宋体" w:eastAsia="宋体" w:hint="default"/>
          <w:b/>
          <w:bCs/>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22"/>
      <w:bookmarkEnd w:id="422"/>
      <w:r>
        <w:rPr>
          <w:rFonts w:ascii="宋体" w:hAnsi="宋体" w:cs="宋体" w:eastAsia="宋体" w:hint="default"/>
          <w:b/>
          <w:bCs/>
          <w:spacing w:val="7"/>
          <w:w w:val="95"/>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109"/>
        <w:ind w:right="0"/>
        <w:jc w:val="left"/>
        <w:rPr>
          <w:b w:val="0"/>
          <w:bCs w:val="0"/>
        </w:rPr>
      </w:pPr>
      <w:bookmarkStart w:name="（1）企业集团的构成" w:id="423"/>
      <w:bookmarkEnd w:id="423"/>
      <w:r>
        <w:rPr>
          <w:b w:val="0"/>
          <w:bCs w:val="0"/>
        </w:rPr>
      </w:r>
      <w:r>
        <w:rPr/>
        <w:t>（</w:t>
      </w:r>
      <w:r>
        <w:rPr>
          <w:rFonts w:ascii="宋体" w:hAnsi="宋体" w:cs="宋体" w:eastAsia="宋体" w:hint="default"/>
        </w:rPr>
        <w:t>1</w:t>
      </w:r>
      <w:r>
        <w:rPr/>
        <w:t>）企业集团的构成</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372"/>
        <w:gridCol w:w="896"/>
        <w:gridCol w:w="994"/>
        <w:gridCol w:w="2126"/>
        <w:gridCol w:w="1277"/>
        <w:gridCol w:w="1366"/>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52" w:right="83" w:hanging="270"/>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1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9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6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2126"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上海猎鹰公司</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移动互联网广告服务业务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上海亦复信息公 司</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互联网整合营销专业服务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北京掌汇天下公 司</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互联网信息服务等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46.87%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53.13%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深圳范特西公司</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网络游戏开发、运营与维护</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等</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深圳市沸腾科技 有限公司</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网络技术开发等</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上海范特西公司</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网络技术开发等</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深圳部落格公司</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网络技术开发等</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北京优美动听科 技有限公司</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技术开发、技术转让、技术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咨询、技术服务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深圳市新时空网 络科技有限公司</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计算机软硬件、电子通信产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品的技术开发与销售</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上海猎鹰胜效网 络有限公司</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计算机网络科技、计算机软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硬件领域内的技术开发等</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万乾网络公司</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网络信息、电子类技术开 发、技术服务、咨询等</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12"/>
              <w:jc w:val="left"/>
              <w:rPr>
                <w:rFonts w:ascii="宋体" w:hAnsi="宋体" w:cs="宋体" w:eastAsia="宋体" w:hint="default"/>
                <w:sz w:val="18"/>
                <w:szCs w:val="18"/>
              </w:rPr>
            </w:pPr>
            <w:r>
              <w:rPr>
                <w:rFonts w:ascii="宋体" w:hAnsi="宋体" w:cs="宋体" w:eastAsia="宋体" w:hint="default"/>
                <w:spacing w:val="-5"/>
                <w:sz w:val="18"/>
                <w:szCs w:val="18"/>
              </w:rPr>
              <w:t>核聚互动（北京</w:t>
            </w:r>
            <w:r>
              <w:rPr>
                <w:rFonts w:ascii="宋体" w:hAnsi="宋体" w:cs="宋体" w:eastAsia="宋体" w:hint="default"/>
                <w:sz w:val="18"/>
                <w:szCs w:val="18"/>
              </w:rPr>
              <w:t> 科技有限公司</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19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深圳</w:t>
            </w:r>
          </w:p>
          <w:p>
            <w:pPr>
              <w:pStyle w:val="TableParagraph"/>
              <w:spacing w:line="716" w:lineRule="exact"/>
              <w:ind w:right="-38"/>
              <w:jc w:val="left"/>
              <w:rPr>
                <w:rFonts w:ascii="宋体" w:hAnsi="宋体" w:cs="宋体" w:eastAsia="宋体" w:hint="default"/>
                <w:sz w:val="20"/>
                <w:szCs w:val="20"/>
              </w:rPr>
            </w:pPr>
            <w:r>
              <w:rPr>
                <w:rFonts w:ascii="宋体" w:hAnsi="宋体" w:cs="宋体" w:eastAsia="宋体" w:hint="default"/>
                <w:position w:val="-13"/>
                <w:sz w:val="20"/>
                <w:szCs w:val="20"/>
              </w:rPr>
              <w:pict>
                <v:group style="width:44.35pt;height:35.85pt;mso-position-horizontal-relative:char;mso-position-vertical-relative:line" coordorigin="0,0" coordsize="887,717">
                  <v:group style="position:absolute;left:0;top:0;width:887;height:313" coordorigin="0,0" coordsize="887,313">
                    <v:shape style="position:absolute;left:0;top:0;width:887;height:313" coordorigin="0,0" coordsize="887,313" path="m0,312l887,312,887,0,0,0,0,312xe" filled="true" fillcolor="#ffffff" stroked="false">
                      <v:path arrowok="t"/>
                      <v:fill type="solid"/>
                    </v:shape>
                  </v:group>
                  <v:group style="position:absolute;left:11;top:312;width:2;height:393" coordorigin="11,312" coordsize="2,393">
                    <v:shape style="position:absolute;left:11;top:312;width:2;height:393" coordorigin="11,312" coordsize="0,393" path="m11,312l11,705e" filled="false" stroked="true" strokeweight="1.140pt" strokecolor="#ffffff">
                      <v:path arrowok="t"/>
                    </v:shape>
                  </v:group>
                  <v:group style="position:absolute;left:23;top:312;width:842;height:393" coordorigin="23,312" coordsize="842,393">
                    <v:shape style="position:absolute;left:23;top:312;width:842;height:393" coordorigin="23,312" coordsize="842,393" path="m23,705l864,705,864,312,23,312,23,705xe" filled="true" fillcolor="#ffffff" stroked="false">
                      <v:path arrowok="t"/>
                      <v:fill type="solid"/>
                    </v:shape>
                  </v:group>
                </v:group>
              </w:pict>
            </w:r>
            <w:r>
              <w:rPr>
                <w:rFonts w:ascii="宋体" w:hAnsi="宋体" w:cs="宋体" w:eastAsia="宋体" w:hint="default"/>
                <w:position w:val="-13"/>
                <w:sz w:val="20"/>
                <w:szCs w:val="20"/>
              </w:rPr>
            </w:r>
          </w:p>
          <w:p>
            <w:pPr>
              <w:pStyle w:val="TableParagraph"/>
              <w:spacing w:line="240" w:lineRule="auto" w:before="13"/>
              <w:ind w:right="0"/>
              <w:jc w:val="left"/>
              <w:rPr>
                <w:rFonts w:ascii="宋体" w:hAnsi="宋体" w:cs="宋体" w:eastAsia="宋体" w:hint="default"/>
                <w:b/>
                <w:bCs/>
                <w:sz w:val="22"/>
                <w:szCs w:val="22"/>
              </w:rPr>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技术开发、技术咨询、技术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服务；设计、代理、发布广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告</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深圳市海数互联</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网络技术开发</w:t>
            </w:r>
            <w:r>
              <w:rPr>
                <w:rFonts w:ascii="宋体" w:hAnsi="宋体" w:cs="宋体" w:eastAsia="宋体" w:hint="default"/>
                <w:spacing w:val="-90"/>
                <w:sz w:val="18"/>
                <w:szCs w:val="18"/>
              </w:rPr>
              <w:t>、</w:t>
            </w:r>
            <w:r>
              <w:rPr>
                <w:rFonts w:ascii="宋体" w:hAnsi="宋体" w:cs="宋体" w:eastAsia="宋体" w:hint="default"/>
                <w:sz w:val="18"/>
                <w:szCs w:val="18"/>
              </w:rPr>
              <w:t>从事广告业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w:t>
            </w:r>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0"/>
        </w:sectPr>
      </w:pPr>
    </w:p>
    <w:p>
      <w:pPr>
        <w:spacing w:line="240" w:lineRule="auto" w:before="10"/>
        <w:rPr>
          <w:rFonts w:ascii="Times New Roman" w:hAnsi="Times New Roman" w:cs="Times New Roman" w:eastAsia="Times New Roman" w:hint="default"/>
          <w:sz w:val="27"/>
          <w:szCs w:val="27"/>
        </w:rPr>
      </w:pPr>
      <w:r>
        <w:rPr/>
        <w:pict>
          <v:group style="position:absolute;margin-left:326.320007pt;margin-top:260.119995pt;width:63.3pt;height:43.6pt;mso-position-horizontal-relative:page;mso-position-vertical-relative:page;z-index:-1181080" coordorigin="6526,5202" coordsize="1266,872">
            <v:group style="position:absolute;left:6526;top:5202;width:1266;height:468" coordorigin="6526,5202" coordsize="1266,468">
              <v:shape style="position:absolute;left:6526;top:5202;width:1266;height:468" coordorigin="6526,5202" coordsize="1266,468" path="m6526,5670l7792,5670,7792,5202,6526,5202,6526,5670xe" filled="true" fillcolor="#ffffff" stroked="false">
                <v:path arrowok="t"/>
                <v:fill type="solid"/>
              </v:shape>
            </v:group>
            <v:group style="position:absolute;left:6538;top:5670;width:2;height:393" coordorigin="6538,5670" coordsize="2,393">
              <v:shape style="position:absolute;left:6538;top:5670;width:2;height:393" coordorigin="6538,5670" coordsize="0,393" path="m6538,5670l6538,6063e" filled="false" stroked="true" strokeweight="1.140pt" strokecolor="#ffffff">
                <v:path arrowok="t"/>
              </v:shape>
            </v:group>
            <v:group style="position:absolute;left:6549;top:5670;width:1221;height:393" coordorigin="6549,5670" coordsize="1221,393">
              <v:shape style="position:absolute;left:6549;top:5670;width:1221;height:393" coordorigin="6549,5670" coordsize="1221,393" path="m6549,6063l7770,6063,7770,5670,6549,5670,6549,6063xe" filled="true" fillcolor="#ffffff" stroked="false">
                <v:path arrowok="t"/>
                <v:fill type="solid"/>
              </v:shape>
            </v:group>
            <w10:wrap type="none"/>
          </v:group>
        </w:pict>
      </w:r>
      <w:r>
        <w:rPr/>
        <w:pict>
          <v:group style="position:absolute;margin-left:326.320007pt;margin-top:416.749969pt;width:63.3pt;height:43.65pt;mso-position-horizontal-relative:page;mso-position-vertical-relative:page;z-index:-1181056" coordorigin="6526,8335" coordsize="1266,873">
            <v:group style="position:absolute;left:6538;top:8346;width:2;height:393" coordorigin="6538,8346" coordsize="2,393">
              <v:shape style="position:absolute;left:6538;top:8346;width:2;height:393" coordorigin="6538,8346" coordsize="0,393" path="m6538,8346l6538,8739e" filled="false" stroked="true" strokeweight="1.140pt" strokecolor="#ffffff">
                <v:path arrowok="t"/>
              </v:shape>
            </v:group>
            <v:group style="position:absolute;left:6526;top:8739;width:1266;height:468" coordorigin="6526,8739" coordsize="1266,468">
              <v:shape style="position:absolute;left:6526;top:8739;width:1266;height:468" coordorigin="6526,8739" coordsize="1266,468" path="m6526,9207l7792,9207,7792,8739,6526,8739,6526,9207xe" filled="true" fillcolor="#ffffff" stroked="false">
                <v:path arrowok="t"/>
                <v:fill type="solid"/>
              </v:shape>
            </v:group>
            <v:group style="position:absolute;left:6549;top:8346;width:1221;height:393" coordorigin="6549,8346" coordsize="1221,393">
              <v:shape style="position:absolute;left:6549;top:8346;width:1221;height:393" coordorigin="6549,8346" coordsize="1221,393" path="m6549,8739l7770,8739,7770,8346,6549,8346,6549,8739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372"/>
        <w:gridCol w:w="896"/>
        <w:gridCol w:w="994"/>
        <w:gridCol w:w="2126"/>
        <w:gridCol w:w="1277"/>
        <w:gridCol w:w="1366"/>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89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务等</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深圳核聚创新公 司</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网络技术开发、从事广告业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务等</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7"/>
              <w:jc w:val="left"/>
              <w:rPr>
                <w:rFonts w:ascii="宋体" w:hAnsi="宋体" w:cs="宋体" w:eastAsia="宋体" w:hint="default"/>
                <w:sz w:val="18"/>
                <w:szCs w:val="18"/>
              </w:rPr>
            </w:pPr>
            <w:r>
              <w:rPr>
                <w:rFonts w:ascii="宋体" w:hAnsi="宋体" w:cs="宋体" w:eastAsia="宋体" w:hint="default"/>
                <w:sz w:val="18"/>
                <w:szCs w:val="18"/>
              </w:rPr>
              <w:t>上海菲索广告有 限公司</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设计、制作、代理、发布各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类广告，文化艺术交流策 </w:t>
            </w:r>
            <w:r>
              <w:rPr>
                <w:rFonts w:ascii="宋体" w:hAnsi="宋体" w:cs="宋体" w:eastAsia="宋体" w:hint="default"/>
                <w:spacing w:val="-8"/>
                <w:sz w:val="18"/>
                <w:szCs w:val="18"/>
              </w:rPr>
              <w:t>划，企业形象策划，市场营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销策划，商务咨询</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7"/>
              <w:jc w:val="left"/>
              <w:rPr>
                <w:rFonts w:ascii="宋体" w:hAnsi="宋体" w:cs="宋体" w:eastAsia="宋体" w:hint="default"/>
                <w:sz w:val="18"/>
                <w:szCs w:val="18"/>
              </w:rPr>
            </w:pPr>
            <w:r>
              <w:rPr>
                <w:rFonts w:ascii="宋体" w:hAnsi="宋体" w:cs="宋体" w:eastAsia="宋体" w:hint="default"/>
                <w:sz w:val="18"/>
                <w:szCs w:val="18"/>
              </w:rPr>
              <w:t>上海佑迎广告有 限公司</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设计、制作、代理、发布各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类广告，文化艺术交流策划</w:t>
            </w:r>
          </w:p>
          <w:p>
            <w:pPr>
              <w:pStyle w:val="TableParagraph"/>
              <w:spacing w:line="319"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（除经纪</w:t>
            </w:r>
            <w:r>
              <w:rPr>
                <w:rFonts w:ascii="宋体" w:hAnsi="宋体" w:cs="宋体" w:eastAsia="宋体" w:hint="default"/>
                <w:spacing w:val="-90"/>
                <w:sz w:val="18"/>
                <w:szCs w:val="18"/>
              </w:rPr>
              <w:t>）</w:t>
            </w:r>
            <w:r>
              <w:rPr>
                <w:rFonts w:ascii="宋体" w:hAnsi="宋体" w:cs="宋体" w:eastAsia="宋体" w:hint="default"/>
                <w:sz w:val="18"/>
                <w:szCs w:val="18"/>
              </w:rPr>
              <w:t>，商务咨询（除</w:t>
            </w:r>
            <w:r>
              <w:rPr>
                <w:rFonts w:ascii="宋体" w:hAnsi="宋体" w:cs="宋体" w:eastAsia="宋体" w:hint="default"/>
                <w:sz w:val="18"/>
                <w:szCs w:val="18"/>
              </w:rPr>
              <w:t> 经纪</w:t>
            </w:r>
            <w:r>
              <w:rPr>
                <w:rFonts w:ascii="宋体" w:hAnsi="宋体" w:cs="宋体" w:eastAsia="宋体" w:hint="default"/>
                <w:spacing w:val="-90"/>
                <w:sz w:val="18"/>
                <w:szCs w:val="18"/>
              </w:rPr>
              <w:t>）</w:t>
            </w:r>
            <w:r>
              <w:rPr>
                <w:rFonts w:ascii="宋体" w:hAnsi="宋体" w:cs="宋体" w:eastAsia="宋体" w:hint="default"/>
                <w:sz w:val="18"/>
                <w:szCs w:val="18"/>
              </w:rPr>
              <w:t>，企业形象策划</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万流客网络科技</w:t>
            </w:r>
          </w:p>
          <w:p>
            <w:pPr>
              <w:pStyle w:val="TableParagraph"/>
              <w:spacing w:line="319" w:lineRule="auto" w:before="75"/>
              <w:ind w:left="22" w:right="77"/>
              <w:jc w:val="left"/>
              <w:rPr>
                <w:rFonts w:ascii="宋体" w:hAnsi="宋体" w:cs="宋体" w:eastAsia="宋体" w:hint="default"/>
                <w:sz w:val="18"/>
                <w:szCs w:val="18"/>
              </w:rPr>
            </w:pPr>
            <w:r>
              <w:rPr>
                <w:rFonts w:ascii="宋体" w:hAnsi="宋体" w:cs="宋体" w:eastAsia="宋体" w:hint="default"/>
                <w:sz w:val="18"/>
                <w:szCs w:val="18"/>
              </w:rPr>
              <w:t>（上海）有限公 司</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设计、制作各类广告，利用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sz w:val="18"/>
                <w:szCs w:val="18"/>
              </w:rPr>
              <w:t>自有媒体发布广告，（网络</w:t>
            </w:r>
            <w:r>
              <w:rPr>
                <w:rFonts w:ascii="宋体" w:hAnsi="宋体" w:cs="宋体" w:eastAsia="宋体" w:hint="default"/>
                <w:sz w:val="18"/>
                <w:szCs w:val="18"/>
              </w:rPr>
              <w:t> </w:t>
            </w:r>
            <w:r>
              <w:rPr>
                <w:rFonts w:ascii="宋体" w:hAnsi="宋体" w:cs="宋体" w:eastAsia="宋体" w:hint="default"/>
                <w:spacing w:val="-8"/>
                <w:sz w:val="18"/>
                <w:szCs w:val="18"/>
              </w:rPr>
              <w:t>电子、计算机）科技领域内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的技术开发</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7"/>
              <w:jc w:val="left"/>
              <w:rPr>
                <w:rFonts w:ascii="宋体" w:hAnsi="宋体" w:cs="宋体" w:eastAsia="宋体" w:hint="default"/>
                <w:sz w:val="18"/>
                <w:szCs w:val="18"/>
              </w:rPr>
            </w:pPr>
            <w:r>
              <w:rPr>
                <w:rFonts w:ascii="宋体" w:hAnsi="宋体" w:cs="宋体" w:eastAsia="宋体" w:hint="default"/>
                <w:sz w:val="18"/>
                <w:szCs w:val="18"/>
              </w:rPr>
              <w:t>上海谛视文化传 媒有限公司</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设计、制作各类广告，利用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自有媒体发布广告（增值电</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信业务除外），文化艺术交</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流策划（除经纪）</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西藏亦复公司</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设计、制作、代理、发布各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类广告；计算机软硬件领域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内的技术开发、技术咨询 技术转让和技术服务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7"/>
              <w:jc w:val="left"/>
              <w:rPr>
                <w:rFonts w:ascii="宋体" w:hAnsi="宋体" w:cs="宋体" w:eastAsia="宋体" w:hint="default"/>
                <w:sz w:val="18"/>
                <w:szCs w:val="18"/>
              </w:rPr>
            </w:pPr>
            <w:r>
              <w:rPr>
                <w:rFonts w:ascii="宋体" w:hAnsi="宋体" w:cs="宋体" w:eastAsia="宋体" w:hint="default"/>
                <w:sz w:val="18"/>
                <w:szCs w:val="18"/>
              </w:rPr>
              <w:t>南京塔倍思信息 科技有限公司</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设计、制作、发布、代理国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内各类广告；企业营销策 </w:t>
            </w:r>
            <w:r>
              <w:rPr>
                <w:rFonts w:ascii="宋体" w:hAnsi="宋体" w:cs="宋体" w:eastAsia="宋体" w:hint="default"/>
                <w:spacing w:val="-8"/>
                <w:sz w:val="18"/>
                <w:szCs w:val="18"/>
              </w:rPr>
              <w:t>划；电子信息技术研发；计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算机软件研发与销售</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上海亦复广告有 限公司</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设计、制作、发布、代理国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内各类广告；利用自有媒体</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发布广告</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7"/>
              <w:jc w:val="left"/>
              <w:rPr>
                <w:rFonts w:ascii="宋体" w:hAnsi="宋体" w:cs="宋体" w:eastAsia="宋体" w:hint="default"/>
                <w:sz w:val="18"/>
                <w:szCs w:val="18"/>
              </w:rPr>
            </w:pPr>
            <w:r>
              <w:rPr>
                <w:rFonts w:ascii="宋体"/>
                <w:sz w:val="18"/>
              </w:rPr>
              <w:t>Polarity Technologies Ltd.</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43"/>
              <w:jc w:val="left"/>
              <w:rPr>
                <w:rFonts w:ascii="宋体" w:hAnsi="宋体" w:cs="宋体" w:eastAsia="宋体" w:hint="default"/>
                <w:sz w:val="18"/>
                <w:szCs w:val="18"/>
              </w:rPr>
            </w:pPr>
            <w:r>
              <w:rPr>
                <w:rFonts w:ascii="宋体" w:hAnsi="宋体" w:cs="宋体" w:eastAsia="宋体" w:hint="default"/>
                <w:sz w:val="18"/>
                <w:szCs w:val="18"/>
              </w:rPr>
              <w:t>塞浦路斯 共和国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塞浦路斯共 和国</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互联网信息服务等</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7"/>
              <w:jc w:val="left"/>
              <w:rPr>
                <w:rFonts w:ascii="宋体" w:hAnsi="宋体" w:cs="宋体" w:eastAsia="宋体" w:hint="default"/>
                <w:sz w:val="18"/>
                <w:szCs w:val="18"/>
              </w:rPr>
            </w:pPr>
            <w:r>
              <w:rPr>
                <w:rFonts w:ascii="宋体"/>
                <w:sz w:val="18"/>
              </w:rPr>
              <w:t>Eightpoint Technologies Ltd.</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互联网信息服务等</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47"/>
              <w:jc w:val="left"/>
              <w:rPr>
                <w:rFonts w:ascii="宋体" w:hAnsi="宋体" w:cs="宋体" w:eastAsia="宋体" w:hint="default"/>
                <w:sz w:val="18"/>
                <w:szCs w:val="18"/>
              </w:rPr>
            </w:pPr>
            <w:r>
              <w:rPr>
                <w:rFonts w:ascii="宋体"/>
                <w:sz w:val="18"/>
              </w:rPr>
              <w:t>Genimous Interactive Investment Co.,Ltd.</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43"/>
              <w:jc w:val="left"/>
              <w:rPr>
                <w:rFonts w:ascii="宋体" w:hAnsi="宋体" w:cs="宋体" w:eastAsia="宋体" w:hint="default"/>
                <w:sz w:val="18"/>
                <w:szCs w:val="18"/>
              </w:rPr>
            </w:pPr>
            <w:r>
              <w:rPr>
                <w:rFonts w:ascii="宋体" w:hAnsi="宋体" w:cs="宋体" w:eastAsia="宋体" w:hint="default"/>
                <w:sz w:val="18"/>
                <w:szCs w:val="18"/>
              </w:rPr>
              <w:t>美国内华 达州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59"/>
              <w:jc w:val="left"/>
              <w:rPr>
                <w:rFonts w:ascii="宋体" w:hAnsi="宋体" w:cs="宋体" w:eastAsia="宋体" w:hint="default"/>
                <w:sz w:val="18"/>
                <w:szCs w:val="18"/>
              </w:rPr>
            </w:pPr>
            <w:r>
              <w:rPr>
                <w:rFonts w:ascii="宋体" w:hAnsi="宋体" w:cs="宋体" w:eastAsia="宋体" w:hint="default"/>
                <w:sz w:val="18"/>
                <w:szCs w:val="18"/>
              </w:rPr>
              <w:t>美国内华达 州</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互联网信息服务等</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智度香港公司</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投资与资产管理等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3" w:right="0"/>
              <w:jc w:val="lef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877" w:footer="1187" w:top="1100" w:bottom="1460" w:left="980" w:right="0"/>
        </w:sectPr>
      </w:pPr>
    </w:p>
    <w:p>
      <w:pPr>
        <w:spacing w:line="240" w:lineRule="auto" w:before="10"/>
        <w:rPr>
          <w:rFonts w:ascii="Times New Roman" w:hAnsi="Times New Roman" w:cs="Times New Roman" w:eastAsia="Times New Roman" w:hint="default"/>
          <w:sz w:val="27"/>
          <w:szCs w:val="27"/>
        </w:rPr>
      </w:pPr>
      <w:r>
        <w:rPr/>
        <w:pict>
          <v:shape style="position:absolute;margin-left:221.179993pt;margin-top:547.719971pt;width:168.45pt;height:15.6pt;mso-position-horizontal-relative:page;mso-position-vertical-relative:page;z-index:-1181032" type="#_x0000_t202" filled="false" stroked="false">
            <v:textbox inset="0,0,0,0">
              <w:txbxContent>
                <w:p>
                  <w:pPr>
                    <w:pStyle w:val="BodyText"/>
                    <w:spacing w:line="240" w:lineRule="auto" w:before="51"/>
                    <w:ind w:left="0" w:right="0"/>
                    <w:jc w:val="left"/>
                  </w:pPr>
                  <w:r>
                    <w:rPr/>
                    <w:t>科技信息交流、软件开发、</w:t>
                  </w:r>
                </w:p>
              </w:txbxContent>
            </v:textbox>
            <w10:wrap type="none"/>
          </v:shape>
        </w:pict>
      </w:r>
      <w:r>
        <w:rPr/>
        <w:pict>
          <v:group style="position:absolute;margin-left:326.320007pt;margin-top:547.719971pt;width:63.3pt;height:15.6pt;mso-position-horizontal-relative:page;mso-position-vertical-relative:page;z-index:-1181008" coordorigin="6526,10954" coordsize="1266,312">
            <v:shape style="position:absolute;left:6526;top:10954;width:1266;height:312" coordorigin="6526,10954" coordsize="1266,312" path="m6526,11266l7792,11266,7792,10954,6526,10954,6526,11266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372"/>
        <w:gridCol w:w="896"/>
        <w:gridCol w:w="994"/>
        <w:gridCol w:w="2126"/>
        <w:gridCol w:w="340"/>
        <w:gridCol w:w="937"/>
        <w:gridCol w:w="1366"/>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sz w:val="18"/>
              </w:rPr>
              <w:t>Spigot,Inc.</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美国内达 华州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美国内达华 州</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互联网软件开发、应用和分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发等</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非同一控制企业 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57"/>
              <w:jc w:val="left"/>
              <w:rPr>
                <w:rFonts w:ascii="宋体" w:hAnsi="宋体" w:cs="宋体" w:eastAsia="宋体" w:hint="default"/>
                <w:sz w:val="18"/>
                <w:szCs w:val="18"/>
              </w:rPr>
            </w:pPr>
            <w:r>
              <w:rPr>
                <w:rFonts w:ascii="宋体"/>
                <w:sz w:val="18"/>
              </w:rPr>
              <w:t>Green Tree Applications SRL.</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罗马尼亚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罗马尼亚</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互联网信息服务等</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非同一控制企业 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left"/>
              <w:rPr>
                <w:rFonts w:ascii="宋体" w:hAnsi="宋体" w:cs="宋体" w:eastAsia="宋体" w:hint="default"/>
                <w:sz w:val="18"/>
                <w:szCs w:val="18"/>
              </w:rPr>
            </w:pPr>
            <w:r>
              <w:rPr>
                <w:rFonts w:ascii="宋体"/>
                <w:sz w:val="18"/>
              </w:rPr>
              <w:t>Azureus Software,Inc.</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美国内达 华州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美国内达华 州</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互联网信息服务等</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非同一控制企业 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sz w:val="18"/>
              </w:rPr>
              <w:t>GMGPLLC</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美国内达 华州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美国内达华 州</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互联网信息服务等</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非同一控制企业 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sz w:val="18"/>
              </w:rPr>
              <w:t>Search Me Technologies,I nc.</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43"/>
              <w:jc w:val="left"/>
              <w:rPr>
                <w:rFonts w:ascii="宋体" w:hAnsi="宋体" w:cs="宋体" w:eastAsia="宋体" w:hint="default"/>
                <w:sz w:val="18"/>
                <w:szCs w:val="18"/>
              </w:rPr>
            </w:pPr>
            <w:r>
              <w:rPr>
                <w:rFonts w:ascii="宋体" w:hAnsi="宋体" w:cs="宋体" w:eastAsia="宋体" w:hint="default"/>
                <w:sz w:val="18"/>
                <w:szCs w:val="18"/>
              </w:rPr>
              <w:t>美国内达 华州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美国内达华 州</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互联网信息服务等</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非同一控制企业 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上海宴杰网络科 技有限公司</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计算机网络科技、计算机软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硬件领域内的技术开发等</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拉萨经济技术开 发区猎鹰网络科 技有限公司</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11"/>
              <w:jc w:val="left"/>
              <w:rPr>
                <w:rFonts w:ascii="宋体" w:hAnsi="宋体" w:cs="宋体" w:eastAsia="宋体" w:hint="default"/>
                <w:sz w:val="18"/>
                <w:szCs w:val="18"/>
              </w:rPr>
            </w:pPr>
            <w:r>
              <w:rPr>
                <w:rFonts w:ascii="宋体" w:hAnsi="宋体" w:cs="宋体" w:eastAsia="宋体" w:hint="default"/>
                <w:sz w:val="18"/>
                <w:szCs w:val="18"/>
              </w:rPr>
              <w:t>网络信息、电子类技术开 发、技术服务、咨询等</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西藏智媒公司</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计算机网络科技、计算机软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硬件领域内的技术开发等</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13" w:right="0"/>
              <w:jc w:val="lef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智度小贷公司</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小额贷款业务</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3" w:right="0"/>
              <w:jc w:val="lef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上海智度网络科 技有限公司</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计算机网络科技、计算机软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硬件领域内的技术开发等</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13" w:right="0"/>
              <w:jc w:val="lef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深圳智度信息技 术有限公司</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计算机软硬件领域内的技 </w:t>
            </w:r>
            <w:r>
              <w:rPr>
                <w:rFonts w:ascii="宋体" w:hAnsi="宋体" w:cs="宋体" w:eastAsia="宋体" w:hint="default"/>
                <w:spacing w:val="-8"/>
                <w:sz w:val="18"/>
                <w:szCs w:val="18"/>
              </w:rPr>
              <w:t>术开发、技术咨询、技术转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让和技术服务</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613" w:right="0"/>
              <w:jc w:val="lef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广州市智度商业 保理有限公司</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商业保理业务</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03" w:right="0"/>
              <w:jc w:val="left"/>
              <w:rPr>
                <w:rFonts w:ascii="宋体" w:hAnsi="宋体" w:cs="宋体" w:eastAsia="宋体" w:hint="default"/>
                <w:sz w:val="18"/>
                <w:szCs w:val="18"/>
              </w:rPr>
            </w:pPr>
            <w:r>
              <w:rPr>
                <w:rFonts w:ascii="宋体"/>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霍尔果斯白猫科 技有限公司</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霍尔果斯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霍尔果斯</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21"/>
              <w:jc w:val="left"/>
              <w:rPr>
                <w:rFonts w:ascii="宋体" w:hAnsi="宋体" w:cs="宋体" w:eastAsia="宋体" w:hint="default"/>
                <w:sz w:val="18"/>
                <w:szCs w:val="18"/>
              </w:rPr>
            </w:pPr>
            <w:r>
              <w:rPr>
                <w:rFonts w:ascii="宋体" w:hAnsi="宋体" w:cs="宋体" w:eastAsia="宋体" w:hint="default"/>
                <w:spacing w:val="-8"/>
                <w:sz w:val="18"/>
                <w:szCs w:val="18"/>
              </w:rPr>
              <w:t>技术咨询、技术孵化、科技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成果评估和科技鉴证服务</w:t>
            </w:r>
          </w:p>
        </w:tc>
        <w:tc>
          <w:tcPr>
            <w:tcW w:w="340" w:type="dxa"/>
            <w:tcBorders>
              <w:top w:val="single" w:sz="4" w:space="0" w:color="000000"/>
              <w:left w:val="single" w:sz="4" w:space="0" w:color="000000"/>
              <w:bottom w:val="single" w:sz="4" w:space="0" w:color="000000"/>
              <w:right w:val="nil" w:sz="6" w:space="0" w:color="auto"/>
            </w:tcBorders>
          </w:tcPr>
          <w:p>
            <w:pPr/>
          </w:p>
        </w:tc>
        <w:tc>
          <w:tcPr>
            <w:tcW w:w="93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77" w:right="0"/>
              <w:jc w:val="lef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厦门智得天下金 融信息服务有限 公司</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金融信息服务</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613" w:right="0"/>
              <w:jc w:val="lef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sz w:val="18"/>
              </w:rPr>
              <w:t>Better Cloud Solutions Ltd.</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塞浦路斯 共和国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塞浦路斯共 和国</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57"/>
              <w:jc w:val="left"/>
              <w:rPr>
                <w:rFonts w:ascii="宋体" w:hAnsi="宋体" w:cs="宋体" w:eastAsia="宋体" w:hint="default"/>
                <w:sz w:val="18"/>
                <w:szCs w:val="18"/>
              </w:rPr>
            </w:pPr>
            <w:r>
              <w:rPr>
                <w:rFonts w:ascii="宋体"/>
                <w:sz w:val="18"/>
              </w:rPr>
              <w:t>Polarity Internet Technologies SRL</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罗马尼亚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罗马尼亚</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372"/>
        <w:gridCol w:w="896"/>
        <w:gridCol w:w="994"/>
        <w:gridCol w:w="2126"/>
        <w:gridCol w:w="1277"/>
        <w:gridCol w:w="1366"/>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Springtech,Ltd</w:t>
            </w:r>
          </w:p>
          <w:p>
            <w:pPr>
              <w:pStyle w:val="TableParagraph"/>
              <w:spacing w:line="240" w:lineRule="auto" w:before="77"/>
              <w:ind w:left="22" w:right="0"/>
              <w:jc w:val="left"/>
              <w:rPr>
                <w:rFonts w:ascii="宋体" w:hAnsi="宋体" w:cs="宋体" w:eastAsia="宋体" w:hint="default"/>
                <w:sz w:val="18"/>
                <w:szCs w:val="18"/>
              </w:rPr>
            </w:pPr>
            <w:r>
              <w:rPr>
                <w:rFonts w:ascii="宋体"/>
                <w:sz w:val="18"/>
              </w:rPr>
              <w:t>.</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塞浦路斯 共和国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塞浦路斯共 和国</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03" w:right="0"/>
              <w:jc w:val="lef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360" w:lineRule="auto" w:before="51"/>
        <w:ind w:left="153"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7"/>
        <w:ind w:right="7692"/>
        <w:jc w:val="left"/>
      </w:pPr>
      <w:r>
        <w:rPr/>
        <w:t>确定公司是代理人还是委托人的依据： 其他说明：</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2）重要的非全资子公司" w:id="424"/>
      <w:bookmarkEnd w:id="424"/>
      <w:r>
        <w:rPr>
          <w:b w:val="0"/>
          <w:bCs w:val="0"/>
        </w:rPr>
      </w:r>
      <w:r>
        <w:rPr/>
        <w:t>（</w:t>
      </w:r>
      <w:r>
        <w:rPr>
          <w:rFonts w:ascii="宋体" w:hAnsi="宋体" w:cs="宋体" w:eastAsia="宋体" w:hint="default"/>
        </w:rPr>
        <w:t>2</w:t>
      </w:r>
      <w:r>
        <w:rPr/>
        <w:t>）重要的非全资子公司</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60" w:lineRule="auto" w:before="51"/>
        <w:ind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重要非全资子公司的主要财务信息" w:id="425"/>
      <w:bookmarkEnd w:id="425"/>
      <w:r>
        <w:rPr>
          <w:b w:val="0"/>
          <w:bCs w:val="0"/>
        </w:rPr>
      </w:r>
      <w:r>
        <w:rPr/>
        <w:t>（</w:t>
      </w:r>
      <w:r>
        <w:rPr>
          <w:rFonts w:ascii="宋体" w:hAnsi="宋体" w:cs="宋体" w:eastAsia="宋体" w:hint="default"/>
        </w:rPr>
        <w:t>3</w:t>
      </w:r>
      <w:r>
        <w:rPr/>
        <w:t>）重要非全资子公司的主要财务信息</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24"/>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2"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pStyle w:val="BodyText"/>
        <w:spacing w:line="240" w:lineRule="auto" w:before="5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6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4）使用企业集团资产和清偿企业集团债务的重大限制" w:id="426"/>
      <w:bookmarkEnd w:id="426"/>
      <w:r>
        <w:rPr>
          <w:b w:val="0"/>
          <w:bCs w:val="0"/>
        </w:rPr>
      </w:r>
      <w:r>
        <w:rPr/>
        <w:t>（</w:t>
      </w:r>
      <w:r>
        <w:rPr>
          <w:rFonts w:ascii="宋体" w:hAnsi="宋体" w:cs="宋体" w:eastAsia="宋体" w:hint="default"/>
        </w:rPr>
        <w:t>4</w:t>
      </w:r>
      <w:r>
        <w:rPr/>
        <w:t>）使用企业集团资产和清偿企业集团债务的重大限制</w:t>
      </w:r>
      <w:r>
        <w:rPr>
          <w:b w:val="0"/>
          <w:bCs w:val="0"/>
        </w:rPr>
      </w:r>
    </w:p>
    <w:p>
      <w:pPr>
        <w:spacing w:line="240" w:lineRule="auto" w:before="12"/>
        <w:rPr>
          <w:rFonts w:ascii="宋体" w:hAnsi="宋体" w:cs="宋体" w:eastAsia="宋体" w:hint="default"/>
          <w:b/>
          <w:bCs/>
          <w:sz w:val="25"/>
          <w:szCs w:val="25"/>
        </w:rPr>
      </w:pPr>
    </w:p>
    <w:p>
      <w:pPr>
        <w:pStyle w:val="Heading3"/>
        <w:spacing w:line="578" w:lineRule="auto"/>
        <w:ind w:right="4273"/>
        <w:jc w:val="left"/>
        <w:rPr>
          <w:b w:val="0"/>
          <w:bCs w:val="0"/>
        </w:rPr>
      </w:pPr>
      <w:bookmarkStart w:name="（5）向纳入合并财务报表范围的结构化主体提供的财务支持或其他支持" w:id="427"/>
      <w:bookmarkEnd w:id="427"/>
      <w:r>
        <w:rPr>
          <w:b w:val="0"/>
          <w:bCs w:val="0"/>
        </w:rPr>
      </w:r>
      <w:r>
        <w:rPr>
          <w:w w:val="95"/>
        </w:rPr>
        <w:t>（</w:t>
      </w:r>
      <w:r>
        <w:rPr>
          <w:rFonts w:ascii="宋体" w:hAnsi="宋体" w:cs="宋体" w:eastAsia="宋体" w:hint="default"/>
          <w:w w:val="95"/>
        </w:rPr>
        <w:t>5</w:t>
      </w:r>
      <w:r>
        <w:rPr>
          <w:w w:val="95"/>
        </w:rPr>
        <w:t>）向纳入合并财务报表范围的结构化主体提供的财务支持或其他支持</w:t>
      </w:r>
      <w:r>
        <w:rPr>
          <w:spacing w:val="23"/>
          <w:w w:val="95"/>
        </w:rPr>
        <w:t> </w:t>
      </w:r>
      <w:r>
        <w:rPr>
          <w:spacing w:val="23"/>
          <w:w w:val="95"/>
        </w:rPr>
      </w:r>
      <w:r>
        <w:rPr>
          <w:rFonts w:ascii="宋体" w:hAnsi="宋体" w:cs="宋体" w:eastAsia="宋体" w:hint="default"/>
          <w:b w:val="0"/>
          <w:bCs w:val="0"/>
          <w:sz w:val="18"/>
          <w:szCs w:val="18"/>
        </w:rPr>
        <w:t>其他说明： </w:t>
      </w:r>
      <w:bookmarkStart w:name="2、在子公司的所有者权益份额发生变化且仍控制子公司的交易" w:id="428"/>
      <w:bookmarkEnd w:id="428"/>
      <w:r>
        <w:rPr>
          <w:rFonts w:ascii="宋体" w:hAnsi="宋体" w:cs="宋体" w:eastAsia="宋体" w:hint="default"/>
          <w:b w:val="0"/>
          <w:bCs w:val="0"/>
          <w:sz w:val="18"/>
          <w:szCs w:val="18"/>
        </w:rPr>
      </w:r>
      <w:r>
        <w:rPr>
          <w:rFonts w:ascii="宋体" w:hAnsi="宋体" w:cs="宋体" w:eastAsia="宋体" w:hint="default"/>
        </w:rPr>
        <w:t>2</w:t>
      </w:r>
      <w:r>
        <w:rPr/>
        <w:t>、在子公司的所有者权益份额发生变化且仍控制子公司的交易</w:t>
      </w:r>
      <w:r>
        <w:rPr>
          <w:b w:val="0"/>
          <w:bCs w:val="0"/>
        </w:rPr>
      </w:r>
    </w:p>
    <w:p>
      <w:pPr>
        <w:pStyle w:val="Heading3"/>
        <w:spacing w:line="240" w:lineRule="auto" w:before="42"/>
        <w:ind w:right="0"/>
        <w:jc w:val="left"/>
        <w:rPr>
          <w:b w:val="0"/>
          <w:bCs w:val="0"/>
        </w:rPr>
      </w:pPr>
      <w:bookmarkStart w:name="（1）在子公司所有者权益份额发生变化的情况说明" w:id="429"/>
      <w:bookmarkEnd w:id="429"/>
      <w:r>
        <w:rPr>
          <w:b w:val="0"/>
          <w:bCs w:val="0"/>
        </w:rPr>
      </w:r>
      <w:r>
        <w:rPr/>
        <w:t>（</w:t>
      </w:r>
      <w:r>
        <w:rPr>
          <w:rFonts w:ascii="宋体" w:hAnsi="宋体" w:cs="宋体" w:eastAsia="宋体" w:hint="default"/>
        </w:rPr>
        <w:t>1</w:t>
      </w:r>
      <w:r>
        <w:rPr/>
        <w:t>）在子公司所有者权益份额发生变化的情况说明</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2）交易对于少数股东权益及归属于母公司所有者权益的影响" w:id="430"/>
      <w:bookmarkEnd w:id="430"/>
      <w:r>
        <w:rPr>
          <w:b w:val="0"/>
          <w:bCs w:val="0"/>
        </w:rPr>
      </w:r>
      <w:r>
        <w:rPr/>
        <w:t>（</w:t>
      </w:r>
      <w:r>
        <w:rPr>
          <w:rFonts w:ascii="宋体" w:hAnsi="宋体" w:cs="宋体" w:eastAsia="宋体" w:hint="default"/>
        </w:rPr>
        <w:t>2</w:t>
      </w:r>
      <w:r>
        <w:rPr/>
        <w:t>）交易对于少数股东权益及归属于母公司所有者权益的影响</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after="0" w:line="240" w:lineRule="auto"/>
        <w:jc w:val="right"/>
        <w:sectPr>
          <w:pgSz w:w="11910" w:h="16840"/>
          <w:pgMar w:header="877" w:footer="1187" w:top="1100" w:bottom="1380" w:left="980" w:right="0"/>
        </w:sectPr>
      </w:pPr>
    </w:p>
    <w:p>
      <w:pPr>
        <w:spacing w:line="240" w:lineRule="auto" w:before="2"/>
        <w:rPr>
          <w:rFonts w:ascii="宋体" w:hAnsi="宋体" w:cs="宋体" w:eastAsia="宋体" w:hint="default"/>
          <w:sz w:val="24"/>
          <w:szCs w:val="24"/>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240" w:lineRule="auto" w:before="46"/>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在合营安排或联营企业中的权益" w:id="431"/>
      <w:bookmarkEnd w:id="431"/>
      <w:r>
        <w:rPr>
          <w:b w:val="0"/>
          <w:bCs w:val="0"/>
        </w:rPr>
      </w:r>
      <w:r>
        <w:rPr>
          <w:rFonts w:ascii="宋体" w:hAnsi="宋体" w:cs="宋体" w:eastAsia="宋体" w:hint="default"/>
        </w:rPr>
        <w:t>3</w:t>
      </w:r>
      <w:r>
        <w:rPr/>
        <w:t>、在合营安排或联营企业中的权益</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left="153" w:right="0"/>
        <w:jc w:val="left"/>
        <w:rPr>
          <w:b w:val="0"/>
          <w:bCs w:val="0"/>
        </w:rPr>
      </w:pPr>
      <w:bookmarkStart w:name="（1）重要的合营企业或联营企业" w:id="432"/>
      <w:bookmarkEnd w:id="432"/>
      <w:r>
        <w:rPr>
          <w:b w:val="0"/>
          <w:bCs w:val="0"/>
        </w:rPr>
      </w:r>
      <w:r>
        <w:rPr/>
        <w:t>（</w:t>
      </w:r>
      <w:r>
        <w:rPr>
          <w:rFonts w:ascii="宋体" w:hAnsi="宋体" w:cs="宋体" w:eastAsia="宋体" w:hint="default"/>
        </w:rPr>
        <w:t>1</w:t>
      </w:r>
      <w:r>
        <w:rPr/>
        <w:t>）重要的合营企业或联营企业</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right="0"/>
        <w:jc w:val="left"/>
      </w:pPr>
      <w:r>
        <w:rPr/>
        <w:t>在合营企业或联营企业的持股比例不同于表决权比例的说明：</w:t>
      </w:r>
    </w:p>
    <w:p>
      <w:pPr>
        <w:pStyle w:val="BodyText"/>
        <w:spacing w:line="240" w:lineRule="auto" w:before="117"/>
        <w:ind w:right="0"/>
        <w:jc w:val="left"/>
      </w:pPr>
      <w:r>
        <w:rPr/>
        <w:t>持有</w:t>
      </w:r>
      <w:r>
        <w:rPr>
          <w:spacing w:val="-46"/>
        </w:rPr>
        <w:t> </w:t>
      </w:r>
      <w:r>
        <w:rPr>
          <w:rFonts w:ascii="宋体" w:hAnsi="宋体" w:cs="宋体" w:eastAsia="宋体" w:hint="default"/>
        </w:rPr>
        <w:t>20%</w:t>
      </w:r>
      <w:r>
        <w:rPr/>
        <w:t>以下表决权但具有重大影响，或者持有</w:t>
      </w:r>
      <w:r>
        <w:rPr>
          <w:spacing w:val="-46"/>
        </w:rPr>
        <w:t> </w:t>
      </w:r>
      <w:r>
        <w:rPr>
          <w:rFonts w:ascii="宋体" w:hAnsi="宋体" w:cs="宋体" w:eastAsia="宋体" w:hint="default"/>
        </w:rPr>
        <w:t>20%</w:t>
      </w:r>
      <w:r>
        <w:rPr/>
        <w:t>或以上表决权但不具有重大影响的依据：</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重要合营企业的主要财务信息" w:id="433"/>
      <w:bookmarkEnd w:id="433"/>
      <w:r>
        <w:rPr>
          <w:b w:val="0"/>
          <w:bCs w:val="0"/>
        </w:rPr>
      </w:r>
      <w:r>
        <w:rPr/>
        <w:t>（</w:t>
      </w:r>
      <w:r>
        <w:rPr>
          <w:rFonts w:ascii="宋体" w:hAnsi="宋体" w:cs="宋体" w:eastAsia="宋体" w:hint="default"/>
        </w:rPr>
        <w:t>2</w:t>
      </w:r>
      <w:r>
        <w:rPr/>
        <w:t>）重要合营企业的主要财务信息</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9"/>
        <w:gridCol w:w="3191"/>
        <w:gridCol w:w="3179"/>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上期发生额</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3）重要联营企业的主要财务信息" w:id="434"/>
      <w:bookmarkEnd w:id="434"/>
      <w:r>
        <w:rPr>
          <w:b w:val="0"/>
          <w:bCs w:val="0"/>
        </w:rPr>
      </w:r>
      <w:r>
        <w:rPr/>
        <w:t>（</w:t>
      </w:r>
      <w:r>
        <w:rPr>
          <w:rFonts w:ascii="宋体" w:hAnsi="宋体" w:cs="宋体" w:eastAsia="宋体" w:hint="default"/>
        </w:rPr>
        <w:t>3</w:t>
      </w:r>
      <w:r>
        <w:rPr/>
        <w:t>）重要联营企业的主要财务信息</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2"/>
        <w:ind w:right="0"/>
        <w:jc w:val="left"/>
      </w:pPr>
      <w:r>
        <w:rPr/>
        <w:t>其他说明</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400"/>
        <w:gridCol w:w="2542"/>
        <w:gridCol w:w="2585"/>
      </w:tblGrid>
      <w:tr>
        <w:trPr>
          <w:trHeight w:val="342"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hAnsi="宋体" w:cs="宋体" w:eastAsia="宋体" w:hint="default"/>
                <w:b/>
                <w:bCs/>
                <w:w w:val="95"/>
                <w:sz w:val="18"/>
                <w:szCs w:val="18"/>
              </w:rPr>
              <w:t>期末数</w:t>
            </w:r>
            <w:r>
              <w:rPr>
                <w:rFonts w:ascii="宋体" w:hAnsi="宋体" w:cs="宋体" w:eastAsia="宋体" w:hint="default"/>
                <w:b/>
                <w:bCs/>
                <w:w w:val="95"/>
                <w:sz w:val="18"/>
                <w:szCs w:val="18"/>
              </w:rPr>
              <w:t>/</w:t>
            </w:r>
            <w:r>
              <w:rPr>
                <w:rFonts w:ascii="宋体" w:hAnsi="宋体" w:cs="宋体" w:eastAsia="宋体" w:hint="default"/>
                <w:b/>
                <w:bCs/>
                <w:w w:val="95"/>
                <w:sz w:val="18"/>
                <w:szCs w:val="18"/>
              </w:rPr>
              <w:t>本期发生额</w:t>
            </w:r>
            <w:r>
              <w:rPr>
                <w:rFonts w:ascii="宋体" w:hAnsi="宋体" w:cs="宋体" w:eastAsia="宋体" w:hint="default"/>
                <w:sz w:val="18"/>
                <w:szCs w:val="18"/>
              </w:rPr>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1"/>
              <w:jc w:val="right"/>
              <w:rPr>
                <w:rFonts w:ascii="宋体" w:hAnsi="宋体" w:cs="宋体" w:eastAsia="宋体" w:hint="default"/>
                <w:sz w:val="18"/>
                <w:szCs w:val="18"/>
              </w:rPr>
            </w:pPr>
            <w:r>
              <w:rPr>
                <w:rFonts w:ascii="宋体" w:hAnsi="宋体" w:cs="宋体" w:eastAsia="宋体" w:hint="default"/>
                <w:b/>
                <w:bCs/>
                <w:w w:val="95"/>
                <w:sz w:val="18"/>
                <w:szCs w:val="18"/>
              </w:rPr>
              <w:t>期初数</w:t>
            </w:r>
            <w:r>
              <w:rPr>
                <w:rFonts w:ascii="宋体" w:hAnsi="宋体" w:cs="宋体" w:eastAsia="宋体" w:hint="default"/>
                <w:b/>
                <w:bCs/>
                <w:w w:val="95"/>
                <w:sz w:val="18"/>
                <w:szCs w:val="18"/>
              </w:rPr>
              <w:t>/</w:t>
            </w:r>
            <w:r>
              <w:rPr>
                <w:rFonts w:ascii="宋体" w:hAnsi="宋体" w:cs="宋体" w:eastAsia="宋体" w:hint="default"/>
                <w:b/>
                <w:bCs/>
                <w:w w:val="95"/>
                <w:sz w:val="18"/>
                <w:szCs w:val="18"/>
              </w:rPr>
              <w:t>上期发生额</w:t>
            </w:r>
            <w:r>
              <w:rPr>
                <w:rFonts w:ascii="宋体" w:hAnsi="宋体" w:cs="宋体" w:eastAsia="宋体" w:hint="default"/>
                <w:sz w:val="18"/>
                <w:szCs w:val="18"/>
              </w:rPr>
            </w:r>
          </w:p>
        </w:tc>
      </w:tr>
      <w:tr>
        <w:trPr>
          <w:trHeight w:val="342"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联营企业：</w:t>
            </w:r>
            <w:r>
              <w:rPr>
                <w:rFonts w:ascii="宋体" w:hAnsi="宋体" w:cs="宋体" w:eastAsia="宋体" w:hint="default"/>
                <w:sz w:val="18"/>
                <w:szCs w:val="18"/>
              </w:rPr>
            </w:r>
          </w:p>
        </w:tc>
        <w:tc>
          <w:tcPr>
            <w:tcW w:w="2542"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93,408,613.72</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1,435,545.20</w:t>
            </w:r>
          </w:p>
        </w:tc>
      </w:tr>
      <w:tr>
        <w:trPr>
          <w:trHeight w:val="342"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2542"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7,046,669.19</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-158,870.59</w:t>
            </w:r>
          </w:p>
        </w:tc>
      </w:tr>
      <w:tr>
        <w:trPr>
          <w:trHeight w:val="342"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-1,073,600.67</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w:t>
            </w:r>
          </w:p>
        </w:tc>
      </w:tr>
      <w:tr>
        <w:trPr>
          <w:trHeight w:val="343"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5,973,068.52</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-158,870.59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bookmarkStart w:name="（4）不重要的合营企业和联营企业的汇总财务信息" w:id="435"/>
      <w:bookmarkEnd w:id="435"/>
      <w:r>
        <w:rPr>
          <w:b w:val="0"/>
          <w:bCs w:val="0"/>
        </w:rPr>
      </w:r>
      <w:r>
        <w:rPr/>
        <w:t>（</w:t>
      </w:r>
      <w:r>
        <w:rPr>
          <w:rFonts w:ascii="宋体" w:hAnsi="宋体" w:cs="宋体" w:eastAsia="宋体" w:hint="default"/>
        </w:rPr>
        <w:t>4</w:t>
      </w:r>
      <w:r>
        <w:rPr/>
        <w:t>）不重要的合营企业和联营企业的汇总财务信息</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5）合营企业或联营企业向本公司转移资金的能力存在重大限制的说明" w:id="436"/>
      <w:bookmarkEnd w:id="436"/>
      <w:r>
        <w:rPr>
          <w:b w:val="0"/>
          <w:bCs w:val="0"/>
        </w:rPr>
      </w:r>
      <w:r>
        <w:rPr/>
        <w:t>（</w:t>
      </w:r>
      <w:r>
        <w:rPr>
          <w:rFonts w:ascii="宋体" w:hAnsi="宋体" w:cs="宋体" w:eastAsia="宋体" w:hint="default"/>
        </w:rPr>
        <w:t>5</w:t>
      </w:r>
      <w:r>
        <w:rPr/>
        <w:t>）合营企业或联营企业向本公司转移资金的能力存在重大限制的说明</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6）合营企业或联营企业发生的超额亏损" w:id="437"/>
      <w:bookmarkEnd w:id="437"/>
      <w:r>
        <w:rPr>
          <w:b w:val="0"/>
          <w:bCs w:val="0"/>
        </w:rPr>
      </w:r>
      <w:r>
        <w:rPr/>
        <w:t>（</w:t>
      </w:r>
      <w:r>
        <w:rPr>
          <w:rFonts w:ascii="宋体" w:hAnsi="宋体" w:cs="宋体" w:eastAsia="宋体" w:hint="default"/>
        </w:rPr>
        <w:t>6</w:t>
      </w:r>
      <w:r>
        <w:rPr/>
        <w:t>）合营企业或联营企业发生的超额亏损</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7）与合营企业投资相关的未确认承诺" w:id="438"/>
      <w:bookmarkEnd w:id="438"/>
      <w:r>
        <w:rPr>
          <w:b w:val="0"/>
          <w:bCs w:val="0"/>
        </w:rPr>
      </w:r>
      <w:r>
        <w:rPr/>
        <w:t>（</w:t>
      </w:r>
      <w:r>
        <w:rPr>
          <w:rFonts w:ascii="宋体" w:hAnsi="宋体" w:cs="宋体" w:eastAsia="宋体" w:hint="default"/>
        </w:rPr>
        <w:t>7</w:t>
      </w:r>
      <w:r>
        <w:rPr/>
        <w:t>）与合营企业投资相关的未确认承诺</w:t>
      </w:r>
      <w:r>
        <w:rPr>
          <w:b w:val="0"/>
          <w:bCs w:val="0"/>
        </w:rPr>
      </w:r>
    </w:p>
    <w:p>
      <w:pPr>
        <w:spacing w:line="240" w:lineRule="auto" w:before="12"/>
        <w:rPr>
          <w:rFonts w:ascii="宋体" w:hAnsi="宋体" w:cs="宋体" w:eastAsia="宋体" w:hint="default"/>
          <w:b/>
          <w:bCs/>
          <w:sz w:val="25"/>
          <w:szCs w:val="25"/>
        </w:rPr>
      </w:pPr>
    </w:p>
    <w:p>
      <w:pPr>
        <w:pStyle w:val="Heading3"/>
        <w:spacing w:line="535" w:lineRule="auto"/>
        <w:ind w:right="6219"/>
        <w:jc w:val="left"/>
        <w:rPr>
          <w:b w:val="0"/>
          <w:bCs w:val="0"/>
        </w:rPr>
      </w:pPr>
      <w:bookmarkStart w:name="（8）与合营企业或联营企业投资相关的或有负债" w:id="439"/>
      <w:bookmarkEnd w:id="439"/>
      <w:r>
        <w:rPr>
          <w:b w:val="0"/>
          <w:bCs w:val="0"/>
        </w:rPr>
      </w:r>
      <w:r>
        <w:rPr/>
        <w:t>（</w:t>
      </w:r>
      <w:r>
        <w:rPr>
          <w:rFonts w:ascii="宋体" w:hAnsi="宋体" w:cs="宋体" w:eastAsia="宋体" w:hint="default"/>
        </w:rPr>
        <w:t>8</w:t>
      </w:r>
      <w:r>
        <w:rPr/>
        <w:t>）与合营企业或联营企业投资相关的或有负债</w:t>
      </w:r>
      <w:r>
        <w:rPr>
          <w:w w:val="99"/>
        </w:rPr>
        <w:t> </w:t>
      </w:r>
      <w:bookmarkStart w:name="4、重要的共同经营" w:id="440"/>
      <w:bookmarkEnd w:id="440"/>
      <w:r>
        <w:rPr>
          <w:w w:val="99"/>
        </w:rPr>
      </w:r>
      <w:r>
        <w:rPr>
          <w:rFonts w:ascii="宋体" w:hAnsi="宋体" w:cs="宋体" w:eastAsia="宋体" w:hint="default"/>
        </w:rPr>
        <w:t>4</w:t>
      </w:r>
      <w:r>
        <w:rPr/>
        <w:t>、重要的共同经营</w:t>
      </w:r>
      <w:r>
        <w:rPr>
          <w:b w:val="0"/>
          <w:bCs w:val="0"/>
        </w:rPr>
      </w:r>
    </w:p>
    <w:p>
      <w:pPr>
        <w:spacing w:line="240" w:lineRule="auto" w:before="2"/>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51"/>
        <w:ind w:left="153" w:right="5533"/>
        <w:jc w:val="left"/>
      </w:pPr>
      <w:r>
        <w:rPr/>
        <w:t>在共同经营中的持股比例或享有的份额不同于表决权比例的说明： 共同经营为单独主体的，分类为共同经营的依据：</w:t>
      </w:r>
    </w:p>
    <w:p>
      <w:pPr>
        <w:pStyle w:val="BodyText"/>
        <w:spacing w:line="240" w:lineRule="auto" w:before="26"/>
        <w:ind w:left="153"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5、在未纳入合并财务报表范围的结构化主体中的权益" w:id="441"/>
      <w:bookmarkEnd w:id="441"/>
      <w:r>
        <w:rPr>
          <w:b w:val="0"/>
          <w:bCs w:val="0"/>
        </w:rPr>
      </w:r>
      <w:r>
        <w:rPr>
          <w:rFonts w:ascii="宋体" w:hAnsi="宋体" w:cs="宋体" w:eastAsia="宋体" w:hint="default"/>
        </w:rPr>
        <w:t>5</w:t>
      </w:r>
      <w:r>
        <w:rPr/>
        <w:t>、在未纳入合并财务报表范围的结构化主体中的权益</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53" w:right="0"/>
        <w:jc w:val="left"/>
      </w:pPr>
      <w:r>
        <w:rPr/>
        <w:t>未纳入合并财务报表范围的结构化主体的相关说明：</w:t>
      </w:r>
    </w:p>
    <w:p>
      <w:pPr>
        <w:pStyle w:val="BodyText"/>
        <w:spacing w:line="240" w:lineRule="auto" w:before="117"/>
        <w:ind w:left="513" w:right="0"/>
        <w:jc w:val="left"/>
      </w:pPr>
      <w:r>
        <w:rPr/>
        <w:t>（</w:t>
      </w:r>
      <w:r>
        <w:rPr>
          <w:rFonts w:ascii="宋体" w:hAnsi="宋体" w:cs="宋体" w:eastAsia="宋体" w:hint="default"/>
        </w:rPr>
        <w:t>1</w:t>
      </w:r>
      <w:r>
        <w:rPr/>
        <w:t>）未纳入合并范围的结构化主体的基础信息</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24"/>
        <w:gridCol w:w="2489"/>
        <w:gridCol w:w="1642"/>
        <w:gridCol w:w="1638"/>
        <w:gridCol w:w="1862"/>
      </w:tblGrid>
      <w:tr>
        <w:trPr>
          <w:trHeight w:val="774" w:hRule="exact"/>
        </w:trPr>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b/>
                <w:bCs/>
                <w:sz w:val="18"/>
                <w:szCs w:val="18"/>
              </w:rPr>
              <w:t>结构化主体名称</w:t>
            </w:r>
            <w:r>
              <w:rPr>
                <w:rFonts w:ascii="宋体" w:hAnsi="宋体" w:cs="宋体" w:eastAsia="宋体" w:hint="default"/>
                <w:sz w:val="18"/>
                <w:szCs w:val="18"/>
              </w:rPr>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b/>
                <w:bCs/>
                <w:sz w:val="18"/>
                <w:szCs w:val="18"/>
              </w:rPr>
              <w:t>结构化主体类型</w:t>
            </w:r>
            <w:r>
              <w:rPr>
                <w:rFonts w:ascii="宋体" w:hAnsi="宋体" w:cs="宋体" w:eastAsia="宋体" w:hint="default"/>
                <w:sz w:val="18"/>
                <w:szCs w:val="18"/>
              </w:rPr>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904" w:right="0"/>
              <w:jc w:val="left"/>
              <w:rPr>
                <w:rFonts w:ascii="宋体" w:hAnsi="宋体" w:cs="宋体" w:eastAsia="宋体" w:hint="default"/>
                <w:sz w:val="18"/>
                <w:szCs w:val="18"/>
              </w:rPr>
            </w:pPr>
            <w:r>
              <w:rPr>
                <w:rFonts w:ascii="宋体" w:hAnsi="宋体" w:cs="宋体" w:eastAsia="宋体" w:hint="default"/>
                <w:b/>
                <w:bCs/>
                <w:sz w:val="18"/>
                <w:szCs w:val="18"/>
              </w:rPr>
              <w:t>认缴出资</w:t>
            </w:r>
            <w:r>
              <w:rPr>
                <w:rFonts w:ascii="宋体" w:hAnsi="宋体" w:cs="宋体" w:eastAsia="宋体" w:hint="default"/>
                <w:sz w:val="18"/>
                <w:szCs w:val="18"/>
              </w:rPr>
            </w:r>
          </w:p>
          <w:p>
            <w:pPr>
              <w:pStyle w:val="TableParagraph"/>
              <w:spacing w:line="240" w:lineRule="auto" w:before="116"/>
              <w:ind w:left="904" w:right="0"/>
              <w:jc w:val="lef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900" w:right="0"/>
              <w:jc w:val="left"/>
              <w:rPr>
                <w:rFonts w:ascii="宋体" w:hAnsi="宋体" w:cs="宋体" w:eastAsia="宋体" w:hint="default"/>
                <w:sz w:val="18"/>
                <w:szCs w:val="18"/>
              </w:rPr>
            </w:pPr>
            <w:r>
              <w:rPr>
                <w:rFonts w:ascii="宋体" w:hAnsi="宋体" w:cs="宋体" w:eastAsia="宋体" w:hint="default"/>
                <w:b/>
                <w:bCs/>
                <w:sz w:val="18"/>
                <w:szCs w:val="18"/>
              </w:rPr>
              <w:t>实缴出资</w:t>
            </w:r>
            <w:r>
              <w:rPr>
                <w:rFonts w:ascii="宋体" w:hAnsi="宋体" w:cs="宋体" w:eastAsia="宋体" w:hint="default"/>
                <w:sz w:val="18"/>
                <w:szCs w:val="18"/>
              </w:rPr>
            </w:r>
          </w:p>
          <w:p>
            <w:pPr>
              <w:pStyle w:val="TableParagraph"/>
              <w:spacing w:line="240" w:lineRule="auto" w:before="116"/>
              <w:ind w:left="900" w:right="0"/>
              <w:jc w:val="lef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宋体" w:hAnsi="宋体" w:cs="宋体" w:eastAsia="宋体" w:hint="default"/>
                <w:sz w:val="18"/>
                <w:szCs w:val="18"/>
              </w:rPr>
            </w:pPr>
            <w:r>
              <w:rPr>
                <w:rFonts w:ascii="宋体" w:hAnsi="宋体" w:cs="宋体" w:eastAsia="宋体" w:hint="default"/>
                <w:b/>
                <w:bCs/>
                <w:w w:val="95"/>
                <w:sz w:val="18"/>
                <w:szCs w:val="18"/>
              </w:rPr>
              <w:t>持有比例</w:t>
            </w:r>
            <w:r>
              <w:rPr>
                <w:rFonts w:ascii="宋体" w:hAnsi="宋体" w:cs="宋体" w:eastAsia="宋体" w:hint="default"/>
                <w:b/>
                <w:bCs/>
                <w:w w:val="95"/>
                <w:sz w:val="18"/>
                <w:szCs w:val="18"/>
              </w:rPr>
              <w:t>(%)</w:t>
            </w:r>
            <w:r>
              <w:rPr>
                <w:rFonts w:ascii="宋体" w:hAnsi="宋体" w:cs="宋体" w:eastAsia="宋体" w:hint="default"/>
                <w:sz w:val="18"/>
                <w:szCs w:val="18"/>
              </w:rPr>
            </w:r>
          </w:p>
        </w:tc>
      </w:tr>
      <w:tr>
        <w:trPr>
          <w:trHeight w:val="422" w:hRule="exact"/>
        </w:trPr>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有限合伙企业</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907" w:right="0"/>
              <w:jc w:val="left"/>
              <w:rPr>
                <w:rFonts w:ascii="宋体" w:hAnsi="宋体" w:cs="宋体" w:eastAsia="宋体" w:hint="default"/>
                <w:sz w:val="18"/>
                <w:szCs w:val="18"/>
              </w:rPr>
            </w:pPr>
            <w:r>
              <w:rPr>
                <w:rFonts w:ascii="宋体"/>
                <w:sz w:val="18"/>
              </w:rPr>
              <w:t>3,000.00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902" w:right="0"/>
              <w:jc w:val="left"/>
              <w:rPr>
                <w:rFonts w:ascii="宋体" w:hAnsi="宋体" w:cs="宋体" w:eastAsia="宋体" w:hint="default"/>
                <w:sz w:val="18"/>
                <w:szCs w:val="18"/>
              </w:rPr>
            </w:pPr>
            <w:r>
              <w:rPr>
                <w:rFonts w:ascii="宋体"/>
                <w:sz w:val="18"/>
              </w:rPr>
              <w:t>2,100.00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sz w:val="18"/>
              </w:rPr>
              <w:t>4.2674</w:t>
            </w:r>
          </w:p>
        </w:tc>
      </w:tr>
    </w:tbl>
    <w:p>
      <w:pPr>
        <w:pStyle w:val="BodyText"/>
        <w:spacing w:line="240" w:lineRule="auto" w:before="51"/>
        <w:ind w:left="514" w:right="0"/>
        <w:jc w:val="left"/>
      </w:pPr>
      <w:r>
        <w:rPr/>
        <w:t>（</w:t>
      </w:r>
      <w:r>
        <w:rPr>
          <w:rFonts w:ascii="宋体" w:hAnsi="宋体" w:cs="宋体" w:eastAsia="宋体" w:hint="default"/>
        </w:rPr>
        <w:t>2</w:t>
      </w:r>
      <w:r>
        <w:rPr/>
        <w:t>）与权益相关资产负债的账面价值和最大损失敞口</w:t>
      </w:r>
    </w:p>
    <w:p>
      <w:pPr>
        <w:pStyle w:val="BodyText"/>
        <w:spacing w:line="240" w:lineRule="auto" w:before="116"/>
        <w:ind w:left="514" w:right="0"/>
        <w:jc w:val="left"/>
      </w:pPr>
      <w:r>
        <w:rPr/>
        <w:t>本公司的子公司西藏智媒公司</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日在财务报表中确认的与在未纳入合并范围的结构化主体中权益相关的</w:t>
      </w:r>
    </w:p>
    <w:p>
      <w:pPr>
        <w:pStyle w:val="BodyText"/>
        <w:spacing w:line="357" w:lineRule="auto" w:before="77"/>
        <w:ind w:left="513" w:right="1213" w:hanging="360"/>
        <w:jc w:val="left"/>
      </w:pPr>
      <w:r>
        <w:rPr/>
        <w:t>资产的账面价值为</w:t>
      </w:r>
      <w:r>
        <w:rPr>
          <w:spacing w:val="-46"/>
        </w:rPr>
        <w:t> </w:t>
      </w:r>
      <w:r>
        <w:rPr>
          <w:rFonts w:ascii="宋体" w:hAnsi="宋体" w:cs="宋体" w:eastAsia="宋体" w:hint="default"/>
        </w:rPr>
        <w:t>2,100.00</w:t>
      </w:r>
      <w:r>
        <w:rPr>
          <w:rFonts w:ascii="宋体" w:hAnsi="宋体" w:cs="宋体" w:eastAsia="宋体" w:hint="default"/>
          <w:spacing w:val="-45"/>
        </w:rPr>
        <w:t> </w:t>
      </w:r>
      <w:r>
        <w:rPr/>
        <w:t>万元，在资产负债表中列示为可供出售金融资产。 本公司的子公司西藏智媒公司在未纳入合并范围的结构化主体中权益的最大损失敞口为期末确认的可供出售金融资产</w:t>
      </w:r>
    </w:p>
    <w:p>
      <w:pPr>
        <w:pStyle w:val="BodyText"/>
        <w:spacing w:line="225" w:lineRule="exact"/>
        <w:ind w:left="153" w:right="0"/>
        <w:jc w:val="left"/>
      </w:pPr>
      <w:r>
        <w:rPr/>
        <w:t>账面价值。</w:t>
      </w:r>
    </w:p>
    <w:p>
      <w:pPr>
        <w:spacing w:after="0" w:line="225" w:lineRule="exact"/>
        <w:jc w:val="left"/>
        <w:sectPr>
          <w:pgSz w:w="11910" w:h="16840"/>
          <w:pgMar w:header="877" w:footer="1187" w:top="1100" w:bottom="138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6、其他" w:id="442"/>
      <w:bookmarkEnd w:id="442"/>
      <w:r>
        <w:rPr>
          <w:b w:val="0"/>
          <w:bCs w:val="0"/>
        </w:rPr>
      </w:r>
      <w:r>
        <w:rPr>
          <w:rFonts w:ascii="宋体" w:hAnsi="宋体" w:cs="宋体" w:eastAsia="宋体" w:hint="default"/>
        </w:rPr>
        <w:t>6</w:t>
      </w:r>
      <w:r>
        <w:rPr/>
        <w:t>、其他</w:t>
      </w:r>
      <w:r>
        <w:rPr>
          <w:b w:val="0"/>
          <w:bCs w:val="0"/>
        </w:rPr>
      </w:r>
    </w:p>
    <w:p>
      <w:pPr>
        <w:spacing w:line="240" w:lineRule="auto" w:before="2"/>
        <w:rPr>
          <w:rFonts w:ascii="宋体" w:hAnsi="宋体" w:cs="宋体" w:eastAsia="宋体" w:hint="default"/>
          <w:b/>
          <w:bCs/>
          <w:sz w:val="24"/>
          <w:szCs w:val="24"/>
        </w:rPr>
      </w:pPr>
    </w:p>
    <w:p>
      <w:pPr>
        <w:pStyle w:val="Heading2"/>
        <w:spacing w:line="240" w:lineRule="auto"/>
        <w:ind w:right="0"/>
        <w:jc w:val="left"/>
        <w:rPr>
          <w:b w:val="0"/>
          <w:bCs w:val="0"/>
        </w:rPr>
      </w:pPr>
      <w:bookmarkStart w:name="十、与金融工具相关的风险" w:id="443"/>
      <w:bookmarkEnd w:id="443"/>
      <w:r>
        <w:rPr>
          <w:b w:val="0"/>
          <w:bCs w:val="0"/>
        </w:rPr>
      </w:r>
      <w:r>
        <w:rPr/>
        <w:t>十、与金融工具相关的风险</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360"/>
        <w:jc w:val="left"/>
      </w:pPr>
      <w:r>
        <w:rPr>
          <w:spacing w:val="-2"/>
        </w:rPr>
        <w:t>本公司的主要金融工具包括货币资金、应收账款、应收票据、应收利息、应收股利、其他应收款、一年内到期的非流动</w:t>
      </w:r>
      <w:r>
        <w:rPr/>
        <w:t> </w:t>
      </w:r>
      <w:r>
        <w:rPr>
          <w:spacing w:val="-2"/>
        </w:rPr>
        <w:t>资产、其他流动资产、可供出售金融资产、发放贷款及垫款、短期借款、应付账款、应付利息、应付股利、其他应付款、一</w:t>
      </w:r>
      <w:r>
        <w:rPr>
          <w:spacing w:val="-69"/>
        </w:rPr>
        <w:t> </w:t>
      </w:r>
      <w:r>
        <w:rPr>
          <w:spacing w:val="-69"/>
        </w:rPr>
      </w:r>
      <w:r>
        <w:rPr>
          <w:spacing w:val="-4"/>
        </w:rPr>
        <w:t>年内到期的非流动负债、其他流动负债、长期借款、长期应付款和预计负债。各项金融工具的详细情况已于相关附注内披露。</w:t>
      </w:r>
      <w:r>
        <w:rPr>
          <w:spacing w:val="-46"/>
        </w:rPr>
        <w:t> </w:t>
      </w:r>
      <w:r>
        <w:rPr>
          <w:spacing w:val="-46"/>
        </w:rPr>
      </w:r>
      <w:r>
        <w:rPr>
          <w:spacing w:val="-2"/>
        </w:rPr>
        <w:t>与这些金融工具有关的风险，以及本公司为降低这些风险所采取的风险管理政策如下所述。本公司管理层对这些风险敞口进</w:t>
      </w:r>
      <w:r>
        <w:rPr>
          <w:spacing w:val="-64"/>
        </w:rPr>
        <w:t> </w:t>
      </w:r>
      <w:r>
        <w:rPr>
          <w:spacing w:val="-64"/>
        </w:rPr>
      </w:r>
      <w:r>
        <w:rPr/>
        <w:t>行管理和监控以确保将上述风险控制在限定的范围之内。</w:t>
      </w:r>
    </w:p>
    <w:p>
      <w:pPr>
        <w:pStyle w:val="BodyText"/>
        <w:spacing w:line="357" w:lineRule="auto" w:before="56"/>
        <w:ind w:left="514" w:right="1212"/>
        <w:jc w:val="left"/>
      </w:pPr>
      <w:r>
        <w:rPr>
          <w:rFonts w:ascii="宋体" w:hAnsi="宋体" w:cs="宋体" w:eastAsia="宋体" w:hint="default"/>
        </w:rPr>
        <w:t>1</w:t>
      </w:r>
      <w:r>
        <w:rPr/>
        <w:t>、风险管理目标和政策 本公司从事风险管理的目标是在风险和收益之间取得适当的平衡，将风险对本公司经营业绩的负面影响降低到最低水</w:t>
      </w:r>
    </w:p>
    <w:p>
      <w:pPr>
        <w:pStyle w:val="BodyText"/>
        <w:spacing w:line="224" w:lineRule="exact"/>
        <w:ind w:right="0"/>
        <w:jc w:val="left"/>
      </w:pPr>
      <w:r>
        <w:rPr/>
        <w:t>平，使股东及其其他权益投资者的利益最大化。基于该风险管理目标，本公司风险管理的基本策略是确定和分析本公司所面</w:t>
      </w:r>
    </w:p>
    <w:p>
      <w:pPr>
        <w:pStyle w:val="BodyText"/>
        <w:spacing w:line="319" w:lineRule="auto" w:before="76"/>
        <w:ind w:right="1118"/>
        <w:jc w:val="left"/>
      </w:pPr>
      <w:r>
        <w:rPr>
          <w:spacing w:val="-2"/>
        </w:rPr>
        <w:t>临的各种风险，建立适当的风险承受底线和进行风险管理，并及时可靠地对各种风险进行监督，将风险控制在限定的范围之</w:t>
      </w:r>
      <w:r>
        <w:rPr>
          <w:spacing w:val="-66"/>
        </w:rPr>
        <w:t> </w:t>
      </w:r>
      <w:r>
        <w:rPr>
          <w:spacing w:val="-66"/>
        </w:rPr>
      </w:r>
      <w:r>
        <w:rPr/>
        <w:t>内。</w:t>
      </w:r>
    </w:p>
    <w:p>
      <w:pPr>
        <w:pStyle w:val="BodyText"/>
        <w:spacing w:line="240" w:lineRule="auto" w:before="56"/>
        <w:ind w:left="514" w:right="0"/>
        <w:jc w:val="left"/>
      </w:pPr>
      <w:r>
        <w:rPr/>
        <w:t>本公司的金融工具导致的主要风险是信用风险、流动性风险、市场风险（包括利率风险和汇率风险</w:t>
      </w:r>
      <w:r>
        <w:rPr>
          <w:spacing w:val="-90"/>
        </w:rPr>
        <w:t>）</w:t>
      </w:r>
      <w:r>
        <w:rPr/>
        <w:t>。</w:t>
      </w:r>
    </w:p>
    <w:p>
      <w:pPr>
        <w:pStyle w:val="BodyText"/>
        <w:spacing w:line="360" w:lineRule="auto" w:before="116"/>
        <w:ind w:left="513" w:right="3913"/>
        <w:jc w:val="left"/>
      </w:pPr>
      <w:r>
        <w:rPr/>
        <w:t>（</w:t>
      </w:r>
      <w:r>
        <w:rPr>
          <w:rFonts w:ascii="宋体" w:hAnsi="宋体" w:cs="宋体" w:eastAsia="宋体" w:hint="default"/>
        </w:rPr>
        <w:t>1</w:t>
      </w:r>
      <w:r>
        <w:rPr/>
        <w:t>）信用风险 信用风险，是指交易对手方未能履行合同义务而导致本公司产生财务损失的风险。</w:t>
      </w:r>
    </w:p>
    <w:p>
      <w:pPr>
        <w:pStyle w:val="BodyText"/>
        <w:spacing w:line="357" w:lineRule="auto" w:before="26"/>
        <w:ind w:left="513" w:right="0"/>
        <w:jc w:val="left"/>
      </w:pPr>
      <w:r>
        <w:rPr/>
        <w:t>本公司对信用风险按组合分类进行管理。信用风险主要产生于银行存款、发放贷款及垫款和应收款项等。 </w:t>
      </w:r>
      <w:r>
        <w:rPr>
          <w:spacing w:val="-2"/>
        </w:rPr>
        <w:t>本公司银行存款主要存放于国有银行和其它大中型上市银行和声誉良好并拥有较高信用评级的金融机构，本公司预期银</w:t>
      </w:r>
    </w:p>
    <w:p>
      <w:pPr>
        <w:pStyle w:val="BodyText"/>
        <w:spacing w:line="357" w:lineRule="auto"/>
        <w:ind w:left="513" w:right="0" w:hanging="360"/>
        <w:jc w:val="left"/>
      </w:pPr>
      <w:r>
        <w:rPr/>
        <w:t>行存款不存在重大的信用风险。 </w:t>
      </w:r>
      <w:r>
        <w:rPr>
          <w:spacing w:val="-2"/>
        </w:rPr>
        <w:t>对于应收款项，本公司设定相关政策以控制信用风险敞口。本公司基于对债务人的财务状况、外部评级、从第三方获取</w:t>
      </w:r>
    </w:p>
    <w:p>
      <w:pPr>
        <w:pStyle w:val="BodyText"/>
        <w:spacing w:line="224" w:lineRule="exact"/>
        <w:ind w:left="153" w:right="0"/>
        <w:jc w:val="left"/>
      </w:pPr>
      <w:r>
        <w:rPr/>
        <w:t>担保的可能性、信用记录及其它因素诸如目前市场状况等评估债务人的信用资质并设置相应欠款额度与信用期限。本公司已</w:t>
      </w:r>
    </w:p>
    <w:p>
      <w:pPr>
        <w:pStyle w:val="BodyText"/>
        <w:spacing w:line="319" w:lineRule="auto" w:before="76"/>
        <w:ind w:left="153" w:right="1130"/>
        <w:jc w:val="both"/>
      </w:pPr>
      <w:r>
        <w:rPr>
          <w:spacing w:val="-2"/>
        </w:rPr>
        <w:t>采取政策只与信用良好的交易对手方合作并在有必要时获取足够的抵押品，以此缓解因交易对手方未能履行合同义务而产生</w:t>
      </w:r>
      <w:r>
        <w:rPr>
          <w:spacing w:val="-64"/>
        </w:rPr>
        <w:t> </w:t>
      </w:r>
      <w:r>
        <w:rPr>
          <w:spacing w:val="-64"/>
        </w:rPr>
      </w:r>
      <w:r>
        <w:rPr>
          <w:spacing w:val="-2"/>
        </w:rPr>
        <w:t>财务损失的风险。本公司会定期对债务人信用记录进行监控，对于信用记录不良的债务人，本公司会采用书面催款、缩短信</w:t>
      </w:r>
      <w:r>
        <w:rPr>
          <w:spacing w:val="-65"/>
        </w:rPr>
        <w:t> </w:t>
      </w:r>
      <w:r>
        <w:rPr>
          <w:spacing w:val="-65"/>
        </w:rPr>
      </w:r>
      <w:r>
        <w:rPr/>
        <w:t>用期或取消信用期等方式，以确保本公司的整体信用风险在可控的范围内。</w:t>
      </w:r>
    </w:p>
    <w:p>
      <w:pPr>
        <w:pStyle w:val="BodyText"/>
        <w:spacing w:line="357" w:lineRule="auto" w:before="56"/>
        <w:ind w:left="513" w:right="0"/>
        <w:jc w:val="left"/>
      </w:pPr>
      <w:r>
        <w:rPr/>
        <w:t>本公司应收账款的债务人为分布于不同行业和地区的客户。本公司持续对应收账款的财务状况实施信用评估。 </w:t>
      </w:r>
      <w:r>
        <w:rPr>
          <w:spacing w:val="-2"/>
        </w:rPr>
        <w:t>本公司所承受的最大信用风险敞口为资产负债表中每项金融资产的账面金额。本公司没有提供任何其他可能令本公司承</w:t>
      </w:r>
    </w:p>
    <w:p>
      <w:pPr>
        <w:pStyle w:val="BodyText"/>
        <w:spacing w:line="225" w:lineRule="exact"/>
        <w:ind w:left="153" w:right="0"/>
        <w:jc w:val="left"/>
      </w:pPr>
      <w:r>
        <w:rPr/>
        <w:t>受信用风险的担保。</w:t>
      </w:r>
    </w:p>
    <w:p>
      <w:pPr>
        <w:pStyle w:val="BodyText"/>
        <w:spacing w:line="319" w:lineRule="auto" w:before="116"/>
        <w:ind w:left="153" w:right="1117" w:firstLine="360"/>
        <w:jc w:val="left"/>
      </w:pPr>
      <w:r>
        <w:rPr/>
        <w:t>本公司应收账款中</w:t>
      </w:r>
      <w:r>
        <w:rPr>
          <w:spacing w:val="-21"/>
        </w:rPr>
        <w:t>，</w:t>
      </w:r>
      <w:r>
        <w:rPr/>
        <w:t>欠款金额前五大客户的应收账款占本公司应收账款总额的</w:t>
      </w:r>
      <w:r>
        <w:rPr>
          <w:spacing w:val="-45"/>
        </w:rPr>
        <w:t> </w:t>
      </w:r>
      <w:r>
        <w:rPr>
          <w:rFonts w:ascii="宋体" w:hAnsi="宋体" w:cs="宋体" w:eastAsia="宋体" w:hint="default"/>
        </w:rPr>
        <w:t>49.19</w:t>
      </w:r>
      <w:r>
        <w:rPr>
          <w:rFonts w:ascii="宋体" w:hAnsi="宋体" w:cs="宋体" w:eastAsia="宋体" w:hint="default"/>
          <w:spacing w:val="-20"/>
        </w:rPr>
        <w:t>%</w:t>
      </w:r>
      <w:r>
        <w:rPr/>
        <w:t>（</w:t>
      </w:r>
      <w:r>
        <w:rPr>
          <w:rFonts w:ascii="宋体" w:hAnsi="宋体" w:cs="宋体" w:eastAsia="宋体" w:hint="default"/>
        </w:rPr>
        <w:t>2016</w:t>
      </w:r>
      <w:r>
        <w:rPr>
          <w:rFonts w:ascii="宋体" w:hAnsi="宋体" w:cs="宋体" w:eastAsia="宋体" w:hint="default"/>
          <w:spacing w:val="-46"/>
        </w:rPr>
        <w:t> </w:t>
      </w:r>
      <w:r>
        <w:rPr/>
        <w:t>年</w:t>
      </w:r>
      <w:r>
        <w:rPr>
          <w:spacing w:val="-21"/>
        </w:rPr>
        <w:t>：</w:t>
      </w:r>
      <w:r>
        <w:rPr>
          <w:rFonts w:ascii="宋体" w:hAnsi="宋体" w:cs="宋体" w:eastAsia="宋体" w:hint="default"/>
        </w:rPr>
        <w:t>34.26%</w:t>
      </w:r>
      <w:r>
        <w:rPr>
          <w:spacing w:val="-90"/>
        </w:rPr>
        <w:t>）</w:t>
      </w:r>
      <w:r>
        <w:rPr>
          <w:spacing w:val="-21"/>
        </w:rPr>
        <w:t>；</w:t>
      </w:r>
      <w:r>
        <w:rPr/>
        <w:t>本公司其他</w:t>
      </w:r>
      <w:r>
        <w:rPr/>
        <w:t> 应收款中，欠款金额前五大公司的其他应收款占本公司其他应收款总额的</w:t>
      </w:r>
      <w:r>
        <w:rPr>
          <w:spacing w:val="-45"/>
        </w:rPr>
        <w:t> </w:t>
      </w:r>
      <w:r>
        <w:rPr>
          <w:rFonts w:ascii="宋体" w:hAnsi="宋体" w:cs="宋体" w:eastAsia="宋体" w:hint="default"/>
        </w:rPr>
        <w:t>85.16%</w:t>
      </w:r>
      <w:r>
        <w:rPr/>
        <w:t>（</w:t>
      </w:r>
      <w:r>
        <w:rPr>
          <w:rFonts w:ascii="宋体" w:hAnsi="宋体" w:cs="宋体" w:eastAsia="宋体" w:hint="default"/>
        </w:rPr>
        <w:t>2016</w:t>
      </w:r>
      <w:r>
        <w:rPr>
          <w:rFonts w:ascii="宋体" w:hAnsi="宋体" w:cs="宋体" w:eastAsia="宋体" w:hint="default"/>
          <w:spacing w:val="-46"/>
        </w:rPr>
        <w:t> </w:t>
      </w:r>
      <w:r>
        <w:rPr/>
        <w:t>年：</w:t>
      </w:r>
      <w:r>
        <w:rPr>
          <w:rFonts w:ascii="宋体" w:hAnsi="宋体" w:cs="宋体" w:eastAsia="宋体" w:hint="default"/>
        </w:rPr>
        <w:t>87.78%</w:t>
      </w:r>
      <w:r>
        <w:rPr>
          <w:spacing w:val="-90"/>
        </w:rPr>
        <w:t>）。</w:t>
      </w:r>
      <w:r>
        <w:rPr/>
      </w:r>
    </w:p>
    <w:p>
      <w:pPr>
        <w:pStyle w:val="BodyText"/>
        <w:spacing w:line="357" w:lineRule="auto" w:before="56"/>
        <w:ind w:left="513" w:right="1118"/>
        <w:jc w:val="left"/>
      </w:pPr>
      <w:r>
        <w:rPr/>
        <w:t>（</w:t>
      </w:r>
      <w:r>
        <w:rPr>
          <w:rFonts w:ascii="宋体" w:hAnsi="宋体" w:cs="宋体" w:eastAsia="宋体" w:hint="default"/>
        </w:rPr>
        <w:t>2</w:t>
      </w:r>
      <w:r>
        <w:rPr/>
        <w:t>）流动性风险 流动性风险，是指本公司在履行以交付现金或其他金融资产的方式结算的义务时发生资金短缺的风险。 </w:t>
      </w:r>
      <w:r>
        <w:rPr>
          <w:spacing w:val="-2"/>
        </w:rPr>
        <w:t>管理流动风险时，本公司保持管理层认为充分的现金及现金等价物并对其进行监控，以满足本公司经营需要，并降低现</w:t>
      </w:r>
    </w:p>
    <w:p>
      <w:pPr>
        <w:pStyle w:val="BodyText"/>
        <w:spacing w:line="224" w:lineRule="exact"/>
        <w:ind w:left="153" w:right="0"/>
        <w:jc w:val="left"/>
      </w:pPr>
      <w:r>
        <w:rPr/>
        <w:t>金流量波动的影响。本公司管理层对银行借款的使用情况进行监控并确保遵守借款协议。同时从主要金融机构获得提供足够</w:t>
      </w:r>
    </w:p>
    <w:p>
      <w:pPr>
        <w:pStyle w:val="BodyText"/>
        <w:spacing w:line="240" w:lineRule="auto" w:before="77"/>
        <w:ind w:left="153" w:right="0"/>
        <w:jc w:val="left"/>
      </w:pPr>
      <w:r>
        <w:rPr/>
        <w:t>备用资金的承诺，以满足短期和长期的资金需求。</w:t>
      </w:r>
    </w:p>
    <w:p>
      <w:pPr>
        <w:pStyle w:val="BodyText"/>
        <w:spacing w:line="240" w:lineRule="auto" w:before="115"/>
        <w:ind w:left="513" w:right="0"/>
        <w:jc w:val="left"/>
      </w:pPr>
      <w:r>
        <w:rPr/>
        <w:t>本公司通过经营业务产生的资金及银行及其他借款来筹措营运资金。于</w:t>
      </w:r>
      <w:r>
        <w:rPr>
          <w:spacing w:val="-45"/>
        </w:rPr>
        <w:t> </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日，本公司尚未使用的银行借</w:t>
      </w:r>
    </w:p>
    <w:p>
      <w:pPr>
        <w:pStyle w:val="BodyText"/>
        <w:spacing w:line="717" w:lineRule="auto" w:before="77"/>
        <w:ind w:left="513" w:right="2563" w:hanging="360"/>
        <w:jc w:val="left"/>
      </w:pPr>
      <w:r>
        <w:rPr/>
        <w:pict>
          <v:shape style="position:absolute;margin-left:56.459999pt;margin-top:56.081715pt;width:474.85pt;height:51.8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75"/>
                    <w:gridCol w:w="1260"/>
                    <w:gridCol w:w="2209"/>
                    <w:gridCol w:w="1260"/>
                    <w:gridCol w:w="1477"/>
                  </w:tblGrid>
                  <w:tr>
                    <w:trPr>
                      <w:trHeight w:val="342" w:hRule="exact"/>
                    </w:trPr>
                    <w:tc>
                      <w:tcPr>
                        <w:tcW w:w="3275" w:type="dxa"/>
                        <w:vMerge w:val="restart"/>
                        <w:tcBorders>
                          <w:top w:val="single" w:sz="4" w:space="0" w:color="000000"/>
                          <w:left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620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r>
                  <w:tr>
                    <w:trPr>
                      <w:trHeight w:val="342" w:hRule="exact"/>
                    </w:trPr>
                    <w:tc>
                      <w:tcPr>
                        <w:tcW w:w="3275"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hAnsi="宋体" w:cs="宋体" w:eastAsia="宋体" w:hint="default"/>
                            <w:b/>
                            <w:bCs/>
                            <w:w w:val="95"/>
                            <w:sz w:val="18"/>
                            <w:szCs w:val="18"/>
                          </w:rPr>
                          <w:t>一年以内</w:t>
                        </w:r>
                        <w:r>
                          <w:rPr>
                            <w:rFonts w:ascii="宋体" w:hAnsi="宋体" w:cs="宋体" w:eastAsia="宋体" w:hint="default"/>
                            <w:sz w:val="18"/>
                            <w:szCs w:val="18"/>
                          </w:rPr>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b/>
                            <w:bCs/>
                            <w:w w:val="95"/>
                            <w:sz w:val="18"/>
                            <w:szCs w:val="18"/>
                          </w:rPr>
                          <w:t>一年至三年以内</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hAnsi="宋体" w:cs="宋体" w:eastAsia="宋体" w:hint="default"/>
                            <w:b/>
                            <w:bCs/>
                            <w:w w:val="95"/>
                            <w:sz w:val="18"/>
                            <w:szCs w:val="18"/>
                          </w:rPr>
                          <w:t>三年以上</w:t>
                        </w:r>
                        <w:r>
                          <w:rPr>
                            <w:rFonts w:ascii="宋体" w:hAnsi="宋体" w:cs="宋体" w:eastAsia="宋体" w:hint="default"/>
                            <w:sz w:val="18"/>
                            <w:szCs w:val="18"/>
                          </w:rPr>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42"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10,000.00</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10,000.00</w:t>
                        </w:r>
                      </w:p>
                    </w:tc>
                  </w:tr>
                </w:tbl>
                <w:p>
                  <w:pPr/>
                </w:p>
              </w:txbxContent>
            </v:textbox>
            <w10:wrap type="none"/>
          </v:shape>
        </w:pict>
      </w:r>
      <w:r>
        <w:rPr/>
        <w:t>款额度为人民币</w:t>
      </w:r>
      <w:r>
        <w:rPr>
          <w:spacing w:val="-46"/>
        </w:rPr>
        <w:t> </w:t>
      </w:r>
      <w:r>
        <w:rPr>
          <w:rFonts w:ascii="宋体" w:hAnsi="宋体" w:cs="宋体" w:eastAsia="宋体" w:hint="default"/>
        </w:rPr>
        <w:t>3,000.00</w:t>
      </w:r>
      <w:r>
        <w:rPr>
          <w:rFonts w:ascii="宋体" w:hAnsi="宋体" w:cs="宋体" w:eastAsia="宋体" w:hint="default"/>
          <w:spacing w:val="-46"/>
        </w:rPr>
        <w:t> </w:t>
      </w:r>
      <w:r>
        <w:rPr>
          <w:spacing w:val="1"/>
        </w:rPr>
        <w:t>万</w:t>
      </w:r>
      <w:r>
        <w:rPr/>
        <w:t>元（</w:t>
      </w:r>
      <w:r>
        <w:rPr>
          <w:rFonts w:ascii="宋体" w:hAnsi="宋体" w:cs="宋体" w:eastAsia="宋体" w:hint="default"/>
        </w:rPr>
        <w:t>2016</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日：人</w:t>
      </w:r>
      <w:r>
        <w:rPr>
          <w:spacing w:val="1"/>
        </w:rPr>
        <w:t>民</w:t>
      </w:r>
      <w:r>
        <w:rPr/>
        <w:t>币</w:t>
      </w:r>
      <w:r>
        <w:rPr>
          <w:spacing w:val="-46"/>
        </w:rPr>
        <w:t> </w:t>
      </w:r>
      <w:r>
        <w:rPr>
          <w:rFonts w:ascii="宋体" w:hAnsi="宋体" w:cs="宋体" w:eastAsia="宋体" w:hint="default"/>
        </w:rPr>
        <w:t>4,000.00</w:t>
      </w:r>
      <w:r>
        <w:rPr>
          <w:rFonts w:ascii="宋体" w:hAnsi="宋体" w:cs="宋体" w:eastAsia="宋体" w:hint="default"/>
          <w:spacing w:val="-46"/>
        </w:rPr>
        <w:t> </w:t>
      </w:r>
      <w:r>
        <w:rPr>
          <w:spacing w:val="1"/>
        </w:rPr>
        <w:t>万</w:t>
      </w:r>
      <w:r>
        <w:rPr/>
        <w:t>元</w:t>
      </w:r>
      <w:r>
        <w:rPr>
          <w:spacing w:val="-90"/>
        </w:rPr>
        <w:t>）</w:t>
      </w:r>
      <w:r>
        <w:rPr/>
        <w:t>。</w:t>
      </w:r>
      <w:r>
        <w:rPr/>
        <w:t> 期末本公司持有的金融负债按未折现剩余合同现金流量的到期期限分析如下（单位：人民币万元</w:t>
      </w:r>
      <w:r>
        <w:rPr>
          <w:spacing w:val="-90"/>
        </w:rPr>
        <w:t>）</w:t>
      </w:r>
      <w:r>
        <w:rPr/>
        <w:t>：</w:t>
      </w:r>
    </w:p>
    <w:p>
      <w:pPr>
        <w:spacing w:after="0" w:line="717" w:lineRule="auto"/>
        <w:jc w:val="left"/>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275"/>
        <w:gridCol w:w="1260"/>
        <w:gridCol w:w="2209"/>
        <w:gridCol w:w="1260"/>
        <w:gridCol w:w="1477"/>
      </w:tblGrid>
      <w:tr>
        <w:trPr>
          <w:trHeight w:val="342"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51,046.30</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51,046.30</w:t>
            </w:r>
          </w:p>
        </w:tc>
      </w:tr>
      <w:tr>
        <w:trPr>
          <w:trHeight w:val="342"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220.31</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0.98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221.29</w:t>
            </w:r>
          </w:p>
        </w:tc>
      </w:tr>
      <w:tr>
        <w:trPr>
          <w:trHeight w:val="342"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26,896.19</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26,896.19</w:t>
            </w:r>
          </w:p>
        </w:tc>
      </w:tr>
      <w:tr>
        <w:trPr>
          <w:trHeight w:val="342"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25,480.28</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25,480.28</w:t>
            </w:r>
          </w:p>
        </w:tc>
      </w:tr>
      <w:tr>
        <w:trPr>
          <w:trHeight w:val="342"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9,837.66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9,837.66</w:t>
            </w:r>
          </w:p>
        </w:tc>
      </w:tr>
      <w:tr>
        <w:trPr>
          <w:trHeight w:val="342"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29,919.17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29,919.17</w:t>
            </w:r>
          </w:p>
        </w:tc>
      </w:tr>
      <w:tr>
        <w:trPr>
          <w:trHeight w:val="342"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5.07</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5.07</w:t>
            </w:r>
          </w:p>
        </w:tc>
      </w:tr>
      <w:tr>
        <w:trPr>
          <w:trHeight w:val="342"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金融负债合计</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b/>
                <w:w w:val="95"/>
                <w:sz w:val="18"/>
              </w:rPr>
              <w:t>113,648.15</w:t>
            </w:r>
            <w:r>
              <w:rPr>
                <w:rFonts w:ascii="宋体"/>
                <w:sz w:val="18"/>
              </w:rPr>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b/>
                <w:w w:val="95"/>
                <w:sz w:val="18"/>
              </w:rPr>
              <w:t>39,757.81</w:t>
            </w:r>
            <w:r>
              <w:rPr>
                <w:rFonts w:ascii="宋体"/>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b/>
                <w:sz w:val="18"/>
              </w:rPr>
              <w:t>--</w:t>
            </w:r>
            <w:r>
              <w:rPr>
                <w:rFonts w:ascii="宋体"/>
                <w:sz w:val="18"/>
              </w:rPr>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b/>
                <w:w w:val="95"/>
                <w:sz w:val="18"/>
              </w:rPr>
              <w:t>153,405.96</w:t>
            </w:r>
            <w:r>
              <w:rPr>
                <w:rFonts w:ascii="宋体"/>
                <w:sz w:val="18"/>
              </w:rPr>
            </w:r>
          </w:p>
        </w:tc>
      </w:tr>
    </w:tbl>
    <w:p>
      <w:pPr>
        <w:pStyle w:val="BodyText"/>
        <w:spacing w:line="240" w:lineRule="auto" w:before="81"/>
        <w:ind w:right="0"/>
        <w:jc w:val="left"/>
        <w:rPr>
          <w:sz w:val="24"/>
          <w:szCs w:val="24"/>
        </w:rPr>
      </w:pPr>
      <w:r>
        <w:rPr/>
        <w:t>期初本公司持有的金融负债按未折现剩余合同现金流量的到期期限分析如下（单位：人民币万元）</w:t>
      </w:r>
      <w:r>
        <w:rPr>
          <w:sz w:val="24"/>
          <w:szCs w:val="24"/>
        </w:rPr>
        <w:t>：</w:t>
      </w:r>
    </w:p>
    <w:p>
      <w:pPr>
        <w:spacing w:line="240" w:lineRule="auto" w:before="4"/>
        <w:rPr>
          <w:rFonts w:ascii="宋体" w:hAnsi="宋体" w:cs="宋体" w:eastAsia="宋体" w:hint="default"/>
          <w:sz w:val="19"/>
          <w:szCs w:val="19"/>
        </w:rPr>
      </w:pPr>
    </w:p>
    <w:tbl>
      <w:tblPr>
        <w:tblW w:w="0" w:type="auto"/>
        <w:jc w:val="left"/>
        <w:tblInd w:w="149" w:type="dxa"/>
        <w:tblLayout w:type="fixed"/>
        <w:tblCellMar>
          <w:top w:w="0" w:type="dxa"/>
          <w:left w:w="0" w:type="dxa"/>
          <w:bottom w:w="0" w:type="dxa"/>
          <w:right w:w="0" w:type="dxa"/>
        </w:tblCellMar>
        <w:tblLook w:val="01E0"/>
      </w:tblPr>
      <w:tblGrid>
        <w:gridCol w:w="3208"/>
        <w:gridCol w:w="1342"/>
        <w:gridCol w:w="2138"/>
        <w:gridCol w:w="1342"/>
        <w:gridCol w:w="1362"/>
      </w:tblGrid>
      <w:tr>
        <w:trPr>
          <w:trHeight w:val="342" w:hRule="exact"/>
        </w:trPr>
        <w:tc>
          <w:tcPr>
            <w:tcW w:w="3208" w:type="dxa"/>
            <w:vMerge w:val="restart"/>
            <w:tcBorders>
              <w:top w:val="single" w:sz="4" w:space="0" w:color="000000"/>
              <w:left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618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b/>
                <w:bCs/>
                <w:sz w:val="20"/>
                <w:szCs w:val="20"/>
              </w:rPr>
              <w:t>期初数</w:t>
            </w:r>
            <w:r>
              <w:rPr>
                <w:rFonts w:ascii="宋体" w:hAnsi="宋体" w:cs="宋体" w:eastAsia="宋体" w:hint="default"/>
                <w:sz w:val="20"/>
                <w:szCs w:val="20"/>
              </w:rPr>
            </w:r>
          </w:p>
        </w:tc>
      </w:tr>
      <w:tr>
        <w:trPr>
          <w:trHeight w:val="342" w:hRule="exact"/>
        </w:trPr>
        <w:tc>
          <w:tcPr>
            <w:tcW w:w="3208" w:type="dxa"/>
            <w:vMerge/>
            <w:tcBorders>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4"/>
              <w:jc w:val="right"/>
              <w:rPr>
                <w:rFonts w:ascii="宋体" w:hAnsi="宋体" w:cs="宋体" w:eastAsia="宋体" w:hint="default"/>
                <w:sz w:val="20"/>
                <w:szCs w:val="20"/>
              </w:rPr>
            </w:pPr>
            <w:r>
              <w:rPr>
                <w:rFonts w:ascii="宋体" w:hAnsi="宋体" w:cs="宋体" w:eastAsia="宋体" w:hint="default"/>
                <w:b/>
                <w:bCs/>
                <w:w w:val="95"/>
                <w:sz w:val="20"/>
                <w:szCs w:val="20"/>
              </w:rPr>
              <w:t>一年以内</w:t>
            </w:r>
            <w:r>
              <w:rPr>
                <w:rFonts w:ascii="宋体" w:hAnsi="宋体" w:cs="宋体" w:eastAsia="宋体" w:hint="default"/>
                <w:sz w:val="20"/>
                <w:szCs w:val="20"/>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
              <w:jc w:val="right"/>
              <w:rPr>
                <w:rFonts w:ascii="宋体" w:hAnsi="宋体" w:cs="宋体" w:eastAsia="宋体" w:hint="default"/>
                <w:sz w:val="20"/>
                <w:szCs w:val="20"/>
              </w:rPr>
            </w:pPr>
            <w:r>
              <w:rPr>
                <w:rFonts w:ascii="宋体" w:hAnsi="宋体" w:cs="宋体" w:eastAsia="宋体" w:hint="default"/>
                <w:b/>
                <w:bCs/>
                <w:w w:val="95"/>
                <w:sz w:val="20"/>
                <w:szCs w:val="20"/>
              </w:rPr>
              <w:t>一年至三年以内</w:t>
            </w:r>
            <w:r>
              <w:rPr>
                <w:rFonts w:ascii="宋体" w:hAnsi="宋体" w:cs="宋体" w:eastAsia="宋体" w:hint="default"/>
                <w:sz w:val="20"/>
                <w:szCs w:val="20"/>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4"/>
              <w:jc w:val="right"/>
              <w:rPr>
                <w:rFonts w:ascii="宋体" w:hAnsi="宋体" w:cs="宋体" w:eastAsia="宋体" w:hint="default"/>
                <w:sz w:val="20"/>
                <w:szCs w:val="20"/>
              </w:rPr>
            </w:pPr>
            <w:r>
              <w:rPr>
                <w:rFonts w:ascii="宋体" w:hAnsi="宋体" w:cs="宋体" w:eastAsia="宋体" w:hint="default"/>
                <w:b/>
                <w:bCs/>
                <w:w w:val="95"/>
                <w:sz w:val="20"/>
                <w:szCs w:val="20"/>
              </w:rPr>
              <w:t>三年以上</w:t>
            </w:r>
            <w:r>
              <w:rPr>
                <w:rFonts w:ascii="宋体" w:hAnsi="宋体" w:cs="宋体" w:eastAsia="宋体" w:hint="default"/>
                <w:sz w:val="20"/>
                <w:szCs w:val="20"/>
              </w:rPr>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righ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342" w:hRule="exact"/>
        </w:trPr>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right"/>
              <w:rPr>
                <w:rFonts w:ascii="宋体" w:hAnsi="宋体" w:cs="宋体" w:eastAsia="宋体" w:hint="default"/>
                <w:sz w:val="20"/>
                <w:szCs w:val="20"/>
              </w:rPr>
            </w:pPr>
            <w:r>
              <w:rPr>
                <w:rFonts w:ascii="宋体"/>
                <w:spacing w:val="-1"/>
                <w:sz w:val="20"/>
              </w:rPr>
              <w:t>2,000.00</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right"/>
              <w:rPr>
                <w:rFonts w:ascii="宋体" w:hAnsi="宋体" w:cs="宋体" w:eastAsia="宋体" w:hint="default"/>
                <w:sz w:val="20"/>
                <w:szCs w:val="20"/>
              </w:rPr>
            </w:pPr>
            <w:r>
              <w:rPr>
                <w:rFonts w:ascii="宋体"/>
                <w:sz w:val="20"/>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right"/>
              <w:rPr>
                <w:rFonts w:ascii="宋体" w:hAnsi="宋体" w:cs="宋体" w:eastAsia="宋体" w:hint="default"/>
                <w:sz w:val="20"/>
                <w:szCs w:val="20"/>
              </w:rPr>
            </w:pPr>
            <w:r>
              <w:rPr>
                <w:rFonts w:ascii="宋体"/>
                <w:sz w:val="20"/>
              </w:rPr>
              <w:t>--</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4"/>
              <w:jc w:val="right"/>
              <w:rPr>
                <w:rFonts w:ascii="宋体" w:hAnsi="宋体" w:cs="宋体" w:eastAsia="宋体" w:hint="default"/>
                <w:sz w:val="20"/>
                <w:szCs w:val="20"/>
              </w:rPr>
            </w:pPr>
            <w:r>
              <w:rPr>
                <w:rFonts w:ascii="宋体"/>
                <w:spacing w:val="-1"/>
                <w:sz w:val="20"/>
              </w:rPr>
              <w:t>2,000.00</w:t>
            </w:r>
          </w:p>
        </w:tc>
      </w:tr>
      <w:tr>
        <w:trPr>
          <w:trHeight w:val="342" w:hRule="exact"/>
        </w:trPr>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right"/>
              <w:rPr>
                <w:rFonts w:ascii="宋体" w:hAnsi="宋体" w:cs="宋体" w:eastAsia="宋体" w:hint="default"/>
                <w:sz w:val="20"/>
                <w:szCs w:val="20"/>
              </w:rPr>
            </w:pPr>
            <w:r>
              <w:rPr>
                <w:rFonts w:ascii="宋体"/>
                <w:spacing w:val="-1"/>
                <w:sz w:val="20"/>
              </w:rPr>
              <w:t>40,775.32</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right"/>
              <w:rPr>
                <w:rFonts w:ascii="宋体" w:hAnsi="宋体" w:cs="宋体" w:eastAsia="宋体" w:hint="default"/>
                <w:sz w:val="20"/>
                <w:szCs w:val="20"/>
              </w:rPr>
            </w:pPr>
            <w:r>
              <w:rPr>
                <w:rFonts w:ascii="宋体"/>
                <w:sz w:val="20"/>
              </w:rPr>
              <w:t>275.70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right"/>
              <w:rPr>
                <w:rFonts w:ascii="宋体" w:hAnsi="宋体" w:cs="宋体" w:eastAsia="宋体" w:hint="default"/>
                <w:sz w:val="20"/>
                <w:szCs w:val="20"/>
              </w:rPr>
            </w:pPr>
            <w:r>
              <w:rPr>
                <w:rFonts w:ascii="宋体"/>
                <w:sz w:val="20"/>
              </w:rPr>
              <w:t>--</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
              <w:jc w:val="right"/>
              <w:rPr>
                <w:rFonts w:ascii="宋体" w:hAnsi="宋体" w:cs="宋体" w:eastAsia="宋体" w:hint="default"/>
                <w:sz w:val="20"/>
                <w:szCs w:val="20"/>
              </w:rPr>
            </w:pPr>
            <w:r>
              <w:rPr>
                <w:rFonts w:ascii="宋体"/>
                <w:spacing w:val="-1"/>
                <w:sz w:val="20"/>
              </w:rPr>
              <w:t>41,051.02</w:t>
            </w:r>
          </w:p>
        </w:tc>
      </w:tr>
      <w:tr>
        <w:trPr>
          <w:trHeight w:val="342" w:hRule="exact"/>
        </w:trPr>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right"/>
              <w:rPr>
                <w:rFonts w:ascii="宋体" w:hAnsi="宋体" w:cs="宋体" w:eastAsia="宋体" w:hint="default"/>
                <w:sz w:val="20"/>
                <w:szCs w:val="20"/>
              </w:rPr>
            </w:pPr>
            <w:r>
              <w:rPr>
                <w:rFonts w:ascii="宋体"/>
                <w:sz w:val="20"/>
              </w:rPr>
              <w:t>2.86</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right"/>
              <w:rPr>
                <w:rFonts w:ascii="宋体" w:hAnsi="宋体" w:cs="宋体" w:eastAsia="宋体" w:hint="default"/>
                <w:sz w:val="20"/>
                <w:szCs w:val="20"/>
              </w:rPr>
            </w:pPr>
            <w:r>
              <w:rPr>
                <w:rFonts w:ascii="宋体"/>
                <w:sz w:val="20"/>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right"/>
              <w:rPr>
                <w:rFonts w:ascii="宋体" w:hAnsi="宋体" w:cs="宋体" w:eastAsia="宋体" w:hint="default"/>
                <w:sz w:val="20"/>
                <w:szCs w:val="20"/>
              </w:rPr>
            </w:pPr>
            <w:r>
              <w:rPr>
                <w:rFonts w:ascii="宋体"/>
                <w:sz w:val="20"/>
              </w:rPr>
              <w:t>--</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right"/>
              <w:rPr>
                <w:rFonts w:ascii="宋体" w:hAnsi="宋体" w:cs="宋体" w:eastAsia="宋体" w:hint="default"/>
                <w:sz w:val="20"/>
                <w:szCs w:val="20"/>
              </w:rPr>
            </w:pPr>
            <w:r>
              <w:rPr>
                <w:rFonts w:ascii="宋体"/>
                <w:sz w:val="20"/>
              </w:rPr>
              <w:t>2.86</w:t>
            </w:r>
          </w:p>
        </w:tc>
      </w:tr>
      <w:tr>
        <w:trPr>
          <w:trHeight w:val="342" w:hRule="exact"/>
        </w:trPr>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right"/>
              <w:rPr>
                <w:rFonts w:ascii="宋体" w:hAnsi="宋体" w:cs="宋体" w:eastAsia="宋体" w:hint="default"/>
                <w:sz w:val="20"/>
                <w:szCs w:val="20"/>
              </w:rPr>
            </w:pPr>
            <w:r>
              <w:rPr>
                <w:rFonts w:ascii="宋体"/>
                <w:spacing w:val="-1"/>
                <w:sz w:val="20"/>
              </w:rPr>
              <w:t>35,179.56</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right"/>
              <w:rPr>
                <w:rFonts w:ascii="宋体" w:hAnsi="宋体" w:cs="宋体" w:eastAsia="宋体" w:hint="default"/>
                <w:sz w:val="20"/>
                <w:szCs w:val="20"/>
              </w:rPr>
            </w:pPr>
            <w:r>
              <w:rPr>
                <w:rFonts w:ascii="宋体"/>
                <w:sz w:val="20"/>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right"/>
              <w:rPr>
                <w:rFonts w:ascii="宋体" w:hAnsi="宋体" w:cs="宋体" w:eastAsia="宋体" w:hint="default"/>
                <w:sz w:val="20"/>
                <w:szCs w:val="20"/>
              </w:rPr>
            </w:pPr>
            <w:r>
              <w:rPr>
                <w:rFonts w:ascii="宋体"/>
                <w:sz w:val="20"/>
              </w:rPr>
              <w:t>--</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
              <w:jc w:val="right"/>
              <w:rPr>
                <w:rFonts w:ascii="宋体" w:hAnsi="宋体" w:cs="宋体" w:eastAsia="宋体" w:hint="default"/>
                <w:sz w:val="20"/>
                <w:szCs w:val="20"/>
              </w:rPr>
            </w:pPr>
            <w:r>
              <w:rPr>
                <w:rFonts w:ascii="宋体"/>
                <w:spacing w:val="-1"/>
                <w:sz w:val="20"/>
              </w:rPr>
              <w:t>35,179.56</w:t>
            </w:r>
          </w:p>
        </w:tc>
      </w:tr>
      <w:tr>
        <w:trPr>
          <w:trHeight w:val="342" w:hRule="exact"/>
        </w:trPr>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right"/>
              <w:rPr>
                <w:rFonts w:ascii="宋体" w:hAnsi="宋体" w:cs="宋体" w:eastAsia="宋体" w:hint="default"/>
                <w:sz w:val="20"/>
                <w:szCs w:val="20"/>
              </w:rPr>
            </w:pPr>
            <w:r>
              <w:rPr>
                <w:rFonts w:ascii="宋体"/>
                <w:spacing w:val="-1"/>
                <w:sz w:val="20"/>
              </w:rPr>
              <w:t>20,326.03</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right"/>
              <w:rPr>
                <w:rFonts w:ascii="宋体" w:hAnsi="宋体" w:cs="宋体" w:eastAsia="宋体" w:hint="default"/>
                <w:sz w:val="20"/>
                <w:szCs w:val="20"/>
              </w:rPr>
            </w:pPr>
            <w:r>
              <w:rPr>
                <w:rFonts w:ascii="宋体"/>
                <w:sz w:val="20"/>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right"/>
              <w:rPr>
                <w:rFonts w:ascii="宋体" w:hAnsi="宋体" w:cs="宋体" w:eastAsia="宋体" w:hint="default"/>
                <w:sz w:val="20"/>
                <w:szCs w:val="20"/>
              </w:rPr>
            </w:pPr>
            <w:r>
              <w:rPr>
                <w:rFonts w:ascii="宋体"/>
                <w:sz w:val="20"/>
              </w:rPr>
              <w:t>--</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
              <w:jc w:val="right"/>
              <w:rPr>
                <w:rFonts w:ascii="宋体" w:hAnsi="宋体" w:cs="宋体" w:eastAsia="宋体" w:hint="default"/>
                <w:sz w:val="20"/>
                <w:szCs w:val="20"/>
              </w:rPr>
            </w:pPr>
            <w:r>
              <w:rPr>
                <w:rFonts w:ascii="宋体"/>
                <w:spacing w:val="-1"/>
                <w:sz w:val="20"/>
              </w:rPr>
              <w:t>20,326.03</w:t>
            </w:r>
          </w:p>
        </w:tc>
      </w:tr>
      <w:tr>
        <w:trPr>
          <w:trHeight w:val="342" w:hRule="exact"/>
        </w:trPr>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right"/>
              <w:rPr>
                <w:rFonts w:ascii="宋体" w:hAnsi="宋体" w:cs="宋体" w:eastAsia="宋体" w:hint="default"/>
                <w:sz w:val="20"/>
                <w:szCs w:val="20"/>
              </w:rPr>
            </w:pPr>
            <w:r>
              <w:rPr>
                <w:rFonts w:ascii="宋体"/>
                <w:sz w:val="20"/>
              </w:rPr>
              <w:t>--</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right"/>
              <w:rPr>
                <w:rFonts w:ascii="宋体" w:hAnsi="宋体" w:cs="宋体" w:eastAsia="宋体" w:hint="default"/>
                <w:sz w:val="20"/>
                <w:szCs w:val="20"/>
              </w:rPr>
            </w:pPr>
            <w:r>
              <w:rPr>
                <w:rFonts w:ascii="宋体"/>
                <w:sz w:val="20"/>
              </w:rPr>
              <w:t>54.55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right"/>
              <w:rPr>
                <w:rFonts w:ascii="宋体" w:hAnsi="宋体" w:cs="宋体" w:eastAsia="宋体" w:hint="default"/>
                <w:sz w:val="20"/>
                <w:szCs w:val="20"/>
              </w:rPr>
            </w:pPr>
            <w:r>
              <w:rPr>
                <w:rFonts w:ascii="宋体"/>
                <w:sz w:val="20"/>
              </w:rPr>
              <w:t>--</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
              <w:jc w:val="right"/>
              <w:rPr>
                <w:rFonts w:ascii="宋体" w:hAnsi="宋体" w:cs="宋体" w:eastAsia="宋体" w:hint="default"/>
                <w:sz w:val="20"/>
                <w:szCs w:val="20"/>
              </w:rPr>
            </w:pPr>
            <w:r>
              <w:rPr>
                <w:rFonts w:ascii="宋体"/>
                <w:sz w:val="20"/>
              </w:rPr>
              <w:t>54.55</w:t>
            </w:r>
          </w:p>
        </w:tc>
      </w:tr>
      <w:tr>
        <w:trPr>
          <w:trHeight w:val="342" w:hRule="exact"/>
        </w:trPr>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right"/>
              <w:rPr>
                <w:rFonts w:ascii="宋体" w:hAnsi="宋体" w:cs="宋体" w:eastAsia="宋体" w:hint="default"/>
                <w:sz w:val="20"/>
                <w:szCs w:val="20"/>
              </w:rPr>
            </w:pPr>
            <w:r>
              <w:rPr>
                <w:rFonts w:ascii="宋体"/>
                <w:sz w:val="20"/>
              </w:rPr>
              <w:t>1.53</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right"/>
              <w:rPr>
                <w:rFonts w:ascii="宋体" w:hAnsi="宋体" w:cs="宋体" w:eastAsia="宋体" w:hint="default"/>
                <w:sz w:val="20"/>
                <w:szCs w:val="20"/>
              </w:rPr>
            </w:pPr>
            <w:r>
              <w:rPr>
                <w:rFonts w:ascii="宋体"/>
                <w:spacing w:val="-1"/>
                <w:sz w:val="20"/>
              </w:rPr>
              <w:t>58,793.47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right"/>
              <w:rPr>
                <w:rFonts w:ascii="宋体" w:hAnsi="宋体" w:cs="宋体" w:eastAsia="宋体" w:hint="default"/>
                <w:sz w:val="20"/>
                <w:szCs w:val="20"/>
              </w:rPr>
            </w:pPr>
            <w:r>
              <w:rPr>
                <w:rFonts w:ascii="宋体"/>
                <w:sz w:val="20"/>
              </w:rPr>
              <w:t>--</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
              <w:jc w:val="right"/>
              <w:rPr>
                <w:rFonts w:ascii="宋体" w:hAnsi="宋体" w:cs="宋体" w:eastAsia="宋体" w:hint="default"/>
                <w:sz w:val="20"/>
                <w:szCs w:val="20"/>
              </w:rPr>
            </w:pPr>
            <w:r>
              <w:rPr>
                <w:rFonts w:ascii="宋体"/>
                <w:spacing w:val="-1"/>
                <w:sz w:val="20"/>
              </w:rPr>
              <w:t>58,795.00</w:t>
            </w:r>
          </w:p>
        </w:tc>
      </w:tr>
      <w:tr>
        <w:trPr>
          <w:trHeight w:val="342" w:hRule="exact"/>
        </w:trPr>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right"/>
              <w:rPr>
                <w:rFonts w:ascii="宋体" w:hAnsi="宋体" w:cs="宋体" w:eastAsia="宋体" w:hint="default"/>
                <w:sz w:val="20"/>
                <w:szCs w:val="20"/>
              </w:rPr>
            </w:pPr>
            <w:r>
              <w:rPr>
                <w:rFonts w:ascii="宋体"/>
                <w:sz w:val="20"/>
              </w:rPr>
              <w:t>--</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right"/>
              <w:rPr>
                <w:rFonts w:ascii="宋体" w:hAnsi="宋体" w:cs="宋体" w:eastAsia="宋体" w:hint="default"/>
                <w:sz w:val="20"/>
                <w:szCs w:val="20"/>
              </w:rPr>
            </w:pPr>
            <w:r>
              <w:rPr>
                <w:rFonts w:ascii="宋体"/>
                <w:spacing w:val="-1"/>
                <w:sz w:val="20"/>
              </w:rPr>
              <w:t>8,189.24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right"/>
              <w:rPr>
                <w:rFonts w:ascii="宋体" w:hAnsi="宋体" w:cs="宋体" w:eastAsia="宋体" w:hint="default"/>
                <w:sz w:val="20"/>
                <w:szCs w:val="20"/>
              </w:rPr>
            </w:pPr>
            <w:r>
              <w:rPr>
                <w:rFonts w:ascii="宋体"/>
                <w:sz w:val="20"/>
              </w:rPr>
              <w:t>--</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4"/>
              <w:jc w:val="right"/>
              <w:rPr>
                <w:rFonts w:ascii="宋体" w:hAnsi="宋体" w:cs="宋体" w:eastAsia="宋体" w:hint="default"/>
                <w:sz w:val="20"/>
                <w:szCs w:val="20"/>
              </w:rPr>
            </w:pPr>
            <w:r>
              <w:rPr>
                <w:rFonts w:ascii="宋体"/>
                <w:spacing w:val="-1"/>
                <w:sz w:val="20"/>
              </w:rPr>
              <w:t>8,189.24</w:t>
            </w:r>
          </w:p>
        </w:tc>
      </w:tr>
      <w:tr>
        <w:trPr>
          <w:trHeight w:val="344" w:hRule="exact"/>
        </w:trPr>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b/>
                <w:bCs/>
                <w:sz w:val="20"/>
                <w:szCs w:val="20"/>
              </w:rPr>
              <w:t>金融负债合计</w:t>
            </w:r>
            <w:r>
              <w:rPr>
                <w:rFonts w:ascii="宋体" w:hAnsi="宋体" w:cs="宋体" w:eastAsia="宋体" w:hint="default"/>
                <w:sz w:val="20"/>
                <w:szCs w:val="20"/>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
              <w:jc w:val="right"/>
              <w:rPr>
                <w:rFonts w:ascii="宋体" w:hAnsi="宋体" w:cs="宋体" w:eastAsia="宋体" w:hint="default"/>
                <w:sz w:val="20"/>
                <w:szCs w:val="20"/>
              </w:rPr>
            </w:pPr>
            <w:r>
              <w:rPr>
                <w:rFonts w:ascii="宋体"/>
                <w:b/>
                <w:w w:val="95"/>
                <w:sz w:val="20"/>
              </w:rPr>
              <w:t>98,285.30</w:t>
            </w:r>
            <w:r>
              <w:rPr>
                <w:rFonts w:ascii="宋体"/>
                <w:sz w:val="20"/>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right"/>
              <w:rPr>
                <w:rFonts w:ascii="宋体" w:hAnsi="宋体" w:cs="宋体" w:eastAsia="宋体" w:hint="default"/>
                <w:sz w:val="20"/>
                <w:szCs w:val="20"/>
              </w:rPr>
            </w:pPr>
            <w:r>
              <w:rPr>
                <w:rFonts w:ascii="宋体"/>
                <w:b/>
                <w:w w:val="95"/>
                <w:sz w:val="20"/>
              </w:rPr>
              <w:t>67,312.96</w:t>
            </w:r>
            <w:r>
              <w:rPr>
                <w:rFonts w:ascii="宋体"/>
                <w:sz w:val="20"/>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right"/>
              <w:rPr>
                <w:rFonts w:ascii="宋体" w:hAnsi="宋体" w:cs="宋体" w:eastAsia="宋体" w:hint="default"/>
                <w:sz w:val="20"/>
                <w:szCs w:val="20"/>
              </w:rPr>
            </w:pPr>
            <w:r>
              <w:rPr>
                <w:rFonts w:ascii="宋体"/>
                <w:sz w:val="20"/>
              </w:rPr>
              <w:t>--</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5"/>
              <w:jc w:val="right"/>
              <w:rPr>
                <w:rFonts w:ascii="宋体" w:hAnsi="宋体" w:cs="宋体" w:eastAsia="宋体" w:hint="default"/>
                <w:sz w:val="20"/>
                <w:szCs w:val="20"/>
              </w:rPr>
            </w:pPr>
            <w:r>
              <w:rPr>
                <w:rFonts w:ascii="宋体"/>
                <w:b/>
                <w:w w:val="95"/>
                <w:sz w:val="20"/>
              </w:rPr>
              <w:t>165,598.26</w:t>
            </w:r>
            <w:r>
              <w:rPr>
                <w:rFonts w:ascii="宋体"/>
                <w:sz w:val="20"/>
              </w:rPr>
            </w:r>
          </w:p>
        </w:tc>
      </w:tr>
    </w:tbl>
    <w:p>
      <w:pPr>
        <w:pStyle w:val="BodyText"/>
        <w:spacing w:line="357" w:lineRule="auto" w:before="51"/>
        <w:ind w:left="513" w:right="1118"/>
        <w:jc w:val="left"/>
      </w:pPr>
      <w:r>
        <w:rPr/>
        <w:t>（</w:t>
      </w:r>
      <w:r>
        <w:rPr>
          <w:rFonts w:ascii="宋体" w:hAnsi="宋体" w:cs="宋体" w:eastAsia="宋体" w:hint="default"/>
        </w:rPr>
        <w:t>3</w:t>
      </w:r>
      <w:r>
        <w:rPr/>
        <w:t>）市场风险 </w:t>
      </w:r>
      <w:r>
        <w:rPr>
          <w:spacing w:val="-2"/>
        </w:rPr>
        <w:t>金融工具的市场风险，是指金融工具的公允价值或未来现金流量因市场价格变动而发生波动的风险，包括利率风险、汇</w:t>
      </w:r>
    </w:p>
    <w:p>
      <w:pPr>
        <w:pStyle w:val="BodyText"/>
        <w:spacing w:line="360" w:lineRule="auto"/>
        <w:ind w:left="513" w:right="8773" w:hanging="360"/>
        <w:jc w:val="left"/>
      </w:pPr>
      <w:r>
        <w:rPr/>
        <w:t>率风险和其他价格风险。 利率风险</w:t>
      </w:r>
    </w:p>
    <w:p>
      <w:pPr>
        <w:pStyle w:val="BodyText"/>
        <w:spacing w:line="319" w:lineRule="auto" w:before="25"/>
        <w:ind w:left="153" w:right="0" w:firstLine="360"/>
        <w:jc w:val="left"/>
      </w:pPr>
      <w:r>
        <w:rPr>
          <w:spacing w:val="-2"/>
        </w:rPr>
        <w:t>利率风险，是指金融工具的公允价值或未来现金流量因市场利率变动而发生波动的风险。利率风险可源于已确认的计息</w:t>
      </w:r>
      <w:r>
        <w:rPr/>
        <w:t> </w:t>
      </w:r>
      <w:r>
        <w:rPr>
          <w:spacing w:val="-4"/>
        </w:rPr>
        <w:t>金融工具和未确认的金融工具（如某些贷款承诺）。</w:t>
      </w:r>
    </w:p>
    <w:p>
      <w:pPr>
        <w:pStyle w:val="BodyText"/>
        <w:spacing w:line="319" w:lineRule="auto" w:before="55"/>
        <w:ind w:left="153" w:right="0" w:firstLine="360"/>
        <w:jc w:val="left"/>
      </w:pPr>
      <w:r>
        <w:rPr>
          <w:spacing w:val="-2"/>
        </w:rPr>
        <w:t>本公司的利率风险主要产生于银行借款及长期应付款等长期带息债务。浮动利率的金融负债使本公司面临现金流量利率</w:t>
      </w:r>
      <w:r>
        <w:rPr/>
        <w:t> 风险，固定利率的金融负债使本公司面临公允价值利率风险。</w:t>
      </w:r>
    </w:p>
    <w:p>
      <w:pPr>
        <w:pStyle w:val="BodyText"/>
        <w:spacing w:line="319" w:lineRule="auto" w:before="56"/>
        <w:ind w:left="153" w:right="1033" w:firstLine="360"/>
        <w:jc w:val="left"/>
      </w:pPr>
      <w:r>
        <w:rPr/>
        <w:t>本公司密切关注利率变动对本公司利率风险的影响。本公司目前并未采取利率对冲政策。但管理层负责监控利率风险， 并将于需要时考虑对冲重大利率风险。由于定期存款为短期存款，故银行存款的公允价值利率风险并不重大。</w:t>
      </w:r>
    </w:p>
    <w:p>
      <w:pPr>
        <w:pStyle w:val="BodyText"/>
        <w:spacing w:line="240" w:lineRule="auto" w:before="56"/>
        <w:ind w:left="513" w:right="0"/>
        <w:jc w:val="left"/>
      </w:pPr>
      <w:r>
        <w:rPr/>
        <w:t>本公司持有的计息金融工具如下（单位：人民币万元</w:t>
      </w:r>
      <w:r>
        <w:rPr>
          <w:spacing w:val="-90"/>
        </w:rPr>
        <w:t>）</w:t>
      </w:r>
      <w:r>
        <w:rPr/>
        <w:t>：</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70"/>
        <w:gridCol w:w="2925"/>
        <w:gridCol w:w="2162"/>
      </w:tblGrid>
      <w:tr>
        <w:trPr>
          <w:trHeight w:val="342"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hAnsi="宋体" w:cs="宋体" w:eastAsia="宋体" w:hint="default"/>
                <w:b/>
                <w:bCs/>
                <w:sz w:val="18"/>
                <w:szCs w:val="18"/>
              </w:rPr>
              <w:t>本年数</w:t>
            </w:r>
            <w:r>
              <w:rPr>
                <w:rFonts w:ascii="宋体" w:hAnsi="宋体" w:cs="宋体" w:eastAsia="宋体" w:hint="default"/>
                <w:sz w:val="18"/>
                <w:szCs w:val="18"/>
              </w:rPr>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hAnsi="宋体" w:cs="宋体" w:eastAsia="宋体" w:hint="default"/>
                <w:b/>
                <w:bCs/>
                <w:sz w:val="18"/>
                <w:szCs w:val="18"/>
              </w:rPr>
              <w:t>上年数</w:t>
            </w:r>
            <w:r>
              <w:rPr>
                <w:rFonts w:ascii="宋体" w:hAnsi="宋体" w:cs="宋体" w:eastAsia="宋体" w:hint="default"/>
                <w:sz w:val="18"/>
                <w:szCs w:val="18"/>
              </w:rPr>
            </w:r>
          </w:p>
        </w:tc>
      </w:tr>
      <w:tr>
        <w:trPr>
          <w:trHeight w:val="347"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固定利率金融工具</w:t>
            </w:r>
          </w:p>
        </w:tc>
        <w:tc>
          <w:tcPr>
            <w:tcW w:w="2925" w:type="dxa"/>
            <w:tcBorders>
              <w:top w:val="single" w:sz="4" w:space="0" w:color="000000"/>
              <w:left w:val="single" w:sz="4" w:space="0" w:color="000000"/>
              <w:bottom w:val="single" w:sz="4" w:space="0" w:color="000000"/>
              <w:right w:val="single" w:sz="4" w:space="0" w:color="000000"/>
            </w:tcBorders>
          </w:tcPr>
          <w:p>
            <w:pPr/>
          </w:p>
        </w:tc>
        <w:tc>
          <w:tcPr>
            <w:tcW w:w="2162"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z w:val="18"/>
              </w:rPr>
              <w:t>78,274.06</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52,859.60</w:t>
            </w:r>
          </w:p>
        </w:tc>
      </w:tr>
      <w:tr>
        <w:trPr>
          <w:trHeight w:val="346"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其中：货币资金</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72,103.47</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52,859.60</w:t>
            </w:r>
          </w:p>
        </w:tc>
      </w:tr>
      <w:tr>
        <w:trPr>
          <w:trHeight w:val="347"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6,170.59</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r>
      <w:tr>
        <w:trPr>
          <w:trHeight w:val="342"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z w:val="18"/>
              </w:rPr>
              <w:t>13,323.32</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25,661.77</w:t>
            </w:r>
          </w:p>
        </w:tc>
      </w:tr>
      <w:tr>
        <w:trPr>
          <w:trHeight w:val="346"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其中：短期借款</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z w:val="18"/>
              </w:rPr>
              <w:t>10,000.00</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2,000.00</w:t>
            </w:r>
          </w:p>
        </w:tc>
      </w:tr>
      <w:tr>
        <w:trPr>
          <w:trHeight w:val="347"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19.86</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19.89</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270"/>
        <w:gridCol w:w="2925"/>
        <w:gridCol w:w="2162"/>
      </w:tblGrid>
      <w:tr>
        <w:trPr>
          <w:trHeight w:val="346"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1.53</w:t>
            </w:r>
          </w:p>
        </w:tc>
      </w:tr>
      <w:tr>
        <w:trPr>
          <w:trHeight w:val="347"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36.36</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54.55</w:t>
            </w:r>
          </w:p>
        </w:tc>
      </w:tr>
      <w:tr>
        <w:trPr>
          <w:trHeight w:val="342"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z w:val="18"/>
              </w:rPr>
              <w:t>3,267.10</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23,585.80</w:t>
            </w:r>
          </w:p>
        </w:tc>
      </w:tr>
      <w:tr>
        <w:trPr>
          <w:trHeight w:val="346"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b/>
                <w:w w:val="95"/>
                <w:sz w:val="18"/>
              </w:rPr>
              <w:t>64,950.74</w:t>
            </w:r>
            <w:r>
              <w:rPr>
                <w:rFonts w:ascii="宋体"/>
                <w:sz w:val="18"/>
              </w:rPr>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b/>
                <w:w w:val="95"/>
                <w:sz w:val="18"/>
              </w:rPr>
              <w:t>27,197.83</w:t>
            </w:r>
            <w:r>
              <w:rPr>
                <w:rFonts w:ascii="宋体"/>
                <w:sz w:val="18"/>
              </w:rPr>
            </w:r>
          </w:p>
        </w:tc>
      </w:tr>
      <w:tr>
        <w:trPr>
          <w:trHeight w:val="346"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浮动利率金融工具</w:t>
            </w:r>
          </w:p>
        </w:tc>
        <w:tc>
          <w:tcPr>
            <w:tcW w:w="2925" w:type="dxa"/>
            <w:tcBorders>
              <w:top w:val="single" w:sz="4" w:space="0" w:color="000000"/>
              <w:left w:val="single" w:sz="4" w:space="0" w:color="000000"/>
              <w:bottom w:val="single" w:sz="4" w:space="0" w:color="000000"/>
              <w:right w:val="single" w:sz="4" w:space="0" w:color="000000"/>
            </w:tcBorders>
          </w:tcPr>
          <w:p>
            <w:pPr/>
          </w:p>
        </w:tc>
        <w:tc>
          <w:tcPr>
            <w:tcW w:w="2162" w:type="dxa"/>
            <w:tcBorders>
              <w:top w:val="single" w:sz="4" w:space="0" w:color="000000"/>
              <w:left w:val="single" w:sz="4" w:space="0" w:color="000000"/>
              <w:bottom w:val="single" w:sz="4" w:space="0" w:color="000000"/>
              <w:right w:val="single" w:sz="4" w:space="0" w:color="000000"/>
            </w:tcBorders>
          </w:tcPr>
          <w:p>
            <w:pPr/>
          </w:p>
        </w:tc>
      </w:tr>
      <w:tr>
        <w:trPr>
          <w:trHeight w:val="347"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118,000.00</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178,000.00</w:t>
            </w:r>
          </w:p>
        </w:tc>
      </w:tr>
      <w:tr>
        <w:trPr>
          <w:trHeight w:val="346"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其中：其他流动资产</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z w:val="18"/>
              </w:rPr>
              <w:t>118,000.00</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178,000.00</w:t>
            </w:r>
          </w:p>
        </w:tc>
      </w:tr>
      <w:tr>
        <w:trPr>
          <w:trHeight w:val="342"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9,801.30</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r>
      <w:tr>
        <w:trPr>
          <w:trHeight w:val="346"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其中：长期借款</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9,801.30</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r>
      <w:tr>
        <w:trPr>
          <w:trHeight w:val="347"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b/>
                <w:w w:val="95"/>
                <w:sz w:val="18"/>
              </w:rPr>
              <w:t>108,198.70</w:t>
            </w:r>
            <w:r>
              <w:rPr>
                <w:rFonts w:ascii="宋体"/>
                <w:sz w:val="18"/>
              </w:rPr>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b/>
                <w:w w:val="95"/>
                <w:sz w:val="18"/>
              </w:rPr>
              <w:t>178,000.00</w:t>
            </w:r>
            <w:r>
              <w:rPr>
                <w:rFonts w:ascii="宋体"/>
                <w:sz w:val="18"/>
              </w:rPr>
            </w:r>
          </w:p>
        </w:tc>
      </w:tr>
    </w:tbl>
    <w:p>
      <w:pPr>
        <w:pStyle w:val="BodyText"/>
        <w:spacing w:line="240" w:lineRule="auto" w:before="51"/>
        <w:ind w:left="514" w:right="0"/>
        <w:jc w:val="left"/>
      </w:pPr>
      <w:r>
        <w:rPr/>
        <w:t>于</w:t>
      </w:r>
      <w:r>
        <w:rPr>
          <w:spacing w:val="-49"/>
        </w:rPr>
        <w:t> </w:t>
      </w:r>
      <w:r>
        <w:rPr>
          <w:rFonts w:ascii="宋体" w:hAnsi="宋体" w:cs="宋体" w:eastAsia="宋体" w:hint="default"/>
        </w:rPr>
        <w:t>2017</w:t>
      </w:r>
      <w:r>
        <w:rPr>
          <w:rFonts w:ascii="宋体" w:hAnsi="宋体" w:cs="宋体" w:eastAsia="宋体" w:hint="default"/>
          <w:spacing w:val="-49"/>
        </w:rPr>
        <w:t> </w:t>
      </w:r>
      <w:r>
        <w:rPr/>
        <w:t>年</w:t>
      </w:r>
      <w:r>
        <w:rPr>
          <w:spacing w:val="-49"/>
        </w:rPr>
        <w:t> </w:t>
      </w:r>
      <w:r>
        <w:rPr>
          <w:rFonts w:ascii="宋体" w:hAnsi="宋体" w:cs="宋体" w:eastAsia="宋体" w:hint="default"/>
        </w:rPr>
        <w:t>12</w:t>
      </w:r>
      <w:r>
        <w:rPr>
          <w:rFonts w:ascii="宋体" w:hAnsi="宋体" w:cs="宋体" w:eastAsia="宋体" w:hint="default"/>
          <w:spacing w:val="-48"/>
        </w:rPr>
        <w:t> </w:t>
      </w:r>
      <w:r>
        <w:rPr/>
        <w:t>月</w:t>
      </w:r>
      <w:r>
        <w:rPr>
          <w:spacing w:val="-49"/>
        </w:rPr>
        <w:t> </w:t>
      </w:r>
      <w:r>
        <w:rPr>
          <w:rFonts w:ascii="宋体" w:hAnsi="宋体" w:cs="宋体" w:eastAsia="宋体" w:hint="default"/>
        </w:rPr>
        <w:t>31</w:t>
      </w:r>
      <w:r>
        <w:rPr>
          <w:rFonts w:ascii="宋体" w:hAnsi="宋体" w:cs="宋体" w:eastAsia="宋体" w:hint="default"/>
          <w:spacing w:val="-49"/>
        </w:rPr>
        <w:t> </w:t>
      </w:r>
      <w:r>
        <w:rPr/>
        <w:t>日，如果以浮动利率计算的借款利率上升或下降</w:t>
      </w:r>
      <w:r>
        <w:rPr>
          <w:spacing w:val="-49"/>
        </w:rPr>
        <w:t> </w:t>
      </w:r>
      <w:r>
        <w:rPr>
          <w:rFonts w:ascii="宋体" w:hAnsi="宋体" w:cs="宋体" w:eastAsia="宋体" w:hint="default"/>
        </w:rPr>
        <w:t>50</w:t>
      </w:r>
      <w:r>
        <w:rPr>
          <w:rFonts w:ascii="宋体" w:hAnsi="宋体" w:cs="宋体" w:eastAsia="宋体" w:hint="default"/>
          <w:spacing w:val="-48"/>
        </w:rPr>
        <w:t> </w:t>
      </w:r>
      <w:r>
        <w:rPr>
          <w:spacing w:val="-3"/>
        </w:rPr>
        <w:t>个基点，而其它因素保持不变，本公司的净利润</w:t>
      </w:r>
    </w:p>
    <w:p>
      <w:pPr>
        <w:pStyle w:val="BodyText"/>
        <w:spacing w:line="357" w:lineRule="auto" w:before="76"/>
        <w:ind w:left="513" w:right="0" w:hanging="360"/>
        <w:jc w:val="left"/>
      </w:pPr>
      <w:r>
        <w:rPr/>
        <w:t>及股东权益将减少或增加约 </w:t>
      </w:r>
      <w:r>
        <w:rPr>
          <w:rFonts w:ascii="宋体" w:hAnsi="宋体" w:cs="宋体" w:eastAsia="宋体" w:hint="default"/>
        </w:rPr>
        <w:t>540.99</w:t>
      </w:r>
      <w:r>
        <w:rPr>
          <w:rFonts w:ascii="宋体" w:hAnsi="宋体" w:cs="宋体" w:eastAsia="宋体" w:hint="default"/>
          <w:spacing w:val="-46"/>
        </w:rPr>
        <w:t> </w:t>
      </w:r>
      <w:r>
        <w:rPr/>
        <w:t>万元（</w:t>
      </w:r>
      <w:r>
        <w:rPr>
          <w:rFonts w:ascii="宋体" w:hAnsi="宋体" w:cs="宋体" w:eastAsia="宋体" w:hint="default"/>
        </w:rPr>
        <w:t>2016</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5"/>
        </w:rPr>
        <w:t> </w:t>
      </w:r>
      <w:r>
        <w:rPr/>
        <w:t>日：</w:t>
      </w:r>
      <w:r>
        <w:rPr>
          <w:rFonts w:ascii="宋体" w:hAnsi="宋体" w:cs="宋体" w:eastAsia="宋体" w:hint="default"/>
        </w:rPr>
        <w:t>890.00</w:t>
      </w:r>
      <w:r>
        <w:rPr>
          <w:rFonts w:ascii="宋体" w:hAnsi="宋体" w:cs="宋体" w:eastAsia="宋体" w:hint="default"/>
          <w:spacing w:val="-46"/>
        </w:rPr>
        <w:t> </w:t>
      </w:r>
      <w:r>
        <w:rPr>
          <w:spacing w:val="-23"/>
        </w:rPr>
        <w:t>万元）。</w:t>
      </w:r>
      <w:r>
        <w:rPr/>
        <w:t> </w:t>
      </w:r>
      <w:r>
        <w:rPr>
          <w:spacing w:val="-2"/>
        </w:rPr>
        <w:t>对于资产负债表日持有的、使本公司面临公允价值利率风险的金融工具，上述敏感性分析中的净利润及股东权益的影响</w:t>
      </w:r>
    </w:p>
    <w:p>
      <w:pPr>
        <w:pStyle w:val="BodyText"/>
        <w:spacing w:line="224" w:lineRule="exact"/>
        <w:ind w:left="153" w:right="0"/>
        <w:jc w:val="left"/>
      </w:pPr>
      <w:r>
        <w:rPr/>
        <w:t>是假设在资产负债表日利率发生变动，按照新利率对上述金融工具进行重新计量后的影响。对于资产负债表日持有的、使本</w:t>
      </w:r>
    </w:p>
    <w:p>
      <w:pPr>
        <w:pStyle w:val="BodyText"/>
        <w:spacing w:line="319" w:lineRule="auto" w:before="76"/>
        <w:ind w:left="153" w:right="0"/>
        <w:jc w:val="left"/>
      </w:pPr>
      <w:r>
        <w:rPr>
          <w:spacing w:val="-2"/>
        </w:rPr>
        <w:t>公司面临现金流量利率风险的浮动利率非衍生工具，上述敏感性分析中的净利润及股东权益的影响是上述利率变动对按年度</w:t>
      </w:r>
      <w:r>
        <w:rPr>
          <w:spacing w:val="-64"/>
        </w:rPr>
        <w:t> </w:t>
      </w:r>
      <w:r>
        <w:rPr>
          <w:spacing w:val="-64"/>
        </w:rPr>
      </w:r>
      <w:r>
        <w:rPr/>
        <w:t>估算的利息费用或收入的影响。上一年度的分析基于同样的假设和方法。</w:t>
      </w:r>
    </w:p>
    <w:p>
      <w:pPr>
        <w:pStyle w:val="BodyText"/>
        <w:spacing w:line="357" w:lineRule="auto" w:before="56"/>
        <w:ind w:left="513" w:right="1118"/>
        <w:jc w:val="left"/>
      </w:pPr>
      <w:r>
        <w:rPr/>
        <w:t>汇率风险 </w:t>
      </w:r>
      <w:r>
        <w:rPr>
          <w:spacing w:val="-2"/>
        </w:rPr>
        <w:t>汇率风险，是指金融工具的公允价值或未来现金流量因外汇汇率变动而发生波动的风险。汇率风险可源于以记账本位币</w:t>
      </w:r>
    </w:p>
    <w:p>
      <w:pPr>
        <w:pStyle w:val="BodyText"/>
        <w:spacing w:line="357" w:lineRule="auto"/>
        <w:ind w:left="514" w:right="0" w:hanging="360"/>
        <w:jc w:val="left"/>
      </w:pPr>
      <w:r>
        <w:rPr/>
        <w:t>之外的外币进行计价的金融工具。 </w:t>
      </w:r>
      <w:r>
        <w:rPr>
          <w:spacing w:val="-4"/>
        </w:rPr>
        <w:t>汇率风险主要为本公司的财务状况和现金流量受外汇汇率波动的影响。除了在境外设立的子公司持有较少以英镑、欧元、</w:t>
      </w:r>
    </w:p>
    <w:p>
      <w:pPr>
        <w:pStyle w:val="BodyText"/>
        <w:spacing w:line="224" w:lineRule="exact"/>
        <w:ind w:right="0"/>
        <w:jc w:val="left"/>
      </w:pPr>
      <w:r>
        <w:rPr/>
        <w:t>港币为结算货币的资产外，本公司持有的外币资产及负债占整体的资产及负债比例并不重大，汇率变动对本公司净利润影响</w:t>
      </w:r>
    </w:p>
    <w:p>
      <w:pPr>
        <w:pStyle w:val="BodyText"/>
        <w:spacing w:line="240" w:lineRule="auto" w:before="77"/>
        <w:ind w:right="0"/>
        <w:jc w:val="left"/>
      </w:pPr>
      <w:r>
        <w:rPr/>
        <w:t>较小。本公司在境外设立的子公司记账本位币为美元，汇率变动会对本公司其他综合收益产生影响。</w:t>
      </w:r>
    </w:p>
    <w:p>
      <w:pPr>
        <w:spacing w:line="240" w:lineRule="auto" w:before="9"/>
        <w:rPr>
          <w:rFonts w:ascii="宋体" w:hAnsi="宋体" w:cs="宋体" w:eastAsia="宋体" w:hint="default"/>
          <w:sz w:val="13"/>
          <w:szCs w:val="13"/>
        </w:rPr>
      </w:pPr>
    </w:p>
    <w:p>
      <w:pPr>
        <w:spacing w:before="0"/>
        <w:ind w:left="0" w:right="1129" w:firstLine="0"/>
        <w:jc w:val="right"/>
        <w:rPr>
          <w:rFonts w:ascii="宋体" w:hAnsi="宋体" w:cs="宋体" w:eastAsia="宋体" w:hint="default"/>
          <w:sz w:val="20"/>
          <w:szCs w:val="20"/>
        </w:rPr>
      </w:pPr>
      <w:r>
        <w:rPr>
          <w:rFonts w:ascii="宋体" w:hAnsi="宋体" w:cs="宋体" w:eastAsia="宋体" w:hint="default"/>
          <w:spacing w:val="-1"/>
          <w:sz w:val="20"/>
          <w:szCs w:val="20"/>
        </w:rPr>
        <w:t>单位：万美元</w:t>
      </w:r>
    </w:p>
    <w:p>
      <w:pPr>
        <w:spacing w:line="240" w:lineRule="auto" w:before="6"/>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5383"/>
        <w:gridCol w:w="2094"/>
        <w:gridCol w:w="2094"/>
      </w:tblGrid>
      <w:tr>
        <w:trPr>
          <w:trHeight w:val="342" w:hRule="exact"/>
        </w:trPr>
        <w:tc>
          <w:tcPr>
            <w:tcW w:w="5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智度投资（香港）有限公司（合并）</w:t>
            </w:r>
            <w:r>
              <w:rPr>
                <w:rFonts w:ascii="宋体" w:hAnsi="宋体" w:cs="宋体" w:eastAsia="宋体" w:hint="default"/>
                <w:sz w:val="18"/>
                <w:szCs w:val="18"/>
              </w:rPr>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b/>
                <w:bCs/>
                <w:sz w:val="18"/>
                <w:szCs w:val="18"/>
              </w:rPr>
              <w:t>年末数</w:t>
            </w:r>
            <w:r>
              <w:rPr>
                <w:rFonts w:ascii="宋体" w:hAnsi="宋体" w:cs="宋体" w:eastAsia="宋体" w:hint="default"/>
                <w:sz w:val="18"/>
                <w:szCs w:val="18"/>
              </w:rPr>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b/>
                <w:bCs/>
                <w:sz w:val="18"/>
                <w:szCs w:val="18"/>
              </w:rPr>
              <w:t>年初数</w:t>
            </w:r>
            <w:r>
              <w:rPr>
                <w:rFonts w:ascii="宋体" w:hAnsi="宋体" w:cs="宋体" w:eastAsia="宋体" w:hint="default"/>
                <w:sz w:val="18"/>
                <w:szCs w:val="18"/>
              </w:rPr>
            </w:r>
          </w:p>
        </w:tc>
      </w:tr>
      <w:tr>
        <w:trPr>
          <w:trHeight w:val="342" w:hRule="exact"/>
        </w:trPr>
        <w:tc>
          <w:tcPr>
            <w:tcW w:w="5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资产：</w:t>
            </w:r>
            <w:r>
              <w:rPr>
                <w:rFonts w:ascii="宋体" w:hAnsi="宋体" w:cs="宋体" w:eastAsia="宋体" w:hint="default"/>
                <w:sz w:val="18"/>
                <w:szCs w:val="18"/>
              </w:rPr>
            </w:r>
          </w:p>
        </w:tc>
        <w:tc>
          <w:tcPr>
            <w:tcW w:w="2094" w:type="dxa"/>
            <w:tcBorders>
              <w:top w:val="single" w:sz="4" w:space="0" w:color="000000"/>
              <w:left w:val="single" w:sz="4" w:space="0" w:color="000000"/>
              <w:bottom w:val="single" w:sz="4" w:space="0" w:color="000000"/>
              <w:right w:val="single" w:sz="4" w:space="0" w:color="000000"/>
            </w:tcBorders>
          </w:tcPr>
          <w:p>
            <w:pPr/>
          </w:p>
        </w:tc>
        <w:tc>
          <w:tcPr>
            <w:tcW w:w="20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5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2,055.38</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796.99</w:t>
            </w:r>
          </w:p>
        </w:tc>
      </w:tr>
      <w:tr>
        <w:trPr>
          <w:trHeight w:val="343" w:hRule="exact"/>
        </w:trPr>
        <w:tc>
          <w:tcPr>
            <w:tcW w:w="5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4,496.50</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1,798.79</w:t>
            </w:r>
          </w:p>
        </w:tc>
      </w:tr>
      <w:tr>
        <w:trPr>
          <w:trHeight w:val="343" w:hRule="exact"/>
        </w:trPr>
        <w:tc>
          <w:tcPr>
            <w:tcW w:w="5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11.61</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18.92</w:t>
            </w:r>
          </w:p>
        </w:tc>
      </w:tr>
      <w:tr>
        <w:trPr>
          <w:trHeight w:val="342" w:hRule="exact"/>
        </w:trPr>
        <w:tc>
          <w:tcPr>
            <w:tcW w:w="5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4.71</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2.69</w:t>
            </w:r>
          </w:p>
        </w:tc>
      </w:tr>
      <w:tr>
        <w:trPr>
          <w:trHeight w:val="343" w:hRule="exact"/>
        </w:trPr>
        <w:tc>
          <w:tcPr>
            <w:tcW w:w="5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2,996.95</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4.45</w:t>
            </w:r>
          </w:p>
        </w:tc>
      </w:tr>
      <w:tr>
        <w:trPr>
          <w:trHeight w:val="343" w:hRule="exact"/>
        </w:trPr>
        <w:tc>
          <w:tcPr>
            <w:tcW w:w="5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5,270.38</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5,873.19</w:t>
            </w:r>
          </w:p>
        </w:tc>
      </w:tr>
      <w:tr>
        <w:trPr>
          <w:trHeight w:val="342" w:hRule="exact"/>
        </w:trPr>
        <w:tc>
          <w:tcPr>
            <w:tcW w:w="5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22,852.99</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22,852.99</w:t>
            </w:r>
          </w:p>
        </w:tc>
      </w:tr>
      <w:tr>
        <w:trPr>
          <w:trHeight w:val="343" w:hRule="exact"/>
        </w:trPr>
        <w:tc>
          <w:tcPr>
            <w:tcW w:w="5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2,352.71</w:t>
            </w:r>
          </w:p>
        </w:tc>
      </w:tr>
      <w:tr>
        <w:trPr>
          <w:trHeight w:val="342" w:hRule="exact"/>
        </w:trPr>
        <w:tc>
          <w:tcPr>
            <w:tcW w:w="5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606.45</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121.97</w:t>
            </w:r>
          </w:p>
        </w:tc>
      </w:tr>
      <w:tr>
        <w:trPr>
          <w:trHeight w:val="343" w:hRule="exact"/>
        </w:trPr>
        <w:tc>
          <w:tcPr>
            <w:tcW w:w="5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0.12</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r>
      <w:tr>
        <w:trPr>
          <w:trHeight w:val="343" w:hRule="exact"/>
        </w:trPr>
        <w:tc>
          <w:tcPr>
            <w:tcW w:w="5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
              <w:jc w:val="right"/>
              <w:rPr>
                <w:rFonts w:ascii="宋体" w:hAnsi="宋体" w:cs="宋体" w:eastAsia="宋体" w:hint="default"/>
                <w:sz w:val="18"/>
                <w:szCs w:val="18"/>
              </w:rPr>
            </w:pPr>
            <w:r>
              <w:rPr>
                <w:rFonts w:ascii="宋体"/>
                <w:b/>
                <w:w w:val="95"/>
                <w:sz w:val="18"/>
              </w:rPr>
              <w:t>38,295.09</w:t>
            </w:r>
            <w:r>
              <w:rPr>
                <w:rFonts w:ascii="宋体"/>
                <w:sz w:val="18"/>
              </w:rPr>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b/>
                <w:w w:val="95"/>
                <w:sz w:val="18"/>
              </w:rPr>
              <w:t>33,822.70</w:t>
            </w:r>
            <w:r>
              <w:rPr>
                <w:rFonts w:ascii="宋体"/>
                <w:sz w:val="18"/>
              </w:rPr>
            </w:r>
          </w:p>
        </w:tc>
      </w:tr>
      <w:tr>
        <w:trPr>
          <w:trHeight w:val="344" w:hRule="exact"/>
        </w:trPr>
        <w:tc>
          <w:tcPr>
            <w:tcW w:w="5383" w:type="dxa"/>
            <w:tcBorders>
              <w:top w:val="single" w:sz="4" w:space="0" w:color="000000"/>
              <w:left w:val="single" w:sz="4" w:space="0" w:color="000000"/>
              <w:bottom w:val="single" w:sz="4" w:space="0" w:color="000000"/>
              <w:right w:val="single" w:sz="4" w:space="0" w:color="000000"/>
            </w:tcBorders>
          </w:tcPr>
          <w:p>
            <w:pPr/>
          </w:p>
        </w:tc>
        <w:tc>
          <w:tcPr>
            <w:tcW w:w="2094" w:type="dxa"/>
            <w:tcBorders>
              <w:top w:val="single" w:sz="4" w:space="0" w:color="000000"/>
              <w:left w:val="single" w:sz="4" w:space="0" w:color="000000"/>
              <w:bottom w:val="single" w:sz="4" w:space="0" w:color="000000"/>
              <w:right w:val="single" w:sz="4" w:space="0" w:color="000000"/>
            </w:tcBorders>
          </w:tcPr>
          <w:p>
            <w:pPr/>
          </w:p>
        </w:tc>
        <w:tc>
          <w:tcPr>
            <w:tcW w:w="209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负债：</w:t>
            </w:r>
            <w:r>
              <w:rPr>
                <w:rFonts w:ascii="宋体" w:hAnsi="宋体" w:cs="宋体" w:eastAsia="宋体" w:hint="default"/>
                <w:sz w:val="18"/>
                <w:szCs w:val="18"/>
              </w:rPr>
            </w:r>
          </w:p>
        </w:tc>
        <w:tc>
          <w:tcPr>
            <w:tcW w:w="2094" w:type="dxa"/>
            <w:tcBorders>
              <w:top w:val="single" w:sz="4" w:space="0" w:color="000000"/>
              <w:left w:val="single" w:sz="4" w:space="0" w:color="000000"/>
              <w:bottom w:val="single" w:sz="4" w:space="0" w:color="000000"/>
              <w:right w:val="single" w:sz="4" w:space="0" w:color="000000"/>
            </w:tcBorders>
          </w:tcPr>
          <w:p>
            <w:pPr/>
          </w:p>
        </w:tc>
        <w:tc>
          <w:tcPr>
            <w:tcW w:w="20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5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1,399.78</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758.47</w:t>
            </w:r>
          </w:p>
        </w:tc>
      </w:tr>
      <w:tr>
        <w:trPr>
          <w:trHeight w:val="343" w:hRule="exact"/>
        </w:trPr>
        <w:tc>
          <w:tcPr>
            <w:tcW w:w="5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2.30</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7.84</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5383"/>
        <w:gridCol w:w="2094"/>
        <w:gridCol w:w="2094"/>
      </w:tblGrid>
      <w:tr>
        <w:trPr>
          <w:trHeight w:val="343" w:hRule="exact"/>
        </w:trPr>
        <w:tc>
          <w:tcPr>
            <w:tcW w:w="5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1,397.81</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36.47</w:t>
            </w:r>
          </w:p>
        </w:tc>
      </w:tr>
      <w:tr>
        <w:trPr>
          <w:trHeight w:val="343" w:hRule="exact"/>
        </w:trPr>
        <w:tc>
          <w:tcPr>
            <w:tcW w:w="5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706.99</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446.15</w:t>
            </w:r>
          </w:p>
        </w:tc>
      </w:tr>
      <w:tr>
        <w:trPr>
          <w:trHeight w:val="342" w:hRule="exact"/>
        </w:trPr>
        <w:tc>
          <w:tcPr>
            <w:tcW w:w="5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3.90</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w:t>
            </w:r>
          </w:p>
        </w:tc>
      </w:tr>
      <w:tr>
        <w:trPr>
          <w:trHeight w:val="342" w:hRule="exact"/>
        </w:trPr>
        <w:tc>
          <w:tcPr>
            <w:tcW w:w="5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1,549.45</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3,422.55</w:t>
            </w:r>
          </w:p>
        </w:tc>
      </w:tr>
      <w:tr>
        <w:trPr>
          <w:trHeight w:val="343" w:hRule="exact"/>
        </w:trPr>
        <w:tc>
          <w:tcPr>
            <w:tcW w:w="5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一年内到期的长期负债</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3,896.49</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2,927.22</w:t>
            </w:r>
          </w:p>
        </w:tc>
      </w:tr>
      <w:tr>
        <w:trPr>
          <w:trHeight w:val="343" w:hRule="exact"/>
        </w:trPr>
        <w:tc>
          <w:tcPr>
            <w:tcW w:w="5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1,500.00</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r>
      <w:tr>
        <w:trPr>
          <w:trHeight w:val="343" w:hRule="exact"/>
        </w:trPr>
        <w:tc>
          <w:tcPr>
            <w:tcW w:w="5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4,578.86</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8,475.35</w:t>
            </w:r>
          </w:p>
        </w:tc>
      </w:tr>
      <w:tr>
        <w:trPr>
          <w:trHeight w:val="342" w:hRule="exact"/>
        </w:trPr>
        <w:tc>
          <w:tcPr>
            <w:tcW w:w="5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1,180.52</w:t>
            </w:r>
          </w:p>
        </w:tc>
      </w:tr>
      <w:tr>
        <w:trPr>
          <w:trHeight w:val="343" w:hRule="exact"/>
        </w:trPr>
        <w:tc>
          <w:tcPr>
            <w:tcW w:w="5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192.11</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880.04</w:t>
            </w:r>
          </w:p>
        </w:tc>
      </w:tr>
      <w:tr>
        <w:trPr>
          <w:trHeight w:val="343" w:hRule="exact"/>
        </w:trPr>
        <w:tc>
          <w:tcPr>
            <w:tcW w:w="5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负债总计</w:t>
            </w:r>
            <w:r>
              <w:rPr>
                <w:rFonts w:ascii="宋体" w:hAnsi="宋体" w:cs="宋体" w:eastAsia="宋体" w:hint="default"/>
                <w:sz w:val="18"/>
                <w:szCs w:val="18"/>
              </w:rPr>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6"/>
              <w:jc w:val="right"/>
              <w:rPr>
                <w:rFonts w:ascii="宋体" w:hAnsi="宋体" w:cs="宋体" w:eastAsia="宋体" w:hint="default"/>
                <w:sz w:val="18"/>
                <w:szCs w:val="18"/>
              </w:rPr>
            </w:pPr>
            <w:r>
              <w:rPr>
                <w:rFonts w:ascii="宋体"/>
                <w:b/>
                <w:w w:val="95"/>
                <w:sz w:val="18"/>
              </w:rPr>
              <w:t>15,227.69</w:t>
            </w:r>
            <w:r>
              <w:rPr>
                <w:rFonts w:ascii="宋体"/>
                <w:sz w:val="18"/>
              </w:rPr>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b/>
                <w:w w:val="95"/>
                <w:sz w:val="18"/>
              </w:rPr>
              <w:t>18,134.61</w:t>
            </w:r>
            <w:r>
              <w:rPr>
                <w:rFonts w:ascii="宋体"/>
                <w:sz w:val="18"/>
              </w:rPr>
            </w:r>
          </w:p>
        </w:tc>
      </w:tr>
    </w:tbl>
    <w:p>
      <w:pPr>
        <w:pStyle w:val="BodyText"/>
        <w:spacing w:line="357" w:lineRule="auto" w:before="51"/>
        <w:ind w:left="513" w:right="1118"/>
        <w:jc w:val="left"/>
      </w:pPr>
      <w:r>
        <w:rPr>
          <w:rFonts w:ascii="宋体" w:hAnsi="宋体" w:cs="宋体" w:eastAsia="宋体" w:hint="default"/>
        </w:rPr>
        <w:t>2</w:t>
      </w:r>
      <w:r>
        <w:rPr/>
        <w:t>、资本管理 </w:t>
      </w:r>
      <w:r>
        <w:rPr>
          <w:spacing w:val="-2"/>
        </w:rPr>
        <w:t>本公司资本管理政策的目标是为了保障本公司能够持续经营，从而为股东提供回报，并使其他利益相关者获益，同时维</w:t>
      </w:r>
    </w:p>
    <w:p>
      <w:pPr>
        <w:pStyle w:val="BodyText"/>
        <w:spacing w:line="357" w:lineRule="auto"/>
        <w:ind w:left="514" w:right="0" w:hanging="360"/>
        <w:jc w:val="left"/>
      </w:pPr>
      <w:r>
        <w:rPr/>
        <w:t>持最佳的资本结构以降低资本成本。 </w:t>
      </w:r>
      <w:r>
        <w:rPr>
          <w:spacing w:val="-2"/>
        </w:rPr>
        <w:t>为了维持或调整资本结构，本公司可能会调整支付给股东的股利金额、向股东返还资本、发行新股或出售资产以减低债</w:t>
      </w:r>
    </w:p>
    <w:p>
      <w:pPr>
        <w:pStyle w:val="BodyText"/>
        <w:spacing w:line="225" w:lineRule="exact"/>
        <w:ind w:right="0"/>
        <w:jc w:val="left"/>
      </w:pPr>
      <w:r>
        <w:rPr/>
        <w:t>务。</w:t>
      </w:r>
    </w:p>
    <w:p>
      <w:pPr>
        <w:pStyle w:val="BodyText"/>
        <w:spacing w:line="319" w:lineRule="auto" w:before="115"/>
        <w:ind w:right="1126" w:firstLine="360"/>
        <w:jc w:val="left"/>
      </w:pPr>
      <w:r>
        <w:rPr/>
        <w:t>本公司以资产负债率（即总负债除以总资产）为基础对资本结构进行监控。于</w:t>
      </w:r>
      <w:r>
        <w:rPr>
          <w:spacing w:val="-45"/>
        </w:rPr>
        <w:t> </w:t>
      </w:r>
      <w:r>
        <w:rPr>
          <w:rFonts w:ascii="宋体" w:hAnsi="宋体" w:cs="宋体" w:eastAsia="宋体" w:hint="default"/>
        </w:rPr>
        <w:t>2017</w:t>
      </w:r>
      <w:r>
        <w:rPr>
          <w:rFonts w:ascii="宋体" w:hAnsi="宋体" w:cs="宋体" w:eastAsia="宋体" w:hint="default"/>
          <w:spacing w:val="-45"/>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日，本公司的资产负债 率为</w:t>
      </w:r>
      <w:r>
        <w:rPr>
          <w:spacing w:val="-46"/>
        </w:rPr>
        <w:t> </w:t>
      </w:r>
      <w:r>
        <w:rPr>
          <w:rFonts w:ascii="宋体" w:hAnsi="宋体" w:cs="宋体" w:eastAsia="宋体" w:hint="default"/>
        </w:rPr>
        <w:t>28.06%</w:t>
      </w:r>
      <w:r>
        <w:rPr/>
        <w:t>（</w:t>
      </w:r>
      <w:r>
        <w:rPr>
          <w:rFonts w:ascii="宋体" w:hAnsi="宋体" w:cs="宋体" w:eastAsia="宋体" w:hint="default"/>
        </w:rPr>
        <w:t>2016</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5"/>
        </w:rPr>
        <w:t> </w:t>
      </w:r>
      <w:r>
        <w:rPr>
          <w:spacing w:val="-18"/>
        </w:rPr>
        <w:t>日：</w:t>
      </w:r>
      <w:r>
        <w:rPr>
          <w:rFonts w:ascii="宋体" w:hAnsi="宋体" w:cs="宋体" w:eastAsia="宋体" w:hint="default"/>
          <w:spacing w:val="-18"/>
        </w:rPr>
        <w:t>28.99%</w:t>
      </w:r>
      <w:r>
        <w:rPr>
          <w:spacing w:val="-18"/>
        </w:rPr>
        <w:t>）。</w:t>
      </w:r>
      <w:r>
        <w:rPr/>
      </w:r>
    </w:p>
    <w:p>
      <w:pPr>
        <w:spacing w:line="240" w:lineRule="auto" w:before="7"/>
        <w:rPr>
          <w:rFonts w:ascii="宋体" w:hAnsi="宋体" w:cs="宋体" w:eastAsia="宋体" w:hint="default"/>
          <w:sz w:val="20"/>
          <w:szCs w:val="20"/>
        </w:rPr>
      </w:pPr>
    </w:p>
    <w:p>
      <w:pPr>
        <w:pStyle w:val="Heading2"/>
        <w:spacing w:line="240" w:lineRule="auto"/>
        <w:ind w:left="153" w:right="0"/>
        <w:jc w:val="left"/>
        <w:rPr>
          <w:b w:val="0"/>
          <w:bCs w:val="0"/>
        </w:rPr>
      </w:pPr>
      <w:bookmarkStart w:name="十一、公允价值的披露" w:id="444"/>
      <w:bookmarkEnd w:id="444"/>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以公允价值计量的资产和负债的期末公允价值" w:id="445"/>
      <w:bookmarkEnd w:id="445"/>
      <w:r>
        <w:rPr>
          <w:b w:val="0"/>
          <w:bCs w:val="0"/>
        </w:rPr>
      </w:r>
      <w:r>
        <w:rPr>
          <w:rFonts w:ascii="宋体" w:hAnsi="宋体" w:cs="宋体" w:eastAsia="宋体" w:hint="default"/>
        </w:rPr>
        <w:t>1</w:t>
      </w:r>
      <w:r>
        <w:rPr/>
        <w:t>、以公允价值计量的资产和负债的期末公允价值</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877" w:footer="1187" w:top="1100" w:bottom="13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持续和非持续第一层次公允价值计量项目市价的确定依据" w:id="446"/>
      <w:bookmarkEnd w:id="446"/>
      <w:r>
        <w:rPr>
          <w:b w:val="0"/>
          <w:bCs w:val="0"/>
        </w:rPr>
      </w:r>
      <w:r>
        <w:rPr>
          <w:rFonts w:ascii="宋体" w:hAnsi="宋体" w:cs="宋体" w:eastAsia="宋体" w:hint="default"/>
        </w:rPr>
        <w:t>2</w:t>
      </w:r>
      <w:r>
        <w:rPr/>
        <w:t>、持续和非持续第一层次公允价值计量项目市价的确定依据</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3、持续和非持续第二层次公允价值计量项目，采用的估值技术和重要参数的定性及定量信" w:id="447"/>
      <w:bookmarkEnd w:id="447"/>
      <w:r>
        <w:rPr>
          <w:b w:val="0"/>
          <w:bCs w:val="0"/>
        </w:rPr>
      </w:r>
      <w:r>
        <w:rPr>
          <w:rFonts w:ascii="宋体" w:hAnsi="宋体" w:cs="宋体" w:eastAsia="宋体" w:hint="default"/>
        </w:rPr>
        <w:t>3</w:t>
      </w:r>
      <w:r>
        <w:rPr/>
        <w:t>、持续和非持续第二层次公允价值计量项目，采用的估值技术和重要参数的定性及定量信息</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4、持续和非持续第三层次公允价值计量项目，采用的估值技术和重要参数的定性及定量信" w:id="448"/>
      <w:bookmarkEnd w:id="448"/>
      <w:r>
        <w:rPr>
          <w:b w:val="0"/>
          <w:bCs w:val="0"/>
        </w:rPr>
      </w:r>
      <w:r>
        <w:rPr>
          <w:rFonts w:ascii="宋体" w:hAnsi="宋体" w:cs="宋体" w:eastAsia="宋体" w:hint="default"/>
        </w:rPr>
        <w:t>4</w:t>
      </w:r>
      <w:r>
        <w:rPr/>
        <w:t>、持续和非持续第三层次公允价值计量项目，采用的估值技术和重要参数的定性及定量信息</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5、持续的第三层次公允价值计量项目，期初与期末账面价值间的调节信息及不可观察参数" w:id="449"/>
      <w:bookmarkEnd w:id="449"/>
      <w:r>
        <w:rPr>
          <w:b w:val="0"/>
          <w:bCs w:val="0"/>
        </w:rPr>
      </w:r>
      <w:r>
        <w:rPr>
          <w:rFonts w:ascii="宋体" w:hAnsi="宋体" w:cs="宋体" w:eastAsia="宋体" w:hint="default"/>
        </w:rPr>
        <w:t>5</w:t>
      </w:r>
      <w:r>
        <w:rPr/>
        <w:t>、持续的第三层次公允价值计量项目，期初与期末账面价值间的调节信息及不可观察参数敏感性分析</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6、持续的公允价值计量项目，本期内发生各层级之间转换的，转换的原因及确定转换时点" w:id="450"/>
      <w:bookmarkEnd w:id="450"/>
      <w:r>
        <w:rPr>
          <w:b w:val="0"/>
          <w:bCs w:val="0"/>
        </w:rPr>
      </w:r>
      <w:r>
        <w:rPr>
          <w:rFonts w:ascii="宋体" w:hAnsi="宋体" w:cs="宋体" w:eastAsia="宋体" w:hint="default"/>
        </w:rPr>
        <w:t>6</w:t>
      </w:r>
      <w:r>
        <w:rPr/>
        <w:t>、持续的公允价值计量项目，本期内发生各层级之间转换的，转换的原因及确定转换时点的政策</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7、本期内发生的估值技术变更及变更原因" w:id="451"/>
      <w:bookmarkEnd w:id="451"/>
      <w:r>
        <w:rPr>
          <w:b w:val="0"/>
          <w:bCs w:val="0"/>
        </w:rPr>
      </w:r>
      <w:r>
        <w:rPr>
          <w:rFonts w:ascii="宋体" w:hAnsi="宋体" w:cs="宋体" w:eastAsia="宋体" w:hint="default"/>
        </w:rPr>
        <w:t>7</w:t>
      </w:r>
      <w:r>
        <w:rPr/>
        <w:t>、本期内发生的估值技术变更及变更原因</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8、不以公允价值计量的金融资产和金融负债的公允价值情况" w:id="452"/>
      <w:bookmarkEnd w:id="452"/>
      <w:r>
        <w:rPr>
          <w:b w:val="0"/>
          <w:bCs w:val="0"/>
        </w:rPr>
      </w:r>
      <w:r>
        <w:rPr>
          <w:rFonts w:ascii="宋体" w:hAnsi="宋体" w:cs="宋体" w:eastAsia="宋体" w:hint="default"/>
        </w:rPr>
        <w:t>8</w:t>
      </w:r>
      <w:r>
        <w:rPr/>
        <w:t>、不以公允价值计量的金融资产和金融负债的公允价值情况</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9、其他" w:id="453"/>
      <w:bookmarkEnd w:id="453"/>
      <w:r>
        <w:rPr>
          <w:b w:val="0"/>
          <w:bCs w:val="0"/>
        </w:rPr>
      </w:r>
      <w:r>
        <w:rPr>
          <w:rFonts w:ascii="宋体" w:hAnsi="宋体" w:cs="宋体" w:eastAsia="宋体" w:hint="default"/>
        </w:rPr>
        <w:t>9</w:t>
      </w:r>
      <w:r>
        <w:rPr/>
        <w:t>、其他</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right="5892"/>
        <w:jc w:val="left"/>
      </w:pPr>
      <w:r>
        <w:rPr/>
        <w:t>本公司本报告期内，无采用公允价值模式计量的资产或负债。 不以公允价值计量但披露其公允价值的项目和金额</w:t>
      </w:r>
    </w:p>
    <w:p>
      <w:pPr>
        <w:pStyle w:val="BodyText"/>
        <w:spacing w:line="338" w:lineRule="auto" w:before="26"/>
        <w:ind w:right="1032"/>
        <w:jc w:val="left"/>
      </w:pPr>
      <w:r>
        <w:rPr/>
        <w:t>本公司以摊余成本计量的金融资产和金融负债主要包括：货币资金、应收票据、应收账款、其他应收款、发放贷款及垫款、 短期借款、应付账款、其他应付款、一年内到期的长期借款、一年内到期的长期应付款、长期应付款和长期借款等。 不以公允价值计量的金融资产和金融负债的账面价值与公允价值相差很小。</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bookmarkStart w:name="十二、关联方及关联交易" w:id="454"/>
      <w:bookmarkEnd w:id="454"/>
      <w:r>
        <w:rPr>
          <w:b w:val="0"/>
          <w:bCs w:val="0"/>
        </w:rPr>
      </w: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企业的母公司情况" w:id="455"/>
      <w:bookmarkEnd w:id="455"/>
      <w:r>
        <w:rPr>
          <w:b w:val="0"/>
          <w:bCs w:val="0"/>
        </w:rPr>
      </w:r>
      <w:r>
        <w:rPr>
          <w:rFonts w:ascii="宋体" w:hAnsi="宋体" w:cs="宋体" w:eastAsia="宋体" w:hint="default"/>
        </w:rPr>
        <w:t>1</w:t>
      </w:r>
      <w:r>
        <w:rPr/>
        <w:t>、本企业的母公司情况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center"/>
              <w:rPr>
                <w:rFonts w:ascii="宋体" w:hAnsi="宋体" w:cs="宋体" w:eastAsia="宋体" w:hint="default"/>
                <w:sz w:val="18"/>
                <w:szCs w:val="18"/>
              </w:rPr>
            </w:pPr>
            <w:r>
              <w:rPr>
                <w:rFonts w:ascii="宋体" w:hAnsi="宋体" w:cs="宋体" w:eastAsia="宋体" w:hint="default"/>
                <w:sz w:val="18"/>
                <w:szCs w:val="18"/>
              </w:rPr>
              <w:t>智度德普有限合伙</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416,181.00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1" w:right="0"/>
              <w:jc w:val="left"/>
              <w:rPr>
                <w:rFonts w:ascii="宋体" w:hAnsi="宋体" w:cs="宋体" w:eastAsia="宋体" w:hint="default"/>
                <w:sz w:val="18"/>
                <w:szCs w:val="18"/>
              </w:rPr>
            </w:pPr>
            <w:r>
              <w:rPr>
                <w:rFonts w:ascii="宋体"/>
                <w:sz w:val="18"/>
              </w:rPr>
              <w:t>39.25%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1" w:right="0"/>
              <w:jc w:val="left"/>
              <w:rPr>
                <w:rFonts w:ascii="宋体" w:hAnsi="宋体" w:cs="宋体" w:eastAsia="宋体" w:hint="default"/>
                <w:sz w:val="18"/>
                <w:szCs w:val="18"/>
              </w:rPr>
            </w:pPr>
            <w:r>
              <w:rPr>
                <w:rFonts w:ascii="宋体"/>
                <w:sz w:val="18"/>
              </w:rPr>
              <w:t>39.25%</w:t>
            </w:r>
          </w:p>
        </w:tc>
      </w:tr>
    </w:tbl>
    <w:p>
      <w:pPr>
        <w:pStyle w:val="BodyText"/>
        <w:spacing w:line="357" w:lineRule="auto" w:before="51"/>
        <w:ind w:left="514" w:right="0" w:hanging="360"/>
        <w:jc w:val="left"/>
      </w:pPr>
      <w:r>
        <w:rPr/>
        <w:t>本企业的母公司情况的说明 </w:t>
      </w:r>
      <w:r>
        <w:rPr>
          <w:spacing w:val="-2"/>
        </w:rPr>
        <w:t>智度德普有限合伙直接和通过一致行动人智度集团有限公司、拉萨经济技术开发区智恒咨询有限公司间接持有本公司合</w:t>
      </w:r>
    </w:p>
    <w:p>
      <w:pPr>
        <w:pStyle w:val="BodyText"/>
        <w:spacing w:line="357" w:lineRule="auto"/>
        <w:ind w:left="513" w:right="7469" w:hanging="360"/>
        <w:jc w:val="left"/>
      </w:pPr>
      <w:r>
        <w:rPr/>
        <w:t>计</w:t>
      </w:r>
      <w:r>
        <w:rPr>
          <w:spacing w:val="-46"/>
        </w:rPr>
        <w:t> </w:t>
      </w:r>
      <w:r>
        <w:rPr>
          <w:rFonts w:ascii="宋体" w:hAnsi="宋体" w:cs="宋体" w:eastAsia="宋体" w:hint="default"/>
        </w:rPr>
        <w:t>48.24%</w:t>
      </w:r>
      <w:r>
        <w:rPr/>
        <w:t>的股权，为上市公司控股股东。 本企业最终控制方是吴红心先生。</w:t>
      </w:r>
    </w:p>
    <w:p>
      <w:pPr>
        <w:spacing w:line="578" w:lineRule="auto" w:before="28"/>
        <w:ind w:left="153" w:right="7783" w:firstLine="0"/>
        <w:jc w:val="left"/>
        <w:rPr>
          <w:rFonts w:ascii="宋体" w:hAnsi="宋体" w:cs="宋体" w:eastAsia="宋体" w:hint="default"/>
          <w:sz w:val="18"/>
          <w:szCs w:val="18"/>
        </w:rPr>
      </w:pPr>
      <w:r>
        <w:rPr>
          <w:rFonts w:ascii="宋体" w:hAnsi="宋体" w:cs="宋体" w:eastAsia="宋体" w:hint="default"/>
          <w:sz w:val="18"/>
          <w:szCs w:val="18"/>
        </w:rPr>
        <w:t>其他说明： </w:t>
      </w:r>
      <w:bookmarkStart w:name="2、本企业的子公司情况" w:id="456"/>
      <w:bookmarkEnd w:id="456"/>
      <w:r>
        <w:rPr>
          <w:rFonts w:ascii="宋体" w:hAnsi="宋体" w:cs="宋体" w:eastAsia="宋体" w:hint="default"/>
          <w:sz w:val="18"/>
          <w:szCs w:val="18"/>
        </w:rPr>
      </w:r>
      <w:r>
        <w:rPr>
          <w:rFonts w:ascii="宋体" w:hAnsi="宋体" w:cs="宋体" w:eastAsia="宋体"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宋体" w:hAnsi="宋体" w:cs="宋体" w:eastAsia="宋体" w:hint="default"/>
          <w:sz w:val="18"/>
          <w:szCs w:val="18"/>
        </w:rPr>
        <w:t>1</w:t>
      </w:r>
      <w:r>
        <w:rPr>
          <w:rFonts w:ascii="宋体" w:hAnsi="宋体" w:cs="宋体" w:eastAsia="宋体" w:hint="default"/>
          <w:sz w:val="18"/>
          <w:szCs w:val="18"/>
        </w:rPr>
        <w:t>。</w:t>
      </w:r>
    </w:p>
    <w:p>
      <w:pPr>
        <w:pStyle w:val="Heading3"/>
        <w:spacing w:line="240" w:lineRule="auto" w:before="96"/>
        <w:ind w:left="153" w:right="0"/>
        <w:jc w:val="left"/>
        <w:rPr>
          <w:b w:val="0"/>
          <w:bCs w:val="0"/>
        </w:rPr>
      </w:pPr>
      <w:bookmarkStart w:name="3、本企业合营和联营企业情况" w:id="457"/>
      <w:bookmarkEnd w:id="457"/>
      <w:r>
        <w:rPr>
          <w:b w:val="0"/>
          <w:bCs w:val="0"/>
        </w:rPr>
      </w:r>
      <w:r>
        <w:rPr>
          <w:rFonts w:ascii="宋体" w:hAnsi="宋体" w:cs="宋体" w:eastAsia="宋体" w:hint="default"/>
        </w:rPr>
        <w:t>3</w:t>
      </w:r>
      <w:r>
        <w:rPr/>
        <w:t>、本企业合营和联营企业情况</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153" w:right="2293"/>
        <w:jc w:val="left"/>
      </w:pPr>
      <w:r>
        <w:rPr/>
        <w:t>本企业重要的合营或联营企业详见附注九、</w:t>
      </w:r>
      <w:r>
        <w:rPr>
          <w:rFonts w:ascii="宋体" w:hAnsi="宋体" w:cs="宋体" w:eastAsia="宋体" w:hint="default"/>
        </w:rPr>
        <w:t>3</w:t>
      </w:r>
      <w:r>
        <w:rPr/>
        <w:t>。 本期与本公司发生关联方交易，或前期与本公司发生关联方交易形成余额的其他合营或联营企业情况如下：</w:t>
      </w:r>
    </w:p>
    <w:p>
      <w:pPr>
        <w:spacing w:after="0" w:line="357" w:lineRule="auto"/>
        <w:jc w:val="left"/>
        <w:sectPr>
          <w:pgSz w:w="11910" w:h="16840"/>
          <w:pgMar w:header="877" w:footer="1187" w:top="1100" w:bottom="138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332" w:hRule="exact"/>
        </w:trPr>
        <w:tc>
          <w:tcPr>
            <w:tcW w:w="4783" w:type="dxa"/>
            <w:tcBorders>
              <w:top w:val="nil" w:sz="6" w:space="0" w:color="auto"/>
              <w:left w:val="nil" w:sz="6" w:space="0" w:color="auto"/>
              <w:bottom w:val="single" w:sz="4" w:space="0" w:color="000000"/>
              <w:right w:val="nil" w:sz="6" w:space="0" w:color="auto"/>
            </w:tcBorders>
          </w:tcPr>
          <w:p>
            <w:pPr/>
          </w:p>
        </w:tc>
        <w:tc>
          <w:tcPr>
            <w:tcW w:w="4786"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51"/>
        <w:ind w:right="0"/>
        <w:jc w:val="left"/>
      </w:pPr>
      <w:r>
        <w:rPr/>
        <w:pict>
          <v:group style="position:absolute;margin-left:55.200001pt;margin-top:-36.978271pt;width:485pt;height:.1pt;mso-position-horizontal-relative:page;mso-position-vertical-relative:paragraph;z-index:-1180936" coordorigin="1104,-740" coordsize="9700,2">
            <v:shape style="position:absolute;left:1104;top:-740;width:9700;height:2" coordorigin="1104,-740" coordsize="9700,0" path="m1104,-740l10804,-740e" filled="false" stroked="true" strokeweight=".72pt" strokecolor="#000000">
              <v:path arrowok="t"/>
            </v:shape>
            <w10:wrap type="none"/>
          </v:group>
        </w:pict>
      </w: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4、其他关联方情况" w:id="458"/>
      <w:bookmarkEnd w:id="458"/>
      <w:r>
        <w:rPr>
          <w:b w:val="0"/>
          <w:bCs w:val="0"/>
        </w:rPr>
      </w:r>
      <w:r>
        <w:rPr>
          <w:rFonts w:ascii="宋体" w:hAnsi="宋体" w:cs="宋体" w:eastAsia="宋体" w:hint="default"/>
        </w:rPr>
        <w:t>4</w:t>
      </w:r>
      <w:r>
        <w:rPr/>
        <w:t>、其他关联方情况</w:t>
      </w:r>
      <w:r>
        <w:rPr>
          <w:b w:val="0"/>
          <w:bCs w:val="0"/>
        </w:rPr>
      </w:r>
    </w:p>
    <w:p>
      <w:pPr>
        <w:spacing w:line="240" w:lineRule="auto" w:before="0"/>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智度集团有限公司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持股超过</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的主要股东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北京智度德正投资有限公司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智度德普股权投资（香港）有限公司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福建智度科技有限公司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福建风灵创景科技有限公司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本公司关键管理人员任职的公司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北京风灵创景科技有限公司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本公司关键管理人员任职的公司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北京盈聚思成投资管理中心（有限合伙）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本公司关键管理人员任职的公司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上海易晋网络科技有限公司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本公司关键管理人员控制的公司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深圳市隽川科技有限公司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子公司关键管理人员控制的公司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深圳市思达高科投资有限公司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原同一实际控制人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深圳市思达仪表有限公司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董事、监事及高级管理人员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罗川</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其他关联自然人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缪志坚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其他关联自然人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其他关联自然人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汤克云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其他关联自然人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子公司的关键管理人员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Rodrigo Sales</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子公司的关键管理人员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Ryan Stephens</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子公司的关键管理人员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Michael Levit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原子公司的关键管理人员</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5、关联交易情况" w:id="459"/>
      <w:bookmarkEnd w:id="459"/>
      <w:r>
        <w:rPr>
          <w:b w:val="0"/>
          <w:bCs w:val="0"/>
        </w:rPr>
      </w:r>
      <w:r>
        <w:rPr>
          <w:rFonts w:ascii="宋体" w:hAnsi="宋体" w:cs="宋体" w:eastAsia="宋体" w:hint="default"/>
        </w:rPr>
        <w:t>5</w:t>
      </w:r>
      <w:r>
        <w:rPr/>
        <w:t>、关联交易情况</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购销商品、提供和接受劳务的关联交易" w:id="460"/>
      <w:bookmarkEnd w:id="460"/>
      <w:r>
        <w:rPr>
          <w:b w:val="0"/>
          <w:bCs w:val="0"/>
        </w:rPr>
      </w:r>
      <w:r>
        <w:rPr/>
        <w:t>（</w:t>
      </w:r>
      <w:r>
        <w:rPr>
          <w:rFonts w:ascii="宋体" w:hAnsi="宋体" w:cs="宋体" w:eastAsia="宋体" w:hint="default"/>
        </w:rPr>
        <w:t>1</w:t>
      </w:r>
      <w:r>
        <w:rPr/>
        <w:t>）购销商品、提供和接受劳务的关联交易</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right="0"/>
        <w:jc w:val="left"/>
      </w:pPr>
      <w:r>
        <w:rPr/>
        <w:t>采购商品</w:t>
      </w:r>
      <w:r>
        <w:rPr>
          <w:rFonts w:ascii="宋体" w:hAnsi="宋体" w:cs="宋体" w:eastAsia="宋体" w:hint="default"/>
        </w:rPr>
        <w:t>/</w:t>
      </w:r>
      <w:r>
        <w:rPr/>
        <w:t>接受劳务情况表</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8"/>
        <w:gridCol w:w="1134"/>
        <w:gridCol w:w="1047"/>
        <w:gridCol w:w="1706"/>
        <w:gridCol w:w="1708"/>
        <w:gridCol w:w="1706"/>
      </w:tblGrid>
      <w:tr>
        <w:trPr>
          <w:trHeight w:val="71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1" w:right="110" w:hanging="360"/>
              <w:jc w:val="left"/>
              <w:rPr>
                <w:rFonts w:ascii="宋体" w:hAnsi="宋体" w:cs="宋体" w:eastAsia="宋体" w:hint="default"/>
                <w:sz w:val="18"/>
                <w:szCs w:val="18"/>
              </w:rPr>
            </w:pPr>
            <w:r>
              <w:rPr>
                <w:rFonts w:ascii="宋体" w:hAnsi="宋体" w:cs="宋体" w:eastAsia="宋体" w:hint="default"/>
                <w:sz w:val="18"/>
                <w:szCs w:val="18"/>
              </w:rPr>
              <w:t>关联交易内 容</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1"/>
              <w:jc w:val="center"/>
              <w:rPr>
                <w:rFonts w:ascii="宋体" w:hAnsi="宋体" w:cs="宋体" w:eastAsia="宋体" w:hint="default"/>
                <w:sz w:val="18"/>
                <w:szCs w:val="18"/>
              </w:rPr>
            </w:pPr>
            <w:r>
              <w:rPr>
                <w:rFonts w:ascii="宋体" w:hAnsi="宋体" w:cs="宋体" w:eastAsia="宋体" w:hint="default"/>
                <w:sz w:val="18"/>
                <w:szCs w:val="18"/>
              </w:rPr>
              <w:t>福建风灵创景科技有限公司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广告推广</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8" w:right="0"/>
              <w:jc w:val="center"/>
              <w:rPr>
                <w:rFonts w:ascii="宋体" w:hAnsi="宋体" w:cs="宋体" w:eastAsia="宋体" w:hint="default"/>
                <w:sz w:val="18"/>
                <w:szCs w:val="18"/>
              </w:rPr>
            </w:pPr>
            <w:r>
              <w:rPr>
                <w:rFonts w:ascii="宋体"/>
                <w:sz w:val="18"/>
              </w:rPr>
              <w:t>612,736.30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73" w:right="0"/>
              <w:jc w:val="left"/>
              <w:rPr>
                <w:rFonts w:ascii="宋体" w:hAnsi="宋体" w:cs="宋体" w:eastAsia="宋体" w:hint="default"/>
                <w:sz w:val="18"/>
                <w:szCs w:val="18"/>
              </w:rPr>
            </w:pPr>
            <w:r>
              <w:rPr>
                <w:rFonts w:ascii="宋体"/>
                <w:sz w:val="18"/>
              </w:rPr>
              <w:t>612,736.30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73" w:right="0"/>
              <w:jc w:val="left"/>
              <w:rPr>
                <w:rFonts w:ascii="宋体" w:hAnsi="宋体" w:cs="宋体" w:eastAsia="宋体" w:hint="default"/>
                <w:sz w:val="18"/>
                <w:szCs w:val="18"/>
              </w:rPr>
            </w:pPr>
            <w:r>
              <w:rPr>
                <w:rFonts w:ascii="宋体"/>
                <w:sz w:val="18"/>
              </w:rPr>
              <w:t>230,631.32</w:t>
            </w:r>
          </w:p>
        </w:tc>
      </w:tr>
    </w:tbl>
    <w:p>
      <w:pPr>
        <w:spacing w:after="0" w:line="240" w:lineRule="auto"/>
        <w:jc w:val="left"/>
        <w:rPr>
          <w:rFonts w:ascii="宋体" w:hAnsi="宋体" w:cs="宋体" w:eastAsia="宋体" w:hint="default"/>
          <w:sz w:val="18"/>
          <w:szCs w:val="18"/>
        </w:rPr>
        <w:sectPr>
          <w:pgSz w:w="11910" w:h="16840"/>
          <w:pgMar w:header="877" w:footer="1187" w:top="1060" w:bottom="138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268"/>
        <w:gridCol w:w="1134"/>
        <w:gridCol w:w="1047"/>
        <w:gridCol w:w="1706"/>
        <w:gridCol w:w="1708"/>
        <w:gridCol w:w="1706"/>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北京智度德正投资有限公司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劳务派遣</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97,158.33</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97,158.33</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3" w:right="0"/>
              <w:jc w:val="left"/>
              <w:rPr>
                <w:rFonts w:ascii="宋体" w:hAnsi="宋体" w:cs="宋体" w:eastAsia="宋体" w:hint="default"/>
                <w:sz w:val="18"/>
                <w:szCs w:val="18"/>
              </w:rPr>
            </w:pPr>
            <w:r>
              <w:rPr>
                <w:rFonts w:ascii="宋体"/>
                <w:sz w:val="18"/>
              </w:rPr>
              <w:t>89,730.19</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福建智度科技有限公司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媒介采购</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28,094.34</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28,094.34</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出售商品</w:t>
      </w:r>
      <w:r>
        <w:rPr>
          <w:rFonts w:ascii="宋体" w:hAnsi="宋体" w:cs="宋体" w:eastAsia="宋体" w:hint="default"/>
        </w:rPr>
        <w:t>/</w:t>
      </w:r>
      <w:r>
        <w:rPr/>
        <w:t>提供劳务情况表</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福建风灵创景科技有限公司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广告推广</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25" w:right="0"/>
              <w:jc w:val="left"/>
              <w:rPr>
                <w:rFonts w:ascii="宋体" w:hAnsi="宋体" w:cs="宋体" w:eastAsia="宋体" w:hint="default"/>
                <w:sz w:val="18"/>
                <w:szCs w:val="18"/>
              </w:rPr>
            </w:pPr>
            <w:r>
              <w:rPr>
                <w:rFonts w:ascii="宋体"/>
                <w:sz w:val="18"/>
              </w:rPr>
              <w:t>931,096.72</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655,370.21</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福建风灵创景科技有限公司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终端软件预装</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2,633.02</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北京风灵创景科技有限公司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终端软件预装</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12,136.90</w:t>
            </w:r>
          </w:p>
        </w:tc>
      </w:tr>
    </w:tbl>
    <w:p>
      <w:pPr>
        <w:pStyle w:val="BodyText"/>
        <w:spacing w:line="240" w:lineRule="auto" w:before="51"/>
        <w:ind w:right="0"/>
        <w:jc w:val="left"/>
      </w:pPr>
      <w:r>
        <w:rPr/>
        <w:t>购销商品、提供和接受劳务的关联交易说明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关联受托管理/承包及委托管理/出包情况" w:id="461"/>
      <w:bookmarkEnd w:id="461"/>
      <w:r>
        <w:rPr>
          <w:b w:val="0"/>
          <w:bCs w:val="0"/>
        </w:rPr>
      </w:r>
      <w:r>
        <w:rPr/>
        <w:t>（</w:t>
      </w:r>
      <w:r>
        <w:rPr>
          <w:rFonts w:ascii="宋体" w:hAnsi="宋体" w:cs="宋体" w:eastAsia="宋体" w:hint="default"/>
        </w:rPr>
        <w:t>2</w:t>
      </w:r>
      <w:r>
        <w:rPr/>
        <w:t>）关联受托管理</w:t>
      </w:r>
      <w:r>
        <w:rPr>
          <w:rFonts w:ascii="宋体" w:hAnsi="宋体" w:cs="宋体" w:eastAsia="宋体" w:hint="default"/>
        </w:rPr>
        <w:t>/</w:t>
      </w:r>
      <w:r>
        <w:rPr/>
        <w:t>承包及委托管理</w:t>
      </w:r>
      <w:r>
        <w:rPr>
          <w:rFonts w:ascii="宋体" w:hAnsi="宋体" w:cs="宋体" w:eastAsia="宋体" w:hint="default"/>
        </w:rPr>
        <w:t>/</w:t>
      </w:r>
      <w:r>
        <w:rPr/>
        <w:t>出包情况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right="0"/>
        <w:jc w:val="left"/>
      </w:pPr>
      <w:r>
        <w:rPr/>
        <w:t>本公司受托管理</w:t>
      </w:r>
      <w:r>
        <w:rPr>
          <w:rFonts w:ascii="宋体" w:hAnsi="宋体" w:cs="宋体" w:eastAsia="宋体" w:hint="default"/>
        </w:rPr>
        <w:t>/</w:t>
      </w:r>
      <w:r>
        <w:rPr/>
        <w:t>承包情况表：</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98" w:right="92" w:hanging="405"/>
              <w:jc w:val="left"/>
              <w:rPr>
                <w:rFonts w:ascii="宋体" w:hAnsi="宋体" w:cs="宋体" w:eastAsia="宋体" w:hint="default"/>
                <w:sz w:val="18"/>
                <w:szCs w:val="18"/>
              </w:rPr>
            </w:pPr>
            <w:r>
              <w:rPr>
                <w:rFonts w:ascii="宋体" w:hAnsi="宋体" w:cs="宋体" w:eastAsia="宋体" w:hint="default"/>
                <w:sz w:val="18"/>
                <w:szCs w:val="18"/>
              </w:rPr>
              <w:t>委托方</w:t>
            </w:r>
            <w:r>
              <w:rPr>
                <w:rFonts w:ascii="宋体" w:hAnsi="宋体" w:cs="宋体" w:eastAsia="宋体" w:hint="default"/>
                <w:sz w:val="18"/>
                <w:szCs w:val="18"/>
              </w:rPr>
              <w:t>/</w:t>
            </w:r>
            <w:r>
              <w:rPr>
                <w:rFonts w:ascii="宋体" w:hAnsi="宋体" w:cs="宋体" w:eastAsia="宋体" w:hint="default"/>
                <w:sz w:val="18"/>
                <w:szCs w:val="18"/>
              </w:rPr>
              <w:t>出包方 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97" w:right="91" w:hanging="405"/>
              <w:jc w:val="left"/>
              <w:rPr>
                <w:rFonts w:ascii="宋体" w:hAnsi="宋体" w:cs="宋体" w:eastAsia="宋体" w:hint="default"/>
                <w:sz w:val="18"/>
                <w:szCs w:val="18"/>
              </w:rPr>
            </w:pPr>
            <w:r>
              <w:rPr>
                <w:rFonts w:ascii="宋体" w:hAnsi="宋体" w:cs="宋体" w:eastAsia="宋体" w:hint="default"/>
                <w:sz w:val="18"/>
                <w:szCs w:val="18"/>
              </w:rPr>
              <w:t>受托方</w:t>
            </w:r>
            <w:r>
              <w:rPr>
                <w:rFonts w:ascii="宋体" w:hAnsi="宋体" w:cs="宋体" w:eastAsia="宋体" w:hint="default"/>
                <w:sz w:val="18"/>
                <w:szCs w:val="18"/>
              </w:rPr>
              <w:t>/</w:t>
            </w:r>
            <w:r>
              <w:rPr>
                <w:rFonts w:ascii="宋体" w:hAnsi="宋体" w:cs="宋体" w:eastAsia="宋体" w:hint="default"/>
                <w:sz w:val="18"/>
                <w:szCs w:val="18"/>
              </w:rPr>
              <w:t>承包方 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98" w:right="93" w:hanging="405"/>
              <w:jc w:val="left"/>
              <w:rPr>
                <w:rFonts w:ascii="宋体" w:hAnsi="宋体" w:cs="宋体" w:eastAsia="宋体" w:hint="default"/>
                <w:sz w:val="18"/>
                <w:szCs w:val="18"/>
              </w:rPr>
            </w:pPr>
            <w:r>
              <w:rPr>
                <w:rFonts w:ascii="宋体" w:hAnsi="宋体" w:cs="宋体" w:eastAsia="宋体" w:hint="default"/>
                <w:sz w:val="18"/>
                <w:szCs w:val="18"/>
              </w:rPr>
              <w:t>受托</w:t>
            </w:r>
            <w:r>
              <w:rPr>
                <w:rFonts w:ascii="宋体" w:hAnsi="宋体" w:cs="宋体" w:eastAsia="宋体" w:hint="default"/>
                <w:sz w:val="18"/>
                <w:szCs w:val="18"/>
              </w:rPr>
              <w:t>/</w:t>
            </w:r>
            <w:r>
              <w:rPr>
                <w:rFonts w:ascii="宋体" w:hAnsi="宋体" w:cs="宋体" w:eastAsia="宋体" w:hint="default"/>
                <w:sz w:val="18"/>
                <w:szCs w:val="18"/>
              </w:rPr>
              <w:t>承包资产 类型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7" w:right="91" w:hanging="495"/>
              <w:jc w:val="left"/>
              <w:rPr>
                <w:rFonts w:ascii="宋体" w:hAnsi="宋体" w:cs="宋体" w:eastAsia="宋体" w:hint="default"/>
                <w:sz w:val="18"/>
                <w:szCs w:val="18"/>
              </w:rPr>
            </w:pPr>
            <w:r>
              <w:rPr>
                <w:rFonts w:ascii="宋体" w:hAnsi="宋体" w:cs="宋体" w:eastAsia="宋体" w:hint="default"/>
                <w:sz w:val="18"/>
                <w:szCs w:val="18"/>
              </w:rPr>
              <w:t>受托</w:t>
            </w:r>
            <w:r>
              <w:rPr>
                <w:rFonts w:ascii="宋体" w:hAnsi="宋体" w:cs="宋体" w:eastAsia="宋体" w:hint="default"/>
                <w:sz w:val="18"/>
                <w:szCs w:val="18"/>
              </w:rPr>
              <w:t>/</w:t>
            </w:r>
            <w:r>
              <w:rPr>
                <w:rFonts w:ascii="宋体" w:hAnsi="宋体" w:cs="宋体" w:eastAsia="宋体" w:hint="default"/>
                <w:sz w:val="18"/>
                <w:szCs w:val="18"/>
              </w:rPr>
              <w:t>承包起始 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9" w:right="91" w:hanging="495"/>
              <w:jc w:val="left"/>
              <w:rPr>
                <w:rFonts w:ascii="宋体" w:hAnsi="宋体" w:cs="宋体" w:eastAsia="宋体" w:hint="default"/>
                <w:sz w:val="18"/>
                <w:szCs w:val="18"/>
              </w:rPr>
            </w:pPr>
            <w:r>
              <w:rPr>
                <w:rFonts w:ascii="宋体" w:hAnsi="宋体" w:cs="宋体" w:eastAsia="宋体" w:hint="default"/>
                <w:sz w:val="18"/>
                <w:szCs w:val="18"/>
              </w:rPr>
              <w:t>受托</w:t>
            </w:r>
            <w:r>
              <w:rPr>
                <w:rFonts w:ascii="宋体" w:hAnsi="宋体" w:cs="宋体" w:eastAsia="宋体" w:hint="default"/>
                <w:sz w:val="18"/>
                <w:szCs w:val="18"/>
              </w:rPr>
              <w:t>/</w:t>
            </w:r>
            <w:r>
              <w:rPr>
                <w:rFonts w:ascii="宋体" w:hAnsi="宋体" w:cs="宋体" w:eastAsia="宋体" w:hint="default"/>
                <w:sz w:val="18"/>
                <w:szCs w:val="18"/>
              </w:rPr>
              <w:t>承包终止 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7" w:right="91" w:hanging="45"/>
              <w:jc w:val="left"/>
              <w:rPr>
                <w:rFonts w:ascii="宋体" w:hAnsi="宋体" w:cs="宋体" w:eastAsia="宋体" w:hint="default"/>
                <w:sz w:val="18"/>
                <w:szCs w:val="18"/>
              </w:rPr>
            </w:pPr>
            <w:r>
              <w:rPr>
                <w:rFonts w:ascii="宋体" w:hAnsi="宋体" w:cs="宋体" w:eastAsia="宋体" w:hint="default"/>
                <w:sz w:val="18"/>
                <w:szCs w:val="18"/>
              </w:rPr>
              <w:t>托管收益</w:t>
            </w:r>
            <w:r>
              <w:rPr>
                <w:rFonts w:ascii="宋体" w:hAnsi="宋体" w:cs="宋体" w:eastAsia="宋体" w:hint="default"/>
                <w:sz w:val="18"/>
                <w:szCs w:val="18"/>
              </w:rPr>
              <w:t>/</w:t>
            </w:r>
            <w:r>
              <w:rPr>
                <w:rFonts w:ascii="宋体" w:hAnsi="宋体" w:cs="宋体" w:eastAsia="宋体" w:hint="default"/>
                <w:sz w:val="18"/>
                <w:szCs w:val="18"/>
              </w:rPr>
              <w:t>承包 收益定价依据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47" w:hanging="46"/>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宋体" w:hAnsi="宋体" w:cs="宋体" w:eastAsia="宋体"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877" w:footer="1187" w:top="1060" w:bottom="1380" w:left="980" w:right="0"/>
        </w:sectPr>
      </w:pPr>
    </w:p>
    <w:p>
      <w:pPr>
        <w:pStyle w:val="BodyText"/>
        <w:spacing w:line="360" w:lineRule="auto" w:before="51"/>
        <w:ind w:right="-20"/>
        <w:jc w:val="left"/>
      </w:pPr>
      <w:r>
        <w:rPr/>
        <w:t>关联托管</w:t>
      </w:r>
      <w:r>
        <w:rPr>
          <w:rFonts w:ascii="宋体" w:hAnsi="宋体" w:cs="宋体" w:eastAsia="宋体" w:hint="default"/>
        </w:rPr>
        <w:t>/</w:t>
      </w:r>
      <w:r>
        <w:rPr/>
        <w:t>承包情况说明 本公司委托管理</w:t>
      </w:r>
      <w:r>
        <w:rPr>
          <w:rFonts w:ascii="宋体" w:hAnsi="宋体" w:cs="宋体" w:eastAsia="宋体"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380" w:left="980" w:right="0"/>
          <w:cols w:num="2" w:equalWidth="0">
            <w:col w:w="2585" w:space="624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8" w:right="92" w:hanging="405"/>
              <w:jc w:val="left"/>
              <w:rPr>
                <w:rFonts w:ascii="宋体" w:hAnsi="宋体" w:cs="宋体" w:eastAsia="宋体" w:hint="default"/>
                <w:sz w:val="18"/>
                <w:szCs w:val="18"/>
              </w:rPr>
            </w:pPr>
            <w:r>
              <w:rPr>
                <w:rFonts w:ascii="宋体" w:hAnsi="宋体" w:cs="宋体" w:eastAsia="宋体" w:hint="default"/>
                <w:sz w:val="18"/>
                <w:szCs w:val="18"/>
              </w:rPr>
              <w:t>委托方</w:t>
            </w:r>
            <w:r>
              <w:rPr>
                <w:rFonts w:ascii="宋体" w:hAnsi="宋体" w:cs="宋体" w:eastAsia="宋体" w:hint="default"/>
                <w:sz w:val="18"/>
                <w:szCs w:val="18"/>
              </w:rPr>
              <w:t>/</w:t>
            </w:r>
            <w:r>
              <w:rPr>
                <w:rFonts w:ascii="宋体" w:hAnsi="宋体" w:cs="宋体" w:eastAsia="宋体" w:hint="default"/>
                <w:sz w:val="18"/>
                <w:szCs w:val="18"/>
              </w:rPr>
              <w:t>出包方 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7" w:right="91" w:hanging="405"/>
              <w:jc w:val="left"/>
              <w:rPr>
                <w:rFonts w:ascii="宋体" w:hAnsi="宋体" w:cs="宋体" w:eastAsia="宋体" w:hint="default"/>
                <w:sz w:val="18"/>
                <w:szCs w:val="18"/>
              </w:rPr>
            </w:pPr>
            <w:r>
              <w:rPr>
                <w:rFonts w:ascii="宋体" w:hAnsi="宋体" w:cs="宋体" w:eastAsia="宋体" w:hint="default"/>
                <w:sz w:val="18"/>
                <w:szCs w:val="18"/>
              </w:rPr>
              <w:t>受托方</w:t>
            </w:r>
            <w:r>
              <w:rPr>
                <w:rFonts w:ascii="宋体" w:hAnsi="宋体" w:cs="宋体" w:eastAsia="宋体" w:hint="default"/>
                <w:sz w:val="18"/>
                <w:szCs w:val="18"/>
              </w:rPr>
              <w:t>/</w:t>
            </w:r>
            <w:r>
              <w:rPr>
                <w:rFonts w:ascii="宋体" w:hAnsi="宋体" w:cs="宋体" w:eastAsia="宋体" w:hint="default"/>
                <w:sz w:val="18"/>
                <w:szCs w:val="18"/>
              </w:rPr>
              <w:t>承包方 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8" w:right="93" w:hanging="405"/>
              <w:jc w:val="left"/>
              <w:rPr>
                <w:rFonts w:ascii="宋体" w:hAnsi="宋体" w:cs="宋体" w:eastAsia="宋体" w:hint="default"/>
                <w:sz w:val="18"/>
                <w:szCs w:val="18"/>
              </w:rPr>
            </w:pPr>
            <w:r>
              <w:rPr>
                <w:rFonts w:ascii="宋体" w:hAnsi="宋体" w:cs="宋体" w:eastAsia="宋体" w:hint="default"/>
                <w:sz w:val="18"/>
                <w:szCs w:val="18"/>
              </w:rPr>
              <w:t>委托</w:t>
            </w:r>
            <w:r>
              <w:rPr>
                <w:rFonts w:ascii="宋体" w:hAnsi="宋体" w:cs="宋体" w:eastAsia="宋体" w:hint="default"/>
                <w:sz w:val="18"/>
                <w:szCs w:val="18"/>
              </w:rPr>
              <w:t>/</w:t>
            </w:r>
            <w:r>
              <w:rPr>
                <w:rFonts w:ascii="宋体" w:hAnsi="宋体" w:cs="宋体" w:eastAsia="宋体" w:hint="default"/>
                <w:sz w:val="18"/>
                <w:szCs w:val="18"/>
              </w:rPr>
              <w:t>出包资产 类型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91" w:hanging="495"/>
              <w:jc w:val="left"/>
              <w:rPr>
                <w:rFonts w:ascii="宋体" w:hAnsi="宋体" w:cs="宋体" w:eastAsia="宋体" w:hint="default"/>
                <w:sz w:val="18"/>
                <w:szCs w:val="18"/>
              </w:rPr>
            </w:pPr>
            <w:r>
              <w:rPr>
                <w:rFonts w:ascii="宋体" w:hAnsi="宋体" w:cs="宋体" w:eastAsia="宋体" w:hint="default"/>
                <w:sz w:val="18"/>
                <w:szCs w:val="18"/>
              </w:rPr>
              <w:t>委托</w:t>
            </w:r>
            <w:r>
              <w:rPr>
                <w:rFonts w:ascii="宋体" w:hAnsi="宋体" w:cs="宋体" w:eastAsia="宋体" w:hint="default"/>
                <w:sz w:val="18"/>
                <w:szCs w:val="18"/>
              </w:rPr>
              <w:t>/</w:t>
            </w:r>
            <w:r>
              <w:rPr>
                <w:rFonts w:ascii="宋体" w:hAnsi="宋体" w:cs="宋体" w:eastAsia="宋体" w:hint="default"/>
                <w:sz w:val="18"/>
                <w:szCs w:val="18"/>
              </w:rPr>
              <w:t>出包起始 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9" w:right="91" w:hanging="495"/>
              <w:jc w:val="left"/>
              <w:rPr>
                <w:rFonts w:ascii="宋体" w:hAnsi="宋体" w:cs="宋体" w:eastAsia="宋体" w:hint="default"/>
                <w:sz w:val="18"/>
                <w:szCs w:val="18"/>
              </w:rPr>
            </w:pPr>
            <w:r>
              <w:rPr>
                <w:rFonts w:ascii="宋体" w:hAnsi="宋体" w:cs="宋体" w:eastAsia="宋体" w:hint="default"/>
                <w:sz w:val="18"/>
                <w:szCs w:val="18"/>
              </w:rPr>
              <w:t>委托</w:t>
            </w:r>
            <w:r>
              <w:rPr>
                <w:rFonts w:ascii="宋体" w:hAnsi="宋体" w:cs="宋体" w:eastAsia="宋体" w:hint="default"/>
                <w:sz w:val="18"/>
                <w:szCs w:val="18"/>
              </w:rPr>
              <w:t>/</w:t>
            </w:r>
            <w:r>
              <w:rPr>
                <w:rFonts w:ascii="宋体" w:hAnsi="宋体" w:cs="宋体" w:eastAsia="宋体" w:hint="default"/>
                <w:sz w:val="18"/>
                <w:szCs w:val="18"/>
              </w:rPr>
              <w:t>出包终止 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91" w:hanging="225"/>
              <w:jc w:val="left"/>
              <w:rPr>
                <w:rFonts w:ascii="宋体" w:hAnsi="宋体" w:cs="宋体" w:eastAsia="宋体" w:hint="default"/>
                <w:sz w:val="18"/>
                <w:szCs w:val="18"/>
              </w:rPr>
            </w:pPr>
            <w:r>
              <w:rPr>
                <w:rFonts w:ascii="宋体" w:hAnsi="宋体" w:cs="宋体" w:eastAsia="宋体" w:hint="default"/>
                <w:sz w:val="18"/>
                <w:szCs w:val="18"/>
              </w:rPr>
              <w:t>托管费</w:t>
            </w:r>
            <w:r>
              <w:rPr>
                <w:rFonts w:ascii="宋体" w:hAnsi="宋体" w:cs="宋体" w:eastAsia="宋体" w:hint="default"/>
                <w:sz w:val="18"/>
                <w:szCs w:val="18"/>
              </w:rPr>
              <w:t>/</w:t>
            </w:r>
            <w:r>
              <w:rPr>
                <w:rFonts w:ascii="宋体" w:hAnsi="宋体" w:cs="宋体" w:eastAsia="宋体" w:hint="default"/>
                <w:sz w:val="18"/>
                <w:szCs w:val="18"/>
              </w:rPr>
              <w:t>出包费 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47" w:hanging="226"/>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宋体" w:hAnsi="宋体" w:cs="宋体" w:eastAsia="宋体" w:hint="default"/>
                <w:sz w:val="18"/>
                <w:szCs w:val="18"/>
              </w:rPr>
              <w:t>/</w:t>
            </w:r>
            <w:r>
              <w:rPr>
                <w:rFonts w:ascii="宋体" w:hAnsi="宋体" w:cs="宋体" w:eastAsia="宋体" w:hint="default"/>
                <w:sz w:val="18"/>
                <w:szCs w:val="18"/>
              </w:rPr>
              <w:t>出包费</w:t>
            </w:r>
          </w:p>
        </w:tc>
      </w:tr>
    </w:tbl>
    <w:p>
      <w:pPr>
        <w:pStyle w:val="BodyText"/>
        <w:spacing w:line="240" w:lineRule="auto" w:before="52"/>
        <w:ind w:right="0"/>
        <w:jc w:val="left"/>
      </w:pPr>
      <w:r>
        <w:rPr/>
        <w:t>关联管理</w:t>
      </w:r>
      <w:r>
        <w:rPr>
          <w:rFonts w:ascii="宋体" w:hAnsi="宋体" w:cs="宋体" w:eastAsia="宋体" w:hint="default"/>
        </w:rPr>
        <w:t>/</w:t>
      </w:r>
      <w:r>
        <w:rPr/>
        <w:t>出包情况说明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关联租赁情况" w:id="462"/>
      <w:bookmarkEnd w:id="462"/>
      <w:r>
        <w:rPr>
          <w:b w:val="0"/>
          <w:bCs w:val="0"/>
        </w:rPr>
      </w:r>
      <w:r>
        <w:rPr/>
        <w:t>（</w:t>
      </w:r>
      <w:r>
        <w:rPr>
          <w:rFonts w:ascii="宋体" w:hAnsi="宋体" w:cs="宋体" w:eastAsia="宋体" w:hint="default"/>
        </w:rPr>
        <w:t>3</w:t>
      </w:r>
      <w:r>
        <w:rPr/>
        <w:t>）关联租赁情况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right="0"/>
        <w:jc w:val="left"/>
      </w:pPr>
      <w:r>
        <w:rPr/>
        <w:t>本公司作为出租方：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right="0"/>
        <w:jc w:val="left"/>
      </w:pPr>
      <w:r>
        <w:rPr/>
        <w:t>本公司作为承租方：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智度集团有限公司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79" w:right="0"/>
              <w:jc w:val="left"/>
              <w:rPr>
                <w:rFonts w:ascii="宋体" w:hAnsi="宋体" w:cs="宋体" w:eastAsia="宋体" w:hint="default"/>
                <w:sz w:val="18"/>
                <w:szCs w:val="18"/>
              </w:rPr>
            </w:pPr>
            <w:r>
              <w:rPr>
                <w:rFonts w:ascii="宋体"/>
                <w:sz w:val="18"/>
              </w:rPr>
              <w:t>7,144,328.69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关联租赁情况说明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关联担保情况" w:id="463"/>
      <w:bookmarkEnd w:id="463"/>
      <w:r>
        <w:rPr>
          <w:b w:val="0"/>
          <w:bCs w:val="0"/>
        </w:rPr>
      </w:r>
      <w:r>
        <w:rPr/>
        <w:t>（</w:t>
      </w:r>
      <w:r>
        <w:rPr>
          <w:rFonts w:ascii="宋体" w:hAnsi="宋体" w:cs="宋体" w:eastAsia="宋体" w:hint="default"/>
        </w:rPr>
        <w:t>4</w:t>
      </w:r>
      <w:r>
        <w:rPr/>
        <w:t>）关联担保情况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right="0"/>
        <w:jc w:val="left"/>
      </w:pPr>
      <w:r>
        <w:rPr/>
        <w:t>本公司作为担保方</w:t>
      </w:r>
    </w:p>
    <w:p>
      <w:pPr>
        <w:pStyle w:val="BodyText"/>
        <w:spacing w:line="240" w:lineRule="auto" w:before="116"/>
        <w:ind w:left="0" w:right="1130"/>
        <w:jc w:val="right"/>
      </w:pPr>
      <w:r>
        <w:rPr/>
        <w:t>单位： 元</w:t>
      </w:r>
    </w:p>
    <w:p>
      <w:pPr>
        <w:spacing w:after="0" w:line="240" w:lineRule="auto"/>
        <w:jc w:val="right"/>
        <w:sectPr>
          <w:type w:val="continuous"/>
          <w:pgSz w:w="11910" w:h="16840"/>
          <w:pgMar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19"/>
        <w:gridCol w:w="1277"/>
        <w:gridCol w:w="1700"/>
        <w:gridCol w:w="1560"/>
        <w:gridCol w:w="1914"/>
      </w:tblGrid>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4"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Eightpoint Technologies Ltd.</w:t>
            </w:r>
            <w:r>
              <w:rPr>
                <w:rFonts w:ascii="宋体" w:hAnsi="宋体" w:cs="宋体" w:eastAsia="宋体" w:hint="default"/>
                <w:sz w:val="18"/>
                <w:szCs w:val="18"/>
              </w:rPr>
              <w:t>（</w:t>
            </w:r>
            <w:r>
              <w:rPr>
                <w:rFonts w:ascii="宋体" w:hAnsi="宋体" w:cs="宋体" w:eastAsia="宋体" w:hint="default"/>
                <w:sz w:val="18"/>
                <w:szCs w:val="18"/>
              </w:rPr>
              <w:t>USD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6" w:right="22"/>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1"/>
                <w:sz w:val="18"/>
                <w:szCs w:val="18"/>
              </w:rPr>
              <w:t> </w:t>
            </w:r>
            <w:r>
              <w:rPr>
                <w:rFonts w:ascii="宋体" w:hAnsi="宋体" w:cs="宋体" w:eastAsia="宋体" w:hint="default"/>
                <w:sz w:val="18"/>
                <w:szCs w:val="18"/>
              </w:rPr>
              <w:t>29,000,000.00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上海猎鹰公司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上海猎鹰公司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上海猎鹰公司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上海猎鹰公司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pict>
          <v:group style="position:absolute;margin-left:212.899994pt;margin-top:-101.108292pt;width:62.2pt;height:20.8pt;mso-position-horizontal-relative:page;mso-position-vertical-relative:paragraph;z-index:-1180888" coordorigin="4258,-2022" coordsize="1244,416">
            <v:group style="position:absolute;left:4269;top:-2011;width:2;height:393" coordorigin="4269,-2011" coordsize="2,393">
              <v:shape style="position:absolute;left:4269;top:-2011;width:2;height:393" coordorigin="4269,-2011" coordsize="0,393" path="m4269,-2011l4269,-1618e" filled="false" stroked="true" strokeweight="1.140pt" strokecolor="#ffffff">
                <v:path arrowok="t"/>
              </v:shape>
            </v:group>
            <v:group style="position:absolute;left:4281;top:-2011;width:1221;height:393" coordorigin="4281,-2011" coordsize="1221,393">
              <v:shape style="position:absolute;left:4281;top:-2011;width:1221;height:393" coordorigin="4281,-2011" coordsize="1221,393" path="m4281,-1618l5502,-1618,5502,-2011,4281,-2011,4281,-1618xe" filled="true" fillcolor="#ffffff" stroked="false">
                <v:path arrowok="t"/>
                <v:fill type="solid"/>
              </v:shape>
            </v:group>
            <w10:wrap type="none"/>
          </v:group>
        </w:pict>
      </w:r>
      <w:r>
        <w:rPr/>
        <w:t>本公司作为被担保方</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2"/>
        <w:ind w:right="0"/>
        <w:jc w:val="left"/>
      </w:pPr>
      <w:r>
        <w:rPr/>
        <w:t>关联担保情况说明</w:t>
      </w:r>
    </w:p>
    <w:p>
      <w:pPr>
        <w:spacing w:line="240" w:lineRule="auto" w:before="13"/>
        <w:rPr>
          <w:rFonts w:ascii="宋体" w:hAnsi="宋体" w:cs="宋体" w:eastAsia="宋体" w:hint="default"/>
          <w:sz w:val="7"/>
          <w:szCs w:val="7"/>
        </w:rPr>
      </w:pPr>
    </w:p>
    <w:tbl>
      <w:tblPr>
        <w:tblW w:w="0" w:type="auto"/>
        <w:jc w:val="left"/>
        <w:tblInd w:w="153" w:type="dxa"/>
        <w:tblLayout w:type="fixed"/>
        <w:tblCellMar>
          <w:top w:w="0" w:type="dxa"/>
          <w:left w:w="0" w:type="dxa"/>
          <w:bottom w:w="0" w:type="dxa"/>
          <w:right w:w="0" w:type="dxa"/>
        </w:tblCellMar>
        <w:tblLook w:val="01E0"/>
      </w:tblPr>
      <w:tblGrid>
        <w:gridCol w:w="1532"/>
        <w:gridCol w:w="1895"/>
        <w:gridCol w:w="1104"/>
        <w:gridCol w:w="1415"/>
        <w:gridCol w:w="1814"/>
        <w:gridCol w:w="1735"/>
      </w:tblGrid>
      <w:tr>
        <w:trPr>
          <w:trHeight w:val="343" w:hRule="exact"/>
        </w:trPr>
        <w:tc>
          <w:tcPr>
            <w:tcW w:w="1532" w:type="dxa"/>
            <w:vMerge w:val="restart"/>
            <w:tcBorders>
              <w:top w:val="single" w:sz="4" w:space="0" w:color="000000"/>
              <w:left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担保方</w:t>
            </w:r>
            <w:r>
              <w:rPr>
                <w:rFonts w:ascii="宋体" w:hAnsi="宋体" w:cs="宋体" w:eastAsia="宋体" w:hint="default"/>
                <w:sz w:val="18"/>
                <w:szCs w:val="18"/>
              </w:rPr>
            </w:r>
          </w:p>
        </w:tc>
        <w:tc>
          <w:tcPr>
            <w:tcW w:w="1895" w:type="dxa"/>
            <w:vMerge w:val="restart"/>
            <w:tcBorders>
              <w:top w:val="single" w:sz="4" w:space="0" w:color="000000"/>
              <w:left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被担保方</w:t>
            </w:r>
            <w:r>
              <w:rPr>
                <w:rFonts w:ascii="宋体" w:hAnsi="宋体" w:cs="宋体" w:eastAsia="宋体" w:hint="default"/>
                <w:sz w:val="18"/>
                <w:szCs w:val="18"/>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b/>
                <w:bCs/>
                <w:sz w:val="18"/>
                <w:szCs w:val="18"/>
              </w:rPr>
              <w:t>担保金额</w:t>
            </w:r>
            <w:r>
              <w:rPr>
                <w:rFonts w:ascii="宋体" w:hAnsi="宋体" w:cs="宋体" w:eastAsia="宋体" w:hint="default"/>
                <w:sz w:val="18"/>
                <w:szCs w:val="18"/>
              </w:rPr>
            </w:r>
          </w:p>
        </w:tc>
        <w:tc>
          <w:tcPr>
            <w:tcW w:w="1415" w:type="dxa"/>
            <w:vMerge w:val="restart"/>
            <w:tcBorders>
              <w:top w:val="single" w:sz="4" w:space="0" w:color="000000"/>
              <w:left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担保起始日</w:t>
            </w:r>
            <w:r>
              <w:rPr>
                <w:rFonts w:ascii="宋体" w:hAnsi="宋体" w:cs="宋体" w:eastAsia="宋体" w:hint="default"/>
                <w:sz w:val="18"/>
                <w:szCs w:val="18"/>
              </w:rPr>
            </w:r>
          </w:p>
        </w:tc>
        <w:tc>
          <w:tcPr>
            <w:tcW w:w="1814" w:type="dxa"/>
            <w:vMerge w:val="restart"/>
            <w:tcBorders>
              <w:top w:val="single" w:sz="4" w:space="0" w:color="000000"/>
              <w:left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b/>
                <w:bCs/>
                <w:sz w:val="18"/>
                <w:szCs w:val="18"/>
              </w:rPr>
              <w:t>担保终止日</w:t>
            </w:r>
            <w:r>
              <w:rPr>
                <w:rFonts w:ascii="宋体" w:hAnsi="宋体" w:cs="宋体" w:eastAsia="宋体" w:hint="default"/>
                <w:sz w:val="18"/>
                <w:szCs w:val="18"/>
              </w:rPr>
            </w:r>
          </w:p>
        </w:tc>
        <w:tc>
          <w:tcPr>
            <w:tcW w:w="1735" w:type="dxa"/>
            <w:vMerge w:val="restart"/>
            <w:tcBorders>
              <w:top w:val="single" w:sz="4" w:space="0" w:color="000000"/>
              <w:left w:val="single" w:sz="4" w:space="0" w:color="000000"/>
              <w:right w:val="single" w:sz="4" w:space="0" w:color="000000"/>
            </w:tcBorders>
          </w:tcPr>
          <w:p>
            <w:pPr>
              <w:pStyle w:val="TableParagraph"/>
              <w:spacing w:line="316" w:lineRule="auto" w:before="21"/>
              <w:ind w:left="4" w:right="5"/>
              <w:jc w:val="left"/>
              <w:rPr>
                <w:rFonts w:ascii="宋体" w:hAnsi="宋体" w:cs="宋体" w:eastAsia="宋体" w:hint="default"/>
                <w:sz w:val="18"/>
                <w:szCs w:val="18"/>
              </w:rPr>
            </w:pPr>
            <w:r>
              <w:rPr>
                <w:rFonts w:ascii="宋体" w:hAnsi="宋体" w:cs="宋体" w:eastAsia="宋体" w:hint="default"/>
                <w:b/>
                <w:bCs/>
                <w:spacing w:val="9"/>
                <w:sz w:val="18"/>
                <w:szCs w:val="18"/>
              </w:rPr>
              <w:t>担保是否已经履行完</w:t>
            </w:r>
            <w:r>
              <w:rPr>
                <w:rFonts w:ascii="宋体" w:hAnsi="宋体" w:cs="宋体" w:eastAsia="宋体" w:hint="default"/>
                <w:b/>
                <w:bCs/>
                <w:w w:val="99"/>
                <w:sz w:val="18"/>
                <w:szCs w:val="18"/>
              </w:rPr>
              <w:t> </w:t>
            </w:r>
            <w:r>
              <w:rPr>
                <w:rFonts w:ascii="宋体" w:hAnsi="宋体" w:cs="宋体" w:eastAsia="宋体" w:hint="default"/>
                <w:b/>
                <w:bCs/>
                <w:sz w:val="18"/>
                <w:szCs w:val="18"/>
              </w:rPr>
              <w:t>毕</w:t>
            </w:r>
            <w:r>
              <w:rPr>
                <w:rFonts w:ascii="宋体" w:hAnsi="宋体" w:cs="宋体" w:eastAsia="宋体" w:hint="default"/>
                <w:sz w:val="18"/>
                <w:szCs w:val="18"/>
              </w:rPr>
            </w:r>
          </w:p>
        </w:tc>
      </w:tr>
      <w:tr>
        <w:trPr>
          <w:trHeight w:val="343" w:hRule="exact"/>
        </w:trPr>
        <w:tc>
          <w:tcPr>
            <w:tcW w:w="1532" w:type="dxa"/>
            <w:vMerge/>
            <w:tcBorders>
              <w:left w:val="single" w:sz="4" w:space="0" w:color="000000"/>
              <w:bottom w:val="single" w:sz="4" w:space="0" w:color="000000"/>
              <w:right w:val="single" w:sz="4" w:space="0" w:color="000000"/>
            </w:tcBorders>
          </w:tcPr>
          <w:p>
            <w:pPr/>
          </w:p>
        </w:tc>
        <w:tc>
          <w:tcPr>
            <w:tcW w:w="1895" w:type="dxa"/>
            <w:vMerge/>
            <w:tcBorders>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万元</w:t>
            </w:r>
            <w:r>
              <w:rPr>
                <w:rFonts w:ascii="宋体" w:hAnsi="宋体" w:cs="宋体" w:eastAsia="宋体" w:hint="default"/>
                <w:b/>
                <w:bCs/>
                <w:sz w:val="18"/>
                <w:szCs w:val="18"/>
              </w:rPr>
              <w:t>)</w:t>
            </w:r>
            <w:r>
              <w:rPr>
                <w:rFonts w:ascii="宋体" w:hAnsi="宋体" w:cs="宋体" w:eastAsia="宋体" w:hint="default"/>
                <w:sz w:val="18"/>
                <w:szCs w:val="18"/>
              </w:rPr>
            </w:r>
          </w:p>
        </w:tc>
        <w:tc>
          <w:tcPr>
            <w:tcW w:w="1415" w:type="dxa"/>
            <w:vMerge/>
            <w:tcBorders>
              <w:left w:val="single" w:sz="4" w:space="0" w:color="000000"/>
              <w:bottom w:val="single" w:sz="4" w:space="0" w:color="000000"/>
              <w:right w:val="single" w:sz="4" w:space="0" w:color="000000"/>
            </w:tcBorders>
          </w:tcPr>
          <w:p>
            <w:pPr/>
          </w:p>
        </w:tc>
        <w:tc>
          <w:tcPr>
            <w:tcW w:w="1814" w:type="dxa"/>
            <w:vMerge/>
            <w:tcBorders>
              <w:left w:val="single" w:sz="4" w:space="0" w:color="000000"/>
              <w:bottom w:val="single" w:sz="4" w:space="0" w:color="000000"/>
              <w:right w:val="single" w:sz="4" w:space="0" w:color="000000"/>
            </w:tcBorders>
          </w:tcPr>
          <w:p>
            <w:pPr/>
          </w:p>
        </w:tc>
        <w:tc>
          <w:tcPr>
            <w:tcW w:w="1735" w:type="dxa"/>
            <w:vMerge/>
            <w:tcBorders>
              <w:left w:val="single" w:sz="4" w:space="0" w:color="000000"/>
              <w:bottom w:val="single" w:sz="4" w:space="0" w:color="000000"/>
              <w:right w:val="single" w:sz="4" w:space="0" w:color="000000"/>
            </w:tcBorders>
          </w:tcPr>
          <w:p>
            <w:pPr/>
          </w:p>
        </w:tc>
      </w:tr>
      <w:tr>
        <w:trPr>
          <w:trHeight w:val="343"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深圳范特西公司</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上海猎鹰公司</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4,000.00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2017/4/27</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sz w:val="18"/>
              </w:rPr>
              <w:t>2020/4/27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3"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深圳范特西公司</w:t>
            </w:r>
          </w:p>
        </w:tc>
        <w:tc>
          <w:tcPr>
            <w:tcW w:w="1895" w:type="dxa"/>
            <w:vMerge w:val="restart"/>
            <w:tcBorders>
              <w:top w:val="single" w:sz="4" w:space="0" w:color="000000"/>
              <w:left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上海猎鹰公司</w:t>
            </w:r>
          </w:p>
        </w:tc>
        <w:tc>
          <w:tcPr>
            <w:tcW w:w="1104" w:type="dxa"/>
            <w:vMerge w:val="restart"/>
            <w:tcBorders>
              <w:top w:val="single" w:sz="4" w:space="0" w:color="000000"/>
              <w:left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sz w:val="18"/>
              </w:rPr>
              <w:t>3,000.00</w:t>
            </w:r>
          </w:p>
        </w:tc>
        <w:tc>
          <w:tcPr>
            <w:tcW w:w="1415" w:type="dxa"/>
            <w:vMerge w:val="restart"/>
            <w:tcBorders>
              <w:top w:val="single" w:sz="4" w:space="0" w:color="000000"/>
              <w:left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2017/7/7</w:t>
            </w:r>
          </w:p>
        </w:tc>
        <w:tc>
          <w:tcPr>
            <w:tcW w:w="1814" w:type="dxa"/>
            <w:vMerge w:val="restart"/>
            <w:tcBorders>
              <w:top w:val="single" w:sz="4" w:space="0" w:color="000000"/>
              <w:left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sz w:val="18"/>
              </w:rPr>
              <w:t>2018/7/6</w:t>
            </w:r>
          </w:p>
        </w:tc>
        <w:tc>
          <w:tcPr>
            <w:tcW w:w="1735" w:type="dxa"/>
            <w:vMerge w:val="restart"/>
            <w:tcBorders>
              <w:top w:val="single" w:sz="4" w:space="0" w:color="000000"/>
              <w:left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2"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肖燕</w:t>
            </w:r>
          </w:p>
        </w:tc>
        <w:tc>
          <w:tcPr>
            <w:tcW w:w="1895"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c>
          <w:tcPr>
            <w:tcW w:w="1415" w:type="dxa"/>
            <w:vMerge/>
            <w:tcBorders>
              <w:left w:val="single" w:sz="4" w:space="0" w:color="000000"/>
              <w:bottom w:val="single" w:sz="4" w:space="0" w:color="000000"/>
              <w:right w:val="single" w:sz="4" w:space="0" w:color="000000"/>
            </w:tcBorders>
          </w:tcPr>
          <w:p>
            <w:pPr/>
          </w:p>
        </w:tc>
        <w:tc>
          <w:tcPr>
            <w:tcW w:w="1814" w:type="dxa"/>
            <w:vMerge/>
            <w:tcBorders>
              <w:left w:val="single" w:sz="4" w:space="0" w:color="000000"/>
              <w:bottom w:val="single" w:sz="4" w:space="0" w:color="000000"/>
              <w:right w:val="single" w:sz="4" w:space="0" w:color="000000"/>
            </w:tcBorders>
          </w:tcPr>
          <w:p>
            <w:pPr/>
          </w:p>
        </w:tc>
        <w:tc>
          <w:tcPr>
            <w:tcW w:w="1735" w:type="dxa"/>
            <w:vMerge/>
            <w:tcBorders>
              <w:left w:val="single" w:sz="4" w:space="0" w:color="000000"/>
              <w:bottom w:val="single" w:sz="4" w:space="0" w:color="000000"/>
              <w:right w:val="single" w:sz="4" w:space="0" w:color="000000"/>
            </w:tcBorders>
          </w:tcPr>
          <w:p>
            <w:pPr/>
          </w:p>
        </w:tc>
      </w:tr>
      <w:tr>
        <w:trPr>
          <w:trHeight w:val="343"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上海亦复信息公司</w:t>
            </w:r>
          </w:p>
        </w:tc>
        <w:tc>
          <w:tcPr>
            <w:tcW w:w="1895" w:type="dxa"/>
            <w:vMerge w:val="restart"/>
            <w:tcBorders>
              <w:top w:val="single" w:sz="4" w:space="0" w:color="000000"/>
              <w:left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上海菲索广告有限公司</w:t>
            </w:r>
          </w:p>
        </w:tc>
        <w:tc>
          <w:tcPr>
            <w:tcW w:w="1104" w:type="dxa"/>
            <w:vMerge w:val="restart"/>
            <w:tcBorders>
              <w:top w:val="single" w:sz="4" w:space="0" w:color="000000"/>
              <w:left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3,000.00</w:t>
            </w:r>
          </w:p>
        </w:tc>
        <w:tc>
          <w:tcPr>
            <w:tcW w:w="1415" w:type="dxa"/>
            <w:vMerge w:val="restart"/>
            <w:tcBorders>
              <w:top w:val="single" w:sz="4" w:space="0" w:color="000000"/>
              <w:left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tc>
        <w:tc>
          <w:tcPr>
            <w:tcW w:w="1814" w:type="dxa"/>
            <w:vMerge w:val="restart"/>
            <w:tcBorders>
              <w:top w:val="single" w:sz="4" w:space="0" w:color="000000"/>
              <w:left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tc>
        <w:tc>
          <w:tcPr>
            <w:tcW w:w="1735" w:type="dxa"/>
            <w:vMerge w:val="restart"/>
            <w:tcBorders>
              <w:top w:val="single" w:sz="4" w:space="0" w:color="000000"/>
              <w:left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3"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1895"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c>
          <w:tcPr>
            <w:tcW w:w="1415" w:type="dxa"/>
            <w:vMerge/>
            <w:tcBorders>
              <w:left w:val="single" w:sz="4" w:space="0" w:color="000000"/>
              <w:bottom w:val="single" w:sz="4" w:space="0" w:color="000000"/>
              <w:right w:val="single" w:sz="4" w:space="0" w:color="000000"/>
            </w:tcBorders>
          </w:tcPr>
          <w:p>
            <w:pPr/>
          </w:p>
        </w:tc>
        <w:tc>
          <w:tcPr>
            <w:tcW w:w="1814" w:type="dxa"/>
            <w:vMerge/>
            <w:tcBorders>
              <w:left w:val="single" w:sz="4" w:space="0" w:color="000000"/>
              <w:bottom w:val="single" w:sz="4" w:space="0" w:color="000000"/>
              <w:right w:val="single" w:sz="4" w:space="0" w:color="000000"/>
            </w:tcBorders>
          </w:tcPr>
          <w:p>
            <w:pPr/>
          </w:p>
        </w:tc>
        <w:tc>
          <w:tcPr>
            <w:tcW w:w="1735" w:type="dxa"/>
            <w:vMerge/>
            <w:tcBorders>
              <w:left w:val="single" w:sz="4" w:space="0" w:color="000000"/>
              <w:bottom w:val="single" w:sz="4" w:space="0" w:color="000000"/>
              <w:right w:val="single" w:sz="4" w:space="0" w:color="000000"/>
            </w:tcBorders>
          </w:tcPr>
          <w:p>
            <w:pPr/>
          </w:p>
        </w:tc>
      </w:tr>
      <w:tr>
        <w:trPr>
          <w:trHeight w:val="343"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上海亦复信息公司</w:t>
            </w:r>
          </w:p>
        </w:tc>
        <w:tc>
          <w:tcPr>
            <w:tcW w:w="1895" w:type="dxa"/>
            <w:vMerge w:val="restart"/>
            <w:tcBorders>
              <w:top w:val="single" w:sz="4" w:space="0" w:color="000000"/>
              <w:left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上海佑迎广告有限公司</w:t>
            </w:r>
          </w:p>
        </w:tc>
        <w:tc>
          <w:tcPr>
            <w:tcW w:w="1104" w:type="dxa"/>
            <w:vMerge w:val="restart"/>
            <w:tcBorders>
              <w:top w:val="single" w:sz="4" w:space="0" w:color="000000"/>
              <w:left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2,000.00</w:t>
            </w:r>
          </w:p>
        </w:tc>
        <w:tc>
          <w:tcPr>
            <w:tcW w:w="1415" w:type="dxa"/>
            <w:vMerge w:val="restart"/>
            <w:tcBorders>
              <w:top w:val="single" w:sz="4" w:space="0" w:color="000000"/>
              <w:left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2016/12/15</w:t>
            </w:r>
          </w:p>
        </w:tc>
        <w:tc>
          <w:tcPr>
            <w:tcW w:w="1814" w:type="dxa"/>
            <w:vMerge w:val="restart"/>
            <w:tcBorders>
              <w:top w:val="single" w:sz="4" w:space="0" w:color="000000"/>
              <w:left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sz w:val="18"/>
              </w:rPr>
              <w:t>2017/12/14</w:t>
            </w:r>
          </w:p>
        </w:tc>
        <w:tc>
          <w:tcPr>
            <w:tcW w:w="1735" w:type="dxa"/>
            <w:vMerge w:val="restart"/>
            <w:tcBorders>
              <w:top w:val="single" w:sz="4" w:space="0" w:color="000000"/>
              <w:left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4"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1895"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c>
          <w:tcPr>
            <w:tcW w:w="1415" w:type="dxa"/>
            <w:vMerge/>
            <w:tcBorders>
              <w:left w:val="single" w:sz="4" w:space="0" w:color="000000"/>
              <w:bottom w:val="single" w:sz="4" w:space="0" w:color="000000"/>
              <w:right w:val="single" w:sz="4" w:space="0" w:color="000000"/>
            </w:tcBorders>
          </w:tcPr>
          <w:p>
            <w:pPr/>
          </w:p>
        </w:tc>
        <w:tc>
          <w:tcPr>
            <w:tcW w:w="1814" w:type="dxa"/>
            <w:vMerge/>
            <w:tcBorders>
              <w:left w:val="single" w:sz="4" w:space="0" w:color="000000"/>
              <w:bottom w:val="single" w:sz="4" w:space="0" w:color="000000"/>
              <w:right w:val="single" w:sz="4" w:space="0" w:color="000000"/>
            </w:tcBorders>
          </w:tcPr>
          <w:p>
            <w:pPr/>
          </w:p>
        </w:tc>
        <w:tc>
          <w:tcPr>
            <w:tcW w:w="1735" w:type="dxa"/>
            <w:vMerge/>
            <w:tcBorders>
              <w:left w:val="single" w:sz="4" w:space="0" w:color="000000"/>
              <w:bottom w:val="single" w:sz="4" w:space="0" w:color="000000"/>
              <w:right w:val="single" w:sz="4" w:space="0" w:color="000000"/>
            </w:tcBorders>
          </w:tcPr>
          <w:p>
            <w:pPr/>
          </w:p>
        </w:tc>
      </w:tr>
      <w:tr>
        <w:trPr>
          <w:trHeight w:val="343"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上海范特西公司</w:t>
            </w:r>
          </w:p>
        </w:tc>
        <w:tc>
          <w:tcPr>
            <w:tcW w:w="1895" w:type="dxa"/>
            <w:vMerge w:val="restart"/>
            <w:tcBorders>
              <w:top w:val="single" w:sz="4" w:space="0" w:color="000000"/>
              <w:left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深圳范特西公司</w:t>
            </w:r>
          </w:p>
        </w:tc>
        <w:tc>
          <w:tcPr>
            <w:tcW w:w="1104" w:type="dxa"/>
            <w:vMerge w:val="restart"/>
            <w:tcBorders>
              <w:top w:val="single" w:sz="4" w:space="0" w:color="000000"/>
              <w:left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sz w:val="18"/>
              </w:rPr>
              <w:t>3,000.00</w:t>
            </w:r>
          </w:p>
        </w:tc>
        <w:tc>
          <w:tcPr>
            <w:tcW w:w="1415" w:type="dxa"/>
            <w:vMerge w:val="restart"/>
            <w:tcBorders>
              <w:top w:val="single" w:sz="4" w:space="0" w:color="000000"/>
              <w:left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2017/1/18</w:t>
            </w:r>
          </w:p>
        </w:tc>
        <w:tc>
          <w:tcPr>
            <w:tcW w:w="1814" w:type="dxa"/>
            <w:vMerge w:val="restart"/>
            <w:tcBorders>
              <w:top w:val="single" w:sz="4" w:space="0" w:color="000000"/>
              <w:left w:val="single" w:sz="4" w:space="0" w:color="000000"/>
              <w:right w:val="single" w:sz="4" w:space="0" w:color="000000"/>
            </w:tcBorders>
          </w:tcPr>
          <w:p>
            <w:pPr>
              <w:pStyle w:val="TableParagraph"/>
              <w:spacing w:line="316" w:lineRule="auto" w:before="20"/>
              <w:ind w:left="5" w:right="4"/>
              <w:jc w:val="left"/>
              <w:rPr>
                <w:rFonts w:ascii="宋体" w:hAnsi="宋体" w:cs="宋体" w:eastAsia="宋体" w:hint="default"/>
                <w:sz w:val="18"/>
                <w:szCs w:val="18"/>
              </w:rPr>
            </w:pPr>
            <w:r>
              <w:rPr>
                <w:rFonts w:ascii="宋体" w:hAnsi="宋体" w:cs="宋体" w:eastAsia="宋体" w:hint="default"/>
                <w:sz w:val="18"/>
                <w:szCs w:val="18"/>
              </w:rPr>
              <w:t>2018-3-15</w:t>
            </w:r>
            <w:r>
              <w:rPr>
                <w:rFonts w:ascii="宋体" w:hAnsi="宋体" w:cs="宋体" w:eastAsia="宋体" w:hint="default"/>
                <w:spacing w:val="-73"/>
                <w:sz w:val="18"/>
                <w:szCs w:val="18"/>
              </w:rPr>
              <w:t> </w:t>
            </w:r>
            <w:r>
              <w:rPr>
                <w:rFonts w:ascii="宋体" w:hAnsi="宋体" w:cs="宋体" w:eastAsia="宋体" w:hint="default"/>
                <w:spacing w:val="12"/>
                <w:sz w:val="18"/>
                <w:szCs w:val="18"/>
              </w:rPr>
              <w:t>贷款到期后</w:t>
            </w:r>
            <w:r>
              <w:rPr>
                <w:rFonts w:ascii="宋体" w:hAnsi="宋体" w:cs="宋体" w:eastAsia="宋体" w:hint="default"/>
                <w:sz w:val="18"/>
                <w:szCs w:val="18"/>
              </w:rPr>
              <w:t> 两年</w:t>
            </w:r>
          </w:p>
        </w:tc>
        <w:tc>
          <w:tcPr>
            <w:tcW w:w="1735" w:type="dxa"/>
            <w:vMerge w:val="restart"/>
            <w:tcBorders>
              <w:top w:val="single" w:sz="4" w:space="0" w:color="000000"/>
              <w:left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2"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JOHN ZHENG TANG</w:t>
            </w:r>
          </w:p>
        </w:tc>
        <w:tc>
          <w:tcPr>
            <w:tcW w:w="1895"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c>
          <w:tcPr>
            <w:tcW w:w="1415" w:type="dxa"/>
            <w:vMerge/>
            <w:tcBorders>
              <w:left w:val="single" w:sz="4" w:space="0" w:color="000000"/>
              <w:right w:val="single" w:sz="4" w:space="0" w:color="000000"/>
            </w:tcBorders>
          </w:tcPr>
          <w:p>
            <w:pPr/>
          </w:p>
        </w:tc>
        <w:tc>
          <w:tcPr>
            <w:tcW w:w="1814" w:type="dxa"/>
            <w:vMerge/>
            <w:tcBorders>
              <w:left w:val="single" w:sz="4" w:space="0" w:color="000000"/>
              <w:right w:val="single" w:sz="4" w:space="0" w:color="000000"/>
            </w:tcBorders>
          </w:tcPr>
          <w:p>
            <w:pPr/>
          </w:p>
        </w:tc>
        <w:tc>
          <w:tcPr>
            <w:tcW w:w="1735" w:type="dxa"/>
            <w:vMerge/>
            <w:tcBorders>
              <w:left w:val="single" w:sz="4" w:space="0" w:color="000000"/>
              <w:right w:val="single" w:sz="4" w:space="0" w:color="000000"/>
            </w:tcBorders>
          </w:tcPr>
          <w:p>
            <w:pPr/>
          </w:p>
        </w:tc>
      </w:tr>
      <w:tr>
        <w:trPr>
          <w:trHeight w:val="343"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（汤政）</w:t>
            </w:r>
          </w:p>
        </w:tc>
        <w:tc>
          <w:tcPr>
            <w:tcW w:w="1895"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c>
          <w:tcPr>
            <w:tcW w:w="1415" w:type="dxa"/>
            <w:vMerge/>
            <w:tcBorders>
              <w:left w:val="single" w:sz="4" w:space="0" w:color="000000"/>
              <w:right w:val="single" w:sz="4" w:space="0" w:color="000000"/>
            </w:tcBorders>
          </w:tcPr>
          <w:p>
            <w:pPr/>
          </w:p>
        </w:tc>
        <w:tc>
          <w:tcPr>
            <w:tcW w:w="1814" w:type="dxa"/>
            <w:vMerge/>
            <w:tcBorders>
              <w:left w:val="single" w:sz="4" w:space="0" w:color="000000"/>
              <w:right w:val="single" w:sz="4" w:space="0" w:color="000000"/>
            </w:tcBorders>
          </w:tcPr>
          <w:p>
            <w:pPr/>
          </w:p>
        </w:tc>
        <w:tc>
          <w:tcPr>
            <w:tcW w:w="1735" w:type="dxa"/>
            <w:vMerge/>
            <w:tcBorders>
              <w:left w:val="single" w:sz="4" w:space="0" w:color="000000"/>
              <w:right w:val="single" w:sz="4" w:space="0" w:color="000000"/>
            </w:tcBorders>
          </w:tcPr>
          <w:p>
            <w:pPr/>
          </w:p>
        </w:tc>
      </w:tr>
      <w:tr>
        <w:trPr>
          <w:trHeight w:val="343"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汤克云</w:t>
            </w:r>
          </w:p>
        </w:tc>
        <w:tc>
          <w:tcPr>
            <w:tcW w:w="1895"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c>
          <w:tcPr>
            <w:tcW w:w="1415" w:type="dxa"/>
            <w:vMerge/>
            <w:tcBorders>
              <w:left w:val="single" w:sz="4" w:space="0" w:color="000000"/>
              <w:bottom w:val="single" w:sz="4" w:space="0" w:color="000000"/>
              <w:right w:val="single" w:sz="4" w:space="0" w:color="000000"/>
            </w:tcBorders>
          </w:tcPr>
          <w:p>
            <w:pPr/>
          </w:p>
        </w:tc>
        <w:tc>
          <w:tcPr>
            <w:tcW w:w="1814" w:type="dxa"/>
            <w:vMerge/>
            <w:tcBorders>
              <w:left w:val="single" w:sz="4" w:space="0" w:color="000000"/>
              <w:bottom w:val="single" w:sz="4" w:space="0" w:color="000000"/>
              <w:right w:val="single" w:sz="4" w:space="0" w:color="000000"/>
            </w:tcBorders>
          </w:tcPr>
          <w:p>
            <w:pPr/>
          </w:p>
        </w:tc>
        <w:tc>
          <w:tcPr>
            <w:tcW w:w="1735" w:type="dxa"/>
            <w:vMerge/>
            <w:tcBorders>
              <w:left w:val="single" w:sz="4" w:space="0" w:color="000000"/>
              <w:bottom w:val="single" w:sz="4" w:space="0" w:color="000000"/>
              <w:right w:val="single" w:sz="4" w:space="0" w:color="000000"/>
            </w:tcBorders>
          </w:tcPr>
          <w:p>
            <w:pPr/>
          </w:p>
        </w:tc>
      </w:tr>
      <w:tr>
        <w:trPr>
          <w:trHeight w:val="343"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上海范特西公司</w:t>
            </w:r>
          </w:p>
        </w:tc>
        <w:tc>
          <w:tcPr>
            <w:tcW w:w="1895" w:type="dxa"/>
            <w:vMerge w:val="restart"/>
            <w:tcBorders>
              <w:top w:val="single" w:sz="4" w:space="0" w:color="000000"/>
              <w:left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深圳范特西公司</w:t>
            </w:r>
          </w:p>
        </w:tc>
        <w:tc>
          <w:tcPr>
            <w:tcW w:w="1104" w:type="dxa"/>
            <w:vMerge w:val="restart"/>
            <w:tcBorders>
              <w:top w:val="single" w:sz="4" w:space="0" w:color="000000"/>
              <w:left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900</w:t>
            </w:r>
          </w:p>
        </w:tc>
        <w:tc>
          <w:tcPr>
            <w:tcW w:w="1415" w:type="dxa"/>
            <w:vMerge w:val="restart"/>
            <w:tcBorders>
              <w:top w:val="single" w:sz="4" w:space="0" w:color="000000"/>
              <w:left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2017/7/6</w:t>
            </w:r>
          </w:p>
        </w:tc>
        <w:tc>
          <w:tcPr>
            <w:tcW w:w="1814" w:type="dxa"/>
            <w:vMerge w:val="restart"/>
            <w:tcBorders>
              <w:top w:val="single" w:sz="4" w:space="0" w:color="000000"/>
              <w:left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sz w:val="18"/>
              </w:rPr>
              <w:t>2017/12/25</w:t>
            </w:r>
          </w:p>
        </w:tc>
        <w:tc>
          <w:tcPr>
            <w:tcW w:w="1735" w:type="dxa"/>
            <w:vMerge w:val="restart"/>
            <w:tcBorders>
              <w:top w:val="single" w:sz="4" w:space="0" w:color="000000"/>
              <w:left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3"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JOHN ZHENG TANG</w:t>
            </w:r>
          </w:p>
        </w:tc>
        <w:tc>
          <w:tcPr>
            <w:tcW w:w="1895"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c>
          <w:tcPr>
            <w:tcW w:w="1415" w:type="dxa"/>
            <w:vMerge/>
            <w:tcBorders>
              <w:left w:val="single" w:sz="4" w:space="0" w:color="000000"/>
              <w:right w:val="single" w:sz="4" w:space="0" w:color="000000"/>
            </w:tcBorders>
          </w:tcPr>
          <w:p>
            <w:pPr/>
          </w:p>
        </w:tc>
        <w:tc>
          <w:tcPr>
            <w:tcW w:w="1814" w:type="dxa"/>
            <w:vMerge/>
            <w:tcBorders>
              <w:left w:val="single" w:sz="4" w:space="0" w:color="000000"/>
              <w:right w:val="single" w:sz="4" w:space="0" w:color="000000"/>
            </w:tcBorders>
          </w:tcPr>
          <w:p>
            <w:pPr/>
          </w:p>
        </w:tc>
        <w:tc>
          <w:tcPr>
            <w:tcW w:w="1735" w:type="dxa"/>
            <w:vMerge/>
            <w:tcBorders>
              <w:left w:val="single" w:sz="4" w:space="0" w:color="000000"/>
              <w:right w:val="single" w:sz="4" w:space="0" w:color="000000"/>
            </w:tcBorders>
          </w:tcPr>
          <w:p>
            <w:pPr/>
          </w:p>
        </w:tc>
      </w:tr>
      <w:tr>
        <w:trPr>
          <w:trHeight w:val="343"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（汤政）</w:t>
            </w:r>
          </w:p>
        </w:tc>
        <w:tc>
          <w:tcPr>
            <w:tcW w:w="1895"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c>
          <w:tcPr>
            <w:tcW w:w="1415" w:type="dxa"/>
            <w:vMerge/>
            <w:tcBorders>
              <w:left w:val="single" w:sz="4" w:space="0" w:color="000000"/>
              <w:right w:val="single" w:sz="4" w:space="0" w:color="000000"/>
            </w:tcBorders>
          </w:tcPr>
          <w:p>
            <w:pPr/>
          </w:p>
        </w:tc>
        <w:tc>
          <w:tcPr>
            <w:tcW w:w="1814" w:type="dxa"/>
            <w:vMerge/>
            <w:tcBorders>
              <w:left w:val="single" w:sz="4" w:space="0" w:color="000000"/>
              <w:right w:val="single" w:sz="4" w:space="0" w:color="000000"/>
            </w:tcBorders>
          </w:tcPr>
          <w:p>
            <w:pPr/>
          </w:p>
        </w:tc>
        <w:tc>
          <w:tcPr>
            <w:tcW w:w="1735" w:type="dxa"/>
            <w:vMerge/>
            <w:tcBorders>
              <w:left w:val="single" w:sz="4" w:space="0" w:color="000000"/>
              <w:right w:val="single" w:sz="4" w:space="0" w:color="000000"/>
            </w:tcBorders>
          </w:tcPr>
          <w:p>
            <w:pPr/>
          </w:p>
        </w:tc>
      </w:tr>
      <w:tr>
        <w:trPr>
          <w:trHeight w:val="342"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汤克云</w:t>
            </w:r>
          </w:p>
        </w:tc>
        <w:tc>
          <w:tcPr>
            <w:tcW w:w="1895"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c>
          <w:tcPr>
            <w:tcW w:w="1415" w:type="dxa"/>
            <w:vMerge/>
            <w:tcBorders>
              <w:left w:val="single" w:sz="4" w:space="0" w:color="000000"/>
              <w:bottom w:val="single" w:sz="4" w:space="0" w:color="000000"/>
              <w:right w:val="single" w:sz="4" w:space="0" w:color="000000"/>
            </w:tcBorders>
          </w:tcPr>
          <w:p>
            <w:pPr/>
          </w:p>
        </w:tc>
        <w:tc>
          <w:tcPr>
            <w:tcW w:w="1814" w:type="dxa"/>
            <w:vMerge/>
            <w:tcBorders>
              <w:left w:val="single" w:sz="4" w:space="0" w:color="000000"/>
              <w:bottom w:val="single" w:sz="4" w:space="0" w:color="000000"/>
              <w:right w:val="single" w:sz="4" w:space="0" w:color="000000"/>
            </w:tcBorders>
          </w:tcPr>
          <w:p>
            <w:pPr/>
          </w:p>
        </w:tc>
        <w:tc>
          <w:tcPr>
            <w:tcW w:w="1735" w:type="dxa"/>
            <w:vMerge/>
            <w:tcBorders>
              <w:left w:val="single" w:sz="4" w:space="0" w:color="000000"/>
              <w:bottom w:val="single" w:sz="4" w:space="0" w:color="000000"/>
              <w:right w:val="single" w:sz="4" w:space="0" w:color="000000"/>
            </w:tcBorders>
          </w:tcPr>
          <w:p>
            <w:pPr/>
          </w:p>
        </w:tc>
      </w:tr>
      <w:tr>
        <w:trPr>
          <w:trHeight w:val="1279"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Spigot,Inc.</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348"/>
              <w:jc w:val="left"/>
              <w:rPr>
                <w:rFonts w:ascii="宋体" w:hAnsi="宋体" w:cs="宋体" w:eastAsia="宋体" w:hint="default"/>
                <w:sz w:val="18"/>
                <w:szCs w:val="18"/>
              </w:rPr>
            </w:pPr>
            <w:r>
              <w:rPr>
                <w:rFonts w:ascii="宋体"/>
                <w:sz w:val="18"/>
              </w:rPr>
              <w:t>Eightpoint Technologies Ltd.</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2017/6/5</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sz w:val="18"/>
              </w:rPr>
              <w:t>2020/6/5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4"/>
              <w:jc w:val="both"/>
              <w:rPr>
                <w:rFonts w:ascii="宋体" w:hAnsi="宋体" w:cs="宋体" w:eastAsia="宋体" w:hint="default"/>
                <w:sz w:val="18"/>
                <w:szCs w:val="18"/>
              </w:rPr>
            </w:pPr>
            <w:r>
              <w:rPr>
                <w:rFonts w:ascii="宋体" w:hAnsi="宋体" w:cs="宋体" w:eastAsia="宋体" w:hint="default"/>
                <w:spacing w:val="9"/>
                <w:sz w:val="18"/>
                <w:szCs w:val="18"/>
              </w:rPr>
              <w:t>其中</w:t>
            </w:r>
            <w:r>
              <w:rPr>
                <w:rFonts w:ascii="宋体" w:hAnsi="宋体" w:cs="宋体" w:eastAsia="宋体" w:hint="default"/>
                <w:spacing w:val="-71"/>
                <w:sz w:val="18"/>
                <w:szCs w:val="18"/>
              </w:rPr>
              <w:t> </w:t>
            </w:r>
            <w:r>
              <w:rPr>
                <w:rFonts w:ascii="宋体" w:hAnsi="宋体" w:cs="宋体" w:eastAsia="宋体" w:hint="default"/>
                <w:sz w:val="18"/>
                <w:szCs w:val="18"/>
              </w:rPr>
              <w:t>1,400.00</w:t>
            </w:r>
            <w:r>
              <w:rPr>
                <w:rFonts w:ascii="宋体" w:hAnsi="宋体" w:cs="宋体" w:eastAsia="宋体" w:hint="default"/>
                <w:spacing w:val="-72"/>
                <w:sz w:val="18"/>
                <w:szCs w:val="18"/>
              </w:rPr>
              <w:t> </w:t>
            </w:r>
            <w:r>
              <w:rPr>
                <w:rFonts w:ascii="宋体" w:hAnsi="宋体" w:cs="宋体" w:eastAsia="宋体" w:hint="default"/>
                <w:spacing w:val="12"/>
                <w:sz w:val="18"/>
                <w:szCs w:val="18"/>
              </w:rPr>
              <w:t>万美元</w:t>
            </w:r>
            <w:r>
              <w:rPr>
                <w:rFonts w:ascii="宋体" w:hAnsi="宋体" w:cs="宋体" w:eastAsia="宋体" w:hint="default"/>
                <w:spacing w:val="-71"/>
                <w:sz w:val="18"/>
                <w:szCs w:val="18"/>
              </w:rPr>
              <w:t> </w:t>
            </w:r>
            <w:r>
              <w:rPr>
                <w:rFonts w:ascii="宋体" w:hAnsi="宋体" w:cs="宋体" w:eastAsia="宋体" w:hint="default"/>
                <w:sz w:val="18"/>
                <w:szCs w:val="18"/>
              </w:rPr>
              <w:t>已</w:t>
            </w:r>
            <w:r>
              <w:rPr>
                <w:rFonts w:ascii="宋体" w:hAnsi="宋体" w:cs="宋体" w:eastAsia="宋体" w:hint="default"/>
                <w:spacing w:val="-51"/>
                <w:sz w:val="18"/>
                <w:szCs w:val="18"/>
              </w:rPr>
              <w:t> </w:t>
            </w:r>
            <w:r>
              <w:rPr>
                <w:rFonts w:ascii="宋体" w:hAnsi="宋体" w:cs="宋体" w:eastAsia="宋体" w:hint="default"/>
                <w:sz w:val="18"/>
                <w:szCs w:val="18"/>
              </w:rPr>
              <w:t>履</w:t>
            </w:r>
            <w:r>
              <w:rPr>
                <w:rFonts w:ascii="宋体" w:hAnsi="宋体" w:cs="宋体" w:eastAsia="宋体" w:hint="default"/>
                <w:spacing w:val="-51"/>
                <w:sz w:val="18"/>
                <w:szCs w:val="18"/>
              </w:rPr>
              <w:t> </w:t>
            </w:r>
            <w:r>
              <w:rPr>
                <w:rFonts w:ascii="宋体" w:hAnsi="宋体" w:cs="宋体" w:eastAsia="宋体" w:hint="default"/>
                <w:sz w:val="18"/>
                <w:szCs w:val="18"/>
              </w:rPr>
              <w:t>行</w:t>
            </w:r>
            <w:r>
              <w:rPr>
                <w:rFonts w:ascii="宋体" w:hAnsi="宋体" w:cs="宋体" w:eastAsia="宋体" w:hint="default"/>
                <w:spacing w:val="-51"/>
                <w:sz w:val="18"/>
                <w:szCs w:val="18"/>
              </w:rPr>
              <w:t> </w:t>
            </w:r>
            <w:r>
              <w:rPr>
                <w:rFonts w:ascii="宋体" w:hAnsi="宋体" w:cs="宋体" w:eastAsia="宋体" w:hint="default"/>
                <w:sz w:val="18"/>
                <w:szCs w:val="18"/>
              </w:rPr>
              <w:t>完</w:t>
            </w:r>
            <w:r>
              <w:rPr>
                <w:rFonts w:ascii="宋体" w:hAnsi="宋体" w:cs="宋体" w:eastAsia="宋体" w:hint="default"/>
                <w:spacing w:val="-51"/>
                <w:sz w:val="18"/>
                <w:szCs w:val="18"/>
              </w:rPr>
              <w:t> </w:t>
            </w:r>
            <w:r>
              <w:rPr>
                <w:rFonts w:ascii="宋体" w:hAnsi="宋体" w:cs="宋体" w:eastAsia="宋体" w:hint="default"/>
                <w:sz w:val="18"/>
                <w:szCs w:val="18"/>
              </w:rPr>
              <w:t>毕</w:t>
            </w:r>
            <w:r>
              <w:rPr>
                <w:rFonts w:ascii="宋体" w:hAnsi="宋体" w:cs="宋体" w:eastAsia="宋体" w:hint="default"/>
                <w:spacing w:val="-52"/>
                <w:sz w:val="18"/>
                <w:szCs w:val="18"/>
              </w:rPr>
              <w:t> </w:t>
            </w:r>
            <w:r>
              <w:rPr>
                <w:rFonts w:ascii="宋体" w:hAnsi="宋体" w:cs="宋体" w:eastAsia="宋体" w:hint="default"/>
                <w:sz w:val="18"/>
                <w:szCs w:val="18"/>
              </w:rPr>
              <w:t>，</w:t>
            </w:r>
            <w:r>
              <w:rPr>
                <w:rFonts w:ascii="宋体" w:hAnsi="宋体" w:cs="宋体" w:eastAsia="宋体" w:hint="default"/>
                <w:spacing w:val="-51"/>
                <w:sz w:val="18"/>
                <w:szCs w:val="18"/>
              </w:rPr>
              <w:t> </w:t>
            </w:r>
            <w:r>
              <w:rPr>
                <w:rFonts w:ascii="宋体" w:hAnsi="宋体" w:cs="宋体" w:eastAsia="宋体" w:hint="default"/>
                <w:sz w:val="18"/>
                <w:szCs w:val="18"/>
              </w:rPr>
              <w:t>剩</w:t>
            </w:r>
            <w:r>
              <w:rPr>
                <w:rFonts w:ascii="宋体" w:hAnsi="宋体" w:cs="宋体" w:eastAsia="宋体" w:hint="default"/>
                <w:spacing w:val="-51"/>
                <w:sz w:val="18"/>
                <w:szCs w:val="18"/>
              </w:rPr>
              <w:t> </w:t>
            </w:r>
            <w:r>
              <w:rPr>
                <w:rFonts w:ascii="宋体" w:hAnsi="宋体" w:cs="宋体" w:eastAsia="宋体" w:hint="default"/>
                <w:sz w:val="18"/>
                <w:szCs w:val="18"/>
              </w:rPr>
              <w:t>余</w:t>
            </w:r>
            <w:r>
              <w:rPr>
                <w:rFonts w:ascii="宋体" w:hAnsi="宋体" w:cs="宋体" w:eastAsia="宋体" w:hint="default"/>
                <w:sz w:val="18"/>
                <w:szCs w:val="18"/>
              </w:rPr>
              <w:t> </w:t>
            </w:r>
            <w:r>
              <w:rPr>
                <w:rFonts w:ascii="宋体" w:hAnsi="宋体" w:cs="宋体" w:eastAsia="宋体" w:hint="default"/>
                <w:sz w:val="18"/>
                <w:szCs w:val="18"/>
              </w:rPr>
              <w:t>1,500.00</w:t>
            </w:r>
            <w:r>
              <w:rPr>
                <w:rFonts w:ascii="宋体" w:hAnsi="宋体" w:cs="宋体" w:eastAsia="宋体" w:hint="default"/>
                <w:spacing w:val="-70"/>
                <w:sz w:val="18"/>
                <w:szCs w:val="18"/>
              </w:rPr>
              <w:t> </w:t>
            </w:r>
            <w:r>
              <w:rPr>
                <w:rFonts w:ascii="宋体" w:hAnsi="宋体" w:cs="宋体" w:eastAsia="宋体" w:hint="default"/>
                <w:spacing w:val="14"/>
                <w:sz w:val="18"/>
                <w:szCs w:val="18"/>
              </w:rPr>
              <w:t>万美元尚未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履行完毕</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关联方资金拆借" w:id="464"/>
      <w:bookmarkEnd w:id="464"/>
      <w:r>
        <w:rPr>
          <w:b w:val="0"/>
          <w:bCs w:val="0"/>
        </w:rPr>
      </w:r>
      <w:r>
        <w:rPr/>
        <w:t>（</w:t>
      </w:r>
      <w:r>
        <w:rPr>
          <w:rFonts w:ascii="宋体" w:hAnsi="宋体" w:cs="宋体" w:eastAsia="宋体" w:hint="default"/>
        </w:rPr>
        <w:t>5</w:t>
      </w:r>
      <w:r>
        <w:rPr/>
        <w:t>）关联方资金拆借</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496"/>
        <w:gridCol w:w="1702"/>
        <w:gridCol w:w="1559"/>
        <w:gridCol w:w="254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21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67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智度德普有限合伙</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02" w:right="0"/>
              <w:jc w:val="left"/>
              <w:rPr>
                <w:rFonts w:ascii="宋体" w:hAnsi="宋体" w:cs="宋体" w:eastAsia="宋体" w:hint="default"/>
                <w:sz w:val="18"/>
                <w:szCs w:val="18"/>
              </w:rPr>
            </w:pPr>
            <w:r>
              <w:rPr>
                <w:rFonts w:ascii="宋体"/>
                <w:sz w:val="18"/>
              </w:rPr>
              <w:t>500,000,000.00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年利率</w:t>
            </w:r>
            <w:r>
              <w:rPr>
                <w:rFonts w:ascii="宋体" w:hAnsi="宋体" w:cs="宋体" w:eastAsia="宋体" w:hint="default"/>
                <w:spacing w:val="-45"/>
                <w:sz w:val="18"/>
                <w:szCs w:val="18"/>
              </w:rPr>
              <w:t> </w:t>
            </w:r>
            <w:r>
              <w:rPr>
                <w:rFonts w:ascii="宋体" w:hAnsi="宋体" w:cs="宋体" w:eastAsia="宋体" w:hint="default"/>
                <w:spacing w:val="-4"/>
                <w:sz w:val="18"/>
                <w:szCs w:val="18"/>
              </w:rPr>
              <w:t>4.35%</w:t>
            </w:r>
            <w:r>
              <w:rPr>
                <w:rFonts w:ascii="宋体" w:hAnsi="宋体" w:cs="宋体" w:eastAsia="宋体" w:hint="default"/>
                <w:spacing w:val="-4"/>
                <w:sz w:val="18"/>
                <w:szCs w:val="18"/>
              </w:rPr>
              <w:t>，</w:t>
            </w:r>
            <w:r>
              <w:rPr>
                <w:rFonts w:ascii="宋体" w:hAnsi="宋体" w:cs="宋体" w:eastAsia="宋体" w:hint="default"/>
                <w:spacing w:val="-4"/>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 借入款项，从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p>
        </w:tc>
      </w:tr>
    </w:tbl>
    <w:p>
      <w:pPr>
        <w:spacing w:after="0" w:line="316" w:lineRule="auto"/>
        <w:jc w:val="left"/>
        <w:rPr>
          <w:rFonts w:ascii="宋体" w:hAnsi="宋体" w:cs="宋体" w:eastAsia="宋体" w:hint="default"/>
          <w:sz w:val="18"/>
          <w:szCs w:val="18"/>
        </w:rPr>
        <w:sectPr>
          <w:pgSz w:w="11910" w:h="16840"/>
          <w:pgMar w:header="877" w:footer="1187" w:top="1060" w:bottom="1380" w:left="980" w:right="0"/>
        </w:sectPr>
      </w:pPr>
    </w:p>
    <w:p>
      <w:pPr>
        <w:spacing w:line="240" w:lineRule="auto" w:before="10"/>
        <w:rPr>
          <w:rFonts w:ascii="宋体" w:hAnsi="宋体" w:cs="宋体" w:eastAsia="宋体" w:hint="default"/>
          <w:sz w:val="26"/>
          <w:szCs w:val="26"/>
        </w:rPr>
      </w:pPr>
    </w:p>
    <w:p>
      <w:pPr>
        <w:pStyle w:val="BodyText"/>
        <w:spacing w:line="240" w:lineRule="auto" w:before="44"/>
        <w:ind w:left="0" w:right="1493"/>
        <w:jc w:val="right"/>
      </w:pPr>
      <w:r>
        <w:rPr/>
        <w:pict>
          <v:shape style="position:absolute;margin-left:56.459999pt;margin-top:1.131746pt;width:461.5pt;height:268.55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13"/>
                    <w:gridCol w:w="1496"/>
                    <w:gridCol w:w="1702"/>
                    <w:gridCol w:w="1559"/>
                    <w:gridCol w:w="2544"/>
                  </w:tblGrid>
                  <w:tr>
                    <w:trPr>
                      <w:trHeight w:val="362"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日到</w:t>
                        </w:r>
                        <w:r>
                          <w:rPr>
                            <w:rFonts w:ascii="宋体" w:hAnsi="宋体" w:cs="宋体" w:eastAsia="宋体" w:hint="default"/>
                            <w:spacing w:val="-66"/>
                            <w:sz w:val="18"/>
                            <w:szCs w:val="18"/>
                          </w:rPr>
                          <w:t> </w:t>
                        </w:r>
                        <w:r>
                          <w:rPr>
                            <w:rFonts w:ascii="宋体" w:hAnsi="宋体" w:cs="宋体" w:eastAsia="宋体" w:hint="default"/>
                            <w:sz w:val="18"/>
                            <w:szCs w:val="18"/>
                          </w:rPr>
                          <w:t>2017</w:t>
                        </w:r>
                        <w:r>
                          <w:rPr>
                            <w:rFonts w:ascii="宋体" w:hAnsi="宋体" w:cs="宋体" w:eastAsia="宋体" w:hint="default"/>
                            <w:spacing w:val="-66"/>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12</w:t>
                        </w:r>
                        <w:r>
                          <w:rPr>
                            <w:rFonts w:ascii="宋体" w:hAnsi="宋体" w:cs="宋体" w:eastAsia="宋体" w:hint="default"/>
                            <w:spacing w:val="-67"/>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28</w:t>
                        </w:r>
                        <w:r>
                          <w:rPr>
                            <w:rFonts w:ascii="宋体" w:hAnsi="宋体" w:cs="宋体" w:eastAsia="宋体" w:hint="default"/>
                            <w:spacing w:val="-66"/>
                            <w:sz w:val="18"/>
                            <w:szCs w:val="18"/>
                          </w:rPr>
                          <w:t> </w:t>
                        </w:r>
                        <w:r>
                          <w:rPr>
                            <w:rFonts w:ascii="宋体" w:hAnsi="宋体" w:cs="宋体" w:eastAsia="宋体" w:hint="default"/>
                            <w:sz w:val="18"/>
                            <w:szCs w:val="18"/>
                          </w:rPr>
                          <w:t>分期偿还</w:t>
                        </w:r>
                      </w:p>
                    </w:tc>
                  </w:tr>
                  <w:tr>
                    <w:trPr>
                      <w:trHeight w:val="133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78"/>
                          <w:jc w:val="left"/>
                          <w:rPr>
                            <w:rFonts w:ascii="宋体" w:hAnsi="宋体" w:cs="宋体" w:eastAsia="宋体" w:hint="default"/>
                            <w:sz w:val="18"/>
                            <w:szCs w:val="18"/>
                          </w:rPr>
                        </w:pPr>
                        <w:r>
                          <w:rPr>
                            <w:rFonts w:ascii="宋体" w:hAnsi="宋体" w:cs="宋体" w:eastAsia="宋体" w:hint="default"/>
                            <w:sz w:val="18"/>
                            <w:szCs w:val="18"/>
                          </w:rPr>
                          <w:t>上海易晋网络科技有限 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27,000,000.00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年利率</w:t>
                        </w:r>
                        <w:r>
                          <w:rPr>
                            <w:rFonts w:ascii="宋体" w:hAnsi="宋体" w:cs="宋体" w:eastAsia="宋体" w:hint="default"/>
                            <w:spacing w:val="-46"/>
                            <w:sz w:val="18"/>
                            <w:szCs w:val="18"/>
                          </w:rPr>
                          <w:t> </w:t>
                        </w:r>
                        <w:r>
                          <w:rPr>
                            <w:rFonts w:ascii="宋体" w:hAnsi="宋体" w:cs="宋体" w:eastAsia="宋体" w:hint="default"/>
                            <w:sz w:val="18"/>
                            <w:szCs w:val="18"/>
                          </w:rPr>
                          <w:t>4.35%</w:t>
                        </w:r>
                        <w:r>
                          <w:rPr>
                            <w:rFonts w:ascii="宋体" w:hAnsi="宋体" w:cs="宋体" w:eastAsia="宋体" w:hint="default"/>
                            <w:sz w:val="18"/>
                            <w:szCs w:val="18"/>
                          </w:rPr>
                          <w:t>，从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57"/>
                            <w:sz w:val="18"/>
                            <w:szCs w:val="18"/>
                          </w:rPr>
                          <w:t> </w:t>
                        </w:r>
                        <w:r>
                          <w:rPr>
                            <w:rFonts w:ascii="宋体" w:hAnsi="宋体" w:cs="宋体" w:eastAsia="宋体" w:hint="default"/>
                            <w:sz w:val="18"/>
                            <w:szCs w:val="18"/>
                          </w:rPr>
                          <w:t>日到</w:t>
                        </w:r>
                        <w:r>
                          <w:rPr>
                            <w:rFonts w:ascii="宋体" w:hAnsi="宋体" w:cs="宋体" w:eastAsia="宋体" w:hint="default"/>
                            <w:spacing w:val="-56"/>
                            <w:sz w:val="18"/>
                            <w:szCs w:val="18"/>
                          </w:rPr>
                          <w:t> </w:t>
                        </w:r>
                        <w:r>
                          <w:rPr>
                            <w:rFonts w:ascii="宋体" w:hAnsi="宋体" w:cs="宋体" w:eastAsia="宋体" w:hint="default"/>
                            <w:sz w:val="18"/>
                            <w:szCs w:val="18"/>
                          </w:rPr>
                          <w:t>2017</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9</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25</w:t>
                        </w:r>
                        <w:r>
                          <w:rPr>
                            <w:rFonts w:ascii="宋体" w:hAnsi="宋体" w:cs="宋体" w:eastAsia="宋体" w:hint="default"/>
                            <w:spacing w:val="-57"/>
                            <w:sz w:val="18"/>
                            <w:szCs w:val="18"/>
                          </w:rPr>
                          <w:t> </w:t>
                        </w:r>
                        <w:r>
                          <w:rPr>
                            <w:rFonts w:ascii="宋体" w:hAnsi="宋体" w:cs="宋体" w:eastAsia="宋体" w:hint="default"/>
                            <w:sz w:val="18"/>
                            <w:szCs w:val="18"/>
                          </w:rPr>
                          <w:t>日分笔借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入</w:t>
                        </w:r>
                        <w:r>
                          <w:rPr>
                            <w:rFonts w:ascii="宋体" w:hAnsi="宋体" w:cs="宋体" w:eastAsia="宋体" w:hint="default"/>
                            <w:spacing w:val="-90"/>
                            <w:sz w:val="18"/>
                            <w:szCs w:val="18"/>
                          </w:rPr>
                          <w:t>，</w:t>
                        </w:r>
                        <w:r>
                          <w:rPr>
                            <w:rFonts w:ascii="宋体" w:hAnsi="宋体" w:cs="宋体" w:eastAsia="宋体" w:hint="default"/>
                            <w:sz w:val="18"/>
                            <w:szCs w:val="18"/>
                          </w:rPr>
                          <w:t>从</w:t>
                        </w:r>
                        <w:r>
                          <w:rPr>
                            <w:rFonts w:ascii="宋体" w:hAnsi="宋体" w:cs="宋体" w:eastAsia="宋体" w:hint="default"/>
                            <w:spacing w:val="-56"/>
                            <w:sz w:val="18"/>
                            <w:szCs w:val="18"/>
                          </w:rPr>
                          <w:t> </w:t>
                        </w:r>
                        <w:r>
                          <w:rPr>
                            <w:rFonts w:ascii="宋体" w:hAnsi="宋体" w:cs="宋体" w:eastAsia="宋体" w:hint="default"/>
                            <w:sz w:val="18"/>
                            <w:szCs w:val="18"/>
                          </w:rPr>
                          <w:t>2017</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0</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20</w:t>
                        </w:r>
                        <w:r>
                          <w:rPr>
                            <w:rFonts w:ascii="宋体" w:hAnsi="宋体" w:cs="宋体" w:eastAsia="宋体" w:hint="default"/>
                            <w:spacing w:val="-57"/>
                            <w:sz w:val="18"/>
                            <w:szCs w:val="18"/>
                          </w:rPr>
                          <w:t> </w:t>
                        </w:r>
                        <w:r>
                          <w:rPr>
                            <w:rFonts w:ascii="宋体" w:hAnsi="宋体" w:cs="宋体" w:eastAsia="宋体" w:hint="default"/>
                            <w:sz w:val="18"/>
                            <w:szCs w:val="18"/>
                          </w:rPr>
                          <w:t>日到</w:t>
                        </w:r>
                        <w:r>
                          <w:rPr>
                            <w:rFonts w:ascii="宋体" w:hAnsi="宋体" w:cs="宋体" w:eastAsia="宋体" w:hint="default"/>
                            <w:spacing w:val="-57"/>
                            <w:sz w:val="18"/>
                            <w:szCs w:val="18"/>
                          </w:rPr>
                          <w:t> </w:t>
                        </w:r>
                        <w:r>
                          <w:rPr>
                            <w:rFonts w:ascii="宋体" w:hAnsi="宋体" w:cs="宋体" w:eastAsia="宋体" w:hint="default"/>
                            <w:sz w:val="18"/>
                            <w:szCs w:val="18"/>
                          </w:rPr>
                          <w:t>20</w:t>
                        </w:r>
                        <w:r>
                          <w:rPr>
                            <w:rFonts w:ascii="宋体" w:hAnsi="宋体" w:cs="宋体" w:eastAsia="宋体" w:hint="default"/>
                            <w:spacing w:val="1"/>
                            <w:sz w:val="18"/>
                            <w:szCs w:val="18"/>
                          </w:rPr>
                          <w:t>1</w:t>
                        </w:r>
                        <w:r>
                          <w:rPr>
                            <w:rFonts w:ascii="宋体" w:hAnsi="宋体" w:cs="宋体" w:eastAsia="宋体" w:hint="default"/>
                            <w:sz w:val="18"/>
                            <w:szCs w:val="18"/>
                          </w:rPr>
                          <w:t>7</w:t>
                        </w:r>
                      </w:p>
                      <w:p>
                        <w:pPr>
                          <w:pStyle w:val="TableParagraph"/>
                          <w:spacing w:line="240" w:lineRule="auto" w:before="78"/>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日分期偿还。</w:t>
                        </w:r>
                      </w:p>
                    </w:tc>
                  </w:tr>
                  <w:tr>
                    <w:trPr>
                      <w:trHeight w:val="133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89,000,000.00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年利率</w:t>
                        </w:r>
                        <w:r>
                          <w:rPr>
                            <w:rFonts w:ascii="宋体" w:hAnsi="宋体" w:cs="宋体" w:eastAsia="宋体" w:hint="default"/>
                            <w:spacing w:val="-46"/>
                            <w:sz w:val="18"/>
                            <w:szCs w:val="18"/>
                          </w:rPr>
                          <w:t> </w:t>
                        </w:r>
                        <w:r>
                          <w:rPr>
                            <w:rFonts w:ascii="宋体" w:hAnsi="宋体" w:cs="宋体" w:eastAsia="宋体" w:hint="default"/>
                            <w:sz w:val="18"/>
                            <w:szCs w:val="18"/>
                          </w:rPr>
                          <w:t>4.35%</w:t>
                        </w:r>
                        <w:r>
                          <w:rPr>
                            <w:rFonts w:ascii="宋体" w:hAnsi="宋体" w:cs="宋体" w:eastAsia="宋体" w:hint="default"/>
                            <w:sz w:val="18"/>
                            <w:szCs w:val="18"/>
                          </w:rPr>
                          <w:t>，从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日到</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日分笔</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借入，从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日到</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日分期偿还。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智度德普股权投资（香 港）有限公司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29,000,000.00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年利率</w:t>
                        </w:r>
                        <w:r>
                          <w:rPr>
                            <w:rFonts w:ascii="宋体" w:hAnsi="宋体" w:cs="宋体" w:eastAsia="宋体" w:hint="default"/>
                            <w:spacing w:val="-46"/>
                            <w:sz w:val="18"/>
                            <w:szCs w:val="18"/>
                          </w:rPr>
                          <w:t> </w:t>
                        </w:r>
                        <w:r>
                          <w:rPr>
                            <w:rFonts w:ascii="宋体" w:hAnsi="宋体" w:cs="宋体" w:eastAsia="宋体" w:hint="default"/>
                            <w:sz w:val="18"/>
                            <w:szCs w:val="18"/>
                          </w:rPr>
                          <w:t>5.2%</w:t>
                        </w:r>
                        <w:r>
                          <w:rPr>
                            <w:rFonts w:ascii="宋体" w:hAnsi="宋体" w:cs="宋体" w:eastAsia="宋体" w:hint="default"/>
                            <w:sz w:val="18"/>
                            <w:szCs w:val="18"/>
                          </w:rPr>
                          <w:t>，单位：美元</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Rodrigo Sales</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3,150,000.00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年利率</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z w:val="18"/>
                            <w:szCs w:val="18"/>
                          </w:rPr>
                          <w:t>，单位：美元</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Michael Levitt</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年利率</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z w:val="18"/>
                            <w:szCs w:val="18"/>
                          </w:rPr>
                          <w:t>，单位：美元</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Ryan Stephens</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年利率</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z w:val="18"/>
                            <w:szCs w:val="18"/>
                          </w:rPr>
                          <w:t>，单位：美元</w:t>
                        </w:r>
                      </w:p>
                    </w:tc>
                  </w:tr>
                  <w:tr>
                    <w:trPr>
                      <w:trHeight w:val="402" w:hRule="exact"/>
                    </w:trPr>
                    <w:tc>
                      <w:tcPr>
                        <w:tcW w:w="921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Heading3"/>
        <w:spacing w:line="240" w:lineRule="auto" w:before="35"/>
        <w:ind w:right="0"/>
        <w:jc w:val="left"/>
        <w:rPr>
          <w:b w:val="0"/>
          <w:bCs w:val="0"/>
        </w:rPr>
      </w:pPr>
      <w:bookmarkStart w:name="（6）关联方资产转让、债务重组情况" w:id="465"/>
      <w:bookmarkEnd w:id="465"/>
      <w:r>
        <w:rPr>
          <w:b w:val="0"/>
          <w:bCs w:val="0"/>
        </w:rPr>
      </w:r>
      <w:r>
        <w:rPr/>
        <w:t>（</w:t>
      </w:r>
      <w:r>
        <w:rPr>
          <w:rFonts w:ascii="宋体" w:hAnsi="宋体" w:cs="宋体" w:eastAsia="宋体" w:hint="default"/>
        </w:rPr>
        <w:t>6</w:t>
      </w:r>
      <w:r>
        <w:rPr/>
        <w:t>）关联方资产转让、债务重组情况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深圳市思达高科投资有限公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出售股权</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99" w:right="0"/>
              <w:jc w:val="left"/>
              <w:rPr>
                <w:rFonts w:ascii="宋体" w:hAnsi="宋体" w:cs="宋体" w:eastAsia="宋体" w:hint="default"/>
                <w:sz w:val="18"/>
                <w:szCs w:val="18"/>
              </w:rPr>
            </w:pPr>
            <w:r>
              <w:rPr>
                <w:rFonts w:ascii="宋体"/>
                <w:sz w:val="18"/>
              </w:rPr>
              <w:t>144,151,488.12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关键管理人员报酬" w:id="466"/>
      <w:bookmarkEnd w:id="466"/>
      <w:r>
        <w:rPr>
          <w:b w:val="0"/>
          <w:bCs w:val="0"/>
        </w:rPr>
      </w:r>
      <w:r>
        <w:rPr/>
        <w:t>（</w:t>
      </w:r>
      <w:r>
        <w:rPr>
          <w:rFonts w:ascii="宋体" w:hAnsi="宋体" w:cs="宋体" w:eastAsia="宋体" w:hint="default"/>
        </w:rPr>
        <w:t>7</w:t>
      </w:r>
      <w:r>
        <w:rPr/>
        <w:t>）关键管理人员报酬</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420.30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308.38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其他关联交易" w:id="467"/>
      <w:bookmarkEnd w:id="467"/>
      <w:r>
        <w:rPr>
          <w:b w:val="0"/>
          <w:bCs w:val="0"/>
        </w:rPr>
      </w:r>
      <w:r>
        <w:rPr/>
        <w:t>（</w:t>
      </w:r>
      <w:r>
        <w:rPr>
          <w:rFonts w:ascii="宋体" w:hAnsi="宋体" w:cs="宋体" w:eastAsia="宋体" w:hint="default"/>
        </w:rPr>
        <w:t>8</w:t>
      </w:r>
      <w:r>
        <w:rPr/>
        <w:t>）其他关联交易</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514" w:right="0"/>
        <w:jc w:val="left"/>
      </w:pPr>
      <w:r>
        <w:rPr/>
        <w:t>计付、计收关联方利息</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624"/>
        <w:gridCol w:w="1318"/>
        <w:gridCol w:w="2342"/>
        <w:gridCol w:w="2227"/>
      </w:tblGrid>
      <w:tr>
        <w:trPr>
          <w:trHeight w:val="342" w:hRule="exact"/>
        </w:trPr>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hAnsi="宋体" w:cs="宋体" w:eastAsia="宋体" w:hint="default"/>
                <w:b/>
                <w:bCs/>
                <w:w w:val="95"/>
                <w:sz w:val="18"/>
                <w:szCs w:val="18"/>
              </w:rPr>
              <w:t>项目名称</w:t>
            </w:r>
            <w:r>
              <w:rPr>
                <w:rFonts w:ascii="宋体" w:hAnsi="宋体" w:cs="宋体" w:eastAsia="宋体" w:hint="default"/>
                <w:sz w:val="18"/>
                <w:szCs w:val="18"/>
              </w:rPr>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8"/>
              <w:jc w:val="right"/>
              <w:rPr>
                <w:rFonts w:ascii="宋体" w:hAnsi="宋体" w:cs="宋体" w:eastAsia="宋体" w:hint="default"/>
                <w:sz w:val="18"/>
                <w:szCs w:val="18"/>
              </w:rPr>
            </w:pPr>
            <w:r>
              <w:rPr>
                <w:rFonts w:ascii="宋体" w:hAnsi="宋体" w:cs="宋体" w:eastAsia="宋体" w:hint="default"/>
                <w:b/>
                <w:bCs/>
                <w:w w:val="95"/>
                <w:sz w:val="18"/>
                <w:szCs w:val="18"/>
              </w:rPr>
              <w:t>本期发生额</w:t>
            </w:r>
            <w:r>
              <w:rPr>
                <w:rFonts w:ascii="宋体" w:hAnsi="宋体" w:cs="宋体" w:eastAsia="宋体" w:hint="default"/>
                <w:sz w:val="18"/>
                <w:szCs w:val="18"/>
              </w:rPr>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0"/>
              <w:jc w:val="right"/>
              <w:rPr>
                <w:rFonts w:ascii="宋体" w:hAnsi="宋体" w:cs="宋体" w:eastAsia="宋体" w:hint="default"/>
                <w:sz w:val="18"/>
                <w:szCs w:val="18"/>
              </w:rPr>
            </w:pPr>
            <w:r>
              <w:rPr>
                <w:rFonts w:ascii="宋体" w:hAnsi="宋体" w:cs="宋体" w:eastAsia="宋体" w:hint="default"/>
                <w:b/>
                <w:bCs/>
                <w:w w:val="95"/>
                <w:sz w:val="18"/>
                <w:szCs w:val="18"/>
              </w:rPr>
              <w:t>上期发生额</w:t>
            </w:r>
            <w:r>
              <w:rPr>
                <w:rFonts w:ascii="宋体" w:hAnsi="宋体" w:cs="宋体" w:eastAsia="宋体" w:hint="default"/>
                <w:sz w:val="18"/>
                <w:szCs w:val="18"/>
              </w:rPr>
            </w:r>
          </w:p>
        </w:tc>
      </w:tr>
      <w:tr>
        <w:trPr>
          <w:trHeight w:val="342" w:hRule="exact"/>
        </w:trPr>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计付利息：</w:t>
            </w:r>
          </w:p>
        </w:tc>
        <w:tc>
          <w:tcPr>
            <w:tcW w:w="1318" w:type="dxa"/>
            <w:tcBorders>
              <w:top w:val="single" w:sz="4" w:space="0" w:color="000000"/>
              <w:left w:val="single" w:sz="4" w:space="0" w:color="000000"/>
              <w:bottom w:val="single" w:sz="4" w:space="0" w:color="000000"/>
              <w:right w:val="single" w:sz="4" w:space="0" w:color="000000"/>
            </w:tcBorders>
          </w:tcPr>
          <w:p>
            <w:pPr/>
          </w:p>
        </w:tc>
        <w:tc>
          <w:tcPr>
            <w:tcW w:w="2342" w:type="dxa"/>
            <w:tcBorders>
              <w:top w:val="single" w:sz="4" w:space="0" w:color="000000"/>
              <w:left w:val="single" w:sz="4" w:space="0" w:color="000000"/>
              <w:bottom w:val="single" w:sz="4" w:space="0" w:color="000000"/>
              <w:right w:val="single" w:sz="4" w:space="0" w:color="000000"/>
            </w:tcBorders>
          </w:tcPr>
          <w:p>
            <w:pPr/>
          </w:p>
        </w:tc>
        <w:tc>
          <w:tcPr>
            <w:tcW w:w="2227"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智度德普有限合伙</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hAnsi="宋体" w:cs="宋体" w:eastAsia="宋体" w:hint="default"/>
                <w:sz w:val="18"/>
                <w:szCs w:val="18"/>
              </w:rPr>
              <w:t>利息支出</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8"/>
                <w:szCs w:val="18"/>
              </w:rPr>
            </w:pPr>
            <w:r>
              <w:rPr>
                <w:rFonts w:ascii="宋体"/>
                <w:sz w:val="18"/>
              </w:rPr>
              <w:t>4,126,302.74</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1"/>
              <w:jc w:val="right"/>
              <w:rPr>
                <w:rFonts w:ascii="宋体" w:hAnsi="宋体" w:cs="宋体" w:eastAsia="宋体" w:hint="default"/>
                <w:sz w:val="18"/>
                <w:szCs w:val="18"/>
              </w:rPr>
            </w:pPr>
            <w:r>
              <w:rPr>
                <w:rFonts w:ascii="宋体"/>
                <w:sz w:val="18"/>
              </w:rPr>
              <w:t>--</w:t>
            </w:r>
          </w:p>
        </w:tc>
      </w:tr>
      <w:tr>
        <w:trPr>
          <w:trHeight w:val="342" w:hRule="exact"/>
        </w:trPr>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上海易晋网络科技有限公司</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hAnsi="宋体" w:cs="宋体" w:eastAsia="宋体" w:hint="default"/>
                <w:sz w:val="18"/>
                <w:szCs w:val="18"/>
              </w:rPr>
              <w:t>利息支出</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8"/>
                <w:szCs w:val="18"/>
              </w:rPr>
            </w:pPr>
            <w:r>
              <w:rPr>
                <w:rFonts w:ascii="宋体"/>
                <w:sz w:val="18"/>
              </w:rPr>
              <w:t>258,704.17</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1"/>
              <w:jc w:val="right"/>
              <w:rPr>
                <w:rFonts w:ascii="宋体" w:hAnsi="宋体" w:cs="宋体" w:eastAsia="宋体" w:hint="default"/>
                <w:sz w:val="18"/>
                <w:szCs w:val="18"/>
              </w:rPr>
            </w:pPr>
            <w:r>
              <w:rPr>
                <w:rFonts w:ascii="宋体"/>
                <w:sz w:val="18"/>
              </w:rPr>
              <w:t>--</w:t>
            </w:r>
          </w:p>
        </w:tc>
      </w:tr>
      <w:tr>
        <w:trPr>
          <w:trHeight w:val="342" w:hRule="exact"/>
        </w:trPr>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hAnsi="宋体" w:cs="宋体" w:eastAsia="宋体" w:hint="default"/>
                <w:sz w:val="18"/>
                <w:szCs w:val="18"/>
              </w:rPr>
              <w:t>利息支出</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8"/>
                <w:szCs w:val="18"/>
              </w:rPr>
            </w:pPr>
            <w:r>
              <w:rPr>
                <w:rFonts w:ascii="宋体"/>
                <w:sz w:val="18"/>
              </w:rPr>
              <w:t>115,364.38</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1"/>
              <w:jc w:val="right"/>
              <w:rPr>
                <w:rFonts w:ascii="宋体" w:hAnsi="宋体" w:cs="宋体" w:eastAsia="宋体" w:hint="default"/>
                <w:sz w:val="18"/>
                <w:szCs w:val="18"/>
              </w:rPr>
            </w:pPr>
            <w:r>
              <w:rPr>
                <w:rFonts w:ascii="宋体"/>
                <w:sz w:val="18"/>
              </w:rPr>
              <w:t>--</w:t>
            </w:r>
          </w:p>
        </w:tc>
      </w:tr>
      <w:tr>
        <w:trPr>
          <w:trHeight w:val="342" w:hRule="exact"/>
        </w:trPr>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智度德普股权投资（香港）有限公司</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hAnsi="宋体" w:cs="宋体" w:eastAsia="宋体" w:hint="default"/>
                <w:sz w:val="18"/>
                <w:szCs w:val="18"/>
              </w:rPr>
              <w:t>利息支出</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8"/>
                <w:szCs w:val="18"/>
              </w:rPr>
            </w:pPr>
            <w:r>
              <w:rPr>
                <w:rFonts w:ascii="宋体"/>
                <w:sz w:val="18"/>
              </w:rPr>
              <w:t>4,483,526.12</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0"/>
              <w:jc w:val="right"/>
              <w:rPr>
                <w:rFonts w:ascii="宋体" w:hAnsi="宋体" w:cs="宋体" w:eastAsia="宋体" w:hint="default"/>
                <w:sz w:val="18"/>
                <w:szCs w:val="18"/>
              </w:rPr>
            </w:pPr>
            <w:r>
              <w:rPr>
                <w:rFonts w:ascii="宋体"/>
                <w:sz w:val="18"/>
              </w:rPr>
              <w:t>2,833,164.31</w:t>
            </w:r>
          </w:p>
        </w:tc>
      </w:tr>
      <w:tr>
        <w:trPr>
          <w:trHeight w:val="342" w:hRule="exact"/>
        </w:trPr>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Rodrigo Sales</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hAnsi="宋体" w:cs="宋体" w:eastAsia="宋体" w:hint="default"/>
                <w:sz w:val="18"/>
                <w:szCs w:val="18"/>
              </w:rPr>
              <w:t>利息支出</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8"/>
                <w:szCs w:val="18"/>
              </w:rPr>
            </w:pPr>
            <w:r>
              <w:rPr>
                <w:rFonts w:ascii="宋体"/>
                <w:sz w:val="18"/>
              </w:rPr>
              <w:t>1,060,285.10</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1"/>
              <w:jc w:val="right"/>
              <w:rPr>
                <w:rFonts w:ascii="宋体" w:hAnsi="宋体" w:cs="宋体" w:eastAsia="宋体" w:hint="default"/>
                <w:sz w:val="18"/>
                <w:szCs w:val="18"/>
              </w:rPr>
            </w:pPr>
            <w:r>
              <w:rPr>
                <w:rFonts w:ascii="宋体"/>
                <w:sz w:val="18"/>
              </w:rPr>
              <w:t>296,278.44</w:t>
            </w:r>
          </w:p>
        </w:tc>
      </w:tr>
      <w:tr>
        <w:trPr>
          <w:trHeight w:val="342" w:hRule="exact"/>
        </w:trPr>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Michael Levitt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利息支出</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9"/>
              <w:jc w:val="right"/>
              <w:rPr>
                <w:rFonts w:ascii="宋体" w:hAnsi="宋体" w:cs="宋体" w:eastAsia="宋体" w:hint="default"/>
                <w:sz w:val="18"/>
                <w:szCs w:val="18"/>
              </w:rPr>
            </w:pPr>
            <w:r>
              <w:rPr>
                <w:rFonts w:ascii="宋体"/>
                <w:sz w:val="18"/>
              </w:rPr>
              <w:t>538,557.49</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1"/>
              <w:jc w:val="right"/>
              <w:rPr>
                <w:rFonts w:ascii="宋体" w:hAnsi="宋体" w:cs="宋体" w:eastAsia="宋体" w:hint="default"/>
                <w:sz w:val="18"/>
                <w:szCs w:val="18"/>
              </w:rPr>
            </w:pPr>
            <w:r>
              <w:rPr>
                <w:rFonts w:ascii="宋体"/>
                <w:sz w:val="18"/>
              </w:rPr>
              <w:t>150,490.66</w:t>
            </w:r>
          </w:p>
        </w:tc>
      </w:tr>
    </w:tbl>
    <w:p>
      <w:pPr>
        <w:spacing w:after="0" w:line="240" w:lineRule="auto"/>
        <w:jc w:val="right"/>
        <w:rPr>
          <w:rFonts w:ascii="宋体" w:hAnsi="宋体" w:cs="宋体" w:eastAsia="宋体" w:hint="default"/>
          <w:sz w:val="18"/>
          <w:szCs w:val="18"/>
        </w:rPr>
        <w:sectPr>
          <w:pgSz w:w="11910" w:h="16840"/>
          <w:pgMar w:header="87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624"/>
        <w:gridCol w:w="1318"/>
        <w:gridCol w:w="2342"/>
        <w:gridCol w:w="2227"/>
      </w:tblGrid>
      <w:tr>
        <w:trPr>
          <w:trHeight w:val="342" w:hRule="exact"/>
        </w:trPr>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Ryan Stephens</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8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80" w:right="0"/>
              <w:jc w:val="left"/>
              <w:rPr>
                <w:rFonts w:ascii="宋体" w:hAnsi="宋体" w:cs="宋体" w:eastAsia="宋体" w:hint="default"/>
                <w:sz w:val="18"/>
                <w:szCs w:val="18"/>
              </w:rPr>
            </w:pPr>
            <w:r>
              <w:rPr>
                <w:rFonts w:ascii="宋体"/>
                <w:sz w:val="18"/>
              </w:rPr>
              <w:t>84,149.60</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65" w:right="0"/>
              <w:jc w:val="left"/>
              <w:rPr>
                <w:rFonts w:ascii="宋体" w:hAnsi="宋体" w:cs="宋体" w:eastAsia="宋体" w:hint="default"/>
                <w:sz w:val="18"/>
                <w:szCs w:val="18"/>
              </w:rPr>
            </w:pPr>
            <w:r>
              <w:rPr>
                <w:rFonts w:ascii="宋体"/>
                <w:sz w:val="18"/>
              </w:rPr>
              <w:t>23,514.16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3"/>
        <w:spacing w:line="240" w:lineRule="auto"/>
        <w:ind w:right="0"/>
        <w:jc w:val="left"/>
        <w:rPr>
          <w:b w:val="0"/>
          <w:bCs w:val="0"/>
        </w:rPr>
      </w:pPr>
      <w:bookmarkStart w:name="6、关联方应收应付款项" w:id="468"/>
      <w:bookmarkEnd w:id="468"/>
      <w:r>
        <w:rPr>
          <w:b w:val="0"/>
          <w:bCs w:val="0"/>
        </w:rPr>
      </w:r>
      <w:r>
        <w:rPr>
          <w:rFonts w:ascii="宋体" w:hAnsi="宋体" w:cs="宋体" w:eastAsia="宋体" w:hint="default"/>
        </w:rPr>
        <w:t>6</w:t>
      </w:r>
      <w:r>
        <w:rPr/>
        <w:t>、关联方应收应付款项</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应收项目" w:id="469"/>
      <w:bookmarkEnd w:id="469"/>
      <w:r>
        <w:rPr>
          <w:b w:val="0"/>
          <w:bCs w:val="0"/>
        </w:rPr>
      </w:r>
      <w:r>
        <w:rPr/>
        <w:t>（</w:t>
      </w:r>
      <w:r>
        <w:rPr>
          <w:rFonts w:ascii="宋体" w:hAnsi="宋体" w:cs="宋体" w:eastAsia="宋体" w:hint="default"/>
        </w:rPr>
        <w:t>1</w:t>
      </w:r>
      <w:r>
        <w:rPr/>
        <w:t>）应收项目</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2234"/>
        <w:gridCol w:w="1276"/>
        <w:gridCol w:w="127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2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5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223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福建风灵创景科技有限公司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21,882.42</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145,131.92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深圳市隽川科技有限公司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11,314.17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01" w:right="0"/>
              <w:jc w:val="left"/>
              <w:rPr>
                <w:rFonts w:ascii="宋体" w:hAnsi="宋体" w:cs="宋体" w:eastAsia="宋体" w:hint="default"/>
                <w:sz w:val="18"/>
                <w:szCs w:val="18"/>
              </w:rPr>
            </w:pPr>
            <w:r>
              <w:rPr>
                <w:rFonts w:ascii="宋体"/>
                <w:sz w:val="18"/>
              </w:rPr>
              <w:t>565.71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北京盈聚思成投资管理中心</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151,469.06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430,063.93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缪志坚</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86,553.75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105,487.38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袁聪</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240,727.61</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应付项目" w:id="470"/>
      <w:bookmarkEnd w:id="470"/>
      <w:r>
        <w:rPr>
          <w:b w:val="0"/>
          <w:bCs w:val="0"/>
        </w:rPr>
      </w:r>
      <w:r>
        <w:rPr/>
        <w:t>（</w:t>
      </w:r>
      <w:r>
        <w:rPr>
          <w:rFonts w:ascii="宋体" w:hAnsi="宋体" w:cs="宋体" w:eastAsia="宋体" w:hint="default"/>
        </w:rPr>
        <w:t>2</w:t>
      </w:r>
      <w:r>
        <w:rPr/>
        <w:t>）应付项目</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福建风灵创景科技有限公司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64,091.49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244,469.20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福建智度科技有限公司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29,780.00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福建风灵创景科技有限公司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11,118.26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Rodrigo Sales</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20,840,014.12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22,158,078.69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Michael Levit</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10,585,404.00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11,253,355.61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Ryan Stephens</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1,653,969.38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1,758,818.56</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智度德普股权投资（香港）有 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201,648,226.61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深圳市思达仪表有限公司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3,948,241.75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Rodrigo Sales</w:t>
            </w:r>
            <w:r>
              <w:rPr>
                <w:rFonts w:ascii="宋体" w:hAnsi="宋体" w:cs="宋体" w:eastAsia="宋体" w:hint="default"/>
                <w:spacing w:val="-46"/>
                <w:sz w:val="18"/>
                <w:szCs w:val="18"/>
              </w:rPr>
              <w:t> </w:t>
            </w:r>
            <w:r>
              <w:rPr>
                <w:rFonts w:ascii="宋体" w:hAnsi="宋体" w:cs="宋体" w:eastAsia="宋体" w:hint="default"/>
                <w:sz w:val="18"/>
                <w:szCs w:val="18"/>
              </w:rPr>
              <w:t>等原股东</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299,191,739.44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587,934,682.65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Rodrigo Sales</w:t>
            </w:r>
            <w:r>
              <w:rPr>
                <w:rFonts w:ascii="宋体" w:hAnsi="宋体" w:cs="宋体" w:eastAsia="宋体" w:hint="default"/>
                <w:spacing w:val="-46"/>
                <w:sz w:val="18"/>
                <w:szCs w:val="18"/>
              </w:rPr>
              <w:t> </w:t>
            </w:r>
            <w:r>
              <w:rPr>
                <w:rFonts w:ascii="宋体" w:hAnsi="宋体" w:cs="宋体" w:eastAsia="宋体" w:hint="default"/>
                <w:sz w:val="18"/>
                <w:szCs w:val="18"/>
              </w:rPr>
              <w:t>等原股东</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254,604,253.55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203,061,459.51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115,364.38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060" w:bottom="138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7、关联方承诺" w:id="471"/>
      <w:bookmarkEnd w:id="471"/>
      <w:r>
        <w:rPr>
          <w:b w:val="0"/>
          <w:bCs w:val="0"/>
        </w:rPr>
      </w:r>
      <w:r>
        <w:rPr>
          <w:rFonts w:ascii="宋体" w:hAnsi="宋体" w:cs="宋体" w:eastAsia="宋体" w:hint="default"/>
        </w:rPr>
        <w:t>7</w:t>
      </w:r>
      <w:r>
        <w:rPr/>
        <w:t>、关联方承诺</w:t>
      </w:r>
      <w:r>
        <w:rPr>
          <w:b w:val="0"/>
          <w:bCs w:val="0"/>
        </w:rPr>
      </w:r>
    </w:p>
    <w:p>
      <w:pPr>
        <w:spacing w:line="240" w:lineRule="auto" w:before="11"/>
        <w:rPr>
          <w:rFonts w:ascii="宋体" w:hAnsi="宋体" w:cs="宋体" w:eastAsia="宋体" w:hint="default"/>
          <w:b/>
          <w:bCs/>
          <w:sz w:val="25"/>
          <w:szCs w:val="25"/>
        </w:rPr>
      </w:pPr>
    </w:p>
    <w:p>
      <w:pPr>
        <w:spacing w:line="501" w:lineRule="auto" w:before="0"/>
        <w:ind w:left="154" w:right="8749" w:firstLine="0"/>
        <w:jc w:val="left"/>
        <w:rPr>
          <w:rFonts w:ascii="宋体" w:hAnsi="宋体" w:cs="宋体" w:eastAsia="宋体" w:hint="default"/>
          <w:sz w:val="21"/>
          <w:szCs w:val="21"/>
        </w:rPr>
      </w:pPr>
      <w:bookmarkStart w:name="8、其他" w:id="472"/>
      <w:bookmarkEnd w:id="472"/>
      <w:r>
        <w:rPr/>
      </w:r>
      <w:r>
        <w:rPr>
          <w:rFonts w:ascii="宋体" w:hAnsi="宋体" w:cs="宋体" w:eastAsia="宋体"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三、股份支付" w:id="473"/>
      <w:bookmarkEnd w:id="473"/>
      <w:r>
        <w:rPr>
          <w:rFonts w:ascii="宋体" w:hAnsi="宋体" w:cs="宋体" w:eastAsia="宋体" w:hint="default"/>
          <w:b/>
          <w:bCs/>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74"/>
      <w:bookmarkEnd w:id="474"/>
      <w:r>
        <w:rPr>
          <w:rFonts w:ascii="宋体" w:hAnsi="宋体" w:cs="宋体" w:eastAsia="宋体" w:hint="default"/>
          <w:b/>
          <w:bCs/>
          <w:w w:val="99"/>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35"/>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以权益结算的股份支付情况" w:id="475"/>
      <w:bookmarkEnd w:id="475"/>
      <w:r>
        <w:rPr>
          <w:b w:val="0"/>
          <w:bCs w:val="0"/>
        </w:rPr>
      </w:r>
      <w:r>
        <w:rPr>
          <w:rFonts w:ascii="宋体" w:hAnsi="宋体" w:cs="宋体" w:eastAsia="宋体" w:hint="default"/>
        </w:rPr>
        <w:t>2</w:t>
      </w:r>
      <w:r>
        <w:rPr/>
        <w:t>、以权益结算的股份支付情况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以现金结算的股份支付情况" w:id="476"/>
      <w:bookmarkEnd w:id="476"/>
      <w:r>
        <w:rPr>
          <w:b w:val="0"/>
          <w:bCs w:val="0"/>
        </w:rPr>
      </w:r>
      <w:r>
        <w:rPr>
          <w:rFonts w:ascii="宋体" w:hAnsi="宋体" w:cs="宋体" w:eastAsia="宋体" w:hint="default"/>
        </w:rPr>
        <w:t>3</w:t>
      </w:r>
      <w:r>
        <w:rPr/>
        <w:t>、以现金结算的股份支付情况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股份支付的修改、终止情况" w:id="477"/>
      <w:bookmarkEnd w:id="477"/>
      <w:r>
        <w:rPr>
          <w:b w:val="0"/>
          <w:bCs w:val="0"/>
        </w:rPr>
      </w:r>
      <w:r>
        <w:rPr>
          <w:rFonts w:ascii="宋体" w:hAnsi="宋体" w:cs="宋体" w:eastAsia="宋体" w:hint="default"/>
        </w:rPr>
        <w:t>4</w:t>
      </w:r>
      <w:r>
        <w:rPr/>
        <w:t>、股份支付的修改、终止情况</w:t>
      </w:r>
      <w:r>
        <w:rPr>
          <w:b w:val="0"/>
          <w:bCs w:val="0"/>
        </w:rPr>
      </w:r>
    </w:p>
    <w:p>
      <w:pPr>
        <w:spacing w:line="240" w:lineRule="auto" w:before="12"/>
        <w:rPr>
          <w:rFonts w:ascii="宋体" w:hAnsi="宋体" w:cs="宋体" w:eastAsia="宋体" w:hint="default"/>
          <w:b/>
          <w:bCs/>
          <w:sz w:val="25"/>
          <w:szCs w:val="25"/>
        </w:rPr>
      </w:pPr>
    </w:p>
    <w:p>
      <w:pPr>
        <w:spacing w:line="501" w:lineRule="auto" w:before="0"/>
        <w:ind w:left="154" w:right="8142" w:firstLine="0"/>
        <w:jc w:val="left"/>
        <w:rPr>
          <w:rFonts w:ascii="宋体" w:hAnsi="宋体" w:cs="宋体" w:eastAsia="宋体" w:hint="default"/>
          <w:sz w:val="21"/>
          <w:szCs w:val="21"/>
        </w:rPr>
      </w:pPr>
      <w:bookmarkStart w:name="5、其他" w:id="478"/>
      <w:bookmarkEnd w:id="478"/>
      <w:r>
        <w:rPr/>
      </w:r>
      <w:r>
        <w:rPr>
          <w:rFonts w:ascii="宋体" w:hAnsi="宋体" w:cs="宋体" w:eastAsia="宋体"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四、承诺及或有事项" w:id="479"/>
      <w:bookmarkEnd w:id="479"/>
      <w:r>
        <w:rPr>
          <w:rFonts w:ascii="宋体" w:hAnsi="宋体" w:cs="宋体" w:eastAsia="宋体" w:hint="default"/>
          <w:b/>
          <w:bCs/>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80"/>
      <w:bookmarkEnd w:id="480"/>
      <w:r>
        <w:rPr>
          <w:rFonts w:ascii="宋体" w:hAnsi="宋体" w:cs="宋体" w:eastAsia="宋体" w:hint="default"/>
          <w:b/>
          <w:bCs/>
          <w:spacing w:val="-4"/>
          <w:w w:val="95"/>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35"/>
        <w:ind w:right="0"/>
        <w:jc w:val="left"/>
      </w:pPr>
      <w:r>
        <w:rPr/>
        <w:t>资产负债表日存在的重要承诺</w:t>
      </w:r>
    </w:p>
    <w:p>
      <w:pPr>
        <w:pStyle w:val="BodyText"/>
        <w:spacing w:line="240" w:lineRule="auto" w:before="116"/>
        <w:ind w:left="514" w:right="0"/>
        <w:jc w:val="left"/>
      </w:pPr>
      <w:r>
        <w:rPr/>
        <w:t>（</w:t>
      </w:r>
      <w:r>
        <w:rPr>
          <w:rFonts w:ascii="宋体" w:hAnsi="宋体" w:cs="宋体" w:eastAsia="宋体" w:hint="default"/>
        </w:rPr>
        <w:t>1</w:t>
      </w:r>
      <w:r>
        <w:rPr/>
        <w:t>）资本承诺</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07"/>
        <w:gridCol w:w="2060"/>
        <w:gridCol w:w="1928"/>
      </w:tblGrid>
      <w:tr>
        <w:trPr>
          <w:trHeight w:val="364" w:hRule="exact"/>
        </w:trPr>
        <w:tc>
          <w:tcPr>
            <w:tcW w:w="5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已签约但尚未于财务报表中确认的资本承诺</w:t>
            </w:r>
            <w:r>
              <w:rPr>
                <w:rFonts w:ascii="宋体" w:hAnsi="宋体" w:cs="宋体" w:eastAsia="宋体" w:hint="default"/>
                <w:sz w:val="18"/>
                <w:szCs w:val="18"/>
              </w:rPr>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b/>
                <w:bCs/>
                <w:w w:val="95"/>
                <w:sz w:val="18"/>
                <w:szCs w:val="18"/>
              </w:rPr>
              <w:t>期末数（万元）</w:t>
            </w:r>
            <w:r>
              <w:rPr>
                <w:rFonts w:ascii="宋体" w:hAnsi="宋体" w:cs="宋体" w:eastAsia="宋体" w:hint="default"/>
                <w:sz w:val="18"/>
                <w:szCs w:val="18"/>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b/>
                <w:bCs/>
                <w:w w:val="95"/>
                <w:sz w:val="18"/>
                <w:szCs w:val="18"/>
              </w:rPr>
              <w:t>期初数（万元）</w:t>
            </w:r>
            <w:r>
              <w:rPr>
                <w:rFonts w:ascii="宋体" w:hAnsi="宋体" w:cs="宋体" w:eastAsia="宋体" w:hint="default"/>
                <w:sz w:val="18"/>
                <w:szCs w:val="18"/>
              </w:rPr>
            </w:r>
          </w:p>
        </w:tc>
      </w:tr>
      <w:tr>
        <w:trPr>
          <w:trHeight w:val="362" w:hRule="exact"/>
        </w:trPr>
        <w:tc>
          <w:tcPr>
            <w:tcW w:w="5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8"/>
                <w:szCs w:val="18"/>
              </w:rPr>
            </w:pPr>
            <w:r>
              <w:rPr>
                <w:rFonts w:ascii="宋体" w:hAnsi="宋体" w:cs="宋体" w:eastAsia="宋体" w:hint="default"/>
                <w:sz w:val="18"/>
                <w:szCs w:val="18"/>
              </w:rPr>
              <w:t>对外投资承诺</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900.00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r>
      <w:tr>
        <w:trPr>
          <w:trHeight w:val="348" w:hRule="exact"/>
        </w:trPr>
        <w:tc>
          <w:tcPr>
            <w:tcW w:w="5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8"/>
                <w:szCs w:val="18"/>
              </w:rPr>
            </w:pPr>
            <w:r>
              <w:rPr>
                <w:rFonts w:ascii="宋体" w:hAnsi="宋体" w:cs="宋体" w:eastAsia="宋体" w:hint="default"/>
                <w:sz w:val="18"/>
                <w:szCs w:val="18"/>
              </w:rPr>
              <w:t>版权金</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220</w:t>
            </w:r>
            <w:r>
              <w:rPr>
                <w:rFonts w:ascii="宋体" w:hAnsi="宋体" w:cs="宋体" w:eastAsia="宋体" w:hint="default"/>
                <w:sz w:val="18"/>
                <w:szCs w:val="18"/>
              </w:rPr>
              <w:t>万美元</w:t>
            </w:r>
          </w:p>
        </w:tc>
      </w:tr>
    </w:tbl>
    <w:p>
      <w:pPr>
        <w:pStyle w:val="BodyText"/>
        <w:spacing w:line="360" w:lineRule="auto" w:before="51"/>
        <w:ind w:left="514" w:right="4452"/>
        <w:jc w:val="left"/>
      </w:pPr>
      <w:r>
        <w:rPr/>
        <w:t>（</w:t>
      </w:r>
      <w:r>
        <w:rPr>
          <w:rFonts w:ascii="宋体" w:hAnsi="宋体" w:cs="宋体" w:eastAsia="宋体" w:hint="default"/>
        </w:rPr>
        <w:t>2</w:t>
      </w:r>
      <w:r>
        <w:rPr/>
        <w:t>）经营租赁承诺 至资产负债表日止，本公司对外签订的不可撤销的经营租赁合约情况如下：</w:t>
      </w:r>
    </w:p>
    <w:tbl>
      <w:tblPr>
        <w:tblW w:w="0" w:type="auto"/>
        <w:jc w:val="left"/>
        <w:tblInd w:w="149" w:type="dxa"/>
        <w:tblLayout w:type="fixed"/>
        <w:tblCellMar>
          <w:top w:w="0" w:type="dxa"/>
          <w:left w:w="0" w:type="dxa"/>
          <w:bottom w:w="0" w:type="dxa"/>
          <w:right w:w="0" w:type="dxa"/>
        </w:tblCellMar>
        <w:tblLook w:val="01E0"/>
      </w:tblPr>
      <w:tblGrid>
        <w:gridCol w:w="5319"/>
        <w:gridCol w:w="1928"/>
        <w:gridCol w:w="2084"/>
      </w:tblGrid>
      <w:tr>
        <w:trPr>
          <w:trHeight w:val="342" w:hRule="exact"/>
        </w:trPr>
        <w:tc>
          <w:tcPr>
            <w:tcW w:w="5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不可撤销经营租赁的最低租赁付款额</w:t>
            </w:r>
            <w:r>
              <w:rPr>
                <w:rFonts w:ascii="宋体" w:hAnsi="宋体" w:cs="宋体" w:eastAsia="宋体" w:hint="default"/>
                <w:sz w:val="18"/>
                <w:szCs w:val="18"/>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r>
        <w:trPr>
          <w:trHeight w:val="342" w:hRule="exact"/>
        </w:trPr>
        <w:tc>
          <w:tcPr>
            <w:tcW w:w="5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宋体" w:hAnsi="宋体" w:cs="宋体" w:eastAsia="宋体" w:hint="default"/>
                <w:sz w:val="18"/>
                <w:szCs w:val="18"/>
              </w:rPr>
              <w:t>1</w:t>
            </w:r>
            <w:r>
              <w:rPr>
                <w:rFonts w:ascii="宋体" w:hAnsi="宋体" w:cs="宋体" w:eastAsia="宋体" w:hint="default"/>
                <w:sz w:val="18"/>
                <w:szCs w:val="18"/>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18,443,942.87</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18,864,114.26</w:t>
            </w:r>
          </w:p>
        </w:tc>
      </w:tr>
      <w:tr>
        <w:trPr>
          <w:trHeight w:val="342" w:hRule="exact"/>
        </w:trPr>
        <w:tc>
          <w:tcPr>
            <w:tcW w:w="5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宋体" w:hAnsi="宋体" w:cs="宋体" w:eastAsia="宋体" w:hint="default"/>
                <w:sz w:val="18"/>
                <w:szCs w:val="18"/>
              </w:rPr>
              <w:t>2</w:t>
            </w:r>
            <w:r>
              <w:rPr>
                <w:rFonts w:ascii="宋体" w:hAnsi="宋体" w:cs="宋体" w:eastAsia="宋体" w:hint="default"/>
                <w:sz w:val="18"/>
                <w:szCs w:val="18"/>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18,269,314.38</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14,150,598.33</w:t>
            </w:r>
          </w:p>
        </w:tc>
      </w:tr>
      <w:tr>
        <w:trPr>
          <w:trHeight w:val="342" w:hRule="exact"/>
        </w:trPr>
        <w:tc>
          <w:tcPr>
            <w:tcW w:w="5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宋体" w:hAnsi="宋体" w:cs="宋体" w:eastAsia="宋体" w:hint="default"/>
                <w:sz w:val="18"/>
                <w:szCs w:val="18"/>
              </w:rPr>
              <w:t>3</w:t>
            </w:r>
            <w:r>
              <w:rPr>
                <w:rFonts w:ascii="宋体" w:hAnsi="宋体" w:cs="宋体" w:eastAsia="宋体" w:hint="default"/>
                <w:sz w:val="18"/>
                <w:szCs w:val="18"/>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5,016,823.49</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13,688,635.80</w:t>
            </w:r>
          </w:p>
        </w:tc>
      </w:tr>
      <w:tr>
        <w:trPr>
          <w:trHeight w:val="342" w:hRule="exact"/>
        </w:trPr>
        <w:tc>
          <w:tcPr>
            <w:tcW w:w="5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58"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b/>
                <w:w w:val="95"/>
                <w:sz w:val="18"/>
              </w:rPr>
              <w:t>41,730,080.74</w:t>
            </w:r>
            <w:r>
              <w:rPr>
                <w:rFonts w:ascii="宋体"/>
                <w:sz w:val="18"/>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b/>
                <w:w w:val="95"/>
                <w:sz w:val="18"/>
              </w:rPr>
              <w:t>46,703,348.39</w:t>
            </w:r>
            <w:r>
              <w:rPr>
                <w:rFonts w:ascii="宋体"/>
                <w:sz w:val="18"/>
              </w:rPr>
            </w:r>
          </w:p>
        </w:tc>
      </w:tr>
    </w:tbl>
    <w:p>
      <w:pPr>
        <w:pStyle w:val="BodyText"/>
        <w:spacing w:line="240" w:lineRule="auto" w:before="65"/>
        <w:ind w:left="514" w:right="0"/>
        <w:jc w:val="left"/>
      </w:pPr>
      <w:r>
        <w:rPr/>
        <w:t>截止</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日，本公司不存在其他应披露的承诺事项。</w:t>
      </w:r>
    </w:p>
    <w:p>
      <w:pPr>
        <w:spacing w:after="0" w:line="240" w:lineRule="auto"/>
        <w:jc w:val="left"/>
        <w:sectPr>
          <w:footerReference w:type="default" r:id="rId161"/>
          <w:pgSz w:w="11910" w:h="16840"/>
          <w:pgMar w:footer="1187" w:header="877" w:top="1060" w:bottom="138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both"/>
        <w:rPr>
          <w:b w:val="0"/>
          <w:bCs w:val="0"/>
        </w:rPr>
      </w:pPr>
      <w:bookmarkStart w:name="2、或有事项" w:id="481"/>
      <w:bookmarkEnd w:id="481"/>
      <w:r>
        <w:rPr>
          <w:b w:val="0"/>
          <w:bCs w:val="0"/>
        </w:rPr>
      </w:r>
      <w:r>
        <w:rPr>
          <w:rFonts w:ascii="宋体" w:hAnsi="宋体" w:cs="宋体" w:eastAsia="宋体" w:hint="default"/>
        </w:rPr>
        <w:t>2</w:t>
      </w:r>
      <w:r>
        <w:rPr/>
        <w:t>、或有事项</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both"/>
        <w:rPr>
          <w:b w:val="0"/>
          <w:bCs w:val="0"/>
        </w:rPr>
      </w:pPr>
      <w:bookmarkStart w:name="（1）资产负债表日存在的重要或有事项" w:id="482"/>
      <w:bookmarkEnd w:id="482"/>
      <w:r>
        <w:rPr>
          <w:b w:val="0"/>
          <w:bCs w:val="0"/>
        </w:rPr>
      </w:r>
      <w:r>
        <w:rPr/>
        <w:t>（</w:t>
      </w:r>
      <w:r>
        <w:rPr>
          <w:rFonts w:ascii="宋体" w:hAnsi="宋体" w:cs="宋体" w:eastAsia="宋体" w:hint="default"/>
        </w:rPr>
        <w:t>1</w:t>
      </w:r>
      <w:r>
        <w:rPr/>
        <w:t>）资产负债表日存在的重要或有事项</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514" w:right="0"/>
        <w:jc w:val="left"/>
      </w:pPr>
      <w:r>
        <w:rPr/>
        <w:t>（</w:t>
      </w:r>
      <w:r>
        <w:rPr>
          <w:rFonts w:ascii="宋体" w:hAnsi="宋体" w:cs="宋体" w:eastAsia="宋体" w:hint="default"/>
        </w:rPr>
        <w:t>1</w:t>
      </w:r>
      <w:r>
        <w:rPr/>
        <w:t>）未决诉讼仲裁形成的或有负债及其财务影响</w:t>
      </w:r>
    </w:p>
    <w:p>
      <w:pPr>
        <w:pStyle w:val="BodyText"/>
        <w:spacing w:line="316" w:lineRule="auto" w:before="115"/>
        <w:ind w:right="1131" w:firstLine="360"/>
        <w:jc w:val="both"/>
      </w:pPr>
      <w:r>
        <w:rPr/>
        <w:t>①</w:t>
      </w:r>
      <w:r>
        <w:rPr>
          <w:rFonts w:ascii="宋体" w:hAnsi="宋体" w:cs="宋体" w:eastAsia="宋体" w:hint="default"/>
        </w:rPr>
        <w:t>2014</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月，中信国安盟固利电源技术有限公司，对下述自然人和公司提起诉讼，被告一：黄永宏；被告二：曲绍 </w:t>
      </w:r>
      <w:r>
        <w:rPr>
          <w:spacing w:val="-2"/>
        </w:rPr>
        <w:t>强；被告三：河南思奇科技投资有限公司；被告四：河南思达高科技股份有限公司（本公司曾用名）；被告五：深圳联创立</w:t>
      </w:r>
      <w:r>
        <w:rPr>
          <w:spacing w:val="-72"/>
        </w:rPr>
        <w:t> </w:t>
      </w:r>
      <w:r>
        <w:rPr>
          <w:spacing w:val="-72"/>
        </w:rPr>
      </w:r>
      <w:r>
        <w:rPr>
          <w:spacing w:val="-3"/>
        </w:rPr>
        <w:t>信会计师事务所。诉讼请求：（</w:t>
      </w:r>
      <w:r>
        <w:rPr>
          <w:rFonts w:ascii="宋体" w:hAnsi="宋体" w:cs="宋体" w:eastAsia="宋体" w:hint="default"/>
          <w:spacing w:val="-3"/>
        </w:rPr>
        <w:t>1</w:t>
      </w:r>
      <w:r>
        <w:rPr>
          <w:spacing w:val="-3"/>
        </w:rPr>
        <w:t>）判令被告一、二、三对（</w:t>
      </w:r>
      <w:r>
        <w:rPr>
          <w:rFonts w:ascii="宋体" w:hAnsi="宋体" w:cs="宋体" w:eastAsia="宋体" w:hint="default"/>
          <w:spacing w:val="-3"/>
        </w:rPr>
        <w:t>2012</w:t>
      </w:r>
      <w:r>
        <w:rPr>
          <w:spacing w:val="-3"/>
        </w:rPr>
        <w:t>）深宝法民二初字第</w:t>
      </w:r>
      <w:r>
        <w:rPr/>
        <w:t> </w:t>
      </w:r>
      <w:r>
        <w:rPr>
          <w:rFonts w:ascii="宋体" w:hAnsi="宋体" w:cs="宋体" w:eastAsia="宋体" w:hint="default"/>
        </w:rPr>
        <w:t>1824</w:t>
      </w:r>
      <w:r>
        <w:rPr>
          <w:rFonts w:ascii="宋体" w:hAnsi="宋体" w:cs="宋体" w:eastAsia="宋体" w:hint="default"/>
          <w:spacing w:val="-62"/>
        </w:rPr>
        <w:t> </w:t>
      </w:r>
      <w:r>
        <w:rPr/>
        <w:t>号《民事判决书》所确定的深圳</w:t>
      </w:r>
    </w:p>
    <w:p>
      <w:pPr>
        <w:pStyle w:val="BodyText"/>
        <w:spacing w:line="240" w:lineRule="auto" w:before="19"/>
        <w:ind w:right="0"/>
        <w:jc w:val="both"/>
      </w:pPr>
      <w:r>
        <w:rPr/>
        <w:t>银思奇电子有限公司所欠原告的债务（包括贷款本金人民币</w:t>
      </w:r>
      <w:r>
        <w:rPr>
          <w:spacing w:val="-46"/>
        </w:rPr>
        <w:t> </w:t>
      </w:r>
      <w:r>
        <w:rPr>
          <w:rFonts w:ascii="宋体" w:hAnsi="宋体" w:cs="宋体" w:eastAsia="宋体" w:hint="default"/>
        </w:rPr>
        <w:t>8,709,199.23</w:t>
      </w:r>
      <w:r>
        <w:rPr>
          <w:rFonts w:ascii="宋体" w:hAnsi="宋体" w:cs="宋体" w:eastAsia="宋体" w:hint="default"/>
          <w:spacing w:val="-46"/>
        </w:rPr>
        <w:t> </w:t>
      </w:r>
      <w:r>
        <w:rPr/>
        <w:t>元及逾期付款违约金（违约金按日万分之四，暂</w:t>
      </w:r>
    </w:p>
    <w:p>
      <w:pPr>
        <w:pStyle w:val="BodyText"/>
        <w:spacing w:line="240" w:lineRule="auto" w:before="76"/>
        <w:ind w:right="0"/>
        <w:jc w:val="both"/>
      </w:pPr>
      <w:r>
        <w:rPr/>
        <w:t>计至</w:t>
      </w:r>
      <w:r>
        <w:rPr>
          <w:spacing w:val="-46"/>
        </w:rPr>
        <w:t> </w:t>
      </w:r>
      <w:r>
        <w:rPr>
          <w:rFonts w:ascii="宋体" w:hAnsi="宋体" w:cs="宋体" w:eastAsia="宋体" w:hint="default"/>
        </w:rPr>
        <w:t>2012</w:t>
      </w:r>
      <w:r>
        <w:rPr>
          <w:rFonts w:ascii="宋体" w:hAnsi="宋体" w:cs="宋体" w:eastAsia="宋体" w:hint="default"/>
          <w:spacing w:val="-46"/>
        </w:rPr>
        <w:t> </w:t>
      </w:r>
      <w:r>
        <w:rPr/>
        <w:t>年</w:t>
      </w:r>
      <w:r>
        <w:rPr>
          <w:spacing w:val="-45"/>
        </w:rPr>
        <w:t> </w:t>
      </w:r>
      <w:r>
        <w:rPr>
          <w:rFonts w:ascii="宋体" w:hAnsi="宋体" w:cs="宋体" w:eastAsia="宋体" w:hint="default"/>
        </w:rPr>
        <w:t>9</w:t>
      </w:r>
      <w:r>
        <w:rPr>
          <w:rFonts w:ascii="宋体" w:hAnsi="宋体" w:cs="宋体" w:eastAsia="宋体" w:hint="default"/>
          <w:spacing w:val="-45"/>
        </w:rPr>
        <w:t> </w:t>
      </w:r>
      <w:r>
        <w:rPr/>
        <w:t>月</w:t>
      </w:r>
      <w:r>
        <w:rPr>
          <w:spacing w:val="-46"/>
        </w:rPr>
        <w:t> </w:t>
      </w:r>
      <w:r>
        <w:rPr>
          <w:rFonts w:ascii="宋体" w:hAnsi="宋体" w:cs="宋体" w:eastAsia="宋体" w:hint="default"/>
        </w:rPr>
        <w:t>10</w:t>
      </w:r>
      <w:r>
        <w:rPr>
          <w:rFonts w:ascii="宋体" w:hAnsi="宋体" w:cs="宋体" w:eastAsia="宋体" w:hint="default"/>
          <w:spacing w:val="-46"/>
        </w:rPr>
        <w:t> </w:t>
      </w:r>
      <w:r>
        <w:rPr/>
        <w:t>日为人</w:t>
      </w:r>
      <w:r>
        <w:rPr>
          <w:spacing w:val="1"/>
        </w:rPr>
        <w:t>民</w:t>
      </w:r>
      <w:r>
        <w:rPr/>
        <w:t>币</w:t>
      </w:r>
      <w:r>
        <w:rPr>
          <w:spacing w:val="-46"/>
        </w:rPr>
        <w:t> </w:t>
      </w:r>
      <w:r>
        <w:rPr>
          <w:rFonts w:ascii="宋体" w:hAnsi="宋体" w:cs="宋体" w:eastAsia="宋体" w:hint="default"/>
        </w:rPr>
        <w:t>1,014,980.36</w:t>
      </w:r>
      <w:r>
        <w:rPr>
          <w:rFonts w:ascii="宋体" w:hAnsi="宋体" w:cs="宋体" w:eastAsia="宋体" w:hint="default"/>
          <w:spacing w:val="-46"/>
        </w:rPr>
        <w:t> </w:t>
      </w:r>
      <w:r>
        <w:rPr/>
        <w:t>元，应计至清偿日</w:t>
      </w:r>
      <w:r>
        <w:rPr>
          <w:spacing w:val="-90"/>
        </w:rPr>
        <w:t>）</w:t>
      </w:r>
      <w:r>
        <w:rPr/>
        <w:t>、诉讼费人民币</w:t>
      </w:r>
      <w:r>
        <w:rPr>
          <w:spacing w:val="-46"/>
        </w:rPr>
        <w:t> </w:t>
      </w:r>
      <w:r>
        <w:rPr>
          <w:rFonts w:ascii="宋体" w:hAnsi="宋体" w:cs="宋体" w:eastAsia="宋体" w:hint="default"/>
        </w:rPr>
        <w:t>86,000</w:t>
      </w:r>
      <w:r>
        <w:rPr>
          <w:rFonts w:ascii="宋体" w:hAnsi="宋体" w:cs="宋体" w:eastAsia="宋体" w:hint="default"/>
          <w:spacing w:val="-44"/>
        </w:rPr>
        <w:t> </w:t>
      </w:r>
      <w:r>
        <w:rPr/>
        <w:t>元）承担连带清偿责任</w:t>
      </w:r>
      <w:r>
        <w:rPr>
          <w:spacing w:val="-90"/>
        </w:rPr>
        <w:t>；</w:t>
      </w:r>
      <w:r>
        <w:rPr/>
        <w:t>（</w:t>
      </w:r>
      <w:r>
        <w:rPr>
          <w:rFonts w:ascii="宋体" w:hAnsi="宋体" w:cs="宋体" w:eastAsia="宋体" w:hint="default"/>
        </w:rPr>
        <w:t>2</w:t>
      </w:r>
      <w:r>
        <w:rPr/>
        <w:t>）判</w:t>
      </w:r>
    </w:p>
    <w:p>
      <w:pPr>
        <w:pStyle w:val="BodyText"/>
        <w:spacing w:line="240" w:lineRule="auto" w:before="76"/>
        <w:ind w:right="0"/>
        <w:jc w:val="both"/>
      </w:pPr>
      <w:r>
        <w:rPr/>
        <w:t>令被告四在人民币</w:t>
      </w:r>
      <w:r>
        <w:rPr>
          <w:spacing w:val="-46"/>
        </w:rPr>
        <w:t> </w:t>
      </w:r>
      <w:r>
        <w:rPr>
          <w:rFonts w:ascii="宋体" w:hAnsi="宋体" w:cs="宋体" w:eastAsia="宋体" w:hint="default"/>
        </w:rPr>
        <w:t>1,100</w:t>
      </w:r>
      <w:r>
        <w:rPr>
          <w:rFonts w:ascii="宋体" w:hAnsi="宋体" w:cs="宋体" w:eastAsia="宋体" w:hint="default"/>
          <w:spacing w:val="-46"/>
        </w:rPr>
        <w:t> </w:t>
      </w:r>
      <w:r>
        <w:rPr>
          <w:spacing w:val="1"/>
        </w:rPr>
        <w:t>万</w:t>
      </w:r>
      <w:r>
        <w:rPr/>
        <w:t>元的范围内，就上述第一项请求债务向原告承担赔偿责任，被告一与被告四承担连带责任</w:t>
      </w:r>
      <w:r>
        <w:rPr>
          <w:spacing w:val="-90"/>
        </w:rPr>
        <w:t>；</w:t>
      </w:r>
      <w:r>
        <w:rPr/>
        <w:t>（</w:t>
      </w:r>
      <w:r>
        <w:rPr>
          <w:rFonts w:ascii="宋体" w:hAnsi="宋体" w:cs="宋体" w:eastAsia="宋体" w:hint="default"/>
        </w:rPr>
        <w:t>3</w:t>
      </w:r>
      <w:r>
        <w:rPr/>
        <w:t>）</w:t>
      </w:r>
    </w:p>
    <w:p>
      <w:pPr>
        <w:pStyle w:val="BodyText"/>
        <w:spacing w:line="319" w:lineRule="auto" w:before="76"/>
        <w:ind w:left="153" w:right="1123"/>
        <w:jc w:val="left"/>
      </w:pPr>
      <w:r>
        <w:rPr/>
        <w:t>判令被告五在人民币</w:t>
      </w:r>
      <w:r>
        <w:rPr>
          <w:spacing w:val="-28"/>
        </w:rPr>
        <w:t> </w:t>
      </w:r>
      <w:r>
        <w:rPr>
          <w:rFonts w:ascii="宋体" w:hAnsi="宋体" w:cs="宋体" w:eastAsia="宋体" w:hint="default"/>
        </w:rPr>
        <w:t>3,000</w:t>
      </w:r>
      <w:r>
        <w:rPr>
          <w:rFonts w:ascii="宋体" w:hAnsi="宋体" w:cs="宋体" w:eastAsia="宋体" w:hint="default"/>
          <w:spacing w:val="-27"/>
        </w:rPr>
        <w:t> </w:t>
      </w:r>
      <w:r>
        <w:rPr>
          <w:spacing w:val="-5"/>
        </w:rPr>
        <w:t>万元的范围内，就上述第一项请求债务向原告承担赔偿责任；（</w:t>
      </w:r>
      <w:r>
        <w:rPr>
          <w:rFonts w:ascii="宋体" w:hAnsi="宋体" w:cs="宋体" w:eastAsia="宋体" w:hint="default"/>
          <w:spacing w:val="-5"/>
        </w:rPr>
        <w:t>4</w:t>
      </w:r>
      <w:r>
        <w:rPr>
          <w:spacing w:val="-5"/>
        </w:rPr>
        <w:t>）由五位被告承担本案全部诉讼</w:t>
      </w:r>
      <w:r>
        <w:rPr>
          <w:spacing w:val="-86"/>
        </w:rPr>
        <w:t> </w:t>
      </w:r>
      <w:r>
        <w:rPr>
          <w:spacing w:val="-86"/>
        </w:rPr>
      </w:r>
      <w:r>
        <w:rPr/>
        <w:t>费用。</w:t>
      </w:r>
    </w:p>
    <w:p>
      <w:pPr>
        <w:pStyle w:val="BodyText"/>
        <w:spacing w:line="319" w:lineRule="auto" w:before="56"/>
        <w:ind w:right="1139" w:firstLine="360"/>
        <w:jc w:val="both"/>
      </w:pPr>
      <w:r>
        <w:rPr/>
        <w:t>根据（</w:t>
      </w:r>
      <w:r>
        <w:rPr>
          <w:rFonts w:ascii="宋体" w:hAnsi="宋体" w:cs="宋体" w:eastAsia="宋体" w:hint="default"/>
        </w:rPr>
        <w:t>2014</w:t>
      </w:r>
      <w:r>
        <w:rPr/>
        <w:t>）深福法民二初字第</w:t>
      </w:r>
      <w:r>
        <w:rPr>
          <w:spacing w:val="-46"/>
        </w:rPr>
        <w:t> </w:t>
      </w:r>
      <w:r>
        <w:rPr>
          <w:rFonts w:ascii="宋体" w:hAnsi="宋体" w:cs="宋体" w:eastAsia="宋体" w:hint="default"/>
        </w:rPr>
        <w:t>7433</w:t>
      </w:r>
      <w:r>
        <w:rPr>
          <w:rFonts w:ascii="宋体" w:hAnsi="宋体" w:cs="宋体" w:eastAsia="宋体" w:hint="default"/>
          <w:spacing w:val="-46"/>
        </w:rPr>
        <w:t> </w:t>
      </w:r>
      <w:r>
        <w:rPr/>
        <w:t>号的判决结果，河南思达高科技股份有限公司无需承担赔偿责任。中信国安盟固 利电源技术有限公司已提起上诉，法院尚未判决。</w:t>
      </w:r>
    </w:p>
    <w:p>
      <w:pPr>
        <w:pStyle w:val="BodyText"/>
        <w:spacing w:line="319" w:lineRule="auto" w:before="55"/>
        <w:ind w:left="153" w:right="1130" w:firstLine="360"/>
        <w:jc w:val="both"/>
      </w:pPr>
      <w:r>
        <w:rPr/>
        <w:t>②</w:t>
      </w:r>
      <w:r>
        <w:rPr>
          <w:rFonts w:ascii="宋体" w:hAnsi="宋体" w:cs="宋体" w:eastAsia="宋体" w:hint="default"/>
        </w:rPr>
        <w:t>2016</w:t>
      </w:r>
      <w:r>
        <w:rPr>
          <w:rFonts w:ascii="宋体" w:hAnsi="宋体" w:cs="宋体" w:eastAsia="宋体" w:hint="default"/>
          <w:spacing w:val="-46"/>
        </w:rPr>
        <w:t> </w:t>
      </w:r>
      <w:r>
        <w:rPr/>
        <w:t>年</w:t>
      </w:r>
      <w:r>
        <w:rPr>
          <w:spacing w:val="-46"/>
        </w:rPr>
        <w:t> </w:t>
      </w:r>
      <w:r>
        <w:rPr>
          <w:rFonts w:ascii="宋体" w:hAnsi="宋体" w:cs="宋体" w:eastAsia="宋体" w:hint="default"/>
        </w:rPr>
        <w:t>9</w:t>
      </w:r>
      <w:r>
        <w:rPr>
          <w:rFonts w:ascii="宋体" w:hAnsi="宋体" w:cs="宋体" w:eastAsia="宋体" w:hint="default"/>
          <w:spacing w:val="-46"/>
        </w:rPr>
        <w:t> </w:t>
      </w:r>
      <w:r>
        <w:rPr/>
        <w:t>月，腾讯科技（深圳）有限公司、深圳市腾讯计算机系统有限公司起诉北京掌汇天下公司《天天炫舞》游 戏商标权侵权案，请求法院判令（</w:t>
      </w:r>
      <w:r>
        <w:rPr>
          <w:rFonts w:ascii="宋体" w:hAnsi="宋体" w:cs="宋体" w:eastAsia="宋体" w:hint="default"/>
        </w:rPr>
        <w:t>1</w:t>
      </w:r>
      <w:r>
        <w:rPr/>
        <w:t>）北京掌汇天下公司立即停止侵犯腾讯科技（深圳）有限公司和深圳市腾讯计算机系统 </w:t>
      </w:r>
      <w:r>
        <w:rPr>
          <w:spacing w:val="-4"/>
        </w:rPr>
        <w:t>有限公司“天天炫舞”等注册商标专用权行为；（</w:t>
      </w:r>
      <w:r>
        <w:rPr>
          <w:rFonts w:ascii="宋体" w:hAnsi="宋体" w:cs="宋体" w:eastAsia="宋体" w:hint="default"/>
          <w:spacing w:val="-4"/>
        </w:rPr>
        <w:t>2</w:t>
      </w:r>
      <w:r>
        <w:rPr>
          <w:spacing w:val="-4"/>
        </w:rPr>
        <w:t>）北京掌汇天下公司连续一个月在“应用汇”平台首页显著位置就其侵害</w:t>
      </w:r>
      <w:r>
        <w:rPr>
          <w:spacing w:val="-42"/>
        </w:rPr>
        <w:t> </w:t>
      </w:r>
      <w:r>
        <w:rPr>
          <w:spacing w:val="-42"/>
        </w:rPr>
      </w:r>
      <w:r>
        <w:rPr>
          <w:spacing w:val="-2"/>
        </w:rPr>
        <w:t>商标权行为刊登声明，消除影响；（</w:t>
      </w:r>
      <w:r>
        <w:rPr>
          <w:rFonts w:ascii="宋体" w:hAnsi="宋体" w:cs="宋体" w:eastAsia="宋体" w:hint="default"/>
          <w:spacing w:val="-2"/>
        </w:rPr>
        <w:t>3</w:t>
      </w:r>
      <w:r>
        <w:rPr>
          <w:spacing w:val="-2"/>
        </w:rPr>
        <w:t>）北京掌汇天下公司赔偿两原告经济损失及合理支出共计人民币</w:t>
      </w:r>
      <w:r>
        <w:rPr>
          <w:spacing w:val="-46"/>
        </w:rPr>
        <w:t> </w:t>
      </w:r>
      <w:r>
        <w:rPr>
          <w:rFonts w:ascii="宋体" w:hAnsi="宋体" w:cs="宋体" w:eastAsia="宋体" w:hint="default"/>
        </w:rPr>
        <w:t>50</w:t>
      </w:r>
      <w:r>
        <w:rPr>
          <w:rFonts w:ascii="宋体" w:hAnsi="宋体" w:cs="宋体" w:eastAsia="宋体" w:hint="default"/>
          <w:spacing w:val="-46"/>
        </w:rPr>
        <w:t> </w:t>
      </w:r>
      <w:r>
        <w:rPr/>
        <w:t>万元。北京掌汇天 </w:t>
      </w:r>
      <w:r>
        <w:rPr>
          <w:spacing w:val="-2"/>
        </w:rPr>
        <w:t>下公司已取得该游戏上传者的反通知函及承诺函，有追偿的权利，北京掌汇天下公司向法院主张适用避风港原则免责，案件</w:t>
      </w:r>
      <w:r>
        <w:rPr>
          <w:spacing w:val="-66"/>
        </w:rPr>
        <w:t> </w:t>
      </w:r>
      <w:r>
        <w:rPr>
          <w:spacing w:val="-66"/>
        </w:rPr>
      </w:r>
      <w:r>
        <w:rPr/>
        <w:t>于</w:t>
      </w:r>
      <w:r>
        <w:rPr>
          <w:spacing w:val="-46"/>
        </w:rPr>
        <w:t> </w:t>
      </w:r>
      <w:r>
        <w:rPr>
          <w:rFonts w:ascii="宋体" w:hAnsi="宋体" w:cs="宋体" w:eastAsia="宋体" w:hint="default"/>
        </w:rPr>
        <w:t>2016</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1</w:t>
      </w:r>
      <w:r>
        <w:rPr>
          <w:rFonts w:ascii="宋体" w:hAnsi="宋体" w:cs="宋体" w:eastAsia="宋体" w:hint="default"/>
          <w:spacing w:val="-46"/>
        </w:rPr>
        <w:t> </w:t>
      </w:r>
      <w:r>
        <w:rPr/>
        <w:t>日开庭审理，法院尚未判决。</w:t>
      </w:r>
    </w:p>
    <w:p>
      <w:pPr>
        <w:pStyle w:val="BodyText"/>
        <w:spacing w:line="319" w:lineRule="auto" w:before="55"/>
        <w:ind w:left="153" w:right="1033" w:firstLine="360"/>
        <w:jc w:val="left"/>
      </w:pPr>
      <w:r>
        <w:rPr/>
        <w:t>③</w:t>
      </w:r>
      <w:r>
        <w:rPr>
          <w:rFonts w:ascii="宋体" w:hAnsi="宋体" w:cs="宋体" w:eastAsia="宋体" w:hint="default"/>
        </w:rPr>
        <w:t>2016</w:t>
      </w:r>
      <w:r>
        <w:rPr>
          <w:rFonts w:ascii="宋体" w:hAnsi="宋体" w:cs="宋体" w:eastAsia="宋体" w:hint="default"/>
          <w:spacing w:val="-46"/>
        </w:rPr>
        <w:t> </w:t>
      </w:r>
      <w:r>
        <w:rPr/>
        <w:t>年</w:t>
      </w:r>
      <w:r>
        <w:rPr>
          <w:spacing w:val="-46"/>
        </w:rPr>
        <w:t> </w:t>
      </w:r>
      <w:r>
        <w:rPr>
          <w:rFonts w:ascii="宋体" w:hAnsi="宋体" w:cs="宋体" w:eastAsia="宋体" w:hint="default"/>
        </w:rPr>
        <w:t>3</w:t>
      </w:r>
      <w:r>
        <w:rPr>
          <w:rFonts w:ascii="宋体" w:hAnsi="宋体" w:cs="宋体" w:eastAsia="宋体" w:hint="default"/>
          <w:spacing w:val="-46"/>
        </w:rPr>
        <w:t> </w:t>
      </w:r>
      <w:r>
        <w:rPr/>
        <w:t>月，北京康智乐思网络科技有限公司起诉厦门美柚科技有限公司、北京掌汇天下公司 “美柚”</w:t>
      </w:r>
      <w:r>
        <w:rPr>
          <w:rFonts w:ascii="宋体" w:hAnsi="宋体" w:cs="宋体" w:eastAsia="宋体" w:hint="default"/>
        </w:rPr>
        <w:t>APP</w:t>
      </w:r>
      <w:r>
        <w:rPr>
          <w:rFonts w:ascii="宋体" w:hAnsi="宋体" w:cs="宋体" w:eastAsia="宋体" w:hint="default"/>
          <w:spacing w:val="-46"/>
        </w:rPr>
        <w:t> </w:t>
      </w:r>
      <w:r>
        <w:rPr/>
        <w:t>著作权 </w:t>
      </w:r>
      <w:r>
        <w:rPr>
          <w:spacing w:val="-7"/>
        </w:rPr>
        <w:t>侵权案，请求法院判令：（</w:t>
      </w:r>
      <w:r>
        <w:rPr>
          <w:rFonts w:ascii="宋体" w:hAnsi="宋体" w:cs="宋体" w:eastAsia="宋体" w:hint="default"/>
          <w:spacing w:val="-7"/>
        </w:rPr>
        <w:t>1</w:t>
      </w:r>
      <w:r>
        <w:rPr>
          <w:spacing w:val="-7"/>
        </w:rPr>
        <w:t>）被告立即停止侵权行为及不正当竞争行为；（</w:t>
      </w:r>
      <w:r>
        <w:rPr>
          <w:rFonts w:ascii="宋体" w:hAnsi="宋体" w:cs="宋体" w:eastAsia="宋体" w:hint="default"/>
          <w:spacing w:val="-7"/>
        </w:rPr>
        <w:t>2</w:t>
      </w:r>
      <w:r>
        <w:rPr>
          <w:spacing w:val="-7"/>
        </w:rPr>
        <w:t>）被告赔偿原告经济损失及合理支出</w:t>
      </w:r>
      <w:r>
        <w:rPr>
          <w:spacing w:val="-32"/>
        </w:rPr>
        <w:t> </w:t>
      </w:r>
      <w:r>
        <w:rPr>
          <w:rFonts w:ascii="宋体" w:hAnsi="宋体" w:cs="宋体" w:eastAsia="宋体" w:hint="default"/>
        </w:rPr>
        <w:t>5</w:t>
      </w:r>
      <w:r>
        <w:rPr>
          <w:rFonts w:ascii="宋体" w:hAnsi="宋体" w:cs="宋体" w:eastAsia="宋体" w:hint="default"/>
          <w:spacing w:val="-31"/>
        </w:rPr>
        <w:t> </w:t>
      </w:r>
      <w:r>
        <w:rPr>
          <w:spacing w:val="-20"/>
        </w:rPr>
        <w:t>万元；（</w:t>
      </w:r>
      <w:r>
        <w:rPr>
          <w:rFonts w:ascii="宋体" w:hAnsi="宋体" w:cs="宋体" w:eastAsia="宋体" w:hint="default"/>
          <w:spacing w:val="-20"/>
        </w:rPr>
        <w:t>3</w:t>
      </w:r>
      <w:r>
        <w:rPr>
          <w:spacing w:val="-20"/>
        </w:rPr>
        <w:t>）</w:t>
      </w:r>
      <w:r>
        <w:rPr>
          <w:spacing w:val="-86"/>
        </w:rPr>
        <w:t> </w:t>
      </w:r>
      <w:r>
        <w:rPr>
          <w:spacing w:val="-4"/>
        </w:rPr>
        <w:t>被告在《知识产权报》、被告官方微信、微博、被告美柚手机软件及原告大姨吗手机软件上刊登声明，赔礼道歉，消除影响；</w:t>
      </w:r>
    </w:p>
    <w:p>
      <w:pPr>
        <w:pStyle w:val="BodyText"/>
        <w:spacing w:line="240" w:lineRule="auto" w:before="17"/>
        <w:ind w:left="153" w:right="0"/>
        <w:jc w:val="both"/>
        <w:rPr>
          <w:rFonts w:ascii="宋体" w:hAnsi="宋体" w:cs="宋体" w:eastAsia="宋体" w:hint="default"/>
        </w:rPr>
      </w:pPr>
      <w:r>
        <w:rPr>
          <w:spacing w:val="-5"/>
        </w:rPr>
        <w:t>（</w:t>
      </w:r>
      <w:r>
        <w:rPr>
          <w:rFonts w:ascii="宋体" w:hAnsi="宋体" w:cs="宋体" w:eastAsia="宋体" w:hint="default"/>
          <w:spacing w:val="-5"/>
        </w:rPr>
        <w:t>4</w:t>
      </w:r>
      <w:r>
        <w:rPr>
          <w:spacing w:val="-5"/>
        </w:rPr>
        <w:t>）被告承担本案全部诉讼费用。北京掌汇天下公司主张作为平台尽到下架义务，应适用“避风港原则”免责，案件于</w:t>
      </w:r>
      <w:r>
        <w:rPr>
          <w:spacing w:val="3"/>
        </w:rPr>
        <w:t> </w:t>
      </w:r>
      <w:r>
        <w:rPr>
          <w:rFonts w:ascii="宋体" w:hAnsi="宋体" w:cs="宋体" w:eastAsia="宋体" w:hint="default"/>
        </w:rPr>
        <w:t>2017</w:t>
      </w:r>
    </w:p>
    <w:p>
      <w:pPr>
        <w:pStyle w:val="BodyText"/>
        <w:spacing w:line="240" w:lineRule="auto" w:before="77"/>
        <w:ind w:right="0"/>
        <w:jc w:val="both"/>
      </w:pPr>
      <w:r>
        <w:rPr/>
        <w:t>年</w:t>
      </w:r>
      <w:r>
        <w:rPr>
          <w:spacing w:val="-46"/>
        </w:rPr>
        <w:t> </w:t>
      </w:r>
      <w:r>
        <w:rPr>
          <w:rFonts w:ascii="宋体" w:hAnsi="宋体" w:cs="宋体" w:eastAsia="宋体" w:hint="default"/>
        </w:rPr>
        <w:t>6</w:t>
      </w:r>
      <w:r>
        <w:rPr>
          <w:rFonts w:ascii="宋体" w:hAnsi="宋体" w:cs="宋体" w:eastAsia="宋体" w:hint="default"/>
          <w:spacing w:val="-46"/>
        </w:rPr>
        <w:t> </w:t>
      </w:r>
      <w:r>
        <w:rPr/>
        <w:t>月</w:t>
      </w:r>
      <w:r>
        <w:rPr>
          <w:spacing w:val="-44"/>
        </w:rPr>
        <w:t> </w:t>
      </w:r>
      <w:r>
        <w:rPr>
          <w:rFonts w:ascii="宋体" w:hAnsi="宋体" w:cs="宋体" w:eastAsia="宋体" w:hint="default"/>
        </w:rPr>
        <w:t>8</w:t>
      </w:r>
      <w:r>
        <w:rPr>
          <w:rFonts w:ascii="宋体" w:hAnsi="宋体" w:cs="宋体" w:eastAsia="宋体" w:hint="default"/>
          <w:spacing w:val="-46"/>
        </w:rPr>
        <w:t> </w:t>
      </w:r>
      <w:r>
        <w:rPr/>
        <w:t>日开庭审理，法院尚未判决。</w:t>
      </w:r>
    </w:p>
    <w:p>
      <w:pPr>
        <w:pStyle w:val="BodyText"/>
        <w:spacing w:line="240" w:lineRule="auto" w:before="116"/>
        <w:ind w:left="514" w:right="0"/>
        <w:jc w:val="left"/>
      </w:pPr>
      <w:r>
        <w:rPr/>
        <w:t>④</w:t>
      </w:r>
      <w:r>
        <w:rPr>
          <w:rFonts w:ascii="宋体" w:hAnsi="宋体" w:cs="宋体" w:eastAsia="宋体" w:hint="default"/>
        </w:rPr>
        <w:t>2017</w:t>
      </w:r>
      <w:r>
        <w:rPr>
          <w:rFonts w:ascii="宋体" w:hAnsi="宋体" w:cs="宋体" w:eastAsia="宋体" w:hint="default"/>
          <w:spacing w:val="-50"/>
        </w:rPr>
        <w:t> </w:t>
      </w:r>
      <w:r>
        <w:rPr/>
        <w:t>年</w:t>
      </w:r>
      <w:r>
        <w:rPr>
          <w:spacing w:val="-50"/>
        </w:rPr>
        <w:t> </w:t>
      </w:r>
      <w:r>
        <w:rPr>
          <w:rFonts w:ascii="宋体" w:hAnsi="宋体" w:cs="宋体" w:eastAsia="宋体" w:hint="default"/>
        </w:rPr>
        <w:t>8</w:t>
      </w:r>
      <w:r>
        <w:rPr>
          <w:rFonts w:ascii="宋体" w:hAnsi="宋体" w:cs="宋体" w:eastAsia="宋体" w:hint="default"/>
          <w:spacing w:val="-50"/>
        </w:rPr>
        <w:t> </w:t>
      </w:r>
      <w:r>
        <w:rPr/>
        <w:t>月，罗迪龙请求上海猎鹰公司支付离职补偿金及工资</w:t>
      </w:r>
      <w:r>
        <w:rPr>
          <w:spacing w:val="-50"/>
        </w:rPr>
        <w:t> </w:t>
      </w:r>
      <w:r>
        <w:rPr>
          <w:rFonts w:ascii="宋体" w:hAnsi="宋体" w:cs="宋体" w:eastAsia="宋体" w:hint="default"/>
        </w:rPr>
        <w:t>92,750.00</w:t>
      </w:r>
      <w:r>
        <w:rPr>
          <w:rFonts w:ascii="宋体" w:hAnsi="宋体" w:cs="宋体" w:eastAsia="宋体" w:hint="default"/>
          <w:spacing w:val="-50"/>
        </w:rPr>
        <w:t> </w:t>
      </w:r>
      <w:r>
        <w:rPr>
          <w:spacing w:val="-7"/>
        </w:rPr>
        <w:t>元，</w:t>
      </w:r>
      <w:r>
        <w:rPr>
          <w:rFonts w:ascii="宋体" w:hAnsi="宋体" w:cs="宋体" w:eastAsia="宋体" w:hint="default"/>
          <w:spacing w:val="-7"/>
        </w:rPr>
        <w:t>2017</w:t>
      </w:r>
      <w:r>
        <w:rPr>
          <w:rFonts w:ascii="宋体" w:hAnsi="宋体" w:cs="宋体" w:eastAsia="宋体" w:hint="default"/>
          <w:spacing w:val="-50"/>
        </w:rPr>
        <w:t> </w:t>
      </w:r>
      <w:r>
        <w:rPr/>
        <w:t>年</w:t>
      </w:r>
      <w:r>
        <w:rPr>
          <w:spacing w:val="-49"/>
        </w:rPr>
        <w:t> </w:t>
      </w:r>
      <w:r>
        <w:rPr>
          <w:rFonts w:ascii="宋体" w:hAnsi="宋体" w:cs="宋体" w:eastAsia="宋体" w:hint="default"/>
        </w:rPr>
        <w:t>9</w:t>
      </w:r>
      <w:r>
        <w:rPr>
          <w:rFonts w:ascii="宋体" w:hAnsi="宋体" w:cs="宋体" w:eastAsia="宋体" w:hint="default"/>
          <w:spacing w:val="-50"/>
        </w:rPr>
        <w:t> </w:t>
      </w:r>
      <w:r>
        <w:rPr/>
        <w:t>月</w:t>
      </w:r>
      <w:r>
        <w:rPr>
          <w:spacing w:val="-50"/>
        </w:rPr>
        <w:t> </w:t>
      </w:r>
      <w:r>
        <w:rPr>
          <w:rFonts w:ascii="宋体" w:hAnsi="宋体" w:cs="宋体" w:eastAsia="宋体" w:hint="default"/>
        </w:rPr>
        <w:t>18</w:t>
      </w:r>
      <w:r>
        <w:rPr>
          <w:rFonts w:ascii="宋体" w:hAnsi="宋体" w:cs="宋体" w:eastAsia="宋体" w:hint="default"/>
          <w:spacing w:val="-50"/>
        </w:rPr>
        <w:t> </w:t>
      </w:r>
      <w:r>
        <w:rPr/>
        <w:t>日仲裁裁决上海猎鹰公</w:t>
      </w:r>
    </w:p>
    <w:p>
      <w:pPr>
        <w:pStyle w:val="BodyText"/>
        <w:spacing w:line="240" w:lineRule="auto" w:before="76"/>
        <w:ind w:right="0"/>
        <w:jc w:val="both"/>
      </w:pPr>
      <w:r>
        <w:rPr/>
        <w:t>司支付经济补偿金</w:t>
      </w:r>
      <w:r>
        <w:rPr>
          <w:spacing w:val="-47"/>
        </w:rPr>
        <w:t> </w:t>
      </w:r>
      <w:r>
        <w:rPr>
          <w:rFonts w:ascii="宋体" w:hAnsi="宋体" w:cs="宋体" w:eastAsia="宋体" w:hint="default"/>
        </w:rPr>
        <w:t>50,693.20</w:t>
      </w:r>
      <w:r>
        <w:rPr>
          <w:rFonts w:ascii="宋体" w:hAnsi="宋体" w:cs="宋体" w:eastAsia="宋体" w:hint="default"/>
          <w:spacing w:val="-47"/>
        </w:rPr>
        <w:t> </w:t>
      </w:r>
      <w:r>
        <w:rPr>
          <w:spacing w:val="-3"/>
        </w:rPr>
        <w:t>元，案件未执行。</w:t>
      </w:r>
      <w:r>
        <w:rPr>
          <w:rFonts w:ascii="宋体" w:hAnsi="宋体" w:cs="宋体" w:eastAsia="宋体" w:hint="default"/>
          <w:spacing w:val="-3"/>
        </w:rPr>
        <w:t>2017</w:t>
      </w:r>
      <w:r>
        <w:rPr>
          <w:rFonts w:ascii="宋体" w:hAnsi="宋体" w:cs="宋体" w:eastAsia="宋体" w:hint="default"/>
          <w:spacing w:val="-47"/>
        </w:rPr>
        <w:t> </w:t>
      </w:r>
      <w:r>
        <w:rPr/>
        <w:t>年</w:t>
      </w:r>
      <w:r>
        <w:rPr>
          <w:spacing w:val="-47"/>
        </w:rPr>
        <w:t> </w:t>
      </w:r>
      <w:r>
        <w:rPr>
          <w:rFonts w:ascii="宋体" w:hAnsi="宋体" w:cs="宋体" w:eastAsia="宋体" w:hint="default"/>
        </w:rPr>
        <w:t>9</w:t>
      </w:r>
      <w:r>
        <w:rPr>
          <w:rFonts w:ascii="宋体" w:hAnsi="宋体" w:cs="宋体" w:eastAsia="宋体" w:hint="default"/>
          <w:spacing w:val="-46"/>
        </w:rPr>
        <w:t> </w:t>
      </w:r>
      <w:r>
        <w:rPr/>
        <w:t>月</w:t>
      </w:r>
      <w:r>
        <w:rPr>
          <w:spacing w:val="-47"/>
        </w:rPr>
        <w:t> </w:t>
      </w:r>
      <w:r>
        <w:rPr>
          <w:rFonts w:ascii="宋体" w:hAnsi="宋体" w:cs="宋体" w:eastAsia="宋体" w:hint="default"/>
        </w:rPr>
        <w:t>30</w:t>
      </w:r>
      <w:r>
        <w:rPr>
          <w:rFonts w:ascii="宋体" w:hAnsi="宋体" w:cs="宋体" w:eastAsia="宋体" w:hint="default"/>
          <w:spacing w:val="-47"/>
        </w:rPr>
        <w:t> </w:t>
      </w:r>
      <w:r>
        <w:rPr/>
        <w:t>日上海猎鹰公司向法院提起不服劳动仲裁裁决的诉讼，请求</w:t>
      </w:r>
    </w:p>
    <w:p>
      <w:pPr>
        <w:pStyle w:val="BodyText"/>
        <w:spacing w:line="319" w:lineRule="auto" w:before="76"/>
        <w:ind w:left="153" w:right="1131"/>
        <w:jc w:val="both"/>
      </w:pPr>
      <w:r>
        <w:rPr>
          <w:spacing w:val="-3"/>
        </w:rPr>
        <w:t>法院驳回仲裁庭裁决。</w:t>
      </w:r>
      <w:r>
        <w:rPr>
          <w:rFonts w:ascii="宋体" w:hAnsi="宋体" w:cs="宋体" w:eastAsia="宋体" w:hint="default"/>
          <w:spacing w:val="-3"/>
        </w:rPr>
        <w:t>2017</w:t>
      </w:r>
      <w:r>
        <w:rPr>
          <w:rFonts w:ascii="宋体" w:hAnsi="宋体" w:cs="宋体" w:eastAsia="宋体" w:hint="default"/>
          <w:spacing w:val="-50"/>
        </w:rPr>
        <w:t> </w:t>
      </w:r>
      <w:r>
        <w:rPr/>
        <w:t>年</w:t>
      </w:r>
      <w:r>
        <w:rPr>
          <w:spacing w:val="-50"/>
        </w:rPr>
        <w:t> </w:t>
      </w:r>
      <w:r>
        <w:rPr>
          <w:rFonts w:ascii="宋体" w:hAnsi="宋体" w:cs="宋体" w:eastAsia="宋体" w:hint="default"/>
        </w:rPr>
        <w:t>11</w:t>
      </w:r>
      <w:r>
        <w:rPr>
          <w:rFonts w:ascii="宋体" w:hAnsi="宋体" w:cs="宋体" w:eastAsia="宋体" w:hint="default"/>
          <w:spacing w:val="-50"/>
        </w:rPr>
        <w:t> </w:t>
      </w:r>
      <w:r>
        <w:rPr/>
        <w:t>月</w:t>
      </w:r>
      <w:r>
        <w:rPr>
          <w:spacing w:val="-50"/>
        </w:rPr>
        <w:t> </w:t>
      </w:r>
      <w:r>
        <w:rPr>
          <w:rFonts w:ascii="宋体" w:hAnsi="宋体" w:cs="宋体" w:eastAsia="宋体" w:hint="default"/>
        </w:rPr>
        <w:t>17</w:t>
      </w:r>
      <w:r>
        <w:rPr>
          <w:rFonts w:ascii="宋体" w:hAnsi="宋体" w:cs="宋体" w:eastAsia="宋体" w:hint="default"/>
          <w:spacing w:val="-50"/>
        </w:rPr>
        <w:t> </w:t>
      </w:r>
      <w:r>
        <w:rPr/>
        <w:t>日法院一审判决驳回上海猎鹰公司诉讼请求。</w:t>
      </w:r>
      <w:r>
        <w:rPr>
          <w:rFonts w:ascii="宋体" w:hAnsi="宋体" w:cs="宋体" w:eastAsia="宋体" w:hint="default"/>
        </w:rPr>
        <w:t>2018</w:t>
      </w:r>
      <w:r>
        <w:rPr>
          <w:rFonts w:ascii="宋体" w:hAnsi="宋体" w:cs="宋体" w:eastAsia="宋体" w:hint="default"/>
          <w:spacing w:val="-50"/>
        </w:rPr>
        <w:t> </w:t>
      </w:r>
      <w:r>
        <w:rPr/>
        <w:t>年</w:t>
      </w:r>
      <w:r>
        <w:rPr>
          <w:spacing w:val="-50"/>
        </w:rPr>
        <w:t> </w:t>
      </w:r>
      <w:r>
        <w:rPr>
          <w:rFonts w:ascii="宋体" w:hAnsi="宋体" w:cs="宋体" w:eastAsia="宋体" w:hint="default"/>
        </w:rPr>
        <w:t>1</w:t>
      </w:r>
      <w:r>
        <w:rPr>
          <w:rFonts w:ascii="宋体" w:hAnsi="宋体" w:cs="宋体" w:eastAsia="宋体" w:hint="default"/>
          <w:spacing w:val="-49"/>
        </w:rPr>
        <w:t> </w:t>
      </w:r>
      <w:r>
        <w:rPr/>
        <w:t>月</w:t>
      </w:r>
      <w:r>
        <w:rPr>
          <w:spacing w:val="-50"/>
        </w:rPr>
        <w:t> </w:t>
      </w:r>
      <w:r>
        <w:rPr>
          <w:rFonts w:ascii="宋体" w:hAnsi="宋体" w:cs="宋体" w:eastAsia="宋体" w:hint="default"/>
        </w:rPr>
        <w:t>23</w:t>
      </w:r>
      <w:r>
        <w:rPr>
          <w:rFonts w:ascii="宋体" w:hAnsi="宋体" w:cs="宋体" w:eastAsia="宋体" w:hint="default"/>
          <w:spacing w:val="-49"/>
        </w:rPr>
        <w:t> </w:t>
      </w:r>
      <w:r>
        <w:rPr/>
        <w:t>日上海猎鹰公司提起上 </w:t>
      </w:r>
      <w:r>
        <w:rPr>
          <w:spacing w:val="-2"/>
        </w:rPr>
        <w:t>诉，二审尚未开庭。根据仲裁裁决及一审判决结果，上海猎鹰公司很可能在未来支付该补偿金，因此本期计提相关预计负债</w:t>
      </w:r>
      <w:r>
        <w:rPr>
          <w:spacing w:val="-66"/>
        </w:rPr>
        <w:t> </w:t>
      </w:r>
      <w:r>
        <w:rPr>
          <w:spacing w:val="-66"/>
        </w:rPr>
      </w:r>
      <w:r>
        <w:rPr>
          <w:rFonts w:ascii="宋体" w:hAnsi="宋体" w:cs="宋体" w:eastAsia="宋体" w:hint="default"/>
        </w:rPr>
        <w:t>50,693.20</w:t>
      </w:r>
      <w:r>
        <w:rPr>
          <w:rFonts w:ascii="宋体" w:hAnsi="宋体" w:cs="宋体" w:eastAsia="宋体" w:hint="default"/>
          <w:spacing w:val="-46"/>
        </w:rPr>
        <w:t> </w:t>
      </w:r>
      <w:r>
        <w:rPr/>
        <w:t>元。</w:t>
      </w:r>
    </w:p>
    <w:p>
      <w:pPr>
        <w:pStyle w:val="BodyText"/>
        <w:spacing w:line="360" w:lineRule="auto" w:before="56"/>
        <w:ind w:left="513" w:right="4098"/>
        <w:jc w:val="left"/>
      </w:pPr>
      <w:r>
        <w:rPr/>
        <w:t>（</w:t>
      </w:r>
      <w:r>
        <w:rPr>
          <w:rFonts w:ascii="宋体" w:hAnsi="宋体" w:cs="宋体" w:eastAsia="宋体" w:hint="default"/>
        </w:rPr>
        <w:t>2</w:t>
      </w:r>
      <w:r>
        <w:rPr/>
        <w:t>）为其他单位提供债务担保形成的或有负债及其财务影响 </w:t>
      </w:r>
      <w:r>
        <w:rPr>
          <w:spacing w:val="-5"/>
        </w:rPr>
        <w:t>为其他单位提供债务担保形成的或有负债及财务影响情况参见附注十二、</w:t>
      </w:r>
      <w:r>
        <w:rPr>
          <w:rFonts w:ascii="宋体" w:hAnsi="宋体" w:cs="宋体" w:eastAsia="宋体" w:hint="default"/>
          <w:spacing w:val="-5"/>
        </w:rPr>
        <w:t>5</w:t>
      </w:r>
      <w:r>
        <w:rPr>
          <w:spacing w:val="-5"/>
        </w:rPr>
        <w:t>（</w:t>
      </w:r>
      <w:r>
        <w:rPr>
          <w:rFonts w:ascii="宋体" w:hAnsi="宋体" w:cs="宋体" w:eastAsia="宋体" w:hint="default"/>
          <w:spacing w:val="-5"/>
        </w:rPr>
        <w:t>4</w:t>
      </w:r>
      <w:r>
        <w:rPr>
          <w:spacing w:val="-5"/>
        </w:rPr>
        <w:t>）。</w:t>
      </w:r>
      <w:r>
        <w:rPr>
          <w:spacing w:val="-85"/>
        </w:rPr>
        <w:t> </w:t>
      </w:r>
      <w:r>
        <w:rPr/>
        <w:t>截至</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日，本公司不存在其他应披露的或有事项。</w:t>
      </w:r>
    </w:p>
    <w:p>
      <w:pPr>
        <w:spacing w:line="240" w:lineRule="auto" w:before="11"/>
        <w:rPr>
          <w:rFonts w:ascii="宋体" w:hAnsi="宋体" w:cs="宋体" w:eastAsia="宋体" w:hint="default"/>
          <w:sz w:val="19"/>
          <w:szCs w:val="19"/>
        </w:rPr>
      </w:pPr>
    </w:p>
    <w:p>
      <w:pPr>
        <w:pStyle w:val="Heading3"/>
        <w:spacing w:line="240" w:lineRule="auto"/>
        <w:ind w:left="153" w:right="0"/>
        <w:jc w:val="both"/>
        <w:rPr>
          <w:b w:val="0"/>
          <w:bCs w:val="0"/>
        </w:rPr>
      </w:pPr>
      <w:bookmarkStart w:name="（2）公司没有需要披露的重要或有事项，也应予以说明" w:id="483"/>
      <w:bookmarkEnd w:id="483"/>
      <w:r>
        <w:rPr>
          <w:b w:val="0"/>
          <w:bCs w:val="0"/>
        </w:rPr>
      </w:r>
      <w:r>
        <w:rPr/>
        <w:t>（</w:t>
      </w:r>
      <w:r>
        <w:rPr>
          <w:rFonts w:ascii="宋体" w:hAnsi="宋体" w:cs="宋体" w:eastAsia="宋体" w:hint="default"/>
        </w:rPr>
        <w:t>2</w:t>
      </w:r>
      <w:r>
        <w:rPr/>
        <w:t>）公司没有需要披露的重要或有事项，也应予以说明</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153" w:right="0"/>
        <w:jc w:val="both"/>
      </w:pPr>
      <w:r>
        <w:rPr/>
        <w:t>公司不存在需要披露的重要或有事项。</w:t>
      </w:r>
    </w:p>
    <w:p>
      <w:pPr>
        <w:spacing w:after="0" w:line="240" w:lineRule="auto"/>
        <w:jc w:val="both"/>
        <w:sectPr>
          <w:footerReference w:type="default" r:id="rId162"/>
          <w:pgSz w:w="11910" w:h="16840"/>
          <w:pgMar w:footer="1187" w:header="877" w:top="1060" w:bottom="1380" w:left="980" w:right="0"/>
          <w:pgNumType w:start="201"/>
        </w:sectPr>
      </w:pPr>
    </w:p>
    <w:p>
      <w:pPr>
        <w:spacing w:line="240" w:lineRule="auto" w:before="9"/>
        <w:rPr>
          <w:rFonts w:ascii="宋体" w:hAnsi="宋体" w:cs="宋体" w:eastAsia="宋体" w:hint="default"/>
          <w:sz w:val="24"/>
          <w:szCs w:val="24"/>
        </w:rPr>
      </w:pPr>
    </w:p>
    <w:p>
      <w:pPr>
        <w:spacing w:line="501" w:lineRule="auto" w:before="35"/>
        <w:ind w:left="154" w:right="7693" w:firstLine="0"/>
        <w:jc w:val="left"/>
        <w:rPr>
          <w:rFonts w:ascii="宋体" w:hAnsi="宋体" w:cs="宋体" w:eastAsia="宋体" w:hint="default"/>
          <w:sz w:val="21"/>
          <w:szCs w:val="21"/>
        </w:rPr>
      </w:pPr>
      <w:bookmarkStart w:name="3、其他" w:id="484"/>
      <w:bookmarkEnd w:id="484"/>
      <w:r>
        <w:rPr/>
      </w:r>
      <w:r>
        <w:rPr>
          <w:rFonts w:ascii="宋体" w:hAnsi="宋体" w:cs="宋体" w:eastAsia="宋体"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五、资产负债表日后事项" w:id="485"/>
      <w:bookmarkEnd w:id="485"/>
      <w:r>
        <w:rPr>
          <w:rFonts w:ascii="宋体" w:hAnsi="宋体" w:cs="宋体" w:eastAsia="宋体" w:hint="default"/>
          <w:b/>
          <w:bCs/>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86"/>
      <w:bookmarkEnd w:id="486"/>
      <w:r>
        <w:rPr>
          <w:rFonts w:ascii="宋体" w:hAnsi="宋体" w:cs="宋体" w:eastAsia="宋体" w:hint="default"/>
          <w:b/>
          <w:bCs/>
          <w:spacing w:val="18"/>
          <w:w w:val="95"/>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35"/>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利润分配情况" w:id="487"/>
      <w:bookmarkEnd w:id="487"/>
      <w:r>
        <w:rPr>
          <w:b w:val="0"/>
          <w:bCs w:val="0"/>
        </w:rPr>
      </w:r>
      <w:r>
        <w:rPr>
          <w:rFonts w:ascii="宋体" w:hAnsi="宋体" w:cs="宋体" w:eastAsia="宋体" w:hint="default"/>
        </w:rPr>
        <w:t>2</w:t>
      </w:r>
      <w:r>
        <w:rPr/>
        <w:t>、利润分配情况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28,971,323.46</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28,971,323.46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销售退回" w:id="488"/>
      <w:bookmarkEnd w:id="488"/>
      <w:r>
        <w:rPr>
          <w:b w:val="0"/>
          <w:bCs w:val="0"/>
        </w:rPr>
      </w:r>
      <w:r>
        <w:rPr>
          <w:rFonts w:ascii="宋体" w:hAnsi="宋体" w:cs="宋体" w:eastAsia="宋体" w:hint="default"/>
        </w:rPr>
        <w:t>3</w:t>
      </w:r>
      <w:r>
        <w:rPr/>
        <w:t>、销售退回</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4、其他资产负债表日后事项说明" w:id="489"/>
      <w:bookmarkEnd w:id="489"/>
      <w:r>
        <w:rPr>
          <w:b w:val="0"/>
          <w:bCs w:val="0"/>
        </w:rPr>
      </w:r>
      <w:r>
        <w:rPr>
          <w:rFonts w:ascii="宋体" w:hAnsi="宋体" w:cs="宋体" w:eastAsia="宋体" w:hint="default"/>
        </w:rPr>
        <w:t>4</w:t>
      </w:r>
      <w:r>
        <w:rPr/>
        <w:t>、其他资产负债表日后事项说明</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right="1035" w:firstLine="360"/>
        <w:jc w:val="left"/>
      </w:pPr>
      <w:r>
        <w:rPr>
          <w:spacing w:val="-5"/>
        </w:rPr>
        <w:t>（</w:t>
      </w:r>
      <w:r>
        <w:rPr>
          <w:rFonts w:ascii="宋体" w:hAnsi="宋体" w:cs="宋体" w:eastAsia="宋体" w:hint="default"/>
          <w:spacing w:val="-5"/>
        </w:rPr>
        <w:t>1</w:t>
      </w:r>
      <w:r>
        <w:rPr>
          <w:spacing w:val="-5"/>
        </w:rPr>
        <w:t>）本公司第八届董事会第二次会议于</w:t>
      </w:r>
      <w:r>
        <w:rPr>
          <w:spacing w:val="-42"/>
        </w:rPr>
        <w:t> </w:t>
      </w:r>
      <w:r>
        <w:rPr>
          <w:rFonts w:ascii="宋体" w:hAnsi="宋体" w:cs="宋体" w:eastAsia="宋体" w:hint="default"/>
        </w:rPr>
        <w:t>2018</w:t>
      </w:r>
      <w:r>
        <w:rPr>
          <w:rFonts w:ascii="宋体" w:hAnsi="宋体" w:cs="宋体" w:eastAsia="宋体" w:hint="default"/>
          <w:spacing w:val="-42"/>
        </w:rPr>
        <w:t> </w:t>
      </w:r>
      <w:r>
        <w:rPr/>
        <w:t>年</w:t>
      </w:r>
      <w:r>
        <w:rPr>
          <w:spacing w:val="-42"/>
        </w:rPr>
        <w:t> </w:t>
      </w:r>
      <w:r>
        <w:rPr>
          <w:rFonts w:ascii="宋体" w:hAnsi="宋体" w:cs="宋体" w:eastAsia="宋体" w:hint="default"/>
        </w:rPr>
        <w:t>4</w:t>
      </w:r>
      <w:r>
        <w:rPr>
          <w:rFonts w:ascii="宋体" w:hAnsi="宋体" w:cs="宋体" w:eastAsia="宋体" w:hint="default"/>
          <w:spacing w:val="-40"/>
        </w:rPr>
        <w:t> </w:t>
      </w:r>
      <w:r>
        <w:rPr/>
        <w:t>月</w:t>
      </w:r>
      <w:r>
        <w:rPr>
          <w:spacing w:val="-42"/>
        </w:rPr>
        <w:t> </w:t>
      </w:r>
      <w:r>
        <w:rPr>
          <w:rFonts w:ascii="宋体" w:hAnsi="宋体" w:cs="宋体" w:eastAsia="宋体" w:hint="default"/>
        </w:rPr>
        <w:t>26</w:t>
      </w:r>
      <w:r>
        <w:rPr>
          <w:rFonts w:ascii="宋体" w:hAnsi="宋体" w:cs="宋体" w:eastAsia="宋体" w:hint="default"/>
          <w:spacing w:val="-42"/>
        </w:rPr>
        <w:t> </w:t>
      </w:r>
      <w:r>
        <w:rPr>
          <w:spacing w:val="-7"/>
        </w:rPr>
        <w:t>日审议通过了《关于为子公司向银行申请授信提供担保的议案》，</w:t>
      </w:r>
      <w:r>
        <w:rPr/>
        <w:t> </w:t>
      </w:r>
      <w:r>
        <w:rPr>
          <w:spacing w:val="-2"/>
        </w:rPr>
        <w:t>同意为全资子公司上海猎鹰公司及其控股子公司北京掌汇天下公司、全资子公司上海亦复信息公司的全资子公司上海菲索广</w:t>
      </w:r>
      <w:r>
        <w:rPr>
          <w:spacing w:val="-64"/>
        </w:rPr>
        <w:t> </w:t>
      </w:r>
      <w:r>
        <w:rPr>
          <w:spacing w:val="-64"/>
        </w:rPr>
      </w:r>
      <w:r>
        <w:rPr/>
        <w:t>告有限公司、上海佑迎广告有限公司和西藏亦复公司向中国民生银行股份有限公司北京分行申请</w:t>
      </w:r>
      <w:r>
        <w:rPr>
          <w:spacing w:val="-46"/>
        </w:rPr>
        <w:t> </w:t>
      </w:r>
      <w:r>
        <w:rPr>
          <w:rFonts w:ascii="宋体" w:hAnsi="宋体" w:cs="宋体" w:eastAsia="宋体" w:hint="default"/>
        </w:rPr>
        <w:t>1.5</w:t>
      </w:r>
      <w:r>
        <w:rPr>
          <w:rFonts w:ascii="宋体" w:hAnsi="宋体" w:cs="宋体" w:eastAsia="宋体" w:hint="default"/>
          <w:spacing w:val="-46"/>
        </w:rPr>
        <w:t> </w:t>
      </w:r>
      <w:r>
        <w:rPr/>
        <w:t>亿元授信事项提供担 保。本次担保尚需提交公司股东大会审议。</w:t>
      </w:r>
    </w:p>
    <w:p>
      <w:pPr>
        <w:pStyle w:val="BodyText"/>
        <w:spacing w:line="240" w:lineRule="auto" w:before="56"/>
        <w:ind w:left="514" w:right="0"/>
        <w:jc w:val="left"/>
      </w:pPr>
      <w:r>
        <w:rPr/>
        <w:t>（</w:t>
      </w:r>
      <w:r>
        <w:rPr>
          <w:rFonts w:ascii="宋体" w:hAnsi="宋体" w:cs="宋体" w:eastAsia="宋体" w:hint="default"/>
        </w:rPr>
        <w:t>2</w:t>
      </w:r>
      <w:r>
        <w:rPr/>
        <w:t>）上海菲索广告有限公司于</w:t>
      </w:r>
      <w:r>
        <w:rPr>
          <w:spacing w:val="-46"/>
        </w:rPr>
        <w:t> </w:t>
      </w:r>
      <w:r>
        <w:rPr>
          <w:rFonts w:ascii="宋体" w:hAnsi="宋体" w:cs="宋体" w:eastAsia="宋体" w:hint="default"/>
        </w:rPr>
        <w:t>2018</w:t>
      </w:r>
      <w:r>
        <w:rPr>
          <w:rFonts w:ascii="宋体" w:hAnsi="宋体" w:cs="宋体" w:eastAsia="宋体" w:hint="default"/>
          <w:spacing w:val="-46"/>
        </w:rPr>
        <w:t> </w:t>
      </w:r>
      <w:r>
        <w:rPr/>
        <w:t>年</w:t>
      </w:r>
      <w:r>
        <w:rPr>
          <w:spacing w:val="-45"/>
        </w:rPr>
        <w:t> </w:t>
      </w:r>
      <w:r>
        <w:rPr>
          <w:rFonts w:ascii="宋体" w:hAnsi="宋体" w:cs="宋体" w:eastAsia="宋体" w:hint="default"/>
        </w:rPr>
        <w:t>3</w:t>
      </w:r>
      <w:r>
        <w:rPr>
          <w:rFonts w:ascii="宋体" w:hAnsi="宋体" w:cs="宋体" w:eastAsia="宋体" w:hint="default"/>
          <w:spacing w:val="-46"/>
        </w:rPr>
        <w:t> </w:t>
      </w:r>
      <w:r>
        <w:rPr/>
        <w:t>月借款</w:t>
      </w:r>
      <w:r>
        <w:rPr>
          <w:spacing w:val="-46"/>
        </w:rPr>
        <w:t> </w:t>
      </w:r>
      <w:r>
        <w:rPr>
          <w:rFonts w:ascii="宋体" w:hAnsi="宋体" w:cs="宋体" w:eastAsia="宋体" w:hint="default"/>
        </w:rPr>
        <w:t>2,400</w:t>
      </w:r>
      <w:r>
        <w:rPr>
          <w:rFonts w:ascii="宋体" w:hAnsi="宋体" w:cs="宋体" w:eastAsia="宋体" w:hint="default"/>
          <w:spacing w:val="-46"/>
        </w:rPr>
        <w:t> </w:t>
      </w:r>
      <w:r>
        <w:rPr/>
        <w:t>万元，期限</w:t>
      </w:r>
      <w:r>
        <w:rPr>
          <w:spacing w:val="-46"/>
        </w:rPr>
        <w:t> </w:t>
      </w:r>
      <w:r>
        <w:rPr>
          <w:rFonts w:ascii="宋体" w:hAnsi="宋体" w:cs="宋体" w:eastAsia="宋体" w:hint="default"/>
        </w:rPr>
        <w:t>3</w:t>
      </w:r>
      <w:r>
        <w:rPr>
          <w:rFonts w:ascii="宋体" w:hAnsi="宋体" w:cs="宋体" w:eastAsia="宋体" w:hint="default"/>
          <w:spacing w:val="-46"/>
        </w:rPr>
        <w:t> </w:t>
      </w:r>
      <w:r>
        <w:rPr/>
        <w:t>个月，款项用途为流动资金贷款。</w:t>
      </w:r>
    </w:p>
    <w:p>
      <w:pPr>
        <w:pStyle w:val="BodyText"/>
        <w:spacing w:line="240" w:lineRule="auto" w:before="116"/>
        <w:ind w:left="513" w:right="0"/>
        <w:jc w:val="left"/>
      </w:pPr>
      <w:r>
        <w:rPr/>
        <w:t>（</w:t>
      </w:r>
      <w:r>
        <w:rPr>
          <w:rFonts w:ascii="宋体" w:hAnsi="宋体" w:cs="宋体" w:eastAsia="宋体" w:hint="default"/>
        </w:rPr>
        <w:t>3</w:t>
      </w:r>
      <w:r>
        <w:rPr/>
        <w:t>）</w:t>
      </w:r>
      <w:r>
        <w:rPr>
          <w:rFonts w:ascii="宋体" w:hAnsi="宋体" w:cs="宋体" w:eastAsia="宋体" w:hint="default"/>
        </w:rPr>
        <w:t>Eightpoint Technologies Ltd.</w:t>
      </w:r>
      <w:r>
        <w:rPr/>
        <w:t>于</w:t>
      </w:r>
      <w:r>
        <w:rPr>
          <w:spacing w:val="-46"/>
        </w:rPr>
        <w:t> </w:t>
      </w:r>
      <w:r>
        <w:rPr>
          <w:rFonts w:ascii="宋体" w:hAnsi="宋体" w:cs="宋体" w:eastAsia="宋体" w:hint="default"/>
        </w:rPr>
        <w:t>2018</w:t>
      </w:r>
      <w:r>
        <w:rPr>
          <w:rFonts w:ascii="宋体" w:hAnsi="宋体" w:cs="宋体" w:eastAsia="宋体" w:hint="default"/>
          <w:spacing w:val="-46"/>
        </w:rPr>
        <w:t> </w:t>
      </w:r>
      <w:r>
        <w:rPr/>
        <w:t>年</w:t>
      </w:r>
      <w:r>
        <w:rPr>
          <w:spacing w:val="-46"/>
        </w:rPr>
        <w:t> </w:t>
      </w:r>
      <w:r>
        <w:rPr>
          <w:rFonts w:ascii="宋体" w:hAnsi="宋体" w:cs="宋体" w:eastAsia="宋体" w:hint="default"/>
        </w:rPr>
        <w:t>1</w:t>
      </w:r>
      <w:r>
        <w:rPr>
          <w:rFonts w:ascii="宋体" w:hAnsi="宋体" w:cs="宋体" w:eastAsia="宋体" w:hint="default"/>
          <w:spacing w:val="-46"/>
        </w:rPr>
        <w:t> </w:t>
      </w:r>
      <w:r>
        <w:rPr/>
        <w:t>月借款</w:t>
      </w:r>
      <w:r>
        <w:rPr>
          <w:spacing w:val="-46"/>
        </w:rPr>
        <w:t> </w:t>
      </w:r>
      <w:r>
        <w:rPr>
          <w:rFonts w:ascii="宋体" w:hAnsi="宋体" w:cs="宋体" w:eastAsia="宋体" w:hint="default"/>
        </w:rPr>
        <w:t>1,500</w:t>
      </w:r>
      <w:r>
        <w:rPr>
          <w:rFonts w:ascii="宋体" w:hAnsi="宋体" w:cs="宋体" w:eastAsia="宋体" w:hint="default"/>
          <w:spacing w:val="-46"/>
        </w:rPr>
        <w:t> </w:t>
      </w:r>
      <w:r>
        <w:rPr/>
        <w:t>万美元，款项用途为流动资金贷款。</w:t>
      </w:r>
    </w:p>
    <w:p>
      <w:pPr>
        <w:pStyle w:val="BodyText"/>
        <w:spacing w:line="240" w:lineRule="auto" w:before="117"/>
        <w:ind w:left="514" w:right="0"/>
        <w:jc w:val="left"/>
      </w:pPr>
      <w:r>
        <w:rPr/>
        <w:t>截至</w:t>
      </w:r>
      <w:r>
        <w:rPr>
          <w:spacing w:val="-46"/>
        </w:rPr>
        <w:t> </w:t>
      </w:r>
      <w:r>
        <w:rPr>
          <w:rFonts w:ascii="宋体" w:hAnsi="宋体" w:cs="宋体" w:eastAsia="宋体" w:hint="default"/>
        </w:rPr>
        <w:t>2018</w:t>
      </w:r>
      <w:r>
        <w:rPr>
          <w:rFonts w:ascii="宋体" w:hAnsi="宋体" w:cs="宋体" w:eastAsia="宋体" w:hint="default"/>
          <w:spacing w:val="-46"/>
        </w:rPr>
        <w:t> </w:t>
      </w:r>
      <w:r>
        <w:rPr/>
        <w:t>年</w:t>
      </w:r>
      <w:r>
        <w:rPr>
          <w:spacing w:val="-45"/>
        </w:rPr>
        <w:t> </w:t>
      </w:r>
      <w:r>
        <w:rPr>
          <w:rFonts w:ascii="宋体" w:hAnsi="宋体" w:cs="宋体" w:eastAsia="宋体" w:hint="default"/>
        </w:rPr>
        <w:t>4</w:t>
      </w:r>
      <w:r>
        <w:rPr>
          <w:rFonts w:ascii="宋体" w:hAnsi="宋体" w:cs="宋体" w:eastAsia="宋体" w:hint="default"/>
          <w:spacing w:val="-45"/>
        </w:rPr>
        <w:t> </w:t>
      </w:r>
      <w:r>
        <w:rPr/>
        <w:t>月</w:t>
      </w:r>
      <w:r>
        <w:rPr>
          <w:spacing w:val="-46"/>
        </w:rPr>
        <w:t> </w:t>
      </w:r>
      <w:r>
        <w:rPr>
          <w:rFonts w:ascii="宋体" w:hAnsi="宋体" w:cs="宋体" w:eastAsia="宋体" w:hint="default"/>
        </w:rPr>
        <w:t>26</w:t>
      </w:r>
      <w:r>
        <w:rPr>
          <w:rFonts w:ascii="宋体" w:hAnsi="宋体" w:cs="宋体" w:eastAsia="宋体" w:hint="default"/>
          <w:spacing w:val="-46"/>
        </w:rPr>
        <w:t> </w:t>
      </w:r>
      <w:r>
        <w:rPr/>
        <w:t>日，本公司不存在其他应披露的资产负债表日后事项。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5"/>
          <w:szCs w:val="15"/>
        </w:rPr>
      </w:pPr>
    </w:p>
    <w:p>
      <w:pPr>
        <w:pStyle w:val="Heading2"/>
        <w:spacing w:line="240" w:lineRule="auto"/>
        <w:ind w:left="153" w:right="0"/>
        <w:jc w:val="left"/>
        <w:rPr>
          <w:b w:val="0"/>
          <w:bCs w:val="0"/>
        </w:rPr>
      </w:pPr>
      <w:bookmarkStart w:name="十六、其他重要事项" w:id="490"/>
      <w:bookmarkEnd w:id="490"/>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前期会计差错更正" w:id="491"/>
      <w:bookmarkEnd w:id="491"/>
      <w:r>
        <w:rPr>
          <w:b w:val="0"/>
          <w:bCs w:val="0"/>
        </w:rPr>
      </w:r>
      <w:r>
        <w:rPr>
          <w:rFonts w:ascii="宋体" w:hAnsi="宋体" w:cs="宋体" w:eastAsia="宋体" w:hint="default"/>
        </w:rPr>
        <w:t>1</w:t>
      </w:r>
      <w:r>
        <w:rPr/>
        <w:t>、前期会计差错更正</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53" w:right="0"/>
        <w:jc w:val="left"/>
        <w:rPr>
          <w:b w:val="0"/>
          <w:bCs w:val="0"/>
        </w:rPr>
      </w:pPr>
      <w:bookmarkStart w:name="（1）追溯重述法" w:id="492"/>
      <w:bookmarkEnd w:id="492"/>
      <w:r>
        <w:rPr>
          <w:b w:val="0"/>
          <w:bCs w:val="0"/>
        </w:rPr>
      </w:r>
      <w:r>
        <w:rPr/>
        <w:t>（</w:t>
      </w:r>
      <w:r>
        <w:rPr>
          <w:rFonts w:ascii="宋体" w:hAnsi="宋体" w:cs="宋体" w:eastAsia="宋体" w:hint="default"/>
        </w:rPr>
        <w:t>1</w:t>
      </w:r>
      <w:r>
        <w:rPr/>
        <w:t>）追溯重述法</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未来适用法" w:id="493"/>
      <w:bookmarkEnd w:id="493"/>
      <w:r>
        <w:rPr>
          <w:b w:val="0"/>
          <w:bCs w:val="0"/>
        </w:rPr>
      </w:r>
      <w:r>
        <w:rPr/>
        <w:t>（</w:t>
      </w:r>
      <w:r>
        <w:rPr>
          <w:rFonts w:ascii="宋体" w:hAnsi="宋体" w:cs="宋体" w:eastAsia="宋体" w:hint="default"/>
        </w:rPr>
        <w:t>2</w:t>
      </w:r>
      <w:r>
        <w:rPr/>
        <w:t>）未来适用法</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877" w:footer="1187" w:top="1060" w:bottom="138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2、债务重组" w:id="494"/>
      <w:bookmarkEnd w:id="494"/>
      <w:r>
        <w:rPr>
          <w:b w:val="0"/>
          <w:bCs w:val="0"/>
        </w:rPr>
      </w:r>
      <w:r>
        <w:rPr>
          <w:rFonts w:ascii="宋体" w:hAnsi="宋体" w:cs="宋体" w:eastAsia="宋体" w:hint="default"/>
        </w:rPr>
        <w:t>2</w:t>
      </w:r>
      <w:r>
        <w:rPr/>
        <w:t>、债务重组</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3、资产置换" w:id="495"/>
      <w:bookmarkEnd w:id="495"/>
      <w:r>
        <w:rPr>
          <w:b w:val="0"/>
          <w:bCs w:val="0"/>
        </w:rPr>
      </w:r>
      <w:r>
        <w:rPr>
          <w:rFonts w:ascii="宋体" w:hAnsi="宋体" w:cs="宋体" w:eastAsia="宋体" w:hint="default"/>
        </w:rPr>
        <w:t>3</w:t>
      </w:r>
      <w:r>
        <w:rPr/>
        <w:t>、资产置换</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非货币性资产交换" w:id="496"/>
      <w:bookmarkEnd w:id="496"/>
      <w:r>
        <w:rPr>
          <w:b w:val="0"/>
          <w:bCs w:val="0"/>
        </w:rPr>
      </w:r>
      <w:r>
        <w:rPr/>
        <w:t>（</w:t>
      </w:r>
      <w:r>
        <w:rPr>
          <w:rFonts w:ascii="宋体" w:hAnsi="宋体" w:cs="宋体" w:eastAsia="宋体" w:hint="default"/>
        </w:rPr>
        <w:t>1</w:t>
      </w:r>
      <w:r>
        <w:rPr/>
        <w:t>）非货币性资产交换</w:t>
      </w:r>
      <w:r>
        <w:rPr>
          <w:b w:val="0"/>
          <w:bCs w:val="0"/>
        </w:rPr>
      </w:r>
    </w:p>
    <w:p>
      <w:pPr>
        <w:spacing w:line="240" w:lineRule="auto" w:before="11"/>
        <w:rPr>
          <w:rFonts w:ascii="宋体" w:hAnsi="宋体" w:cs="宋体" w:eastAsia="宋体" w:hint="default"/>
          <w:b/>
          <w:bCs/>
          <w:sz w:val="25"/>
          <w:szCs w:val="25"/>
        </w:rPr>
      </w:pPr>
    </w:p>
    <w:p>
      <w:pPr>
        <w:pStyle w:val="Heading3"/>
        <w:spacing w:line="535" w:lineRule="auto"/>
        <w:ind w:right="8960"/>
        <w:jc w:val="left"/>
        <w:rPr>
          <w:b w:val="0"/>
          <w:bCs w:val="0"/>
        </w:rPr>
      </w:pPr>
      <w:bookmarkStart w:name="（2）其他资产置换" w:id="497"/>
      <w:bookmarkEnd w:id="497"/>
      <w:r>
        <w:rPr>
          <w:b w:val="0"/>
          <w:bCs w:val="0"/>
        </w:rPr>
      </w:r>
      <w:r>
        <w:rPr/>
        <w:t>（</w:t>
      </w:r>
      <w:r>
        <w:rPr>
          <w:rFonts w:ascii="宋体" w:hAnsi="宋体" w:cs="宋体" w:eastAsia="宋体" w:hint="default"/>
        </w:rPr>
        <w:t>2</w:t>
      </w:r>
      <w:r>
        <w:rPr/>
        <w:t>）其他资产置换</w:t>
      </w:r>
      <w:r>
        <w:rPr>
          <w:w w:val="99"/>
        </w:rPr>
        <w:t> </w:t>
      </w:r>
      <w:bookmarkStart w:name="4、年金计划" w:id="498"/>
      <w:bookmarkEnd w:id="498"/>
      <w:r>
        <w:rPr>
          <w:w w:val="99"/>
        </w:rPr>
      </w:r>
      <w:r>
        <w:rPr>
          <w:rFonts w:ascii="宋体" w:hAnsi="宋体" w:cs="宋体" w:eastAsia="宋体" w:hint="default"/>
        </w:rPr>
        <w:t>4</w:t>
      </w:r>
      <w:r>
        <w:rPr/>
        <w:t>、年金计划</w:t>
      </w:r>
      <w:r>
        <w:rPr>
          <w:b w:val="0"/>
          <w:bCs w:val="0"/>
        </w:rPr>
      </w:r>
    </w:p>
    <w:p>
      <w:pPr>
        <w:pStyle w:val="Heading3"/>
        <w:spacing w:line="240" w:lineRule="auto" w:before="80"/>
        <w:ind w:right="0"/>
        <w:jc w:val="left"/>
        <w:rPr>
          <w:b w:val="0"/>
          <w:bCs w:val="0"/>
        </w:rPr>
      </w:pPr>
      <w:bookmarkStart w:name="5、终止经营" w:id="499"/>
      <w:bookmarkEnd w:id="499"/>
      <w:r>
        <w:rPr>
          <w:b w:val="0"/>
          <w:bCs w:val="0"/>
        </w:rPr>
      </w:r>
      <w:r>
        <w:rPr>
          <w:rFonts w:ascii="宋体" w:hAnsi="宋体" w:cs="宋体" w:eastAsia="宋体" w:hint="default"/>
        </w:rPr>
        <w:t>5</w:t>
      </w:r>
      <w:r>
        <w:rPr/>
        <w:t>、终止经营</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6、分部信息" w:id="500"/>
      <w:bookmarkEnd w:id="500"/>
      <w:r>
        <w:rPr>
          <w:b w:val="0"/>
          <w:bCs w:val="0"/>
        </w:rPr>
      </w:r>
      <w:r>
        <w:rPr>
          <w:rFonts w:ascii="宋体" w:hAnsi="宋体" w:cs="宋体" w:eastAsia="宋体" w:hint="default"/>
        </w:rPr>
        <w:t>6</w:t>
      </w:r>
      <w:r>
        <w:rPr/>
        <w:t>、分部信息</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53" w:right="0"/>
        <w:jc w:val="left"/>
        <w:rPr>
          <w:b w:val="0"/>
          <w:bCs w:val="0"/>
        </w:rPr>
      </w:pPr>
      <w:bookmarkStart w:name="（1）报告分部的确定依据与会计政策" w:id="501"/>
      <w:bookmarkEnd w:id="501"/>
      <w:r>
        <w:rPr>
          <w:b w:val="0"/>
          <w:bCs w:val="0"/>
        </w:rPr>
      </w:r>
      <w:r>
        <w:rPr/>
        <w:t>（</w:t>
      </w:r>
      <w:r>
        <w:rPr>
          <w:rFonts w:ascii="宋体" w:hAnsi="宋体" w:cs="宋体" w:eastAsia="宋体" w:hint="default"/>
        </w:rPr>
        <w:t>1</w:t>
      </w:r>
      <w:r>
        <w:rPr/>
        <w:t>）报告分部的确定依据与会计政策</w:t>
      </w:r>
      <w:r>
        <w:rPr>
          <w:b w:val="0"/>
          <w:bCs w:val="0"/>
        </w:rPr>
      </w:r>
    </w:p>
    <w:p>
      <w:pPr>
        <w:spacing w:line="240" w:lineRule="auto" w:before="10"/>
        <w:rPr>
          <w:rFonts w:ascii="宋体" w:hAnsi="宋体" w:cs="宋体" w:eastAsia="宋体" w:hint="default"/>
          <w:b/>
          <w:bCs/>
          <w:sz w:val="27"/>
          <w:szCs w:val="27"/>
        </w:rPr>
      </w:pPr>
    </w:p>
    <w:p>
      <w:pPr>
        <w:pStyle w:val="BodyText"/>
        <w:spacing w:line="319" w:lineRule="auto"/>
        <w:ind w:left="153" w:right="1131" w:firstLine="360"/>
        <w:jc w:val="both"/>
      </w:pPr>
      <w:r>
        <w:rPr>
          <w:spacing w:val="-2"/>
        </w:rPr>
        <w:t>根据本公司的内部组织结构、管理要求及内部报告制度，本公司的经营业务划分为</w:t>
      </w:r>
      <w:r>
        <w:rPr>
          <w:spacing w:val="-37"/>
        </w:rPr>
        <w:t> </w:t>
      </w:r>
      <w:r>
        <w:rPr>
          <w:rFonts w:ascii="宋体" w:hAnsi="宋体" w:cs="宋体" w:eastAsia="宋体" w:hint="default"/>
        </w:rPr>
        <w:t>3</w:t>
      </w:r>
      <w:r>
        <w:rPr>
          <w:rFonts w:ascii="宋体" w:hAnsi="宋体" w:cs="宋体" w:eastAsia="宋体" w:hint="default"/>
          <w:spacing w:val="-38"/>
        </w:rPr>
        <w:t> </w:t>
      </w:r>
      <w:r>
        <w:rPr>
          <w:spacing w:val="-2"/>
        </w:rPr>
        <w:t>个报告分部。这些报告分部是以公</w:t>
      </w:r>
      <w:r>
        <w:rPr/>
        <w:t> </w:t>
      </w:r>
      <w:r>
        <w:rPr>
          <w:spacing w:val="-2"/>
        </w:rPr>
        <w:t>司日常内部管理要求的财务信息为基础确定的。集团的管理层定期评价这些报告分部的经营成果，以决定向其分配资源及评</w:t>
      </w:r>
      <w:r>
        <w:rPr>
          <w:spacing w:val="-64"/>
        </w:rPr>
        <w:t> </w:t>
      </w:r>
      <w:r>
        <w:rPr>
          <w:spacing w:val="-64"/>
        </w:rPr>
      </w:r>
      <w:r>
        <w:rPr/>
        <w:t>价其业绩。</w:t>
      </w:r>
    </w:p>
    <w:p>
      <w:pPr>
        <w:pStyle w:val="BodyText"/>
        <w:spacing w:line="240" w:lineRule="auto" w:before="56"/>
        <w:ind w:left="514" w:right="0"/>
        <w:jc w:val="left"/>
      </w:pPr>
      <w:r>
        <w:rPr/>
        <w:t>本公司报告分部包括：</w:t>
      </w:r>
    </w:p>
    <w:p>
      <w:pPr>
        <w:pStyle w:val="BodyText"/>
        <w:spacing w:line="319" w:lineRule="auto" w:before="115"/>
        <w:ind w:right="1139" w:firstLine="360"/>
        <w:jc w:val="both"/>
      </w:pPr>
      <w:r>
        <w:rPr/>
        <w:t>（</w:t>
      </w:r>
      <w:r>
        <w:rPr>
          <w:rFonts w:ascii="宋体" w:hAnsi="宋体" w:cs="宋体" w:eastAsia="宋体" w:hint="default"/>
        </w:rPr>
        <w:t>1</w:t>
      </w:r>
      <w:r>
        <w:rPr/>
        <w:t>）互联网媒体业务分部，主要包括本公司运用自主研发的应用产品、依托</w:t>
      </w:r>
      <w:r>
        <w:rPr>
          <w:spacing w:val="-46"/>
        </w:rPr>
        <w:t> </w:t>
      </w:r>
      <w:r>
        <w:rPr>
          <w:rFonts w:ascii="宋体" w:hAnsi="宋体" w:cs="宋体" w:eastAsia="宋体" w:hint="default"/>
        </w:rPr>
        <w:t>ssp</w:t>
      </w:r>
      <w:r>
        <w:rPr>
          <w:rFonts w:ascii="宋体" w:hAnsi="宋体" w:cs="宋体" w:eastAsia="宋体" w:hint="default"/>
          <w:spacing w:val="-46"/>
        </w:rPr>
        <w:t> </w:t>
      </w:r>
      <w:r>
        <w:rPr/>
        <w:t>等技术形成的媒体平台，基于媒体优 化经验及大数据分析技术等帮助合作伙伴提升广告效果，从而获得可观的商业变现收入；</w:t>
      </w:r>
    </w:p>
    <w:p>
      <w:pPr>
        <w:pStyle w:val="BodyText"/>
        <w:spacing w:line="240" w:lineRule="auto" w:before="58"/>
        <w:ind w:left="513" w:right="0"/>
        <w:jc w:val="left"/>
      </w:pPr>
      <w:r>
        <w:rPr/>
        <w:t>（</w:t>
      </w:r>
      <w:r>
        <w:rPr>
          <w:rFonts w:ascii="宋体" w:hAnsi="宋体" w:cs="宋体" w:eastAsia="宋体" w:hint="default"/>
        </w:rPr>
        <w:t>2</w:t>
      </w:r>
      <w:r>
        <w:rPr/>
        <w:t>）数字营销业务分部，主要包括整合营销、实效营销和信息流业务；</w:t>
      </w:r>
    </w:p>
    <w:p>
      <w:pPr>
        <w:pStyle w:val="BodyText"/>
        <w:spacing w:line="357" w:lineRule="auto" w:before="116"/>
        <w:ind w:left="513" w:right="0"/>
        <w:jc w:val="left"/>
      </w:pPr>
      <w:r>
        <w:rPr/>
        <w:t>（</w:t>
      </w:r>
      <w:r>
        <w:rPr>
          <w:rFonts w:ascii="宋体" w:hAnsi="宋体" w:cs="宋体" w:eastAsia="宋体" w:hint="default"/>
        </w:rPr>
        <w:t>3</w:t>
      </w:r>
      <w:r>
        <w:rPr/>
        <w:t>）其他业务分部，主要包括互联网游戏业务和互联网金融业务。 </w:t>
      </w:r>
      <w:r>
        <w:rPr>
          <w:spacing w:val="-2"/>
        </w:rPr>
        <w:t>分部报告信息根据各分部向管理层报告时采用的会计政策及计量标准披露，这些会计政策及计量基础与编制财务报表时</w:t>
      </w:r>
    </w:p>
    <w:p>
      <w:pPr>
        <w:pStyle w:val="BodyText"/>
        <w:spacing w:line="225" w:lineRule="exact"/>
        <w:ind w:left="153" w:right="0"/>
        <w:jc w:val="left"/>
      </w:pPr>
      <w:r>
        <w:rPr/>
        <w:t>的会计政策及计量基础保持一致。</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报告分部的财务信息" w:id="502"/>
      <w:bookmarkEnd w:id="502"/>
      <w:r>
        <w:rPr>
          <w:b w:val="0"/>
          <w:bCs w:val="0"/>
        </w:rPr>
      </w:r>
      <w:r>
        <w:rPr/>
        <w:t>（</w:t>
      </w:r>
      <w:r>
        <w:rPr>
          <w:rFonts w:ascii="宋体" w:hAnsi="宋体" w:cs="宋体" w:eastAsia="宋体" w:hint="default"/>
        </w:rPr>
        <w:t>2</w:t>
      </w:r>
      <w:r>
        <w:rPr/>
        <w:t>）报告分部的财务信息</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168" w:right="0"/>
              <w:jc w:val="left"/>
              <w:rPr>
                <w:rFonts w:ascii="宋体" w:hAnsi="宋体" w:cs="宋体" w:eastAsia="宋体" w:hint="default"/>
                <w:sz w:val="18"/>
                <w:szCs w:val="18"/>
              </w:rPr>
            </w:pPr>
            <w:r>
              <w:rPr>
                <w:rFonts w:ascii="宋体" w:hAnsi="宋体" w:cs="宋体" w:eastAsia="宋体" w:hint="default"/>
                <w:sz w:val="18"/>
                <w:szCs w:val="18"/>
              </w:rPr>
              <w:t>互联网媒体业务</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数字营销业务</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本期或本期期末</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1,403,253,918.98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4,844,517,826.64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149,812,833.62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2" w:right="0"/>
              <w:jc w:val="left"/>
              <w:rPr>
                <w:rFonts w:ascii="宋体" w:hAnsi="宋体" w:cs="宋体" w:eastAsia="宋体" w:hint="default"/>
                <w:sz w:val="18"/>
                <w:szCs w:val="18"/>
              </w:rPr>
            </w:pPr>
            <w:r>
              <w:rPr>
                <w:rFonts w:ascii="宋体"/>
                <w:sz w:val="18"/>
              </w:rPr>
              <w:t>-22,192,075.30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center"/>
              <w:rPr>
                <w:rFonts w:ascii="宋体" w:hAnsi="宋体" w:cs="宋体" w:eastAsia="宋体" w:hint="default"/>
                <w:sz w:val="18"/>
                <w:szCs w:val="18"/>
              </w:rPr>
            </w:pPr>
            <w:r>
              <w:rPr>
                <w:rFonts w:ascii="宋体"/>
                <w:sz w:val="18"/>
              </w:rPr>
              <w:t>6,375,392,503.94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宋体" w:hAnsi="宋体" w:cs="宋体" w:eastAsia="宋体" w:hint="default"/>
                <w:sz w:val="18"/>
                <w:szCs w:val="18"/>
              </w:rPr>
              <w:t>对外交易收入</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1,391,948,633.48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4,844,517,826.64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138,926,043.82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center"/>
              <w:rPr>
                <w:rFonts w:ascii="宋体" w:hAnsi="宋体" w:cs="宋体" w:eastAsia="宋体" w:hint="default"/>
                <w:sz w:val="18"/>
                <w:szCs w:val="18"/>
              </w:rPr>
            </w:pPr>
            <w:r>
              <w:rPr>
                <w:rFonts w:ascii="宋体"/>
                <w:sz w:val="18"/>
              </w:rPr>
              <w:t>6,375,392,503.94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11,305,285.50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10,886,789.80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2" w:right="0"/>
              <w:jc w:val="left"/>
              <w:rPr>
                <w:rFonts w:ascii="宋体" w:hAnsi="宋体" w:cs="宋体" w:eastAsia="宋体" w:hint="default"/>
                <w:sz w:val="18"/>
                <w:szCs w:val="18"/>
              </w:rPr>
            </w:pPr>
            <w:r>
              <w:rPr>
                <w:rFonts w:ascii="宋体"/>
                <w:sz w:val="18"/>
              </w:rPr>
              <w:t>-22,192,075.30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宋体" w:hAnsi="宋体" w:cs="宋体" w:eastAsia="宋体" w:hint="default"/>
                <w:sz w:val="18"/>
                <w:szCs w:val="18"/>
              </w:rPr>
              <w:t>主营业务收入</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1,403,253,918.98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4,844,517,826.64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148,215,248.39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2" w:right="0"/>
              <w:jc w:val="left"/>
              <w:rPr>
                <w:rFonts w:ascii="宋体" w:hAnsi="宋体" w:cs="宋体" w:eastAsia="宋体" w:hint="default"/>
                <w:sz w:val="18"/>
                <w:szCs w:val="18"/>
              </w:rPr>
            </w:pPr>
            <w:r>
              <w:rPr>
                <w:rFonts w:ascii="宋体"/>
                <w:sz w:val="18"/>
              </w:rPr>
              <w:t>-22,192,075.30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center"/>
              <w:rPr>
                <w:rFonts w:ascii="宋体" w:hAnsi="宋体" w:cs="宋体" w:eastAsia="宋体" w:hint="default"/>
                <w:sz w:val="18"/>
                <w:szCs w:val="18"/>
              </w:rPr>
            </w:pPr>
            <w:r>
              <w:rPr>
                <w:rFonts w:ascii="宋体"/>
                <w:sz w:val="18"/>
              </w:rPr>
              <w:t>6,373,794,918.71</w:t>
            </w:r>
          </w:p>
        </w:tc>
      </w:tr>
    </w:tbl>
    <w:p>
      <w:pPr>
        <w:spacing w:after="0" w:line="240" w:lineRule="auto"/>
        <w:jc w:val="center"/>
        <w:rPr>
          <w:rFonts w:ascii="宋体" w:hAnsi="宋体" w:cs="宋体" w:eastAsia="宋体" w:hint="default"/>
          <w:sz w:val="18"/>
          <w:szCs w:val="18"/>
        </w:rPr>
        <w:sectPr>
          <w:pgSz w:w="11910" w:h="16840"/>
          <w:pgMar w:header="87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747,501,426.35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4,672,780,020.52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50,295,168.86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-11,797,283.77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5,458,779,331.96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宋体" w:hAnsi="宋体" w:cs="宋体" w:eastAsia="宋体" w:hint="default"/>
                <w:sz w:val="18"/>
                <w:szCs w:val="18"/>
              </w:rPr>
              <w:t>主营业务成本</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747,501,426.35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4,672,780,020.52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50,293,865.66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-11,797,283.77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5,458,778,028.76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营业费用</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32,619,348.55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63,629,509.22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3,884,620.60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-960,829.27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99,172,649.10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209,497,656.91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15,290,686.76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82,894,128.75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-9,433,962.26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298,248,510.16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18,309,847.38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31,757,180.68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306,822,702.84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-292,806,996.36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64,082,734.54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营业利润</w:t>
            </w:r>
            <w:r>
              <w:rPr>
                <w:rFonts w:ascii="宋体" w:hAnsi="宋体" w:cs="宋体" w:eastAsia="宋体" w:hint="default"/>
                <w:sz w:val="18"/>
                <w:szCs w:val="18"/>
              </w:rPr>
              <w:t>/</w:t>
            </w:r>
            <w:r>
              <w:rPr>
                <w:rFonts w:ascii="宋体" w:hAnsi="宋体" w:cs="宋体" w:eastAsia="宋体" w:hint="default"/>
                <w:sz w:val="18"/>
                <w:szCs w:val="18"/>
              </w:rPr>
              <w:t>（亏损）</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386,302,552.76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137,754,043.02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318,008,669.92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-292,793,256.00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549,272,009.70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2,665,296,291.13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1,612,951,914.07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5,311,500,864.49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-2,562,439,381.71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7,027,309,687.98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1,049,153,959.12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1,252,230,406.33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135,929,442.76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-465,165,479.53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1,972,148,328.68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补充信息：</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资本性支出</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229,151.70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17,034,632.33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28,185,642.63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45,449,426.66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折旧和摊销费用</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44,769,837.22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163,137,845.84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20,813,673.60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228,721,356.66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资产减值损失</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170,020.39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11,678,588.03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2,488,060.69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14,336,669.11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上期或上期期末</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472,695,039.95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1,657,645,813.64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255,532,573.82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-21,866,227.01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2,364,007,200.40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宋体" w:hAnsi="宋体" w:cs="宋体" w:eastAsia="宋体" w:hint="default"/>
                <w:sz w:val="18"/>
                <w:szCs w:val="18"/>
              </w:rPr>
              <w:t>对外交易收入</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452,865,018.98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1,657,645,813.64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253,496,367.78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2,364,007,200.40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19,830,020.97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2,036,206.04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-21,866,227.01</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宋体" w:hAnsi="宋体" w:cs="宋体" w:eastAsia="宋体" w:hint="default"/>
                <w:sz w:val="18"/>
                <w:szCs w:val="18"/>
              </w:rPr>
              <w:t>主营业务收入</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472,695,039.95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1,657,645,813.64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255,532,573.82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-21,866,227.01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2,364,007,200.40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160,150,767.08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1,564,522,323.93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152,604,488.53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-21,711,368.76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1,855,566,210.78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宋体" w:hAnsi="宋体" w:cs="宋体" w:eastAsia="宋体" w:hint="default"/>
                <w:sz w:val="18"/>
                <w:szCs w:val="18"/>
              </w:rPr>
              <w:t>主营业务成本</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160,150,767.08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1,564,522,323.93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152,604,488.53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-21,711,368.76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1,855,566,210.78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10,433,333.30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37,048,891.60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22,930,234.17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-154,858.25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70,257,600.82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57,610,279.37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8,192,075.58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69,572,602.98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135,374,957.93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32,438.36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213,108,381.31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-150,091,902.59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63,048,973.18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营业利润</w:t>
            </w:r>
            <w:r>
              <w:rPr>
                <w:rFonts w:ascii="宋体" w:hAnsi="宋体" w:cs="宋体" w:eastAsia="宋体" w:hint="default"/>
                <w:sz w:val="18"/>
                <w:szCs w:val="18"/>
              </w:rPr>
              <w:t>/</w:t>
            </w:r>
            <w:r>
              <w:rPr>
                <w:rFonts w:ascii="宋体" w:hAnsi="宋体" w:cs="宋体" w:eastAsia="宋体" w:hint="default"/>
                <w:sz w:val="18"/>
                <w:szCs w:val="18"/>
              </w:rPr>
              <w:t>（亏损）</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240,585,946.72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37,942,131.73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221,527,490.58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-149,414,806.16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350,640,762.87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2,588,910,101.31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817,658,331.02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4,478,334,159.41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-1,393,628,101.29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6,491,274,490.45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1,299,164,141.69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517,816,348.89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81,382,248.68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-16,854,123.98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1,881,508,615.28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补充信息：</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资本性支出</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128,076,798.87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19,793,144.00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12,491,770.11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160,361,712.98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折旧和摊销费用</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52,080,047.28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3,554,861.38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15,392,530.65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71,027,439.31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资产减值损失</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290,898.65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2,885,557.02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743,595.65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3,920,051.32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公司无报告分部的，或者不能披露各报告分部的资产总额和负债总额的，应说明原因" w:id="503"/>
      <w:bookmarkEnd w:id="503"/>
      <w:r>
        <w:rPr>
          <w:b w:val="0"/>
          <w:bCs w:val="0"/>
        </w:rPr>
      </w:r>
      <w:r>
        <w:rPr/>
        <w:t>（</w:t>
      </w:r>
      <w:r>
        <w:rPr>
          <w:rFonts w:ascii="宋体" w:hAnsi="宋体" w:cs="宋体" w:eastAsia="宋体" w:hint="default"/>
        </w:rPr>
        <w:t>3</w:t>
      </w:r>
      <w:r>
        <w:rPr/>
        <w:t>）公司无报告分部的，或者不能披露各报告分部的资产总额和负债总额的，应说明原因</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4）其他说明" w:id="504"/>
      <w:bookmarkEnd w:id="504"/>
      <w:r>
        <w:rPr>
          <w:b w:val="0"/>
          <w:bCs w:val="0"/>
        </w:rPr>
      </w:r>
      <w:r>
        <w:rPr/>
        <w:t>（</w:t>
      </w:r>
      <w:r>
        <w:rPr>
          <w:rFonts w:ascii="宋体" w:hAnsi="宋体" w:cs="宋体" w:eastAsia="宋体" w:hint="default"/>
        </w:rPr>
        <w:t>4</w:t>
      </w:r>
      <w:r>
        <w:rPr/>
        <w:t>）其他说明</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514" w:right="0"/>
        <w:jc w:val="left"/>
      </w:pPr>
      <w:r>
        <w:rPr/>
        <w:t>① 产品和劳务对外交易收入</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85"/>
        <w:gridCol w:w="3402"/>
        <w:gridCol w:w="4079"/>
      </w:tblGrid>
      <w:tr>
        <w:trPr>
          <w:trHeight w:val="34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hAnsi="宋体" w:cs="宋体" w:eastAsia="宋体" w:hint="default"/>
                <w:b/>
                <w:bCs/>
                <w:w w:val="95"/>
                <w:sz w:val="18"/>
                <w:szCs w:val="18"/>
              </w:rPr>
              <w:t>本期发生额</w:t>
            </w:r>
            <w:r>
              <w:rPr>
                <w:rFonts w:ascii="宋体" w:hAnsi="宋体" w:cs="宋体" w:eastAsia="宋体" w:hint="default"/>
                <w:sz w:val="18"/>
                <w:szCs w:val="18"/>
              </w:rPr>
            </w:r>
          </w:p>
        </w:tc>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b/>
                <w:bCs/>
                <w:w w:val="95"/>
                <w:sz w:val="18"/>
                <w:szCs w:val="18"/>
              </w:rPr>
              <w:t>上期发生额</w:t>
            </w:r>
            <w:r>
              <w:rPr>
                <w:rFonts w:ascii="宋体" w:hAnsi="宋体" w:cs="宋体" w:eastAsia="宋体" w:hint="default"/>
                <w:sz w:val="18"/>
                <w:szCs w:val="18"/>
              </w:rPr>
            </w:r>
          </w:p>
        </w:tc>
      </w:tr>
    </w:tbl>
    <w:p>
      <w:pPr>
        <w:spacing w:after="0" w:line="240" w:lineRule="auto"/>
        <w:jc w:val="right"/>
        <w:rPr>
          <w:rFonts w:ascii="宋体" w:hAnsi="宋体" w:cs="宋体" w:eastAsia="宋体" w:hint="default"/>
          <w:sz w:val="18"/>
          <w:szCs w:val="18"/>
        </w:rPr>
        <w:sectPr>
          <w:pgSz w:w="11910" w:h="16840"/>
          <w:pgMar w:header="87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85"/>
        <w:gridCol w:w="3402"/>
        <w:gridCol w:w="4079"/>
      </w:tblGrid>
      <w:tr>
        <w:trPr>
          <w:trHeight w:val="34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互联网媒体业务</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1,391,948,633.48</w:t>
            </w:r>
          </w:p>
        </w:tc>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452,865,018.98</w:t>
            </w:r>
          </w:p>
        </w:tc>
      </w:tr>
      <w:tr>
        <w:trPr>
          <w:trHeight w:val="34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数字营销业务</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4,844,517,826.64</w:t>
            </w:r>
          </w:p>
        </w:tc>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1,657,645,813.64</w:t>
            </w:r>
          </w:p>
        </w:tc>
      </w:tr>
      <w:tr>
        <w:trPr>
          <w:trHeight w:val="34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138,926,043.82</w:t>
            </w:r>
          </w:p>
        </w:tc>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253,496,367.78</w:t>
            </w:r>
          </w:p>
        </w:tc>
      </w:tr>
      <w:tr>
        <w:trPr>
          <w:trHeight w:val="34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b/>
                <w:w w:val="95"/>
                <w:sz w:val="18"/>
              </w:rPr>
              <w:t>6,375,392,503.94</w:t>
            </w:r>
            <w:r>
              <w:rPr>
                <w:rFonts w:ascii="宋体"/>
                <w:sz w:val="18"/>
              </w:rPr>
            </w:r>
          </w:p>
        </w:tc>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b/>
                <w:w w:val="95"/>
                <w:sz w:val="18"/>
              </w:rPr>
              <w:t>2,364,007,200.40</w:t>
            </w:r>
            <w:r>
              <w:rPr>
                <w:rFonts w:ascii="宋体"/>
                <w:sz w:val="18"/>
              </w:rPr>
            </w:r>
          </w:p>
        </w:tc>
      </w:tr>
    </w:tbl>
    <w:p>
      <w:pPr>
        <w:pStyle w:val="BodyText"/>
        <w:spacing w:line="240" w:lineRule="auto" w:before="51"/>
        <w:ind w:left="514" w:right="0"/>
        <w:jc w:val="left"/>
      </w:pPr>
      <w:r>
        <w:rPr/>
        <w:t>② 地区信息</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85"/>
        <w:gridCol w:w="1702"/>
        <w:gridCol w:w="1701"/>
        <w:gridCol w:w="1702"/>
        <w:gridCol w:w="2410"/>
      </w:tblGrid>
      <w:tr>
        <w:trPr>
          <w:trHeight w:val="34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本期或本期期末</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hAnsi="宋体" w:cs="宋体" w:eastAsia="宋体" w:hint="default"/>
                <w:b/>
                <w:bCs/>
                <w:w w:val="95"/>
                <w:sz w:val="18"/>
                <w:szCs w:val="18"/>
              </w:rPr>
              <w:t>中国境内</w:t>
            </w:r>
            <w:r>
              <w:rPr>
                <w:rFonts w:ascii="宋体" w:hAnsi="宋体" w:cs="宋体" w:eastAsia="宋体" w:hint="default"/>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hAnsi="宋体" w:cs="宋体" w:eastAsia="宋体" w:hint="default"/>
                <w:b/>
                <w:bCs/>
                <w:w w:val="95"/>
                <w:sz w:val="18"/>
                <w:szCs w:val="18"/>
              </w:rPr>
              <w:t>其他国家或地区</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hAnsi="宋体" w:cs="宋体" w:eastAsia="宋体" w:hint="default"/>
                <w:b/>
                <w:bCs/>
                <w:sz w:val="18"/>
                <w:szCs w:val="18"/>
              </w:rPr>
              <w:t>抵销</w:t>
            </w:r>
            <w:r>
              <w:rPr>
                <w:rFonts w:ascii="宋体" w:hAnsi="宋体" w:cs="宋体" w:eastAsia="宋体" w:hint="default"/>
                <w:sz w:val="18"/>
                <w:szCs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4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对外交易收入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5,258,548,154.71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1,116,844,349.23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6,375,392,503.94</w:t>
            </w:r>
          </w:p>
        </w:tc>
      </w:tr>
      <w:tr>
        <w:trPr>
          <w:trHeight w:val="34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2,273,639,827.42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1,877,271,186.36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-1,104,161,065.23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3,046,749,948.55</w:t>
            </w:r>
          </w:p>
        </w:tc>
      </w:tr>
    </w:tbl>
    <w:p>
      <w:pPr>
        <w:pStyle w:val="BodyText"/>
        <w:spacing w:line="240" w:lineRule="auto" w:before="51"/>
        <w:ind w:left="514" w:right="0"/>
        <w:jc w:val="left"/>
      </w:pPr>
      <w:r>
        <w:rPr/>
        <w:t>（续）</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85"/>
        <w:gridCol w:w="1844"/>
        <w:gridCol w:w="1702"/>
        <w:gridCol w:w="1701"/>
        <w:gridCol w:w="2268"/>
      </w:tblGrid>
      <w:tr>
        <w:trPr>
          <w:trHeight w:val="34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上期或上期期末</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hAnsi="宋体" w:cs="宋体" w:eastAsia="宋体" w:hint="default"/>
                <w:b/>
                <w:bCs/>
                <w:w w:val="95"/>
                <w:sz w:val="18"/>
                <w:szCs w:val="18"/>
              </w:rPr>
              <w:t>中国境内</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b/>
                <w:bCs/>
                <w:w w:val="95"/>
                <w:sz w:val="18"/>
                <w:szCs w:val="18"/>
              </w:rPr>
              <w:t>其他国家或地区</w:t>
            </w:r>
            <w:r>
              <w:rPr>
                <w:rFonts w:ascii="宋体" w:hAnsi="宋体" w:cs="宋体" w:eastAsia="宋体" w:hint="default"/>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hAnsi="宋体" w:cs="宋体" w:eastAsia="宋体" w:hint="default"/>
                <w:b/>
                <w:bCs/>
                <w:sz w:val="18"/>
                <w:szCs w:val="18"/>
              </w:rPr>
              <w:t>抵销</w:t>
            </w:r>
            <w:r>
              <w:rPr>
                <w:rFonts w:ascii="宋体" w:hAnsi="宋体" w:cs="宋体" w:eastAsia="宋体" w:hint="default"/>
                <w:sz w:val="18"/>
                <w:szCs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4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对外交易收入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2,088,344,069.86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275,663,130.54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2,364,007,200.40</w:t>
            </w:r>
          </w:p>
        </w:tc>
      </w:tr>
      <w:tr>
        <w:trPr>
          <w:trHeight w:val="34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2,396,614,393.56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2,164,403,832.59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-904,647,400.00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3,184,244,248.84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其他对投资者决策有影响的重要交易和事项" w:id="505"/>
      <w:bookmarkEnd w:id="505"/>
      <w:r>
        <w:rPr>
          <w:b w:val="0"/>
          <w:bCs w:val="0"/>
        </w:rPr>
      </w:r>
      <w:r>
        <w:rPr>
          <w:rFonts w:ascii="宋体" w:hAnsi="宋体" w:cs="宋体" w:eastAsia="宋体" w:hint="default"/>
        </w:rPr>
        <w:t>7</w:t>
      </w:r>
      <w:r>
        <w:rPr/>
        <w:t>、其他对投资者决策有影响的重要交易和事项</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8、其他" w:id="506"/>
      <w:bookmarkEnd w:id="506"/>
      <w:r>
        <w:rPr>
          <w:b w:val="0"/>
          <w:bCs w:val="0"/>
        </w:rPr>
      </w:r>
      <w:r>
        <w:rPr>
          <w:rFonts w:ascii="宋体" w:hAnsi="宋体" w:cs="宋体" w:eastAsia="宋体" w:hint="default"/>
        </w:rPr>
        <w:t>8</w:t>
      </w:r>
      <w:r>
        <w:rPr/>
        <w:t>、其他</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514" w:right="0"/>
        <w:jc w:val="left"/>
      </w:pPr>
      <w:r>
        <w:rPr/>
        <w:t>（</w:t>
      </w:r>
      <w:r>
        <w:rPr>
          <w:rFonts w:ascii="宋体" w:hAnsi="宋体" w:cs="宋体" w:eastAsia="宋体" w:hint="default"/>
        </w:rPr>
        <w:t>1</w:t>
      </w:r>
      <w:r>
        <w:rPr/>
        <w:t>）计入递延收益的政府补助，后续采用总额法计量</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82"/>
        <w:gridCol w:w="742"/>
        <w:gridCol w:w="924"/>
        <w:gridCol w:w="836"/>
        <w:gridCol w:w="1044"/>
        <w:gridCol w:w="731"/>
        <w:gridCol w:w="815"/>
        <w:gridCol w:w="1144"/>
        <w:gridCol w:w="1211"/>
      </w:tblGrid>
      <w:tr>
        <w:trPr>
          <w:trHeight w:val="966" w:hRule="exact"/>
        </w:trPr>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补助项目</w:t>
            </w:r>
            <w:r>
              <w:rPr>
                <w:rFonts w:ascii="宋体" w:hAnsi="宋体" w:cs="宋体" w:eastAsia="宋体" w:hint="default"/>
                <w:sz w:val="18"/>
                <w:szCs w:val="18"/>
              </w:rPr>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6" w:right="0"/>
              <w:jc w:val="lef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hAnsi="宋体" w:cs="宋体" w:eastAsia="宋体" w:hint="default"/>
                <w:b/>
                <w:bCs/>
                <w:w w:val="95"/>
                <w:sz w:val="18"/>
                <w:szCs w:val="18"/>
              </w:rPr>
              <w:t>期初余额</w:t>
            </w:r>
            <w:r>
              <w:rPr>
                <w:rFonts w:ascii="宋体" w:hAnsi="宋体" w:cs="宋体" w:eastAsia="宋体" w:hint="default"/>
                <w:sz w:val="18"/>
                <w:szCs w:val="18"/>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98" w:right="3"/>
              <w:jc w:val="left"/>
              <w:rPr>
                <w:rFonts w:ascii="宋体" w:hAnsi="宋体" w:cs="宋体" w:eastAsia="宋体" w:hint="default"/>
                <w:sz w:val="18"/>
                <w:szCs w:val="18"/>
              </w:rPr>
            </w:pPr>
            <w:r>
              <w:rPr>
                <w:rFonts w:ascii="宋体" w:hAnsi="宋体" w:cs="宋体" w:eastAsia="宋体" w:hint="default"/>
                <w:b/>
                <w:bCs/>
                <w:sz w:val="18"/>
                <w:szCs w:val="18"/>
              </w:rPr>
              <w:t>本期新增</w:t>
            </w:r>
            <w:r>
              <w:rPr>
                <w:rFonts w:ascii="宋体" w:hAnsi="宋体" w:cs="宋体" w:eastAsia="宋体" w:hint="default"/>
                <w:b/>
                <w:bCs/>
                <w:w w:val="99"/>
                <w:sz w:val="18"/>
                <w:szCs w:val="18"/>
              </w:rPr>
              <w:t> </w:t>
            </w:r>
            <w:r>
              <w:rPr>
                <w:rFonts w:ascii="宋体" w:hAnsi="宋体" w:cs="宋体" w:eastAsia="宋体" w:hint="default"/>
                <w:b/>
                <w:bCs/>
                <w:sz w:val="18"/>
                <w:szCs w:val="18"/>
              </w:rPr>
              <w:t>补助金额</w:t>
            </w:r>
            <w:r>
              <w:rPr>
                <w:rFonts w:ascii="宋体" w:hAnsi="宋体" w:cs="宋体" w:eastAsia="宋体" w:hint="default"/>
                <w:sz w:val="18"/>
                <w:szCs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124" w:right="4"/>
              <w:jc w:val="right"/>
              <w:rPr>
                <w:rFonts w:ascii="宋体" w:hAnsi="宋体" w:cs="宋体" w:eastAsia="宋体" w:hint="default"/>
                <w:sz w:val="18"/>
                <w:szCs w:val="18"/>
              </w:rPr>
            </w:pPr>
            <w:r>
              <w:rPr>
                <w:rFonts w:ascii="宋体" w:hAnsi="宋体" w:cs="宋体" w:eastAsia="宋体" w:hint="default"/>
                <w:b/>
                <w:bCs/>
                <w:w w:val="95"/>
                <w:sz w:val="18"/>
                <w:szCs w:val="18"/>
              </w:rPr>
              <w:t>本期结转计</w:t>
            </w:r>
            <w:r>
              <w:rPr>
                <w:rFonts w:ascii="宋体" w:hAnsi="宋体" w:cs="宋体" w:eastAsia="宋体" w:hint="default"/>
                <w:b/>
                <w:bCs/>
                <w:spacing w:val="-55"/>
                <w:w w:val="95"/>
                <w:sz w:val="18"/>
                <w:szCs w:val="18"/>
              </w:rPr>
              <w:t> </w:t>
            </w:r>
            <w:r>
              <w:rPr>
                <w:rFonts w:ascii="宋体" w:hAnsi="宋体" w:cs="宋体" w:eastAsia="宋体" w:hint="default"/>
                <w:b/>
                <w:bCs/>
                <w:spacing w:val="-55"/>
                <w:w w:val="95"/>
                <w:sz w:val="18"/>
                <w:szCs w:val="18"/>
              </w:rPr>
            </w:r>
            <w:r>
              <w:rPr>
                <w:rFonts w:ascii="宋体" w:hAnsi="宋体" w:cs="宋体" w:eastAsia="宋体" w:hint="default"/>
                <w:b/>
                <w:bCs/>
                <w:w w:val="95"/>
                <w:sz w:val="18"/>
                <w:szCs w:val="18"/>
              </w:rPr>
              <w:t>入损益的金</w:t>
            </w:r>
            <w:r>
              <w:rPr>
                <w:rFonts w:ascii="宋体" w:hAnsi="宋体" w:cs="宋体" w:eastAsia="宋体" w:hint="default"/>
                <w:sz w:val="18"/>
                <w:szCs w:val="18"/>
              </w:rPr>
            </w:r>
          </w:p>
          <w:p>
            <w:pPr>
              <w:pStyle w:val="TableParagraph"/>
              <w:spacing w:line="240" w:lineRule="auto" w:before="19"/>
              <w:ind w:right="5"/>
              <w:jc w:val="right"/>
              <w:rPr>
                <w:rFonts w:ascii="宋体" w:hAnsi="宋体" w:cs="宋体" w:eastAsia="宋体" w:hint="default"/>
                <w:sz w:val="18"/>
                <w:szCs w:val="18"/>
              </w:rPr>
            </w:pPr>
            <w:r>
              <w:rPr>
                <w:rFonts w:ascii="宋体" w:hAnsi="宋体" w:cs="宋体" w:eastAsia="宋体" w:hint="default"/>
                <w:b/>
                <w:bCs/>
                <w:w w:val="99"/>
                <w:sz w:val="18"/>
                <w:szCs w:val="18"/>
              </w:rPr>
              <w:t>额</w:t>
            </w:r>
            <w:r>
              <w:rPr>
                <w:rFonts w:ascii="宋体" w:hAnsi="宋体" w:cs="宋体" w:eastAsia="宋体" w:hint="default"/>
                <w:sz w:val="18"/>
                <w:szCs w:val="18"/>
              </w:rPr>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356"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b/>
                <w:bCs/>
                <w:spacing w:val="1"/>
                <w:w w:val="99"/>
                <w:sz w:val="18"/>
                <w:szCs w:val="18"/>
              </w:rPr>
              <w:t> </w:t>
            </w:r>
            <w:r>
              <w:rPr>
                <w:rFonts w:ascii="宋体" w:hAnsi="宋体" w:cs="宋体" w:eastAsia="宋体" w:hint="default"/>
                <w:b/>
                <w:bCs/>
                <w:sz w:val="18"/>
                <w:szCs w:val="18"/>
              </w:rPr>
              <w:t>变动</w:t>
            </w:r>
            <w:r>
              <w:rPr>
                <w:rFonts w:ascii="宋体" w:hAnsi="宋体" w:cs="宋体" w:eastAsia="宋体" w:hint="default"/>
                <w:sz w:val="18"/>
                <w:szCs w:val="18"/>
              </w:rPr>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39" w:right="1"/>
              <w:jc w:val="left"/>
              <w:rPr>
                <w:rFonts w:ascii="宋体" w:hAnsi="宋体" w:cs="宋体" w:eastAsia="宋体" w:hint="default"/>
                <w:sz w:val="18"/>
                <w:szCs w:val="18"/>
              </w:rPr>
            </w:pPr>
            <w:r>
              <w:rPr>
                <w:rFonts w:ascii="宋体" w:hAnsi="宋体" w:cs="宋体" w:eastAsia="宋体" w:hint="default"/>
                <w:b/>
                <w:bCs/>
                <w:sz w:val="18"/>
                <w:szCs w:val="18"/>
              </w:rPr>
              <w:t>期末</w:t>
            </w:r>
            <w:r>
              <w:rPr>
                <w:rFonts w:ascii="宋体" w:hAnsi="宋体" w:cs="宋体" w:eastAsia="宋体" w:hint="default"/>
                <w:b/>
                <w:bCs/>
                <w:spacing w:val="1"/>
                <w:w w:val="9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5" w:right="3"/>
              <w:jc w:val="right"/>
              <w:rPr>
                <w:rFonts w:ascii="宋体" w:hAnsi="宋体" w:cs="宋体" w:eastAsia="宋体" w:hint="default"/>
                <w:sz w:val="18"/>
                <w:szCs w:val="18"/>
              </w:rPr>
            </w:pPr>
            <w:r>
              <w:rPr>
                <w:rFonts w:ascii="宋体" w:hAnsi="宋体" w:cs="宋体" w:eastAsia="宋体" w:hint="default"/>
                <w:b/>
                <w:bCs/>
                <w:w w:val="95"/>
                <w:sz w:val="18"/>
                <w:szCs w:val="18"/>
              </w:rPr>
              <w:t>本期结转计入</w:t>
            </w:r>
            <w:r>
              <w:rPr>
                <w:rFonts w:ascii="宋体" w:hAnsi="宋体" w:cs="宋体" w:eastAsia="宋体" w:hint="default"/>
                <w:b/>
                <w:bCs/>
                <w:spacing w:val="-47"/>
                <w:w w:val="95"/>
                <w:sz w:val="18"/>
                <w:szCs w:val="18"/>
              </w:rPr>
              <w:t> </w:t>
            </w:r>
            <w:r>
              <w:rPr>
                <w:rFonts w:ascii="宋体" w:hAnsi="宋体" w:cs="宋体" w:eastAsia="宋体" w:hint="default"/>
                <w:b/>
                <w:bCs/>
                <w:spacing w:val="-47"/>
                <w:w w:val="95"/>
                <w:sz w:val="18"/>
                <w:szCs w:val="18"/>
              </w:rPr>
            </w:r>
            <w:r>
              <w:rPr>
                <w:rFonts w:ascii="宋体" w:hAnsi="宋体" w:cs="宋体" w:eastAsia="宋体" w:hint="default"/>
                <w:b/>
                <w:bCs/>
                <w:w w:val="95"/>
                <w:sz w:val="18"/>
                <w:szCs w:val="18"/>
              </w:rPr>
              <w:t>损益的列报项</w:t>
            </w:r>
            <w:r>
              <w:rPr>
                <w:rFonts w:ascii="宋体" w:hAnsi="宋体" w:cs="宋体" w:eastAsia="宋体" w:hint="default"/>
                <w:sz w:val="18"/>
                <w:szCs w:val="18"/>
              </w:rPr>
            </w:r>
          </w:p>
          <w:p>
            <w:pPr>
              <w:pStyle w:val="TableParagraph"/>
              <w:spacing w:line="240" w:lineRule="auto" w:before="19"/>
              <w:ind w:right="5"/>
              <w:jc w:val="right"/>
              <w:rPr>
                <w:rFonts w:ascii="宋体" w:hAnsi="宋体" w:cs="宋体" w:eastAsia="宋体" w:hint="default"/>
                <w:sz w:val="18"/>
                <w:szCs w:val="18"/>
              </w:rPr>
            </w:pPr>
            <w:r>
              <w:rPr>
                <w:rFonts w:ascii="宋体" w:hAnsi="宋体" w:cs="宋体" w:eastAsia="宋体" w:hint="default"/>
                <w:b/>
                <w:bCs/>
                <w:w w:val="99"/>
                <w:sz w:val="18"/>
                <w:szCs w:val="18"/>
              </w:rPr>
              <w:t>目</w:t>
            </w:r>
            <w:r>
              <w:rPr>
                <w:rFonts w:ascii="宋体" w:hAnsi="宋体" w:cs="宋体" w:eastAsia="宋体" w:hint="default"/>
                <w:sz w:val="18"/>
                <w:szCs w:val="18"/>
              </w:rPr>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b/>
                <w:bCs/>
                <w:sz w:val="18"/>
                <w:szCs w:val="18"/>
              </w:rPr>
              <w:t>与资产相关</w:t>
            </w:r>
            <w:r>
              <w:rPr>
                <w:rFonts w:ascii="宋体" w:hAnsi="宋体" w:cs="宋体" w:eastAsia="宋体" w:hint="default"/>
                <w:b/>
                <w:bCs/>
                <w:sz w:val="18"/>
                <w:szCs w:val="18"/>
              </w:rPr>
              <w:t>/</w:t>
            </w:r>
            <w:r>
              <w:rPr>
                <w:rFonts w:ascii="宋体" w:hAnsi="宋体" w:cs="宋体" w:eastAsia="宋体" w:hint="default"/>
                <w:b/>
                <w:bCs/>
                <w:sz w:val="18"/>
                <w:szCs w:val="18"/>
              </w:rPr>
              <w:t>与</w:t>
            </w:r>
            <w:r>
              <w:rPr>
                <w:rFonts w:ascii="宋体" w:hAnsi="宋体" w:cs="宋体" w:eastAsia="宋体" w:hint="default"/>
                <w:sz w:val="18"/>
                <w:szCs w:val="18"/>
              </w:rPr>
            </w:r>
          </w:p>
          <w:p>
            <w:pPr>
              <w:pStyle w:val="TableParagraph"/>
              <w:spacing w:line="240" w:lineRule="auto" w:before="76"/>
              <w:ind w:left="473" w:right="0"/>
              <w:jc w:val="left"/>
              <w:rPr>
                <w:rFonts w:ascii="宋体" w:hAnsi="宋体" w:cs="宋体" w:eastAsia="宋体" w:hint="default"/>
                <w:sz w:val="18"/>
                <w:szCs w:val="18"/>
              </w:rPr>
            </w:pPr>
            <w:r>
              <w:rPr>
                <w:rFonts w:ascii="宋体" w:hAnsi="宋体" w:cs="宋体" w:eastAsia="宋体" w:hint="default"/>
                <w:b/>
                <w:bCs/>
                <w:sz w:val="18"/>
                <w:szCs w:val="18"/>
              </w:rPr>
              <w:t>收益相关</w:t>
            </w:r>
            <w:r>
              <w:rPr>
                <w:rFonts w:ascii="宋体" w:hAnsi="宋体" w:cs="宋体" w:eastAsia="宋体" w:hint="default"/>
                <w:sz w:val="18"/>
                <w:szCs w:val="18"/>
              </w:rPr>
            </w:r>
          </w:p>
        </w:tc>
      </w:tr>
      <w:tr>
        <w:trPr>
          <w:trHeight w:val="654" w:hRule="exact"/>
        </w:trPr>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0"/>
                <w:sz w:val="18"/>
                <w:szCs w:val="18"/>
              </w:rPr>
              <w:t> </w:t>
            </w:r>
            <w:r>
              <w:rPr>
                <w:rFonts w:ascii="宋体" w:hAnsi="宋体" w:cs="宋体" w:eastAsia="宋体" w:hint="default"/>
                <w:spacing w:val="14"/>
                <w:sz w:val="18"/>
                <w:szCs w:val="18"/>
              </w:rPr>
              <w:t>自闭症儿童交流工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具”软件开发</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367" w:right="2"/>
              <w:jc w:val="left"/>
              <w:rPr>
                <w:rFonts w:ascii="宋体" w:hAnsi="宋体" w:cs="宋体" w:eastAsia="宋体" w:hint="default"/>
                <w:sz w:val="18"/>
                <w:szCs w:val="18"/>
              </w:rPr>
            </w:pPr>
            <w:r>
              <w:rPr>
                <w:rFonts w:ascii="宋体" w:hAnsi="宋体" w:cs="宋体" w:eastAsia="宋体" w:hint="default"/>
                <w:sz w:val="18"/>
                <w:szCs w:val="18"/>
              </w:rPr>
              <w:t>财政 拨款</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122,574.00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8" w:right="0"/>
              <w:jc w:val="left"/>
              <w:rPr>
                <w:rFonts w:ascii="宋体" w:hAnsi="宋体" w:cs="宋体" w:eastAsia="宋体" w:hint="default"/>
                <w:sz w:val="18"/>
                <w:szCs w:val="18"/>
              </w:rPr>
            </w:pPr>
            <w:r>
              <w:rPr>
                <w:rFonts w:ascii="宋体"/>
                <w:sz w:val="18"/>
              </w:rPr>
              <w:t>37,563.00</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85,011.0</w:t>
            </w:r>
          </w:p>
          <w:p>
            <w:pPr>
              <w:pStyle w:val="TableParagraph"/>
              <w:spacing w:line="240" w:lineRule="auto" w:before="76"/>
              <w:ind w:right="2"/>
              <w:jc w:val="right"/>
              <w:rPr>
                <w:rFonts w:ascii="宋体" w:hAnsi="宋体" w:cs="宋体" w:eastAsia="宋体" w:hint="default"/>
                <w:sz w:val="18"/>
                <w:szCs w:val="18"/>
              </w:rPr>
            </w:pPr>
            <w:r>
              <w:rPr>
                <w:rFonts w:ascii="宋体"/>
                <w:sz w:val="18"/>
              </w:rPr>
              <w:t>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9"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96"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pStyle w:val="BodyText"/>
        <w:spacing w:line="240" w:lineRule="auto" w:before="51"/>
        <w:ind w:left="514" w:right="0"/>
        <w:jc w:val="left"/>
      </w:pPr>
      <w:r>
        <w:rPr/>
        <w:t>（</w:t>
      </w:r>
      <w:r>
        <w:rPr>
          <w:rFonts w:ascii="宋体" w:hAnsi="宋体" w:cs="宋体" w:eastAsia="宋体" w:hint="default"/>
        </w:rPr>
        <w:t>2</w:t>
      </w:r>
      <w:r>
        <w:rPr/>
        <w:t>）采用总额法计入当期损益的政府补助情况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62"/>
        <w:gridCol w:w="1418"/>
        <w:gridCol w:w="1275"/>
        <w:gridCol w:w="2227"/>
      </w:tblGrid>
      <w:tr>
        <w:trPr>
          <w:trHeight w:val="342"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b/>
                <w:bCs/>
                <w:w w:val="95"/>
                <w:sz w:val="18"/>
                <w:szCs w:val="18"/>
              </w:rPr>
              <w:t>列报项目</w:t>
            </w:r>
            <w:r>
              <w:rPr>
                <w:rFonts w:ascii="宋体" w:hAnsi="宋体" w:cs="宋体" w:eastAsia="宋体" w:hint="default"/>
                <w:sz w:val="18"/>
                <w:szCs w:val="18"/>
              </w:rPr>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b/>
                <w:bCs/>
                <w:w w:val="95"/>
                <w:sz w:val="18"/>
                <w:szCs w:val="18"/>
              </w:rPr>
              <w:t>计入当期损益的金额</w:t>
            </w:r>
            <w:r>
              <w:rPr>
                <w:rFonts w:ascii="宋体" w:hAnsi="宋体" w:cs="宋体" w:eastAsia="宋体" w:hint="default"/>
                <w:sz w:val="18"/>
                <w:szCs w:val="18"/>
              </w:rPr>
            </w:r>
          </w:p>
        </w:tc>
      </w:tr>
      <w:tr>
        <w:trPr>
          <w:trHeight w:val="342"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上海临港奉贤企业服务有限公司扶持款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5,078,059.23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5,078,059.23</w:t>
            </w:r>
          </w:p>
        </w:tc>
      </w:tr>
      <w:tr>
        <w:trPr>
          <w:trHeight w:val="342"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深圳生态园租金减免</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1,712,800.00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1,712,800.00</w:t>
            </w:r>
          </w:p>
        </w:tc>
      </w:tr>
      <w:tr>
        <w:trPr>
          <w:trHeight w:val="342"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崇明县财政局专项扶持资金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1,107,200.00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1,107,200.00</w:t>
            </w:r>
          </w:p>
        </w:tc>
      </w:tr>
      <w:tr>
        <w:trPr>
          <w:trHeight w:val="342"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深圳南山区文化产业办《</w:t>
            </w:r>
            <w:r>
              <w:rPr>
                <w:rFonts w:ascii="宋体" w:hAnsi="宋体" w:cs="宋体" w:eastAsia="宋体" w:hint="default"/>
                <w:spacing w:val="-3"/>
                <w:sz w:val="18"/>
                <w:szCs w:val="18"/>
              </w:rPr>
              <w:t>NBA</w:t>
            </w:r>
            <w:r>
              <w:rPr>
                <w:rFonts w:ascii="宋体" w:hAnsi="宋体" w:cs="宋体" w:eastAsia="宋体" w:hint="default"/>
                <w:spacing w:val="-3"/>
                <w:sz w:val="18"/>
                <w:szCs w:val="18"/>
              </w:rPr>
              <w:t>范特西》网页游戏运营奖励</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1,000,000.00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1,000,000.00</w:t>
            </w:r>
          </w:p>
        </w:tc>
      </w:tr>
      <w:tr>
        <w:trPr>
          <w:trHeight w:val="342"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上海市促进文化创意产业发展财政扶持资金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700,000.00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700,000.00</w:t>
            </w:r>
          </w:p>
        </w:tc>
      </w:tr>
      <w:tr>
        <w:trPr>
          <w:trHeight w:val="342"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上海徐汇区财政局扶持资金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570,000.00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570,000.00</w:t>
            </w:r>
          </w:p>
        </w:tc>
      </w:tr>
      <w:tr>
        <w:trPr>
          <w:trHeight w:val="342"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企业引导扶持资金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548,321.23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548,321.23</w:t>
            </w:r>
          </w:p>
        </w:tc>
      </w:tr>
      <w:tr>
        <w:trPr>
          <w:trHeight w:val="342"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上海蓝天经济城入驻园区退税</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298,000.00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298,000.00</w:t>
            </w:r>
          </w:p>
        </w:tc>
      </w:tr>
      <w:tr>
        <w:trPr>
          <w:trHeight w:val="342"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上海市奉贤区经济委员会四新经济企业补贴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200,000.00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200,000.00</w:t>
            </w:r>
          </w:p>
        </w:tc>
      </w:tr>
      <w:tr>
        <w:trPr>
          <w:trHeight w:val="342"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“自闭症儿童辅助交流工具”软件开发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37,563.00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sz w:val="18"/>
                <w:szCs w:val="18"/>
              </w:rPr>
              <w:t>营业外收入</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22" w:right="0"/>
              <w:jc w:val="left"/>
              <w:rPr>
                <w:rFonts w:ascii="宋体" w:hAnsi="宋体" w:cs="宋体" w:eastAsia="宋体" w:hint="default"/>
                <w:sz w:val="18"/>
                <w:szCs w:val="18"/>
              </w:rPr>
            </w:pPr>
            <w:r>
              <w:rPr>
                <w:rFonts w:ascii="宋体"/>
                <w:sz w:val="18"/>
              </w:rPr>
              <w:t>37,563.00</w:t>
            </w:r>
          </w:p>
        </w:tc>
      </w:tr>
      <w:tr>
        <w:trPr>
          <w:trHeight w:val="342"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上海市奉贤区信息化委员会软件和信息服务业专项奖励</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23,000.00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23,000.00</w:t>
            </w:r>
          </w:p>
        </w:tc>
      </w:tr>
      <w:tr>
        <w:trPr>
          <w:trHeight w:val="342"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大学生场地租赁补贴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22,540.00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22,540.00</w:t>
            </w:r>
          </w:p>
        </w:tc>
      </w:tr>
      <w:tr>
        <w:trPr>
          <w:trHeight w:val="342"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年度深圳市第三批境外商标注册申请资助拨款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15,000.00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15,000.00</w:t>
            </w:r>
          </w:p>
        </w:tc>
      </w:tr>
      <w:tr>
        <w:trPr>
          <w:trHeight w:val="342"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b/>
                <w:w w:val="95"/>
                <w:sz w:val="18"/>
              </w:rPr>
              <w:t>11,312,483.46</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b/>
                <w:w w:val="95"/>
                <w:sz w:val="18"/>
              </w:rPr>
              <w:t>11,312,483.46</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877" w:footer="1187" w:top="1060" w:bottom="138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七、母公司财务报表主要项目注释" w:id="507"/>
      <w:bookmarkEnd w:id="507"/>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 w:id="508"/>
      <w:bookmarkEnd w:id="508"/>
      <w:r>
        <w:rPr>
          <w:b w:val="0"/>
          <w:bCs w:val="0"/>
        </w:rPr>
      </w:r>
      <w:r>
        <w:rPr>
          <w:rFonts w:ascii="宋体" w:hAnsi="宋体" w:cs="宋体" w:eastAsia="宋体" w:hint="default"/>
        </w:rPr>
        <w:t>1</w:t>
      </w:r>
      <w:r>
        <w:rPr/>
        <w:t>、应收账款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应收账款分类披露" w:id="509"/>
      <w:bookmarkEnd w:id="509"/>
      <w:r>
        <w:rPr>
          <w:b w:val="0"/>
          <w:bCs w:val="0"/>
        </w:rPr>
      </w:r>
      <w:r>
        <w:rPr/>
        <w:t>（</w:t>
      </w:r>
      <w:r>
        <w:rPr>
          <w:rFonts w:ascii="宋体" w:hAnsi="宋体" w:cs="宋体" w:eastAsia="宋体" w:hint="default"/>
        </w:rPr>
        <w:t>1</w:t>
      </w:r>
      <w:r>
        <w:rPr/>
        <w:t>）应收账款分类披露</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right="0"/>
        <w:jc w:val="left"/>
      </w:pPr>
      <w:r>
        <w:rPr/>
        <w:t>期末单项金额重大并单项计提坏账准备的应收账款：</w:t>
      </w:r>
    </w:p>
    <w:p>
      <w:pPr>
        <w:pStyle w:val="BodyText"/>
        <w:spacing w:line="357" w:lineRule="auto" w:before="117"/>
        <w:ind w:right="6792"/>
        <w:jc w:val="left"/>
      </w:pPr>
      <w:r>
        <w:rPr/>
        <w:t>□ 适用 √ 不适用 组合中，按账龄分析法计提坏账准备的应收账款：</w:t>
      </w:r>
    </w:p>
    <w:p>
      <w:pPr>
        <w:pStyle w:val="BodyText"/>
        <w:spacing w:line="360" w:lineRule="auto" w:before="28"/>
        <w:ind w:right="6432"/>
        <w:jc w:val="left"/>
      </w:pPr>
      <w:r>
        <w:rPr/>
        <w:t>□ 适用 √ 不适用 组合中，采用余额百分比法计提坏账准备的应收账款：</w:t>
      </w:r>
    </w:p>
    <w:p>
      <w:pPr>
        <w:pStyle w:val="BodyText"/>
        <w:spacing w:line="357" w:lineRule="auto" w:before="26"/>
        <w:ind w:right="6792"/>
        <w:jc w:val="left"/>
      </w:pPr>
      <w:r>
        <w:rPr/>
        <w:t>□ 适用 √ 不适用 组合中，采用其他方法计提坏账准备的应收账款：</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本期计提、收回或转回的坏账准备情况" w:id="510"/>
      <w:bookmarkEnd w:id="510"/>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6"/>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77" w:footer="1187" w:top="1060" w:bottom="1380" w:left="980" w:right="0"/>
        </w:sectPr>
      </w:pPr>
    </w:p>
    <w:p>
      <w:pPr>
        <w:pStyle w:val="BodyText"/>
        <w:spacing w:line="360" w:lineRule="auto" w:before="44"/>
        <w:ind w:right="-20"/>
        <w:jc w:val="left"/>
      </w:pPr>
      <w:r>
        <w:rPr/>
        <w:t>本期计提坏账准备金额元；本期收回或转回坏账准备金额元。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380" w:left="980" w:right="0"/>
          <w:cols w:num="2" w:equalWidth="0">
            <w:col w:w="5015" w:space="381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本期实际核销的应收账款情况" w:id="511"/>
      <w:bookmarkEnd w:id="511"/>
      <w:r>
        <w:rPr>
          <w:b w:val="0"/>
          <w:bCs w:val="0"/>
        </w:rPr>
      </w:r>
      <w:r>
        <w:rPr/>
        <w:t>（</w:t>
      </w:r>
      <w:r>
        <w:rPr>
          <w:rFonts w:ascii="宋体" w:hAnsi="宋体" w:cs="宋体" w:eastAsia="宋体" w:hint="default"/>
        </w:rPr>
        <w:t>3</w:t>
      </w:r>
      <w:r>
        <w:rPr/>
        <w:t>）本期实际核销的应收账款情况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其中重要的应收账款核销情况：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2"/>
        <w:ind w:right="0"/>
        <w:jc w:val="left"/>
      </w:pPr>
      <w:r>
        <w:rPr/>
        <w:t>应收账款核销说明：</w:t>
      </w:r>
    </w:p>
    <w:p>
      <w:pPr>
        <w:spacing w:after="0" w:line="240" w:lineRule="auto"/>
        <w:jc w:val="left"/>
        <w:sectPr>
          <w:type w:val="continuous"/>
          <w:pgSz w:w="11910" w:h="16840"/>
          <w:pgMar w:top="1060" w:bottom="138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按欠款方归集的期末余额前五名的应收账款情况" w:id="512"/>
      <w:bookmarkEnd w:id="512"/>
      <w:r>
        <w:rPr>
          <w:b w:val="0"/>
          <w:bCs w:val="0"/>
        </w:rPr>
      </w:r>
      <w:r>
        <w:rPr/>
        <w:t>（</w:t>
      </w:r>
      <w:r>
        <w:rPr>
          <w:rFonts w:ascii="宋体" w:hAnsi="宋体" w:cs="宋体" w:eastAsia="宋体"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5）因金融资产转移而终止确认的应收账款" w:id="513"/>
      <w:bookmarkEnd w:id="513"/>
      <w:r>
        <w:rPr>
          <w:b w:val="0"/>
          <w:bCs w:val="0"/>
        </w:rPr>
      </w:r>
      <w:r>
        <w:rPr/>
        <w:t>（</w:t>
      </w:r>
      <w:r>
        <w:rPr>
          <w:rFonts w:ascii="宋体" w:hAnsi="宋体" w:cs="宋体" w:eastAsia="宋体" w:hint="default"/>
        </w:rPr>
        <w:t>5</w:t>
      </w:r>
      <w:r>
        <w:rPr/>
        <w:t>）因金融资产转移而终止确认的应收账款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6）转移应收账款且继续涉入形成的资产、负债金额" w:id="514"/>
      <w:bookmarkEnd w:id="514"/>
      <w:r>
        <w:rPr>
          <w:b w:val="0"/>
          <w:bCs w:val="0"/>
        </w:rPr>
      </w:r>
      <w:r>
        <w:rPr/>
        <w:t>（</w:t>
      </w:r>
      <w:r>
        <w:rPr>
          <w:rFonts w:ascii="宋体" w:hAnsi="宋体" w:cs="宋体" w:eastAsia="宋体" w:hint="default"/>
        </w:rPr>
        <w:t>6</w:t>
      </w:r>
      <w:r>
        <w:rPr/>
        <w:t>）转移应收账款且继续涉入形成的资产、负债金额</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其他应收款" w:id="515"/>
      <w:bookmarkEnd w:id="515"/>
      <w:r>
        <w:rPr>
          <w:b w:val="0"/>
          <w:bCs w:val="0"/>
        </w:rPr>
      </w:r>
      <w:r>
        <w:rPr>
          <w:rFonts w:ascii="宋体" w:hAnsi="宋体" w:cs="宋体" w:eastAsia="宋体" w:hint="default"/>
        </w:rPr>
        <w:t>2</w:t>
      </w:r>
      <w:r>
        <w:rPr/>
        <w:t>、其他应收款</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其他应收款分类披露" w:id="516"/>
      <w:bookmarkEnd w:id="516"/>
      <w:r>
        <w:rPr>
          <w:b w:val="0"/>
          <w:bCs w:val="0"/>
        </w:rPr>
      </w:r>
      <w:r>
        <w:rPr/>
        <w:t>（</w:t>
      </w:r>
      <w:r>
        <w:rPr>
          <w:rFonts w:ascii="宋体" w:hAnsi="宋体" w:cs="宋体" w:eastAsia="宋体" w:hint="default"/>
        </w:rPr>
        <w:t>1</w:t>
      </w:r>
      <w:r>
        <w:rPr/>
        <w:t>）其他应收款分类披露</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7" w:right="0"/>
              <w:jc w:val="left"/>
              <w:rPr>
                <w:rFonts w:ascii="宋体" w:hAnsi="宋体" w:cs="宋体" w:eastAsia="宋体" w:hint="default"/>
                <w:sz w:val="18"/>
                <w:szCs w:val="18"/>
              </w:rPr>
            </w:pPr>
            <w:r>
              <w:rPr>
                <w:rFonts w:ascii="宋体"/>
                <w:sz w:val="18"/>
              </w:rPr>
              <w:t>270,883</w:t>
            </w:r>
          </w:p>
          <w:p>
            <w:pPr>
              <w:pStyle w:val="TableParagraph"/>
              <w:spacing w:line="240" w:lineRule="auto" w:before="76"/>
              <w:ind w:left="87" w:right="0"/>
              <w:jc w:val="left"/>
              <w:rPr>
                <w:rFonts w:ascii="宋体" w:hAnsi="宋体" w:cs="宋体" w:eastAsia="宋体" w:hint="default"/>
                <w:sz w:val="18"/>
                <w:szCs w:val="18"/>
              </w:rPr>
            </w:pPr>
            <w:r>
              <w:rPr>
                <w:rFonts w:ascii="宋体"/>
                <w:sz w:val="18"/>
              </w:rPr>
              <w:t>,517.17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1,129.5</w:t>
            </w:r>
          </w:p>
          <w:p>
            <w:pPr>
              <w:pStyle w:val="TableParagraph"/>
              <w:spacing w:line="240" w:lineRule="auto" w:before="76"/>
              <w:ind w:right="23"/>
              <w:jc w:val="right"/>
              <w:rPr>
                <w:rFonts w:ascii="宋体" w:hAnsi="宋体" w:cs="宋体" w:eastAsia="宋体" w:hint="default"/>
                <w:sz w:val="18"/>
                <w:szCs w:val="18"/>
              </w:rPr>
            </w:pPr>
            <w:r>
              <w:rPr>
                <w:rFonts w:ascii="宋体"/>
                <w:sz w:val="18"/>
              </w:rPr>
              <w:t>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9" w:right="0"/>
              <w:jc w:val="left"/>
              <w:rPr>
                <w:rFonts w:ascii="宋体" w:hAnsi="宋体" w:cs="宋体" w:eastAsia="宋体" w:hint="default"/>
                <w:sz w:val="18"/>
                <w:szCs w:val="18"/>
              </w:rPr>
            </w:pPr>
            <w:r>
              <w:rPr>
                <w:rFonts w:ascii="宋体"/>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270,882,</w:t>
            </w:r>
          </w:p>
          <w:p>
            <w:pPr>
              <w:pStyle w:val="TableParagraph"/>
              <w:spacing w:line="240" w:lineRule="auto" w:before="76"/>
              <w:ind w:left="194" w:right="0"/>
              <w:jc w:val="center"/>
              <w:rPr>
                <w:rFonts w:ascii="宋体" w:hAnsi="宋体" w:cs="宋体" w:eastAsia="宋体" w:hint="default"/>
                <w:sz w:val="18"/>
                <w:szCs w:val="18"/>
              </w:rPr>
            </w:pPr>
            <w:r>
              <w:rPr>
                <w:rFonts w:ascii="宋体"/>
                <w:sz w:val="18"/>
              </w:rPr>
              <w:t>387.63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26,072</w:t>
            </w:r>
          </w:p>
          <w:p>
            <w:pPr>
              <w:pStyle w:val="TableParagraph"/>
              <w:spacing w:line="240" w:lineRule="auto" w:before="75"/>
              <w:ind w:right="23"/>
              <w:jc w:val="right"/>
              <w:rPr>
                <w:rFonts w:ascii="宋体" w:hAnsi="宋体" w:cs="宋体" w:eastAsia="宋体" w:hint="default"/>
                <w:sz w:val="18"/>
                <w:szCs w:val="18"/>
              </w:rPr>
            </w:pPr>
            <w:r>
              <w:rPr>
                <w:rFonts w:ascii="宋体"/>
                <w:sz w:val="18"/>
              </w:rPr>
              <w:t>,787.4</w:t>
            </w:r>
          </w:p>
          <w:p>
            <w:pPr>
              <w:pStyle w:val="TableParagraph"/>
              <w:spacing w:line="240" w:lineRule="auto" w:before="77"/>
              <w:ind w:right="23"/>
              <w:jc w:val="right"/>
              <w:rPr>
                <w:rFonts w:ascii="宋体" w:hAnsi="宋体" w:cs="宋体" w:eastAsia="宋体" w:hint="default"/>
                <w:sz w:val="18"/>
                <w:szCs w:val="18"/>
              </w:rPr>
            </w:pPr>
            <w:r>
              <w:rPr>
                <w:rFonts w:ascii="宋体"/>
                <w:sz w:val="18"/>
              </w:rPr>
              <w:t>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0" w:right="0"/>
              <w:jc w:val="left"/>
              <w:rPr>
                <w:rFonts w:ascii="宋体" w:hAnsi="宋体" w:cs="宋体" w:eastAsia="宋体" w:hint="default"/>
                <w:sz w:val="18"/>
                <w:szCs w:val="18"/>
              </w:rPr>
            </w:pPr>
            <w:r>
              <w:rPr>
                <w:rFonts w:ascii="宋体"/>
                <w:sz w:val="18"/>
              </w:rPr>
              <w:t>1,000.00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49" w:right="0"/>
              <w:jc w:val="left"/>
              <w:rPr>
                <w:rFonts w:ascii="宋体" w:hAnsi="宋体" w:cs="宋体" w:eastAsia="宋体" w:hint="default"/>
                <w:sz w:val="18"/>
                <w:szCs w:val="18"/>
              </w:rPr>
            </w:pPr>
            <w:r>
              <w:rPr>
                <w:rFonts w:ascii="宋体"/>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26,071,78</w:t>
            </w:r>
          </w:p>
          <w:p>
            <w:pPr>
              <w:pStyle w:val="TableParagraph"/>
              <w:spacing w:line="240" w:lineRule="auto" w:before="76"/>
              <w:ind w:left="538" w:right="0"/>
              <w:jc w:val="left"/>
              <w:rPr>
                <w:rFonts w:ascii="宋体" w:hAnsi="宋体" w:cs="宋体" w:eastAsia="宋体" w:hint="default"/>
                <w:sz w:val="18"/>
                <w:szCs w:val="18"/>
              </w:rPr>
            </w:pPr>
            <w:r>
              <w:rPr>
                <w:rFonts w:ascii="宋体"/>
                <w:sz w:val="18"/>
              </w:rPr>
              <w:t>7.47</w:t>
            </w:r>
          </w:p>
        </w:tc>
      </w:tr>
      <w:tr>
        <w:trPr>
          <w:trHeight w:val="317"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sz w:val="18"/>
              </w:rPr>
              <w:t>270,883</w:t>
            </w:r>
          </w:p>
          <w:p>
            <w:pPr>
              <w:pStyle w:val="TableParagraph"/>
              <w:spacing w:line="240" w:lineRule="auto" w:before="76"/>
              <w:ind w:left="93" w:right="0"/>
              <w:jc w:val="left"/>
              <w:rPr>
                <w:rFonts w:ascii="宋体" w:hAnsi="宋体" w:cs="宋体" w:eastAsia="宋体" w:hint="default"/>
                <w:sz w:val="18"/>
                <w:szCs w:val="18"/>
              </w:rPr>
            </w:pPr>
            <w:r>
              <w:rPr>
                <w:rFonts w:ascii="宋体"/>
                <w:sz w:val="18"/>
              </w:rPr>
              <w:t>,517.17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1,129.5</w:t>
            </w:r>
          </w:p>
          <w:p>
            <w:pPr>
              <w:pStyle w:val="TableParagraph"/>
              <w:spacing w:line="240" w:lineRule="auto" w:before="76"/>
              <w:ind w:right="23"/>
              <w:jc w:val="right"/>
              <w:rPr>
                <w:rFonts w:ascii="宋体" w:hAnsi="宋体" w:cs="宋体" w:eastAsia="宋体" w:hint="default"/>
                <w:sz w:val="18"/>
                <w:szCs w:val="18"/>
              </w:rPr>
            </w:pPr>
            <w:r>
              <w:rPr>
                <w:rFonts w:ascii="宋体"/>
                <w:sz w:val="18"/>
              </w:rPr>
              <w:t>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9" w:right="0"/>
              <w:jc w:val="left"/>
              <w:rPr>
                <w:rFonts w:ascii="宋体" w:hAnsi="宋体" w:cs="宋体" w:eastAsia="宋体" w:hint="default"/>
                <w:sz w:val="18"/>
                <w:szCs w:val="18"/>
              </w:rPr>
            </w:pPr>
            <w:r>
              <w:rPr>
                <w:rFonts w:ascii="宋体"/>
                <w:sz w:val="18"/>
              </w:rPr>
              <w:t>0.00%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270,882,</w:t>
            </w:r>
          </w:p>
          <w:p>
            <w:pPr>
              <w:pStyle w:val="TableParagraph"/>
              <w:spacing w:line="240" w:lineRule="auto" w:before="76"/>
              <w:ind w:left="194" w:right="0"/>
              <w:jc w:val="center"/>
              <w:rPr>
                <w:rFonts w:ascii="宋体" w:hAnsi="宋体" w:cs="宋体" w:eastAsia="宋体" w:hint="default"/>
                <w:sz w:val="18"/>
                <w:szCs w:val="18"/>
              </w:rPr>
            </w:pPr>
            <w:r>
              <w:rPr>
                <w:rFonts w:ascii="宋体"/>
                <w:sz w:val="18"/>
              </w:rPr>
              <w:t>387.63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26,072</w:t>
            </w:r>
          </w:p>
          <w:p>
            <w:pPr>
              <w:pStyle w:val="TableParagraph"/>
              <w:spacing w:line="240" w:lineRule="auto" w:before="75"/>
              <w:ind w:right="23"/>
              <w:jc w:val="right"/>
              <w:rPr>
                <w:rFonts w:ascii="宋体" w:hAnsi="宋体" w:cs="宋体" w:eastAsia="宋体" w:hint="default"/>
                <w:sz w:val="18"/>
                <w:szCs w:val="18"/>
              </w:rPr>
            </w:pPr>
            <w:r>
              <w:rPr>
                <w:rFonts w:ascii="宋体"/>
                <w:sz w:val="18"/>
              </w:rPr>
              <w:t>,787.4</w:t>
            </w:r>
          </w:p>
          <w:p>
            <w:pPr>
              <w:pStyle w:val="TableParagraph"/>
              <w:spacing w:line="240" w:lineRule="auto" w:before="77"/>
              <w:ind w:right="23"/>
              <w:jc w:val="right"/>
              <w:rPr>
                <w:rFonts w:ascii="宋体" w:hAnsi="宋体" w:cs="宋体" w:eastAsia="宋体" w:hint="default"/>
                <w:sz w:val="18"/>
                <w:szCs w:val="18"/>
              </w:rPr>
            </w:pPr>
            <w:r>
              <w:rPr>
                <w:rFonts w:ascii="宋体"/>
                <w:sz w:val="18"/>
              </w:rPr>
              <w:t>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0" w:right="0"/>
              <w:jc w:val="left"/>
              <w:rPr>
                <w:rFonts w:ascii="宋体" w:hAnsi="宋体" w:cs="宋体" w:eastAsia="宋体" w:hint="default"/>
                <w:sz w:val="18"/>
                <w:szCs w:val="18"/>
              </w:rPr>
            </w:pPr>
            <w:r>
              <w:rPr>
                <w:rFonts w:ascii="宋体"/>
                <w:sz w:val="18"/>
              </w:rPr>
              <w:t>1,000.00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49" w:right="0"/>
              <w:jc w:val="left"/>
              <w:rPr>
                <w:rFonts w:ascii="宋体" w:hAnsi="宋体" w:cs="宋体" w:eastAsia="宋体" w:hint="default"/>
                <w:sz w:val="18"/>
                <w:szCs w:val="18"/>
              </w:rPr>
            </w:pPr>
            <w:r>
              <w:rPr>
                <w:rFonts w:ascii="宋体"/>
                <w:sz w:val="18"/>
              </w:rPr>
              <w:t>0.00%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26,071,78</w:t>
            </w:r>
          </w:p>
          <w:p>
            <w:pPr>
              <w:pStyle w:val="TableParagraph"/>
              <w:spacing w:line="240" w:lineRule="auto" w:before="76"/>
              <w:ind w:left="538" w:right="0"/>
              <w:jc w:val="left"/>
              <w:rPr>
                <w:rFonts w:ascii="宋体" w:hAnsi="宋体" w:cs="宋体" w:eastAsia="宋体" w:hint="default"/>
                <w:sz w:val="18"/>
                <w:szCs w:val="18"/>
              </w:rPr>
            </w:pPr>
            <w:r>
              <w:rPr>
                <w:rFonts w:ascii="宋体"/>
                <w:sz w:val="18"/>
              </w:rPr>
              <w:t>7.47</w:t>
            </w:r>
          </w:p>
        </w:tc>
      </w:tr>
      <w:tr>
        <w:trPr>
          <w:trHeight w:val="393"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187" w:top="1060" w:bottom="1380" w:left="980" w:right="0"/>
        </w:sectPr>
      </w:pPr>
    </w:p>
    <w:p>
      <w:pPr>
        <w:pStyle w:val="BodyText"/>
        <w:spacing w:line="240" w:lineRule="auto" w:before="51"/>
        <w:ind w:right="-20"/>
        <w:jc w:val="left"/>
      </w:pPr>
      <w:r>
        <w:rPr/>
        <w:t>期末单项金额重大并单项计提坏账准备的其他应收款：</w:t>
      </w:r>
    </w:p>
    <w:p>
      <w:pPr>
        <w:pStyle w:val="BodyText"/>
        <w:spacing w:line="357" w:lineRule="auto" w:before="117"/>
        <w:ind w:right="160"/>
        <w:jc w:val="left"/>
      </w:pPr>
      <w:r>
        <w:rPr/>
        <w:t>□ 适用 √ 不适用 组合中，按账龄分析法计提坏账准备的其他应收款：</w:t>
      </w:r>
    </w:p>
    <w:p>
      <w:pPr>
        <w:pStyle w:val="BodyText"/>
        <w:spacing w:line="240" w:lineRule="auto" w:before="28"/>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38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个月以内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16,444.60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4-12</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24,444.60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1.64%</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3,647.68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729.54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28,092.28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1,129.54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4.02%</w:t>
            </w:r>
          </w:p>
        </w:tc>
      </w:tr>
    </w:tbl>
    <w:p>
      <w:pPr>
        <w:pStyle w:val="BodyText"/>
        <w:spacing w:line="360" w:lineRule="auto" w:before="51"/>
        <w:ind w:right="6252"/>
        <w:jc w:val="left"/>
      </w:pPr>
      <w:r>
        <w:rPr/>
        <w:t>确定该组合依据的说明： 组合中，采用余额百分比法计提坏账准备的其他应收款：</w:t>
      </w:r>
    </w:p>
    <w:p>
      <w:pPr>
        <w:pStyle w:val="BodyText"/>
        <w:spacing w:line="240" w:lineRule="auto" w:before="26"/>
        <w:ind w:right="0"/>
        <w:jc w:val="left"/>
      </w:pPr>
      <w:r>
        <w:rPr/>
        <w:t>□ 适用 √ 不适用</w:t>
      </w:r>
    </w:p>
    <w:p>
      <w:pPr>
        <w:spacing w:after="0" w:line="240" w:lineRule="auto"/>
        <w:jc w:val="left"/>
        <w:sectPr>
          <w:type w:val="continuous"/>
          <w:pgSz w:w="11910" w:h="16840"/>
          <w:pgMar w:top="1060" w:bottom="138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组合中，采用其他方法计提坏账准备的其他应收款：</w:t>
      </w:r>
    </w:p>
    <w:p>
      <w:pPr>
        <w:pStyle w:val="BodyText"/>
        <w:spacing w:line="240" w:lineRule="auto" w:before="116"/>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517"/>
      <w:bookmarkEnd w:id="517"/>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6"/>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77" w:footer="1187" w:top="1060" w:bottom="1380" w:left="980" w:right="0"/>
        </w:sectPr>
      </w:pPr>
    </w:p>
    <w:p>
      <w:pPr>
        <w:pStyle w:val="BodyText"/>
        <w:spacing w:line="360" w:lineRule="auto" w:before="44"/>
        <w:ind w:left="153" w:right="-18"/>
        <w:jc w:val="left"/>
      </w:pPr>
      <w:r>
        <w:rPr/>
        <w:t>本期计提坏账准备金额</w:t>
      </w:r>
      <w:r>
        <w:rPr>
          <w:spacing w:val="-46"/>
        </w:rPr>
        <w:t> </w:t>
      </w:r>
      <w:r>
        <w:rPr>
          <w:rFonts w:ascii="宋体" w:hAnsi="宋体" w:cs="宋体" w:eastAsia="宋体" w:hint="default"/>
        </w:rPr>
        <w:t>129.54</w:t>
      </w:r>
      <w:r>
        <w:rPr>
          <w:rFonts w:ascii="宋体" w:hAnsi="宋体" w:cs="宋体" w:eastAsia="宋体" w:hint="default"/>
          <w:spacing w:val="-46"/>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380" w:left="980" w:right="0"/>
          <w:cols w:num="2" w:equalWidth="0">
            <w:col w:w="5644" w:space="3186"/>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本期实际核销的其他应收款情况" w:id="518"/>
      <w:bookmarkEnd w:id="518"/>
      <w:r>
        <w:rPr>
          <w:b w:val="0"/>
          <w:bCs w:val="0"/>
        </w:rPr>
      </w:r>
      <w:r>
        <w:rPr/>
        <w:t>（</w:t>
      </w:r>
      <w:r>
        <w:rPr>
          <w:rFonts w:ascii="宋体" w:hAnsi="宋体" w:cs="宋体" w:eastAsia="宋体" w:hint="default"/>
        </w:rPr>
        <w:t>3</w:t>
      </w:r>
      <w:r>
        <w:rPr/>
        <w:t>）本期实际核销的其他应收款情况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2"/>
        <w:ind w:right="0"/>
        <w:jc w:val="left"/>
      </w:pPr>
      <w:r>
        <w:rPr/>
        <w:t>其他应收款核销说明：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其他应收款按款项性质分类情况" w:id="519"/>
      <w:bookmarkEnd w:id="519"/>
      <w:r>
        <w:rPr>
          <w:b w:val="0"/>
          <w:bCs w:val="0"/>
        </w:rPr>
      </w:r>
      <w:r>
        <w:rPr/>
        <w:t>（</w:t>
      </w:r>
      <w:r>
        <w:rPr>
          <w:rFonts w:ascii="宋体" w:hAnsi="宋体" w:cs="宋体" w:eastAsia="宋体" w:hint="default"/>
        </w:rPr>
        <w:t>4</w:t>
      </w:r>
      <w:r>
        <w:rPr/>
        <w:t>）其他应收款按款项性质分类情况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268,542,188.71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25,030,485.74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2,313,236.18</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28,092.28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重组交割过渡期业绩补偿</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1,014,301.73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270,883,517.17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26,072,787.47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名的其他应收款情况" w:id="520"/>
      <w:bookmarkEnd w:id="520"/>
      <w:r>
        <w:rPr>
          <w:b w:val="0"/>
          <w:bCs w:val="0"/>
        </w:rPr>
      </w:r>
      <w:r>
        <w:rPr/>
        <w:t>（</w:t>
      </w:r>
      <w:r>
        <w:rPr>
          <w:rFonts w:ascii="宋体" w:hAnsi="宋体" w:cs="宋体" w:eastAsia="宋体" w:hint="default"/>
        </w:rPr>
        <w:t>5</w:t>
      </w:r>
      <w:r>
        <w:rPr/>
        <w:t>）按欠款方归集的期末余额前五名的其他应收款情况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上海猎鹰公司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134,860,084.80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个月以内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49.79%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上海亦复信息公司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131,126,752.97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个月以内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48.41%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深圳范特西公司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2,502,730.94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0.92%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上海力仕鸿华房地产</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2,300,672.08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0.85%</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36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发展有限公司</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西藏智媒公司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40,620.00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270,830,860.79</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99.98%</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6）涉及政府补助的应收款项" w:id="521"/>
      <w:bookmarkEnd w:id="521"/>
      <w:r>
        <w:rPr>
          <w:b w:val="0"/>
          <w:bCs w:val="0"/>
        </w:rPr>
      </w:r>
      <w:r>
        <w:rPr/>
        <w:t>（</w:t>
      </w:r>
      <w:r>
        <w:rPr>
          <w:rFonts w:ascii="宋体" w:hAnsi="宋体" w:cs="宋体" w:eastAsia="宋体" w:hint="default"/>
        </w:rPr>
        <w:t>6</w:t>
      </w:r>
      <w:r>
        <w:rPr/>
        <w:t>）涉及政府补助的应收款项</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7）因金融资产转移而终止确认的其他应收款" w:id="522"/>
      <w:bookmarkEnd w:id="522"/>
      <w:r>
        <w:rPr>
          <w:b w:val="0"/>
          <w:bCs w:val="0"/>
        </w:rPr>
      </w:r>
      <w:r>
        <w:rPr/>
        <w:t>（</w:t>
      </w:r>
      <w:r>
        <w:rPr>
          <w:rFonts w:ascii="宋体" w:hAnsi="宋体" w:cs="宋体" w:eastAsia="宋体" w:hint="default"/>
        </w:rPr>
        <w:t>7</w:t>
      </w:r>
      <w:r>
        <w:rPr/>
        <w:t>）因金融资产转移而终止确认的其他应收款</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8）转移其他应收款且继续涉入形成的资产、负债金额" w:id="523"/>
      <w:bookmarkEnd w:id="523"/>
      <w:r>
        <w:rPr>
          <w:b w:val="0"/>
          <w:bCs w:val="0"/>
        </w:rPr>
      </w:r>
      <w:r>
        <w:rPr/>
        <w:t>（</w:t>
      </w:r>
      <w:r>
        <w:rPr>
          <w:rFonts w:ascii="宋体" w:hAnsi="宋体" w:cs="宋体" w:eastAsia="宋体" w:hint="default"/>
        </w:rPr>
        <w:t>8</w:t>
      </w:r>
      <w:r>
        <w:rPr/>
        <w:t>）转移其他应收款且继续涉入形成的资产、负债金额</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长期股权投资" w:id="524"/>
      <w:bookmarkEnd w:id="524"/>
      <w:r>
        <w:rPr>
          <w:b w:val="0"/>
          <w:bCs w:val="0"/>
        </w:rPr>
      </w:r>
      <w:r>
        <w:rPr>
          <w:rFonts w:ascii="宋体" w:hAnsi="宋体" w:cs="宋体" w:eastAsia="宋体" w:hint="default"/>
        </w:rPr>
        <w:t>3</w:t>
      </w:r>
      <w:r>
        <w:rPr/>
        <w:t>、长期股权投资</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9" w:space="0" w:color="D2D2D2"/>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2,924,221,670.</w:t>
            </w:r>
          </w:p>
          <w:p>
            <w:pPr>
              <w:pStyle w:val="TableParagraph"/>
              <w:spacing w:line="240" w:lineRule="auto" w:before="76"/>
              <w:ind w:right="23"/>
              <w:jc w:val="right"/>
              <w:rPr>
                <w:rFonts w:ascii="宋体" w:hAnsi="宋体" w:cs="宋体" w:eastAsia="宋体" w:hint="default"/>
                <w:sz w:val="18"/>
                <w:szCs w:val="18"/>
              </w:rPr>
            </w:pPr>
            <w:r>
              <w:rPr>
                <w:rFonts w:ascii="宋体"/>
                <w:sz w:val="18"/>
              </w:rPr>
              <w:t>50</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2,924,221,670.</w:t>
            </w:r>
          </w:p>
          <w:p>
            <w:pPr>
              <w:pStyle w:val="TableParagraph"/>
              <w:spacing w:line="240" w:lineRule="auto" w:before="76"/>
              <w:ind w:right="20"/>
              <w:jc w:val="right"/>
              <w:rPr>
                <w:rFonts w:ascii="宋体" w:hAnsi="宋体" w:cs="宋体" w:eastAsia="宋体" w:hint="default"/>
                <w:sz w:val="18"/>
                <w:szCs w:val="18"/>
              </w:rPr>
            </w:pPr>
            <w:r>
              <w:rPr>
                <w:rFonts w:ascii="宋体"/>
                <w:sz w:val="18"/>
              </w:rPr>
              <w:t>50</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2,203,708,005.</w:t>
            </w:r>
          </w:p>
          <w:p>
            <w:pPr>
              <w:pStyle w:val="TableParagraph"/>
              <w:spacing w:line="240" w:lineRule="auto" w:before="76"/>
              <w:ind w:right="20"/>
              <w:jc w:val="right"/>
              <w:rPr>
                <w:rFonts w:ascii="宋体" w:hAnsi="宋体" w:cs="宋体" w:eastAsia="宋体" w:hint="default"/>
                <w:sz w:val="18"/>
                <w:szCs w:val="18"/>
              </w:rPr>
            </w:pPr>
            <w:r>
              <w:rPr>
                <w:rFonts w:ascii="宋体"/>
                <w:sz w:val="18"/>
              </w:rPr>
              <w:t>27</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2,203,708,005.</w:t>
            </w:r>
          </w:p>
          <w:p>
            <w:pPr>
              <w:pStyle w:val="TableParagraph"/>
              <w:spacing w:line="240" w:lineRule="auto" w:before="76"/>
              <w:ind w:right="20"/>
              <w:jc w:val="right"/>
              <w:rPr>
                <w:rFonts w:ascii="宋体" w:hAnsi="宋体" w:cs="宋体" w:eastAsia="宋体" w:hint="default"/>
                <w:sz w:val="18"/>
                <w:szCs w:val="18"/>
              </w:rPr>
            </w:pPr>
            <w:r>
              <w:rPr>
                <w:rFonts w:ascii="宋体"/>
                <w:sz w:val="18"/>
              </w:rPr>
              <w:t>27</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vMerge/>
            <w:tcBorders>
              <w:left w:val="single" w:sz="9" w:space="0" w:color="D2D2D2"/>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9" w:space="0" w:color="D2D2D2"/>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9" w:space="0" w:color="D2D2D2"/>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2,924,221,670.</w:t>
            </w:r>
          </w:p>
          <w:p>
            <w:pPr>
              <w:pStyle w:val="TableParagraph"/>
              <w:spacing w:line="240" w:lineRule="auto" w:before="76"/>
              <w:ind w:right="23"/>
              <w:jc w:val="right"/>
              <w:rPr>
                <w:rFonts w:ascii="宋体" w:hAnsi="宋体" w:cs="宋体" w:eastAsia="宋体" w:hint="default"/>
                <w:sz w:val="18"/>
                <w:szCs w:val="18"/>
              </w:rPr>
            </w:pPr>
            <w:r>
              <w:rPr>
                <w:rFonts w:ascii="宋体"/>
                <w:sz w:val="18"/>
              </w:rPr>
              <w:t>50</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2,924,221,670.</w:t>
            </w:r>
          </w:p>
          <w:p>
            <w:pPr>
              <w:pStyle w:val="TableParagraph"/>
              <w:spacing w:line="240" w:lineRule="auto" w:before="76"/>
              <w:ind w:right="20"/>
              <w:jc w:val="right"/>
              <w:rPr>
                <w:rFonts w:ascii="宋体" w:hAnsi="宋体" w:cs="宋体" w:eastAsia="宋体" w:hint="default"/>
                <w:sz w:val="18"/>
                <w:szCs w:val="18"/>
              </w:rPr>
            </w:pPr>
            <w:r>
              <w:rPr>
                <w:rFonts w:ascii="宋体"/>
                <w:sz w:val="18"/>
              </w:rPr>
              <w:t>50</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2,203,708,005.</w:t>
            </w:r>
          </w:p>
          <w:p>
            <w:pPr>
              <w:pStyle w:val="TableParagraph"/>
              <w:spacing w:line="240" w:lineRule="auto" w:before="76"/>
              <w:ind w:right="20"/>
              <w:jc w:val="right"/>
              <w:rPr>
                <w:rFonts w:ascii="宋体" w:hAnsi="宋体" w:cs="宋体" w:eastAsia="宋体" w:hint="default"/>
                <w:sz w:val="18"/>
                <w:szCs w:val="18"/>
              </w:rPr>
            </w:pPr>
            <w:r>
              <w:rPr>
                <w:rFonts w:ascii="宋体"/>
                <w:sz w:val="18"/>
              </w:rPr>
              <w:t>27</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2,203,708,005.</w:t>
            </w:r>
          </w:p>
          <w:p>
            <w:pPr>
              <w:pStyle w:val="TableParagraph"/>
              <w:spacing w:line="240" w:lineRule="auto" w:before="76"/>
              <w:ind w:right="20"/>
              <w:jc w:val="right"/>
              <w:rPr>
                <w:rFonts w:ascii="宋体" w:hAnsi="宋体" w:cs="宋体" w:eastAsia="宋体" w:hint="default"/>
                <w:sz w:val="18"/>
                <w:szCs w:val="18"/>
              </w:rPr>
            </w:pPr>
            <w:r>
              <w:rPr>
                <w:rFonts w:ascii="宋体"/>
                <w:sz w:val="18"/>
              </w:rPr>
              <w:t>27</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vMerge/>
            <w:tcBorders>
              <w:left w:val="single" w:sz="9" w:space="0" w:color="D2D2D2"/>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2"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9" w:space="0" w:color="D2D2D2"/>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525"/>
      <w:bookmarkEnd w:id="525"/>
      <w:r>
        <w:rPr>
          <w:b w:val="0"/>
          <w:bCs w:val="0"/>
        </w:rPr>
      </w:r>
      <w:r>
        <w:rPr/>
        <w:t>（</w:t>
      </w:r>
      <w:r>
        <w:rPr>
          <w:rFonts w:ascii="宋体" w:hAnsi="宋体" w:cs="宋体" w:eastAsia="宋体" w:hint="default"/>
        </w:rPr>
        <w:t>1</w:t>
      </w:r>
      <w:r>
        <w:rPr/>
        <w:t>）对子公司投资</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8"/>
              <w:jc w:val="righ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3"/>
              <w:jc w:val="right"/>
              <w:rPr>
                <w:rFonts w:ascii="宋体" w:hAnsi="宋体" w:cs="宋体" w:eastAsia="宋体" w:hint="default"/>
                <w:sz w:val="18"/>
                <w:szCs w:val="18"/>
              </w:rPr>
            </w:pPr>
            <w:r>
              <w:rPr>
                <w:rFonts w:ascii="宋体" w:hAnsi="宋体" w:cs="宋体" w:eastAsia="宋体" w:hint="default"/>
                <w:sz w:val="18"/>
                <w:szCs w:val="18"/>
              </w:rPr>
              <w:t>上海猎鹰公司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868,199,907.00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868,199,907.00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北京掌汇天下公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45,860,698.27</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45,860,698.27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上海亦复信息公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385,000,000.00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385,000,000.00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33"/>
              <w:jc w:val="right"/>
              <w:rPr>
                <w:rFonts w:ascii="宋体" w:hAnsi="宋体" w:cs="宋体" w:eastAsia="宋体" w:hint="default"/>
                <w:sz w:val="18"/>
                <w:szCs w:val="18"/>
              </w:rPr>
            </w:pPr>
            <w:r>
              <w:rPr>
                <w:rFonts w:ascii="宋体" w:hAnsi="宋体" w:cs="宋体" w:eastAsia="宋体" w:hint="default"/>
                <w:sz w:val="18"/>
                <w:szCs w:val="18"/>
              </w:rPr>
              <w:t>智度香港公司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904,647,400.00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center"/>
              <w:rPr>
                <w:rFonts w:ascii="宋体" w:hAnsi="宋体" w:cs="宋体" w:eastAsia="宋体" w:hint="default"/>
                <w:sz w:val="18"/>
                <w:szCs w:val="18"/>
              </w:rPr>
            </w:pPr>
            <w:r>
              <w:rPr>
                <w:rFonts w:ascii="宋体"/>
                <w:sz w:val="18"/>
              </w:rPr>
              <w:t>199,513,665.23</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1,104,161,065.</w:t>
            </w:r>
          </w:p>
          <w:p>
            <w:pPr>
              <w:pStyle w:val="TableParagraph"/>
              <w:spacing w:line="240" w:lineRule="auto" w:before="77"/>
              <w:ind w:right="23"/>
              <w:jc w:val="right"/>
              <w:rPr>
                <w:rFonts w:ascii="宋体" w:hAnsi="宋体" w:cs="宋体" w:eastAsia="宋体" w:hint="default"/>
                <w:sz w:val="18"/>
                <w:szCs w:val="18"/>
              </w:rPr>
            </w:pPr>
            <w:r>
              <w:rPr>
                <w:rFonts w:ascii="宋体"/>
                <w:sz w:val="18"/>
              </w:rPr>
              <w:t>23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3"/>
              <w:jc w:val="right"/>
              <w:rPr>
                <w:rFonts w:ascii="宋体" w:hAnsi="宋体" w:cs="宋体" w:eastAsia="宋体" w:hint="default"/>
                <w:sz w:val="18"/>
                <w:szCs w:val="18"/>
              </w:rPr>
            </w:pPr>
            <w:r>
              <w:rPr>
                <w:rFonts w:ascii="宋体" w:hAnsi="宋体" w:cs="宋体" w:eastAsia="宋体" w:hint="default"/>
                <w:sz w:val="18"/>
                <w:szCs w:val="18"/>
              </w:rPr>
              <w:t>西藏智媒公司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7" w:right="0"/>
              <w:jc w:val="center"/>
              <w:rPr>
                <w:rFonts w:ascii="宋体" w:hAnsi="宋体" w:cs="宋体" w:eastAsia="宋体" w:hint="default"/>
                <w:sz w:val="18"/>
                <w:szCs w:val="18"/>
              </w:rPr>
            </w:pPr>
            <w:r>
              <w:rPr>
                <w:rFonts w:ascii="宋体"/>
                <w:sz w:val="18"/>
              </w:rPr>
              <w:t>21,000,000.00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3"/>
              <w:jc w:val="right"/>
              <w:rPr>
                <w:rFonts w:ascii="宋体" w:hAnsi="宋体" w:cs="宋体" w:eastAsia="宋体" w:hint="default"/>
                <w:sz w:val="18"/>
                <w:szCs w:val="18"/>
              </w:rPr>
            </w:pPr>
            <w:r>
              <w:rPr>
                <w:rFonts w:ascii="宋体" w:hAnsi="宋体" w:cs="宋体" w:eastAsia="宋体" w:hint="default"/>
                <w:sz w:val="18"/>
                <w:szCs w:val="18"/>
              </w:rPr>
              <w:t>智度小贷公司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center"/>
              <w:rPr>
                <w:rFonts w:ascii="宋体" w:hAnsi="宋体" w:cs="宋体" w:eastAsia="宋体" w:hint="default"/>
                <w:sz w:val="18"/>
                <w:szCs w:val="18"/>
              </w:rPr>
            </w:pPr>
            <w:r>
              <w:rPr>
                <w:rFonts w:ascii="宋体"/>
                <w:sz w:val="18"/>
              </w:rPr>
              <w:t>500,000,000.00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450"/>
        <w:gridCol w:w="1336"/>
        <w:gridCol w:w="1336"/>
        <w:gridCol w:w="1334"/>
        <w:gridCol w:w="1336"/>
        <w:gridCol w:w="1389"/>
        <w:gridCol w:w="1390"/>
      </w:tblGrid>
      <w:tr>
        <w:trPr>
          <w:trHeight w:val="714"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2,203,708,005.</w:t>
            </w:r>
          </w:p>
          <w:p>
            <w:pPr>
              <w:pStyle w:val="TableParagraph"/>
              <w:spacing w:line="240" w:lineRule="auto" w:before="77"/>
              <w:ind w:right="20"/>
              <w:jc w:val="right"/>
              <w:rPr>
                <w:rFonts w:ascii="宋体" w:hAnsi="宋体" w:cs="宋体" w:eastAsia="宋体" w:hint="default"/>
                <w:sz w:val="18"/>
                <w:szCs w:val="18"/>
              </w:rPr>
            </w:pPr>
            <w:r>
              <w:rPr>
                <w:rFonts w:ascii="宋体"/>
                <w:sz w:val="18"/>
              </w:rPr>
              <w:t>27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 w:right="0"/>
              <w:jc w:val="left"/>
              <w:rPr>
                <w:rFonts w:ascii="宋体" w:hAnsi="宋体" w:cs="宋体" w:eastAsia="宋体" w:hint="default"/>
                <w:sz w:val="18"/>
                <w:szCs w:val="18"/>
              </w:rPr>
            </w:pPr>
            <w:r>
              <w:rPr>
                <w:rFonts w:ascii="宋体"/>
                <w:sz w:val="18"/>
              </w:rPr>
              <w:t>720,513,665.23</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2,924,221,670.</w:t>
            </w:r>
          </w:p>
          <w:p>
            <w:pPr>
              <w:pStyle w:val="TableParagraph"/>
              <w:spacing w:line="240" w:lineRule="auto" w:before="77"/>
              <w:ind w:right="23"/>
              <w:jc w:val="right"/>
              <w:rPr>
                <w:rFonts w:ascii="宋体" w:hAnsi="宋体" w:cs="宋体" w:eastAsia="宋体" w:hint="default"/>
                <w:sz w:val="18"/>
                <w:szCs w:val="18"/>
              </w:rPr>
            </w:pPr>
            <w:r>
              <w:rPr>
                <w:rFonts w:ascii="宋体"/>
                <w:sz w:val="18"/>
              </w:rPr>
              <w:t>50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526"/>
      <w:bookmarkEnd w:id="526"/>
      <w:r>
        <w:rPr>
          <w:b w:val="0"/>
          <w:bCs w:val="0"/>
        </w:rPr>
      </w:r>
      <w:r>
        <w:rPr/>
        <w:t>（</w:t>
      </w:r>
      <w:r>
        <w:rPr>
          <w:rFonts w:ascii="宋体" w:hAnsi="宋体" w:cs="宋体" w:eastAsia="宋体" w:hint="default"/>
        </w:rPr>
        <w:t>2</w:t>
      </w:r>
      <w:r>
        <w:rPr/>
        <w:t>）对联营、合营企业投资</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其他说明" w:id="527"/>
      <w:bookmarkEnd w:id="527"/>
      <w:r>
        <w:rPr>
          <w:b w:val="0"/>
          <w:bCs w:val="0"/>
        </w:rPr>
      </w:r>
      <w:r>
        <w:rPr/>
        <w:t>（</w:t>
      </w:r>
      <w:r>
        <w:rPr>
          <w:rFonts w:ascii="宋体" w:hAnsi="宋体" w:cs="宋体" w:eastAsia="宋体" w:hint="default"/>
        </w:rPr>
        <w:t>3</w:t>
      </w:r>
      <w:r>
        <w:rPr/>
        <w:t>）其他说明</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left="514" w:right="0"/>
        <w:jc w:val="left"/>
      </w:pPr>
      <w:r>
        <w:rPr/>
        <w:t>（</w:t>
      </w:r>
      <w:r>
        <w:rPr>
          <w:rFonts w:ascii="宋体" w:hAnsi="宋体" w:cs="宋体" w:eastAsia="宋体" w:hint="default"/>
        </w:rPr>
        <w:t>1</w:t>
      </w:r>
      <w:r>
        <w:rPr/>
        <w:t>）公司于</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10</w:t>
      </w:r>
      <w:r>
        <w:rPr>
          <w:rFonts w:ascii="宋体" w:hAnsi="宋体" w:cs="宋体" w:eastAsia="宋体" w:hint="default"/>
          <w:spacing w:val="-45"/>
        </w:rPr>
        <w:t> </w:t>
      </w:r>
      <w:r>
        <w:rPr/>
        <w:t>月</w:t>
      </w:r>
      <w:r>
        <w:rPr>
          <w:spacing w:val="-46"/>
        </w:rPr>
        <w:t> </w:t>
      </w:r>
      <w:r>
        <w:rPr>
          <w:rFonts w:ascii="宋体" w:hAnsi="宋体" w:cs="宋体" w:eastAsia="宋体" w:hint="default"/>
        </w:rPr>
        <w:t>30</w:t>
      </w:r>
      <w:r>
        <w:rPr>
          <w:rFonts w:ascii="宋体" w:hAnsi="宋体" w:cs="宋体" w:eastAsia="宋体" w:hint="default"/>
          <w:spacing w:val="-45"/>
        </w:rPr>
        <w:t> </w:t>
      </w:r>
      <w:r>
        <w:rPr/>
        <w:t>日在上海设立全资子公司上海智度网络科技有限公司，注册资本人民币</w:t>
      </w:r>
      <w:r>
        <w:rPr>
          <w:spacing w:val="-45"/>
        </w:rPr>
        <w:t> </w:t>
      </w:r>
      <w:r>
        <w:rPr>
          <w:rFonts w:ascii="宋体" w:hAnsi="宋体" w:cs="宋体" w:eastAsia="宋体" w:hint="default"/>
        </w:rPr>
        <w:t>1,000.00</w:t>
      </w:r>
      <w:r>
        <w:rPr>
          <w:rFonts w:ascii="宋体" w:hAnsi="宋体" w:cs="宋体" w:eastAsia="宋体" w:hint="default"/>
          <w:spacing w:val="-46"/>
        </w:rPr>
        <w:t> </w:t>
      </w:r>
      <w:r>
        <w:rPr/>
        <w:t>万元，</w:t>
      </w:r>
    </w:p>
    <w:p>
      <w:pPr>
        <w:pStyle w:val="BodyText"/>
        <w:spacing w:line="240" w:lineRule="auto" w:before="77"/>
        <w:ind w:left="153" w:right="0"/>
        <w:jc w:val="left"/>
      </w:pPr>
      <w:r>
        <w:rPr/>
        <w:t>截至</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日尚未实缴注册资本金。</w:t>
      </w:r>
    </w:p>
    <w:p>
      <w:pPr>
        <w:pStyle w:val="BodyText"/>
        <w:spacing w:line="240" w:lineRule="auto" w:before="115"/>
        <w:ind w:left="513" w:right="0"/>
        <w:jc w:val="left"/>
      </w:pPr>
      <w:r>
        <w:rPr>
          <w:spacing w:val="-5"/>
        </w:rPr>
        <w:t>（</w:t>
      </w:r>
      <w:r>
        <w:rPr>
          <w:rFonts w:ascii="宋体" w:hAnsi="宋体" w:cs="宋体" w:eastAsia="宋体" w:hint="default"/>
          <w:spacing w:val="-5"/>
        </w:rPr>
        <w:t>2</w:t>
      </w:r>
      <w:r>
        <w:rPr>
          <w:spacing w:val="-5"/>
        </w:rPr>
        <w:t>）公司于</w:t>
      </w:r>
      <w:r>
        <w:rPr>
          <w:spacing w:val="-49"/>
        </w:rPr>
        <w:t> </w:t>
      </w:r>
      <w:r>
        <w:rPr>
          <w:rFonts w:ascii="宋体" w:hAnsi="宋体" w:cs="宋体" w:eastAsia="宋体" w:hint="default"/>
        </w:rPr>
        <w:t>2017</w:t>
      </w:r>
      <w:r>
        <w:rPr>
          <w:rFonts w:ascii="宋体" w:hAnsi="宋体" w:cs="宋体" w:eastAsia="宋体" w:hint="default"/>
          <w:spacing w:val="-49"/>
        </w:rPr>
        <w:t> </w:t>
      </w:r>
      <w:r>
        <w:rPr/>
        <w:t>年</w:t>
      </w:r>
      <w:r>
        <w:rPr>
          <w:spacing w:val="-49"/>
        </w:rPr>
        <w:t> </w:t>
      </w:r>
      <w:r>
        <w:rPr>
          <w:rFonts w:ascii="宋体" w:hAnsi="宋体" w:cs="宋体" w:eastAsia="宋体" w:hint="default"/>
        </w:rPr>
        <w:t>7</w:t>
      </w:r>
      <w:r>
        <w:rPr>
          <w:rFonts w:ascii="宋体" w:hAnsi="宋体" w:cs="宋体" w:eastAsia="宋体" w:hint="default"/>
          <w:spacing w:val="-48"/>
        </w:rPr>
        <w:t> </w:t>
      </w:r>
      <w:r>
        <w:rPr/>
        <w:t>月</w:t>
      </w:r>
      <w:r>
        <w:rPr>
          <w:spacing w:val="-49"/>
        </w:rPr>
        <w:t> </w:t>
      </w:r>
      <w:r>
        <w:rPr>
          <w:rFonts w:ascii="宋体" w:hAnsi="宋体" w:cs="宋体" w:eastAsia="宋体" w:hint="default"/>
        </w:rPr>
        <w:t>26</w:t>
      </w:r>
      <w:r>
        <w:rPr>
          <w:rFonts w:ascii="宋体" w:hAnsi="宋体" w:cs="宋体" w:eastAsia="宋体" w:hint="default"/>
          <w:spacing w:val="-49"/>
        </w:rPr>
        <w:t> </w:t>
      </w:r>
      <w:r>
        <w:rPr/>
        <w:t>日在深圳设立全资子公司深圳智度信息技术有限公司，注册资本人民币</w:t>
      </w:r>
      <w:r>
        <w:rPr>
          <w:spacing w:val="-48"/>
        </w:rPr>
        <w:t> </w:t>
      </w:r>
      <w:r>
        <w:rPr>
          <w:rFonts w:ascii="宋体" w:hAnsi="宋体" w:cs="宋体" w:eastAsia="宋体" w:hint="default"/>
        </w:rPr>
        <w:t>1,000.00</w:t>
      </w:r>
      <w:r>
        <w:rPr>
          <w:rFonts w:ascii="宋体" w:hAnsi="宋体" w:cs="宋体" w:eastAsia="宋体" w:hint="default"/>
          <w:spacing w:val="-49"/>
        </w:rPr>
        <w:t> </w:t>
      </w:r>
      <w:r>
        <w:rPr>
          <w:spacing w:val="-7"/>
        </w:rPr>
        <w:t>万元，截</w:t>
      </w:r>
    </w:p>
    <w:p>
      <w:pPr>
        <w:pStyle w:val="BodyText"/>
        <w:spacing w:line="240" w:lineRule="auto" w:before="77"/>
        <w:ind w:right="0"/>
        <w:jc w:val="left"/>
      </w:pPr>
      <w:r>
        <w:rPr/>
        <w:t>至</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日尚未实缴注册资本金。</w:t>
      </w:r>
    </w:p>
    <w:p>
      <w:pPr>
        <w:pStyle w:val="BodyText"/>
        <w:spacing w:line="240" w:lineRule="auto" w:before="116"/>
        <w:ind w:left="514" w:right="0"/>
        <w:jc w:val="left"/>
      </w:pPr>
      <w:r>
        <w:rPr>
          <w:spacing w:val="-5"/>
        </w:rPr>
        <w:t>（</w:t>
      </w:r>
      <w:r>
        <w:rPr>
          <w:rFonts w:ascii="宋体" w:hAnsi="宋体" w:cs="宋体" w:eastAsia="宋体" w:hint="default"/>
          <w:spacing w:val="-5"/>
        </w:rPr>
        <w:t>3</w:t>
      </w:r>
      <w:r>
        <w:rPr>
          <w:spacing w:val="-5"/>
        </w:rPr>
        <w:t>）公司于</w:t>
      </w:r>
      <w:r>
        <w:rPr>
          <w:spacing w:val="-49"/>
        </w:rPr>
        <w:t> </w:t>
      </w:r>
      <w:r>
        <w:rPr>
          <w:rFonts w:ascii="宋体" w:hAnsi="宋体" w:cs="宋体" w:eastAsia="宋体" w:hint="default"/>
        </w:rPr>
        <w:t>2017</w:t>
      </w:r>
      <w:r>
        <w:rPr>
          <w:rFonts w:ascii="宋体" w:hAnsi="宋体" w:cs="宋体" w:eastAsia="宋体" w:hint="default"/>
          <w:spacing w:val="-49"/>
        </w:rPr>
        <w:t> </w:t>
      </w:r>
      <w:r>
        <w:rPr/>
        <w:t>年</w:t>
      </w:r>
      <w:r>
        <w:rPr>
          <w:spacing w:val="-49"/>
        </w:rPr>
        <w:t> </w:t>
      </w:r>
      <w:r>
        <w:rPr>
          <w:rFonts w:ascii="宋体" w:hAnsi="宋体" w:cs="宋体" w:eastAsia="宋体" w:hint="default"/>
        </w:rPr>
        <w:t>11</w:t>
      </w:r>
      <w:r>
        <w:rPr>
          <w:rFonts w:ascii="宋体" w:hAnsi="宋体" w:cs="宋体" w:eastAsia="宋体" w:hint="default"/>
          <w:spacing w:val="-48"/>
        </w:rPr>
        <w:t> </w:t>
      </w:r>
      <w:r>
        <w:rPr/>
        <w:t>月</w:t>
      </w:r>
      <w:r>
        <w:rPr>
          <w:spacing w:val="-49"/>
        </w:rPr>
        <w:t> </w:t>
      </w:r>
      <w:r>
        <w:rPr>
          <w:rFonts w:ascii="宋体" w:hAnsi="宋体" w:cs="宋体" w:eastAsia="宋体" w:hint="default"/>
        </w:rPr>
        <w:t>6</w:t>
      </w:r>
      <w:r>
        <w:rPr>
          <w:rFonts w:ascii="宋体" w:hAnsi="宋体" w:cs="宋体" w:eastAsia="宋体" w:hint="default"/>
          <w:spacing w:val="-49"/>
        </w:rPr>
        <w:t> </w:t>
      </w:r>
      <w:r>
        <w:rPr/>
        <w:t>日在新疆设立全资子公司霍尔果斯白猫科技有限公司，注册资本人民币</w:t>
      </w:r>
      <w:r>
        <w:rPr>
          <w:spacing w:val="-48"/>
        </w:rPr>
        <w:t> </w:t>
      </w:r>
      <w:r>
        <w:rPr>
          <w:rFonts w:ascii="宋体" w:hAnsi="宋体" w:cs="宋体" w:eastAsia="宋体" w:hint="default"/>
        </w:rPr>
        <w:t>1,000.00</w:t>
      </w:r>
      <w:r>
        <w:rPr>
          <w:rFonts w:ascii="宋体" w:hAnsi="宋体" w:cs="宋体" w:eastAsia="宋体" w:hint="default"/>
          <w:spacing w:val="-49"/>
        </w:rPr>
        <w:t> </w:t>
      </w:r>
      <w:r>
        <w:rPr>
          <w:spacing w:val="-7"/>
        </w:rPr>
        <w:t>万元，截</w:t>
      </w:r>
    </w:p>
    <w:p>
      <w:pPr>
        <w:pStyle w:val="BodyText"/>
        <w:spacing w:line="240" w:lineRule="auto" w:before="78"/>
        <w:ind w:right="0"/>
        <w:jc w:val="left"/>
      </w:pPr>
      <w:r>
        <w:rPr/>
        <w:t>至</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日尚未实缴注册资本金。</w:t>
      </w:r>
    </w:p>
    <w:p>
      <w:pPr>
        <w:pStyle w:val="BodyText"/>
        <w:spacing w:line="240" w:lineRule="auto" w:before="115"/>
        <w:ind w:left="514" w:right="0"/>
        <w:jc w:val="left"/>
        <w:rPr>
          <w:rFonts w:ascii="宋体" w:hAnsi="宋体" w:cs="宋体" w:eastAsia="宋体" w:hint="default"/>
        </w:rPr>
      </w:pPr>
      <w:r>
        <w:rPr>
          <w:spacing w:val="-3"/>
        </w:rPr>
        <w:t>（</w:t>
      </w:r>
      <w:r>
        <w:rPr>
          <w:rFonts w:ascii="宋体" w:hAnsi="宋体" w:cs="宋体" w:eastAsia="宋体" w:hint="default"/>
          <w:spacing w:val="-3"/>
        </w:rPr>
        <w:t>4</w:t>
      </w:r>
      <w:r>
        <w:rPr>
          <w:spacing w:val="-3"/>
        </w:rPr>
        <w:t>）公司于</w:t>
      </w:r>
      <w:r>
        <w:rPr>
          <w:spacing w:val="-49"/>
        </w:rPr>
        <w:t> </w:t>
      </w:r>
      <w:r>
        <w:rPr>
          <w:rFonts w:ascii="宋体" w:hAnsi="宋体" w:cs="宋体" w:eastAsia="宋体" w:hint="default"/>
        </w:rPr>
        <w:t>2017</w:t>
      </w:r>
      <w:r>
        <w:rPr>
          <w:rFonts w:ascii="宋体" w:hAnsi="宋体" w:cs="宋体" w:eastAsia="宋体" w:hint="default"/>
          <w:spacing w:val="-49"/>
        </w:rPr>
        <w:t> </w:t>
      </w:r>
      <w:r>
        <w:rPr/>
        <w:t>年</w:t>
      </w:r>
      <w:r>
        <w:rPr>
          <w:spacing w:val="-49"/>
        </w:rPr>
        <w:t> </w:t>
      </w:r>
      <w:r>
        <w:rPr>
          <w:rFonts w:ascii="宋体" w:hAnsi="宋体" w:cs="宋体" w:eastAsia="宋体" w:hint="default"/>
        </w:rPr>
        <w:t>12</w:t>
      </w:r>
      <w:r>
        <w:rPr>
          <w:rFonts w:ascii="宋体" w:hAnsi="宋体" w:cs="宋体" w:eastAsia="宋体" w:hint="default"/>
          <w:spacing w:val="-48"/>
        </w:rPr>
        <w:t> </w:t>
      </w:r>
      <w:r>
        <w:rPr/>
        <w:t>月</w:t>
      </w:r>
      <w:r>
        <w:rPr>
          <w:spacing w:val="-49"/>
        </w:rPr>
        <w:t> </w:t>
      </w:r>
      <w:r>
        <w:rPr>
          <w:rFonts w:ascii="宋体" w:hAnsi="宋体" w:cs="宋体" w:eastAsia="宋体" w:hint="default"/>
        </w:rPr>
        <w:t>5</w:t>
      </w:r>
      <w:r>
        <w:rPr>
          <w:rFonts w:ascii="宋体" w:hAnsi="宋体" w:cs="宋体" w:eastAsia="宋体" w:hint="default"/>
          <w:spacing w:val="-49"/>
        </w:rPr>
        <w:t> </w:t>
      </w:r>
      <w:r>
        <w:rPr/>
        <w:t>日在福建设立全资子公司厦门智得天下金融信息服务有限公司，注册资本人民币</w:t>
      </w:r>
      <w:r>
        <w:rPr>
          <w:spacing w:val="-48"/>
        </w:rPr>
        <w:t> </w:t>
      </w:r>
      <w:r>
        <w:rPr>
          <w:rFonts w:ascii="宋体" w:hAnsi="宋体" w:cs="宋体" w:eastAsia="宋体" w:hint="default"/>
        </w:rPr>
        <w:t>1,000.00</w:t>
      </w:r>
    </w:p>
    <w:p>
      <w:pPr>
        <w:pStyle w:val="BodyText"/>
        <w:spacing w:line="240" w:lineRule="auto" w:before="77"/>
        <w:ind w:left="153" w:right="0"/>
        <w:jc w:val="left"/>
      </w:pPr>
      <w:r>
        <w:rPr/>
        <w:t>万元，截至</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日尚未实缴注册资本金</w:t>
      </w:r>
    </w:p>
    <w:p>
      <w:pPr>
        <w:pStyle w:val="BodyText"/>
        <w:spacing w:line="240" w:lineRule="auto" w:before="115"/>
        <w:ind w:left="514" w:right="0"/>
        <w:jc w:val="left"/>
        <w:rPr>
          <w:rFonts w:ascii="宋体" w:hAnsi="宋体" w:cs="宋体" w:eastAsia="宋体" w:hint="default"/>
        </w:rPr>
      </w:pPr>
      <w:r>
        <w:rPr>
          <w:spacing w:val="-3"/>
        </w:rPr>
        <w:t>（</w:t>
      </w:r>
      <w:r>
        <w:rPr>
          <w:rFonts w:ascii="宋体" w:hAnsi="宋体" w:cs="宋体" w:eastAsia="宋体" w:hint="default"/>
          <w:spacing w:val="-3"/>
        </w:rPr>
        <w:t>5</w:t>
      </w:r>
      <w:r>
        <w:rPr>
          <w:spacing w:val="-3"/>
        </w:rPr>
        <w:t>）公司于</w:t>
      </w:r>
      <w:r>
        <w:rPr>
          <w:spacing w:val="-49"/>
        </w:rPr>
        <w:t> </w:t>
      </w:r>
      <w:r>
        <w:rPr>
          <w:rFonts w:ascii="宋体" w:hAnsi="宋体" w:cs="宋体" w:eastAsia="宋体" w:hint="default"/>
        </w:rPr>
        <w:t>2017</w:t>
      </w:r>
      <w:r>
        <w:rPr>
          <w:rFonts w:ascii="宋体" w:hAnsi="宋体" w:cs="宋体" w:eastAsia="宋体" w:hint="default"/>
          <w:spacing w:val="-49"/>
        </w:rPr>
        <w:t> </w:t>
      </w:r>
      <w:r>
        <w:rPr/>
        <w:t>年</w:t>
      </w:r>
      <w:r>
        <w:rPr>
          <w:spacing w:val="-49"/>
        </w:rPr>
        <w:t> </w:t>
      </w:r>
      <w:r>
        <w:rPr>
          <w:rFonts w:ascii="宋体" w:hAnsi="宋体" w:cs="宋体" w:eastAsia="宋体" w:hint="default"/>
        </w:rPr>
        <w:t>9</w:t>
      </w:r>
      <w:r>
        <w:rPr>
          <w:rFonts w:ascii="宋体" w:hAnsi="宋体" w:cs="宋体" w:eastAsia="宋体" w:hint="default"/>
          <w:spacing w:val="-48"/>
        </w:rPr>
        <w:t> </w:t>
      </w:r>
      <w:r>
        <w:rPr/>
        <w:t>月</w:t>
      </w:r>
      <w:r>
        <w:rPr>
          <w:spacing w:val="-49"/>
        </w:rPr>
        <w:t> </w:t>
      </w:r>
      <w:r>
        <w:rPr>
          <w:rFonts w:ascii="宋体" w:hAnsi="宋体" w:cs="宋体" w:eastAsia="宋体" w:hint="default"/>
        </w:rPr>
        <w:t>29</w:t>
      </w:r>
      <w:r>
        <w:rPr>
          <w:rFonts w:ascii="宋体" w:hAnsi="宋体" w:cs="宋体" w:eastAsia="宋体" w:hint="default"/>
          <w:spacing w:val="-49"/>
        </w:rPr>
        <w:t> </w:t>
      </w:r>
      <w:r>
        <w:rPr/>
        <w:t>日与智度集团有限公司在广州共同设立广州市智度商业保理有限公司，注册资本</w:t>
      </w:r>
      <w:r>
        <w:rPr>
          <w:spacing w:val="-49"/>
        </w:rPr>
        <w:t> </w:t>
      </w:r>
      <w:r>
        <w:rPr>
          <w:rFonts w:ascii="宋体" w:hAnsi="宋体" w:cs="宋体" w:eastAsia="宋体" w:hint="default"/>
        </w:rPr>
        <w:t>5,000.00</w:t>
      </w:r>
    </w:p>
    <w:p>
      <w:pPr>
        <w:pStyle w:val="BodyText"/>
        <w:spacing w:line="240" w:lineRule="auto" w:before="77"/>
        <w:ind w:left="153" w:right="0"/>
        <w:jc w:val="left"/>
      </w:pPr>
      <w:r>
        <w:rPr/>
        <w:t>万元，其中，公司持股比例</w:t>
      </w:r>
      <w:r>
        <w:rPr>
          <w:spacing w:val="-46"/>
        </w:rPr>
        <w:t> </w:t>
      </w:r>
      <w:r>
        <w:rPr>
          <w:rFonts w:ascii="宋体" w:hAnsi="宋体" w:cs="宋体" w:eastAsia="宋体" w:hint="default"/>
        </w:rPr>
        <w:t>60%</w:t>
      </w:r>
      <w:r>
        <w:rPr/>
        <w:t>，截至</w:t>
      </w:r>
      <w:r>
        <w:rPr>
          <w:spacing w:val="-46"/>
        </w:rPr>
        <w:t> </w:t>
      </w:r>
      <w:r>
        <w:rPr>
          <w:rFonts w:ascii="宋体" w:hAnsi="宋体" w:cs="宋体" w:eastAsia="宋体" w:hint="default"/>
        </w:rPr>
        <w:t>2017</w:t>
      </w:r>
      <w:r>
        <w:rPr>
          <w:rFonts w:ascii="宋体" w:hAnsi="宋体" w:cs="宋体" w:eastAsia="宋体" w:hint="default"/>
          <w:spacing w:val="-45"/>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日尚未实缴注册资本金。</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4、营业收入和营业成本" w:id="528"/>
      <w:bookmarkEnd w:id="528"/>
      <w:r>
        <w:rPr>
          <w:b w:val="0"/>
          <w:bCs w:val="0"/>
        </w:rPr>
      </w:r>
      <w:r>
        <w:rPr>
          <w:rFonts w:ascii="宋体" w:hAnsi="宋体" w:cs="宋体" w:eastAsia="宋体" w:hint="default"/>
        </w:rPr>
        <w:t>4</w:t>
      </w:r>
      <w:r>
        <w:rPr/>
        <w:t>、营业收入和营业成本</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0"/>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成本</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5、投资收益" w:id="529"/>
      <w:bookmarkEnd w:id="529"/>
      <w:r>
        <w:rPr>
          <w:b w:val="0"/>
          <w:bCs w:val="0"/>
        </w:rPr>
      </w:r>
      <w:r>
        <w:rPr>
          <w:rFonts w:ascii="宋体" w:hAnsi="宋体" w:cs="宋体" w:eastAsia="宋体" w:hint="default"/>
        </w:rPr>
        <w:t>5</w:t>
      </w:r>
      <w:r>
        <w:rPr/>
        <w:t>、投资收益</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254,458,702.71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102,686,011.88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90,942,492.86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购买银行理财产品收益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44,269,319.23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19,467,917.34</w:t>
            </w:r>
          </w:p>
        </w:tc>
      </w:tr>
    </w:tbl>
    <w:p>
      <w:pPr>
        <w:spacing w:after="0" w:line="240" w:lineRule="auto"/>
        <w:jc w:val="right"/>
        <w:rPr>
          <w:rFonts w:ascii="宋体" w:hAnsi="宋体" w:cs="宋体" w:eastAsia="宋体" w:hint="default"/>
          <w:sz w:val="18"/>
          <w:szCs w:val="18"/>
        </w:rPr>
        <w:sectPr>
          <w:pgSz w:w="11910" w:h="16840"/>
          <w:pgMar w:header="87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65" w:right="0"/>
              <w:jc w:val="left"/>
              <w:rPr>
                <w:rFonts w:ascii="宋体" w:hAnsi="宋体" w:cs="宋体" w:eastAsia="宋体" w:hint="default"/>
                <w:sz w:val="18"/>
                <w:szCs w:val="18"/>
              </w:rPr>
            </w:pPr>
            <w:r>
              <w:rPr>
                <w:rFonts w:ascii="宋体"/>
                <w:sz w:val="18"/>
              </w:rPr>
              <w:t>298,728,021.94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92" w:right="0"/>
              <w:jc w:val="left"/>
              <w:rPr>
                <w:rFonts w:ascii="宋体" w:hAnsi="宋体" w:cs="宋体" w:eastAsia="宋体" w:hint="default"/>
                <w:sz w:val="18"/>
                <w:szCs w:val="18"/>
              </w:rPr>
            </w:pPr>
            <w:r>
              <w:rPr>
                <w:rFonts w:ascii="宋体"/>
                <w:sz w:val="18"/>
              </w:rPr>
              <w:t>213,096,422.08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其他" w:id="530"/>
      <w:bookmarkEnd w:id="530"/>
      <w:r>
        <w:rPr>
          <w:b w:val="0"/>
          <w:bCs w:val="0"/>
        </w:rPr>
      </w:r>
      <w:r>
        <w:rPr>
          <w:rFonts w:ascii="宋体" w:hAnsi="宋体" w:cs="宋体" w:eastAsia="宋体" w:hint="default"/>
        </w:rPr>
        <w:t>6</w:t>
      </w:r>
      <w:r>
        <w:rPr/>
        <w:t>、其他</w:t>
      </w:r>
      <w:r>
        <w:rPr>
          <w:b w:val="0"/>
          <w:bCs w:val="0"/>
        </w:rPr>
      </w:r>
    </w:p>
    <w:p>
      <w:pPr>
        <w:spacing w:line="240" w:lineRule="auto" w:before="2"/>
        <w:rPr>
          <w:rFonts w:ascii="宋体" w:hAnsi="宋体" w:cs="宋体" w:eastAsia="宋体" w:hint="default"/>
          <w:b/>
          <w:bCs/>
          <w:sz w:val="24"/>
          <w:szCs w:val="24"/>
        </w:rPr>
      </w:pPr>
    </w:p>
    <w:p>
      <w:pPr>
        <w:pStyle w:val="Heading2"/>
        <w:spacing w:line="240" w:lineRule="auto"/>
        <w:ind w:right="0"/>
        <w:jc w:val="left"/>
        <w:rPr>
          <w:b w:val="0"/>
          <w:bCs w:val="0"/>
        </w:rPr>
      </w:pPr>
      <w:bookmarkStart w:name="十八、补充资料" w:id="531"/>
      <w:bookmarkEnd w:id="531"/>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当期非经常性损益明细表" w:id="532"/>
      <w:bookmarkEnd w:id="532"/>
      <w:r>
        <w:rPr>
          <w:b w:val="0"/>
          <w:bCs w:val="0"/>
        </w:rPr>
      </w:r>
      <w:r>
        <w:rPr>
          <w:rFonts w:ascii="宋体" w:hAnsi="宋体" w:cs="宋体" w:eastAsia="宋体" w:hint="default"/>
        </w:rPr>
        <w:t>1</w:t>
      </w:r>
      <w:r>
        <w:rPr/>
        <w:t>、当期非经常性损益明细表</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153" w:right="0"/>
        <w:jc w:val="left"/>
      </w:pPr>
      <w:r>
        <w:rPr/>
        <w:t>√ 适用 □ 不适用</w:t>
      </w:r>
    </w:p>
    <w:p>
      <w:pPr>
        <w:pStyle w:val="BodyText"/>
        <w:spacing w:line="240" w:lineRule="auto" w:before="116"/>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54,259.77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11,312,483.46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11,718,734.41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无需支付的或有对价</w:t>
            </w: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45,317,330.94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购买银行理财产品收益</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-223,823.76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12,984,991.38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39,060.00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2"/>
              <w:ind w:right="10"/>
              <w:jc w:val="right"/>
              <w:rPr>
                <w:rFonts w:ascii="宋体" w:hAnsi="宋体" w:cs="宋体" w:eastAsia="宋体" w:hint="default"/>
                <w:sz w:val="18"/>
                <w:szCs w:val="18"/>
              </w:rPr>
            </w:pPr>
            <w:r>
              <w:rPr>
                <w:rFonts w:ascii="宋体"/>
                <w:sz w:val="18"/>
              </w:rPr>
              <w:t>55,154,933.44</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宋体" w:hAnsi="宋体" w:cs="宋体" w:eastAsia="宋体" w:hint="default"/>
        </w:rPr>
        <w:t>1</w:t>
      </w:r>
      <w:r>
        <w:rPr>
          <w:rFonts w:ascii="宋体" w:hAnsi="宋体" w:cs="宋体" w:eastAsia="宋体" w:hint="default"/>
          <w:spacing w:val="-40"/>
        </w:rPr>
        <w:t> </w:t>
      </w:r>
      <w:r>
        <w:rPr>
          <w:spacing w:val="-7"/>
        </w:rPr>
        <w:t>号——非经常性损益》定义界定的非经常性损益项目，以及把《公</w:t>
      </w:r>
    </w:p>
    <w:p>
      <w:pPr>
        <w:pStyle w:val="BodyText"/>
        <w:spacing w:line="319" w:lineRule="auto" w:before="75"/>
        <w:ind w:right="1118"/>
        <w:jc w:val="left"/>
      </w:pPr>
      <w:r>
        <w:rPr/>
        <w:t>开发行证券的公司信息披露解释性公告第 </w:t>
      </w:r>
      <w:r>
        <w:rPr>
          <w:rFonts w:ascii="宋体" w:hAnsi="宋体" w:cs="宋体" w:eastAsia="宋体" w:hint="default"/>
        </w:rPr>
        <w:t>1</w:t>
      </w:r>
      <w:r>
        <w:rPr>
          <w:rFonts w:ascii="宋体" w:hAnsi="宋体" w:cs="宋体" w:eastAsia="宋体" w:hint="default"/>
          <w:spacing w:val="-71"/>
        </w:rPr>
        <w:t> </w:t>
      </w:r>
      <w:r>
        <w:rPr>
          <w:spacing w:val="-3"/>
        </w:rPr>
        <w:t>号——非经常性损益》中列举的非经常性损益项目界定为经常性损益的项目，应</w:t>
      </w:r>
      <w:r>
        <w:rPr/>
        <w:t> 说明原因。</w:t>
      </w:r>
    </w:p>
    <w:p>
      <w:pPr>
        <w:pStyle w:val="BodyText"/>
        <w:spacing w:line="240" w:lineRule="auto" w:before="56"/>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净资产收益率及每股收益" w:id="533"/>
      <w:bookmarkEnd w:id="533"/>
      <w:r>
        <w:rPr>
          <w:b w:val="0"/>
          <w:bCs w:val="0"/>
        </w:rPr>
      </w:r>
      <w:r>
        <w:rPr>
          <w:rFonts w:ascii="宋体" w:hAnsi="宋体" w:cs="宋体" w:eastAsia="宋体" w:hint="default"/>
        </w:rPr>
        <w:t>2</w:t>
      </w:r>
      <w:r>
        <w:rPr/>
        <w:t>、净资产收益率及每股收益</w:t>
      </w:r>
      <w:r>
        <w:rPr>
          <w:b w:val="0"/>
          <w:bCs w:val="0"/>
        </w:rPr>
      </w:r>
    </w:p>
    <w:p>
      <w:pPr>
        <w:spacing w:line="240" w:lineRule="auto" w:before="12"/>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2" w:right="-1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2" w:right="-1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0.5460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0.5460</w:t>
            </w:r>
          </w:p>
        </w:tc>
      </w:tr>
      <w:tr>
        <w:trPr>
          <w:trHeight w:val="716"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0.4889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0.4889</w:t>
            </w:r>
          </w:p>
        </w:tc>
      </w:tr>
    </w:tbl>
    <w:p>
      <w:pPr>
        <w:spacing w:after="0" w:line="240" w:lineRule="auto"/>
        <w:jc w:val="right"/>
        <w:rPr>
          <w:rFonts w:ascii="宋体" w:hAnsi="宋体" w:cs="宋体" w:eastAsia="宋体" w:hint="default"/>
          <w:sz w:val="18"/>
          <w:szCs w:val="18"/>
        </w:rPr>
        <w:sectPr>
          <w:pgSz w:w="11910" w:h="16840"/>
          <w:pgMar w:header="877" w:footer="1187" w:top="1060" w:bottom="138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3、境内外会计准则下会计数据差异" w:id="534"/>
      <w:bookmarkEnd w:id="534"/>
      <w:r>
        <w:rPr>
          <w:b w:val="0"/>
          <w:bCs w:val="0"/>
        </w:rPr>
      </w:r>
      <w:r>
        <w:rPr>
          <w:rFonts w:ascii="宋体" w:hAnsi="宋体" w:cs="宋体" w:eastAsia="宋体" w:hint="default"/>
        </w:rPr>
        <w:t>3</w:t>
      </w:r>
      <w:r>
        <w:rPr/>
        <w:t>、境内外会计准则下会计数据差异</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同时按照国际会计准则与按中国会计准则披露的财务报告中净利润和净资产差异情况" w:id="535"/>
      <w:bookmarkEnd w:id="535"/>
      <w:r>
        <w:rPr>
          <w:b w:val="0"/>
          <w:bCs w:val="0"/>
        </w:rPr>
      </w:r>
      <w:r>
        <w:rPr/>
        <w:t>（</w:t>
      </w:r>
      <w:r>
        <w:rPr>
          <w:rFonts w:ascii="宋体" w:hAnsi="宋体" w:cs="宋体" w:eastAsia="宋体" w:hint="default"/>
        </w:rPr>
        <w:t>1</w:t>
      </w:r>
      <w:r>
        <w:rPr/>
        <w:t>）同时按照国际会计准则与按中国会计准则披露的财务报告中净利润和净资产差异情况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同时按照境外会计准则与按中国会计准则披露的财务报告中净利润和净资产差异情况" w:id="536"/>
      <w:bookmarkEnd w:id="536"/>
      <w:r>
        <w:rPr>
          <w:b w:val="0"/>
          <w:bCs w:val="0"/>
        </w:rPr>
      </w:r>
      <w:r>
        <w:rPr/>
        <w:t>（</w:t>
      </w:r>
      <w:r>
        <w:rPr>
          <w:rFonts w:ascii="宋体" w:hAnsi="宋体" w:cs="宋体" w:eastAsia="宋体" w:hint="default"/>
        </w:rPr>
        <w:t>2</w:t>
      </w:r>
      <w:r>
        <w:rPr/>
        <w:t>）同时按照境外会计准则与按中国会计准则披露的财务报告中净利润和净资产差异情况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73" w:lineRule="auto"/>
        <w:ind w:right="0"/>
        <w:jc w:val="left"/>
        <w:rPr>
          <w:b w:val="0"/>
          <w:bCs w:val="0"/>
        </w:rPr>
      </w:pPr>
      <w:bookmarkStart w:name="（3）境内外会计准则下会计数据差异原因说明，对已经境外审计机构审计的数据进行差异" w:id="537"/>
      <w:bookmarkEnd w:id="537"/>
      <w:r>
        <w:rPr>
          <w:b w:val="0"/>
          <w:bCs w:val="0"/>
        </w:rPr>
      </w:r>
      <w:r>
        <w:rPr/>
        <w:t>（</w:t>
      </w:r>
      <w:r>
        <w:rPr>
          <w:rFonts w:ascii="宋体" w:hAnsi="宋体" w:cs="宋体" w:eastAsia="宋体"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3"/>
          <w:szCs w:val="23"/>
        </w:rPr>
      </w:pPr>
    </w:p>
    <w:p>
      <w:pPr>
        <w:pStyle w:val="Heading3"/>
        <w:spacing w:line="240" w:lineRule="auto"/>
        <w:ind w:right="0"/>
        <w:jc w:val="left"/>
        <w:rPr>
          <w:b w:val="0"/>
          <w:bCs w:val="0"/>
        </w:rPr>
      </w:pPr>
      <w:bookmarkStart w:name="4、其他" w:id="538"/>
      <w:bookmarkEnd w:id="538"/>
      <w:r>
        <w:rPr>
          <w:b w:val="0"/>
          <w:bCs w:val="0"/>
        </w:rPr>
      </w:r>
      <w:r>
        <w:rPr>
          <w:rFonts w:ascii="宋体" w:hAnsi="宋体" w:cs="宋体" w:eastAsia="宋体" w:hint="default"/>
        </w:rPr>
        <w:t>4</w:t>
      </w:r>
      <w:r>
        <w:rPr/>
        <w:t>、其他</w:t>
      </w:r>
      <w:r>
        <w:rPr>
          <w:b w:val="0"/>
          <w:bCs w:val="0"/>
        </w:rPr>
      </w:r>
    </w:p>
    <w:p>
      <w:pPr>
        <w:spacing w:after="0" w:line="240" w:lineRule="auto"/>
        <w:jc w:val="left"/>
        <w:sectPr>
          <w:pgSz w:w="11910" w:h="16840"/>
          <w:pgMar w:header="877" w:footer="1187" w:top="1060" w:bottom="138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0"/>
        <w:jc w:val="left"/>
        <w:rPr>
          <w:b w:val="0"/>
          <w:bCs w:val="0"/>
        </w:rPr>
      </w:pPr>
      <w:bookmarkStart w:name="第十二节 备查文件目录" w:id="539"/>
      <w:bookmarkEnd w:id="539"/>
      <w:r>
        <w:rPr>
          <w:b w:val="0"/>
          <w:bCs w:val="0"/>
        </w:rPr>
      </w:r>
      <w:bookmarkStart w:name="_bookmark10" w:id="540"/>
      <w:bookmarkEnd w:id="540"/>
      <w:r>
        <w:rPr>
          <w:b w:val="0"/>
          <w:bCs w:val="0"/>
        </w:rPr>
      </w:r>
      <w:r>
        <w:rPr/>
        <w:t>第十二节</w:t>
      </w:r>
      <w:r>
        <w:rPr>
          <w:spacing w:val="-8"/>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0"/>
        <w:jc w:val="left"/>
      </w:pPr>
      <w:r>
        <w:rPr/>
        <w:t>（一）《公司</w:t>
      </w:r>
      <w:r>
        <w:rPr>
          <w:rFonts w:ascii="宋体" w:hAnsi="宋体" w:cs="宋体" w:eastAsia="宋体" w:hint="default"/>
        </w:rPr>
        <w:t>2017</w:t>
      </w:r>
      <w:r>
        <w:rPr/>
        <w:t>年度报告》全文及摘要；</w:t>
      </w:r>
    </w:p>
    <w:p>
      <w:pPr>
        <w:pStyle w:val="BodyText"/>
        <w:spacing w:line="240" w:lineRule="auto" w:before="77"/>
        <w:ind w:left="153" w:right="0"/>
        <w:jc w:val="left"/>
      </w:pPr>
      <w:r>
        <w:rPr/>
        <w:t>（二）载有公司法定代表人、主管会计工作负责人、会计机构负责人签名并盖章的《公司</w:t>
      </w:r>
      <w:r>
        <w:rPr>
          <w:rFonts w:ascii="宋体" w:hAnsi="宋体" w:cs="宋体" w:eastAsia="宋体" w:hint="default"/>
        </w:rPr>
        <w:t>2017</w:t>
      </w:r>
      <w:r>
        <w:rPr/>
        <w:t>年度财务报表》；</w:t>
      </w:r>
    </w:p>
    <w:p>
      <w:pPr>
        <w:pStyle w:val="BodyText"/>
        <w:spacing w:line="240" w:lineRule="auto" w:before="76"/>
        <w:ind w:left="153" w:right="0"/>
        <w:jc w:val="left"/>
      </w:pPr>
      <w:r>
        <w:rPr/>
        <w:t>（三）载有会计师事务所、注册会计师签章的审计报告原件；</w:t>
      </w:r>
    </w:p>
    <w:p>
      <w:pPr>
        <w:pStyle w:val="BodyText"/>
        <w:spacing w:line="316" w:lineRule="auto" w:before="76"/>
        <w:ind w:right="0"/>
        <w:jc w:val="left"/>
      </w:pPr>
      <w:r>
        <w:rPr>
          <w:spacing w:val="-2"/>
        </w:rPr>
        <w:t>（四）报告期内在《证券时报》、《证券日报》、《中国证券报》、《上海证券报》和巨潮资讯网上公开披露的所有公司文</w:t>
      </w:r>
      <w:r>
        <w:rPr>
          <w:spacing w:val="-72"/>
        </w:rPr>
        <w:t> </w:t>
      </w:r>
      <w:r>
        <w:rPr>
          <w:spacing w:val="-72"/>
        </w:rPr>
      </w:r>
      <w:r>
        <w:rPr/>
        <w:t>件正本及公告原文。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316" w:lineRule="auto" w:before="159"/>
        <w:ind w:left="7993" w:right="1130" w:firstLine="180"/>
        <w:jc w:val="right"/>
      </w:pPr>
      <w:r>
        <w:rPr/>
        <w:t>法定代表人：赵立仁 智度科技股份有限公司</w:t>
      </w:r>
    </w:p>
    <w:p>
      <w:pPr>
        <w:pStyle w:val="BodyText"/>
        <w:spacing w:line="240" w:lineRule="auto" w:before="19"/>
        <w:ind w:left="0" w:right="1130"/>
        <w:jc w:val="right"/>
      </w:pP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26</w:t>
      </w:r>
      <w:r>
        <w:rPr/>
        <w:t>日</w:t>
      </w:r>
    </w:p>
    <w:sectPr>
      <w:pgSz w:w="11910" w:h="16840"/>
      <w:pgMar w:header="877" w:footer="1187" w:top="1060" w:bottom="138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82376" type="#_x0000_t75" stroked="false">
          <v:imagedata r:id="rId1" o:title=""/>
        </v:shape>
      </w:pict>
    </w:r>
    <w:r>
      <w:rPr/>
      <w:pict>
        <v:shape style="position:absolute;margin-left:294.420013pt;margin-top:785.197937pt;width:6.5pt;height:11pt;mso-position-horizontal-relative:page;mso-position-vertical-relative:page;z-index:-118235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81704" type="#_x0000_t75" stroked="false">
          <v:imagedata r:id="rId1" o:title=""/>
        </v:shape>
      </w:pict>
    </w:r>
    <w:r>
      <w:rPr/>
      <w:pict>
        <v:shape style="position:absolute;margin-left:291.200012pt;margin-top:771.577942pt;width:13pt;height:11pt;mso-position-horizontal-relative:page;mso-position-vertical-relative:page;z-index:-11816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57</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1181632" type="#_x0000_t75" stroked="false">
          <v:imagedata r:id="rId1" o:title=""/>
        </v:shape>
      </w:pict>
    </w:r>
    <w:r>
      <w:rPr/>
      <w:pict>
        <v:shape style="position:absolute;margin-left:414.480011pt;margin-top:524.977966pt;width:13pt;height:11pt;mso-position-horizontal-relative:page;mso-position-vertical-relative:page;z-index:-11816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62</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81536" type="#_x0000_t75" stroked="false">
          <v:imagedata r:id="rId1" o:title=""/>
        </v:shape>
      </w:pict>
    </w:r>
    <w:r>
      <w:rPr/>
      <w:pict>
        <v:shape style="position:absolute;margin-left:291.200012pt;margin-top:771.577942pt;width:13pt;height:11pt;mso-position-horizontal-relative:page;mso-position-vertical-relative:page;z-index:-11815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65</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81488" type="#_x0000_t75" stroked="false">
          <v:imagedata r:id="rId1" o:title=""/>
        </v:shape>
      </w:pict>
    </w:r>
    <w:r>
      <w:rPr/>
      <w:pict>
        <v:shape style="position:absolute;margin-left:291.200012pt;margin-top:771.577942pt;width:13pt;height:11pt;mso-position-horizontal-relative:page;mso-position-vertical-relative:page;z-index:-11814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81440" type="#_x0000_t75" stroked="false">
          <v:imagedata r:id="rId1" o:title=""/>
        </v:shape>
      </w:pict>
    </w:r>
    <w:r>
      <w:rPr/>
      <w:pict>
        <v:shape style="position:absolute;margin-left:289.920013pt;margin-top:771.577942pt;width:15.5pt;height:11pt;mso-position-horizontal-relative:page;mso-position-vertical-relative:page;z-index:-118141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81392" type="#_x0000_t75" stroked="false">
          <v:imagedata r:id="rId1" o:title=""/>
        </v:shape>
      </w:pict>
    </w:r>
    <w:r>
      <w:rPr/>
      <w:pict>
        <v:shape style="position:absolute;margin-left:288.920013pt;margin-top:771.577942pt;width:17.5pt;height:11pt;mso-position-horizontal-relative:page;mso-position-vertical-relative:page;z-index:-11813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81344" type="#_x0000_t75" stroked="false">
          <v:imagedata r:id="rId1" o:title=""/>
        </v:shape>
      </w:pict>
    </w:r>
    <w:r>
      <w:rPr/>
      <w:pict>
        <v:shape style="position:absolute;margin-left:288.920013pt;margin-top:771.577942pt;width:17.5pt;height:11pt;mso-position-horizontal-relative:page;mso-position-vertical-relative:page;z-index:-11813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81296" type="#_x0000_t75" stroked="false">
          <v:imagedata r:id="rId1" o:title=""/>
        </v:shape>
      </w:pict>
    </w:r>
    <w:r>
      <w:rPr/>
      <w:pict>
        <v:shape style="position:absolute;margin-left:288.920013pt;margin-top:771.577942pt;width:17.5pt;height:11pt;mso-position-horizontal-relative:page;mso-position-vertical-relative:page;z-index:-11812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123</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81248" type="#_x0000_t75" stroked="false">
          <v:imagedata r:id="rId1" o:title=""/>
        </v:shape>
      </w:pict>
    </w:r>
    <w:r>
      <w:rPr/>
      <w:pict>
        <v:shape style="position:absolute;margin-left:289.920013pt;margin-top:771.577942pt;width:15.5pt;height:11pt;mso-position-horizontal-relative:page;mso-position-vertical-relative:page;z-index:-118122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81200" type="#_x0000_t75" stroked="false">
          <v:imagedata r:id="rId1" o:title=""/>
        </v:shape>
      </w:pict>
    </w:r>
    <w:r>
      <w:rPr/>
      <w:pict>
        <v:shape style="position:absolute;margin-left:288.920013pt;margin-top:771.577942pt;width:17.5pt;height:11pt;mso-position-horizontal-relative:page;mso-position-vertical-relative:page;z-index:-11811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82328" type="#_x0000_t75" stroked="false">
          <v:imagedata r:id="rId1" o:title=""/>
        </v:shape>
      </w:pict>
    </w:r>
    <w:r>
      <w:rPr/>
      <w:pict>
        <v:shape style="position:absolute;margin-left:291.200012pt;margin-top:771.577942pt;width:13pt;height:11pt;mso-position-horizontal-relative:page;mso-position-vertical-relative:page;z-index:-11823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1182256" type="#_x0000_t75" stroked="false">
          <v:imagedata r:id="rId1" o:title=""/>
        </v:shape>
      </w:pict>
    </w:r>
    <w:r>
      <w:rPr/>
      <w:pict>
        <v:shape style="position:absolute;margin-left:414.480011pt;margin-top:524.977966pt;width:13pt;height:11pt;mso-position-horizontal-relative:page;mso-position-vertical-relative:page;z-index:-11822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1182160" type="#_x0000_t75" stroked="false">
          <v:imagedata r:id="rId1" o:title=""/>
        </v:shape>
      </w:pict>
    </w:r>
    <w:r>
      <w:rPr/>
      <w:pict>
        <v:shape style="position:absolute;margin-left:414.480011pt;margin-top:524.977966pt;width:13pt;height:11pt;mso-position-horizontal-relative:page;mso-position-vertical-relative:page;z-index:-11821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82040" type="#_x0000_t75" stroked="false">
          <v:imagedata r:id="rId1" o:title=""/>
        </v:shape>
      </w:pict>
    </w:r>
    <w:r>
      <w:rPr/>
      <w:pict>
        <v:shape style="position:absolute;margin-left:291.200012pt;margin-top:771.577942pt;width:13pt;height:11pt;mso-position-horizontal-relative:page;mso-position-vertical-relative:page;z-index:-11820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35</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1181968" type="#_x0000_t75" stroked="false">
          <v:imagedata r:id="rId1" o:title=""/>
        </v:shape>
      </w:pict>
    </w:r>
    <w:r>
      <w:rPr/>
      <w:pict>
        <v:shape style="position:absolute;margin-left:414.480011pt;margin-top:524.977966pt;width:13pt;height:11pt;mso-position-horizontal-relative:page;mso-position-vertical-relative:page;z-index:-11819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42</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81872" type="#_x0000_t75" stroked="false">
          <v:imagedata r:id="rId1" o:title=""/>
        </v:shape>
      </w:pict>
    </w:r>
    <w:r>
      <w:rPr/>
      <w:pict>
        <v:shape style="position:absolute;margin-left:291.200012pt;margin-top:771.577942pt;width:13pt;height:11pt;mso-position-horizontal-relative:page;mso-position-vertical-relative:page;z-index:-11818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48</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1181800" type="#_x0000_t75" stroked="false">
          <v:imagedata r:id="rId1" o:title=""/>
        </v:shape>
      </w:pict>
    </w:r>
    <w:r>
      <w:rPr/>
      <w:pict>
        <v:shape style="position:absolute;margin-left:414.480011pt;margin-top:524.977966pt;width:13pt;height:11pt;mso-position-horizontal-relative:page;mso-position-vertical-relative:page;z-index:-11817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2.160004pt;margin-top:36.325607pt;width:177.55pt;height:11.5pt;mso-position-horizontal-relative:page;mso-position-vertical-relative:page;z-index:-1182400" type="#_x0000_t202" filled="false" stroked="false">
          <v:textbox inset="0,0,0,0">
            <w:txbxContent>
              <w:p>
                <w:pPr>
                  <w:pStyle w:val="BodyText"/>
                  <w:spacing w:line="214" w:lineRule="exact"/>
                  <w:ind w:left="20" w:right="0"/>
                  <w:jc w:val="left"/>
                </w:pPr>
                <w:r>
                  <w:rPr/>
                  <w:t>智度科技股份有限公司</w:t>
                </w:r>
                <w:r>
                  <w:rPr>
                    <w:spacing w:val="-46"/>
                  </w:rPr>
                  <w:t> </w:t>
                </w:r>
                <w:r>
                  <w:rPr>
                    <w:rFonts w:ascii="Times New Roman" w:hAnsi="Times New Roman" w:cs="Times New Roman" w:eastAsia="Times New Roman" w:hint="default"/>
                  </w:rPr>
                  <w:t>2017 </w:t>
                </w:r>
                <w:r>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181752"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62.160004pt;margin-top:42.865608pt;width:177.55pt;height:11.5pt;mso-position-horizontal-relative:page;mso-position-vertical-relative:page;z-index:-1181728" type="#_x0000_t202" filled="false" stroked="false">
          <v:textbox inset="0,0,0,0">
            <w:txbxContent>
              <w:p>
                <w:pPr>
                  <w:pStyle w:val="BodyText"/>
                  <w:spacing w:line="214" w:lineRule="exact"/>
                  <w:ind w:left="20" w:right="0"/>
                  <w:jc w:val="left"/>
                </w:pPr>
                <w:r>
                  <w:rPr/>
                  <w:t>智度科技股份有限公司</w:t>
                </w:r>
                <w:r>
                  <w:rPr>
                    <w:spacing w:val="-46"/>
                  </w:rPr>
                  <w:t> </w:t>
                </w:r>
                <w:r>
                  <w:rPr>
                    <w:rFonts w:ascii="Times New Roman" w:hAnsi="Times New Roman" w:cs="Times New Roman" w:eastAsia="Times New Roman" w:hint="default"/>
                  </w:rPr>
                  <w:t>2017 </w:t>
                </w:r>
                <w:r>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93.460022pt;margin-top:42.865631pt;width:177.55pt;height:11.5pt;mso-position-horizontal-relative:page;mso-position-vertical-relative:page;z-index:-1181656" type="#_x0000_t202" filled="false" stroked="false">
          <v:textbox inset="0,0,0,0">
            <w:txbxContent>
              <w:p>
                <w:pPr>
                  <w:pStyle w:val="BodyText"/>
                  <w:spacing w:line="214" w:lineRule="exact"/>
                  <w:ind w:left="20" w:right="0"/>
                  <w:jc w:val="left"/>
                </w:pPr>
                <w:r>
                  <w:rPr/>
                  <w:t>智度科技股份有限公司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19984pt;width:485pt;height:.1pt;mso-position-horizontal-relative:page;mso-position-vertical-relative:page;z-index:-118158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62.160004pt;margin-top:42.865608pt;width:177.55pt;height:11.5pt;mso-position-horizontal-relative:page;mso-position-vertical-relative:page;z-index:-1181560" type="#_x0000_t202" filled="false" stroked="false">
          <v:textbox inset="0,0,0,0">
            <w:txbxContent>
              <w:p>
                <w:pPr>
                  <w:pStyle w:val="BodyText"/>
                  <w:spacing w:line="214" w:lineRule="exact"/>
                  <w:ind w:left="20" w:right="0"/>
                  <w:jc w:val="left"/>
                </w:pPr>
                <w:r>
                  <w:rPr/>
                  <w:t>智度科技股份有限公司</w:t>
                </w:r>
                <w:r>
                  <w:rPr>
                    <w:spacing w:val="-46"/>
                  </w:rPr>
                  <w:t> </w:t>
                </w:r>
                <w:r>
                  <w:rPr>
                    <w:rFonts w:ascii="Times New Roman" w:hAnsi="Times New Roman" w:cs="Times New Roman" w:eastAsia="Times New Roman" w:hint="default"/>
                  </w:rPr>
                  <w:t>2017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93.460022pt;margin-top:42.865631pt;width:177.55pt;height:11.5pt;mso-position-horizontal-relative:page;mso-position-vertical-relative:page;z-index:-1182280" type="#_x0000_t202" filled="false" stroked="false">
          <v:textbox inset="0,0,0,0">
            <w:txbxContent>
              <w:p>
                <w:pPr>
                  <w:pStyle w:val="BodyText"/>
                  <w:spacing w:line="214" w:lineRule="exact"/>
                  <w:ind w:left="20" w:right="0"/>
                  <w:jc w:val="left"/>
                </w:pPr>
                <w:r>
                  <w:rPr/>
                  <w:t>智度科技股份有限公司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93.460022pt;margin-top:42.865631pt;width:177.55pt;height:11.5pt;mso-position-horizontal-relative:page;mso-position-vertical-relative:page;z-index:-1182208" type="#_x0000_t202" filled="false" stroked="false">
          <v:textbox inset="0,0,0,0">
            <w:txbxContent>
              <w:p>
                <w:pPr>
                  <w:pStyle w:val="BodyText"/>
                  <w:spacing w:line="214" w:lineRule="exact"/>
                  <w:ind w:left="20" w:right="0"/>
                  <w:jc w:val="left"/>
                </w:pPr>
                <w:r>
                  <w:rPr/>
                  <w:t>智度科技股份有限公司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r>
      <w:rPr/>
      <w:pict>
        <v:shape style="position:absolute;margin-left:71pt;margin-top:58.256569pt;width:102.2pt;height:12.5pt;mso-position-horizontal-relative:page;mso-position-vertical-relative:page;z-index:-1182184"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、募集资金使用情况</w:t>
                </w:r>
                <w:r>
                  <w:rPr>
                    <w:rFonts w:ascii="宋体" w:hAnsi="宋体" w:cs="宋体" w:eastAsia="宋体" w:hint="default"/>
                    <w:sz w:val="21"/>
                    <w:szCs w:val="21"/>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93.460022pt;margin-top:42.865631pt;width:177.55pt;height:11.5pt;mso-position-horizontal-relative:page;mso-position-vertical-relative:page;z-index:-1182112" type="#_x0000_t202" filled="false" stroked="false">
          <v:textbox inset="0,0,0,0">
            <w:txbxContent>
              <w:p>
                <w:pPr>
                  <w:pStyle w:val="BodyText"/>
                  <w:spacing w:line="214" w:lineRule="exact"/>
                  <w:ind w:left="20" w:right="0"/>
                  <w:jc w:val="left"/>
                </w:pPr>
                <w:r>
                  <w:rPr/>
                  <w:t>智度科技股份有限公司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18208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62.160004pt;margin-top:42.865608pt;width:177.55pt;height:11.5pt;mso-position-horizontal-relative:page;mso-position-vertical-relative:page;z-index:-1182064" type="#_x0000_t202" filled="false" stroked="false">
          <v:textbox inset="0,0,0,0">
            <w:txbxContent>
              <w:p>
                <w:pPr>
                  <w:pStyle w:val="BodyText"/>
                  <w:spacing w:line="214" w:lineRule="exact"/>
                  <w:ind w:left="20" w:right="0"/>
                  <w:jc w:val="left"/>
                </w:pPr>
                <w:r>
                  <w:rPr/>
                  <w:t>智度科技股份有限公司</w:t>
                </w:r>
                <w:r>
                  <w:rPr>
                    <w:spacing w:val="-46"/>
                  </w:rPr>
                  <w:t> </w:t>
                </w:r>
                <w:r>
                  <w:rPr>
                    <w:rFonts w:ascii="Times New Roman" w:hAnsi="Times New Roman" w:cs="Times New Roman" w:eastAsia="Times New Roman" w:hint="default"/>
                  </w:rPr>
                  <w:t>2017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93.460022pt;margin-top:42.865631pt;width:177.55pt;height:11.5pt;mso-position-horizontal-relative:page;mso-position-vertical-relative:page;z-index:-1181992" type="#_x0000_t202" filled="false" stroked="false">
          <v:textbox inset="0,0,0,0">
            <w:txbxContent>
              <w:p>
                <w:pPr>
                  <w:pStyle w:val="BodyText"/>
                  <w:spacing w:line="214" w:lineRule="exact"/>
                  <w:ind w:left="20" w:right="0"/>
                  <w:jc w:val="left"/>
                </w:pPr>
                <w:r>
                  <w:rPr/>
                  <w:t>智度科技股份有限公司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181920"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62.160004pt;margin-top:42.865608pt;width:177.55pt;height:11.5pt;mso-position-horizontal-relative:page;mso-position-vertical-relative:page;z-index:-1181896" type="#_x0000_t202" filled="false" stroked="false">
          <v:textbox inset="0,0,0,0">
            <w:txbxContent>
              <w:p>
                <w:pPr>
                  <w:pStyle w:val="BodyText"/>
                  <w:spacing w:line="214" w:lineRule="exact"/>
                  <w:ind w:left="20" w:right="0"/>
                  <w:jc w:val="left"/>
                </w:pPr>
                <w:r>
                  <w:rPr/>
                  <w:t>智度科技股份有限公司</w:t>
                </w:r>
                <w:r>
                  <w:rPr>
                    <w:spacing w:val="-46"/>
                  </w:rPr>
                  <w:t> </w:t>
                </w:r>
                <w:r>
                  <w:rPr>
                    <w:rFonts w:ascii="Times New Roman" w:hAnsi="Times New Roman" w:cs="Times New Roman" w:eastAsia="Times New Roman" w:hint="default"/>
                  </w:rPr>
                  <w:t>2017 </w:t>
                </w:r>
                <w:r>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93.460022pt;margin-top:42.865631pt;width:177.55pt;height:11.5pt;mso-position-horizontal-relative:page;mso-position-vertical-relative:page;z-index:-1181824" type="#_x0000_t202" filled="false" stroked="false">
          <v:textbox inset="0,0,0,0">
            <w:txbxContent>
              <w:p>
                <w:pPr>
                  <w:pStyle w:val="BodyText"/>
                  <w:spacing w:line="214" w:lineRule="exact"/>
                  <w:ind w:left="20" w:right="0"/>
                  <w:jc w:val="left"/>
                </w:pPr>
                <w:r>
                  <w:rPr/>
                  <w:t>智度科技股份有限公司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8"/>
      <w:ind w:left="153"/>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615"/>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ind w:left="515"/>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genimous.com/" TargetMode="External"/><Relationship Id="rId10" Type="http://schemas.openxmlformats.org/officeDocument/2006/relationships/hyperlink" Target="mailto:zhidugufen@genimous.com" TargetMode="External"/><Relationship Id="rId11" Type="http://schemas.openxmlformats.org/officeDocument/2006/relationships/hyperlink" Target="mailto:pengfen@genimous.com" TargetMode="External"/><Relationship Id="rId12" Type="http://schemas.openxmlformats.org/officeDocument/2006/relationships/hyperlink" Target="http://www.cninfo.com.cn/" TargetMode="External"/><Relationship Id="rId13" Type="http://schemas.openxmlformats.org/officeDocument/2006/relationships/image" Target="media/image3.jpeg"/><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image" Target="media/image1.png"/><Relationship Id="rId19" Type="http://schemas.openxmlformats.org/officeDocument/2006/relationships/header" Target="header4.xml"/><Relationship Id="rId20" Type="http://schemas.openxmlformats.org/officeDocument/2006/relationships/footer" Target="footer5.xml"/><Relationship Id="rId21" Type="http://schemas.openxmlformats.org/officeDocument/2006/relationships/header" Target="header5.xml"/><Relationship Id="rId22" Type="http://schemas.openxmlformats.org/officeDocument/2006/relationships/header" Target="header6.xml"/><Relationship Id="rId23" Type="http://schemas.openxmlformats.org/officeDocument/2006/relationships/footer" Target="footer6.xml"/><Relationship Id="rId24" Type="http://schemas.openxmlformats.org/officeDocument/2006/relationships/header" Target="header7.xml"/><Relationship Id="rId25" Type="http://schemas.openxmlformats.org/officeDocument/2006/relationships/footer" Target="footer7.xml"/><Relationship Id="rId26" Type="http://schemas.openxmlformats.org/officeDocument/2006/relationships/header" Target="header8.xml"/><Relationship Id="rId27" Type="http://schemas.openxmlformats.org/officeDocument/2006/relationships/footer" Target="footer8.xml"/><Relationship Id="rId28" Type="http://schemas.openxmlformats.org/officeDocument/2006/relationships/header" Target="header9.xml"/><Relationship Id="rId29" Type="http://schemas.openxmlformats.org/officeDocument/2006/relationships/footer" Target="footer9.xml"/><Relationship Id="rId30" Type="http://schemas.openxmlformats.org/officeDocument/2006/relationships/header" Target="header10.xml"/><Relationship Id="rId31" Type="http://schemas.openxmlformats.org/officeDocument/2006/relationships/footer" Target="footer10.xml"/><Relationship Id="rId32" Type="http://schemas.openxmlformats.org/officeDocument/2006/relationships/header" Target="header11.xml"/><Relationship Id="rId33" Type="http://schemas.openxmlformats.org/officeDocument/2006/relationships/footer" Target="footer11.xml"/><Relationship Id="rId34" Type="http://schemas.openxmlformats.org/officeDocument/2006/relationships/header" Target="header12.xml"/><Relationship Id="rId35" Type="http://schemas.openxmlformats.org/officeDocument/2006/relationships/footer" Target="footer12.xml"/><Relationship Id="rId36" Type="http://schemas.openxmlformats.org/officeDocument/2006/relationships/hyperlink" Target="http://news.windin.com/ns/bulletin.php?code=F48762BAEFA7&amp;amp;id=89649778&amp;amp;type=1" TargetMode="External"/><Relationship Id="rId37" Type="http://schemas.openxmlformats.org/officeDocument/2006/relationships/hyperlink" Target="http://news.windin.com/ns/bulletin.php?code=4D2FF50EEC7F&amp;amp;id=89595644&amp;amp;type=1" TargetMode="External"/><Relationship Id="rId38" Type="http://schemas.openxmlformats.org/officeDocument/2006/relationships/hyperlink" Target="http://news.windin.com/ns/bulletin.php?code=71C32B98EAEB&amp;amp;id=89538906&amp;amp;type=1" TargetMode="External"/><Relationship Id="rId39" Type="http://schemas.openxmlformats.org/officeDocument/2006/relationships/hyperlink" Target="http://news.windin.com/ns/bulletin.php?code=6F465368E643&amp;amp;id=89459534&amp;amp;type=1" TargetMode="External"/><Relationship Id="rId40" Type="http://schemas.openxmlformats.org/officeDocument/2006/relationships/hyperlink" Target="http://news.windin.com/ns/bulletin.php?code=69328A1CE643&amp;amp;id=89459524&amp;amp;type=1" TargetMode="External"/><Relationship Id="rId41" Type="http://schemas.openxmlformats.org/officeDocument/2006/relationships/hyperlink" Target="http://news.windin.com/ns/bulletin.php?code=62271A66E643&amp;amp;id=89459512&amp;amp;type=1" TargetMode="External"/><Relationship Id="rId42" Type="http://schemas.openxmlformats.org/officeDocument/2006/relationships/hyperlink" Target="http://news.windin.com/ns/bulletin.php?code=62271A6CE643&amp;amp;id=89459516&amp;amp;type=1" TargetMode="External"/><Relationship Id="rId43" Type="http://schemas.openxmlformats.org/officeDocument/2006/relationships/hyperlink" Target="http://news.windin.com/ns/bulletin.php?code=27FE6B10E567&amp;amp;id=89434076&amp;amp;type=1" TargetMode="External"/><Relationship Id="rId44" Type="http://schemas.openxmlformats.org/officeDocument/2006/relationships/hyperlink" Target="http://news.windin.com/ns/bulletin.php?code=D8B323E1E49D&amp;amp;id=89412218&amp;amp;type=1" TargetMode="External"/><Relationship Id="rId45" Type="http://schemas.openxmlformats.org/officeDocument/2006/relationships/hyperlink" Target="http://news.windin.com/ns/bulletin.php?code=088D6BF3DE68&amp;amp;id=89284792&amp;amp;type=1" TargetMode="External"/><Relationship Id="rId46" Type="http://schemas.openxmlformats.org/officeDocument/2006/relationships/hyperlink" Target="http://news.windin.com/ns/bulletin.php?code=EF2ACF5FDBFA&amp;amp;id=89257782&amp;amp;type=1" TargetMode="External"/><Relationship Id="rId47" Type="http://schemas.openxmlformats.org/officeDocument/2006/relationships/hyperlink" Target="http://news.windin.com/ns/bulletin.php?code=7CB861ECDBA8&amp;amp;id=89246846&amp;amp;type=1" TargetMode="External"/><Relationship Id="rId48" Type="http://schemas.openxmlformats.org/officeDocument/2006/relationships/hyperlink" Target="http://news.windin.com/ns/bulletin.php?code=7CB861E5DBA8&amp;amp;id=89246844&amp;amp;type=1" TargetMode="External"/><Relationship Id="rId49" Type="http://schemas.openxmlformats.org/officeDocument/2006/relationships/hyperlink" Target="http://news.windin.com/ns/bulletin.php?code=79EBEC39DB3F&amp;amp;id=89241598&amp;amp;type=1" TargetMode="External"/><Relationship Id="rId50" Type="http://schemas.openxmlformats.org/officeDocument/2006/relationships/hyperlink" Target="http://news.windin.com/ns/bulletin.php?code=8366BE98DA15&amp;amp;id=89205672&amp;amp;type=1" TargetMode="External"/><Relationship Id="rId51" Type="http://schemas.openxmlformats.org/officeDocument/2006/relationships/hyperlink" Target="http://news.windin.com/ns/bulletin.php?code=E6A25785D4DE&amp;amp;id=89111838&amp;amp;type=1" TargetMode="External"/><Relationship Id="rId52" Type="http://schemas.openxmlformats.org/officeDocument/2006/relationships/hyperlink" Target="http://news.windin.com/ns/bulletin.php?code=46D9F162D042&amp;amp;id=89047496&amp;amp;type=1" TargetMode="External"/><Relationship Id="rId53" Type="http://schemas.openxmlformats.org/officeDocument/2006/relationships/hyperlink" Target="http://news.windin.com/ns/bulletin.php?code=8498C422CAAD&amp;amp;id=88942368&amp;amp;type=1" TargetMode="External"/><Relationship Id="rId54" Type="http://schemas.openxmlformats.org/officeDocument/2006/relationships/hyperlink" Target="http://news.windin.com/ns/bulletin.php?code=709E2C20CAAD&amp;amp;id=88942346&amp;amp;type=1" TargetMode="External"/><Relationship Id="rId55" Type="http://schemas.openxmlformats.org/officeDocument/2006/relationships/hyperlink" Target="http://news.windin.com/ns/bulletin.php?code=5FB315CABFAA&amp;amp;id=88714560&amp;amp;type=1" TargetMode="External"/><Relationship Id="rId56" Type="http://schemas.openxmlformats.org/officeDocument/2006/relationships/hyperlink" Target="http://news.windin.com/ns/bulletin.php?code=63F60D35BD6A&amp;amp;id=88641414&amp;amp;type=1" TargetMode="External"/><Relationship Id="rId57" Type="http://schemas.openxmlformats.org/officeDocument/2006/relationships/hyperlink" Target="http://news.windin.com/ns/bulletin.php?code=572E9136BD6A&amp;amp;id=88641396&amp;amp;type=1" TargetMode="External"/><Relationship Id="rId58" Type="http://schemas.openxmlformats.org/officeDocument/2006/relationships/hyperlink" Target="http://news.windin.com/ns/bulletin.php?code=572E912CBD6A&amp;amp;id=88641394&amp;amp;type=1" TargetMode="External"/><Relationship Id="rId59" Type="http://schemas.openxmlformats.org/officeDocument/2006/relationships/hyperlink" Target="http://news.windin.com/ns/bulletin.php?code=50EE87DFBD6A&amp;amp;id=88641388&amp;amp;type=1" TargetMode="External"/><Relationship Id="rId60" Type="http://schemas.openxmlformats.org/officeDocument/2006/relationships/hyperlink" Target="http://news.windin.com/ns/bulletin.php?code=50EE87D5BD6A&amp;amp;id=88641378&amp;amp;type=1" TargetMode="External"/><Relationship Id="rId61" Type="http://schemas.openxmlformats.org/officeDocument/2006/relationships/hyperlink" Target="http://news.windin.com/ns/bulletin.php?code=572E9129BD6A&amp;amp;id=88641392&amp;amp;type=1" TargetMode="External"/><Relationship Id="rId62" Type="http://schemas.openxmlformats.org/officeDocument/2006/relationships/hyperlink" Target="http://news.windin.com/ns/bulletin.php?code=3B11048DB7D7&amp;amp;id=88507328&amp;amp;type=1" TargetMode="External"/><Relationship Id="rId63" Type="http://schemas.openxmlformats.org/officeDocument/2006/relationships/hyperlink" Target="http://news.windin.com/ns/bulletin.php?code=2E66AD9AB7D7&amp;amp;id=88507318&amp;amp;type=1" TargetMode="External"/><Relationship Id="rId64" Type="http://schemas.openxmlformats.org/officeDocument/2006/relationships/hyperlink" Target="http://news.windin.com/ns/bulletin.php?code=23597FBFB002&amp;amp;id=88390718&amp;amp;type=1" TargetMode="External"/><Relationship Id="rId65" Type="http://schemas.openxmlformats.org/officeDocument/2006/relationships/hyperlink" Target="http://news.windin.com/ns/bulletin.php?code=1694F3C6B002&amp;amp;id=88390596&amp;amp;type=1" TargetMode="External"/><Relationship Id="rId66" Type="http://schemas.openxmlformats.org/officeDocument/2006/relationships/hyperlink" Target="http://news.windin.com/ns/bulletin.php?code=164961FCB002&amp;amp;id=88390594&amp;amp;type=1" TargetMode="External"/><Relationship Id="rId67" Type="http://schemas.openxmlformats.org/officeDocument/2006/relationships/hyperlink" Target="http://news.windin.com/ns/bulletin.php?code=2727119BAE68&amp;amp;id=88341140&amp;amp;type=1" TargetMode="External"/><Relationship Id="rId68" Type="http://schemas.openxmlformats.org/officeDocument/2006/relationships/hyperlink" Target="http://news.windin.com/ns/bulletin.php?code=63D4D0D7ACD2&amp;amp;id=88277792&amp;amp;type=1" TargetMode="External"/><Relationship Id="rId69" Type="http://schemas.openxmlformats.org/officeDocument/2006/relationships/hyperlink" Target="http://news.windin.com/ns/bulletin.php?code=80604494A4FE&amp;amp;id=88213628&amp;amp;type=1" TargetMode="External"/><Relationship Id="rId70" Type="http://schemas.openxmlformats.org/officeDocument/2006/relationships/hyperlink" Target="http://news.windin.com/ns/bulletin.php?code=DAD047C2A36C&amp;amp;id=88160288&amp;amp;type=1" TargetMode="External"/><Relationship Id="rId71" Type="http://schemas.openxmlformats.org/officeDocument/2006/relationships/hyperlink" Target="http://news.windin.com/ns/bulletin.php?code=BA2B464E9F73&amp;amp;id=88104394&amp;amp;type=1" TargetMode="External"/><Relationship Id="rId72" Type="http://schemas.openxmlformats.org/officeDocument/2006/relationships/hyperlink" Target="http://news.windin.com/ns/bulletin.php?code=733FBB819922&amp;amp;id=87994204&amp;amp;type=1" TargetMode="External"/><Relationship Id="rId73" Type="http://schemas.openxmlformats.org/officeDocument/2006/relationships/hyperlink" Target="http://news.windin.com/ns/bulletin.php?code=EBE98D7E96E7&amp;amp;id=87945910&amp;amp;type=1" TargetMode="External"/><Relationship Id="rId74" Type="http://schemas.openxmlformats.org/officeDocument/2006/relationships/hyperlink" Target="http://news.windin.com/ns/bulletin.php?code=EBE98D7896E7&amp;amp;id=87945908&amp;amp;type=1" TargetMode="External"/><Relationship Id="rId75" Type="http://schemas.openxmlformats.org/officeDocument/2006/relationships/hyperlink" Target="http://news.windin.com/ns/bulletin.php?code=E5D92EF296E7&amp;amp;id=87945906&amp;amp;type=1" TargetMode="External"/><Relationship Id="rId76" Type="http://schemas.openxmlformats.org/officeDocument/2006/relationships/hyperlink" Target="http://news.windin.com/ns/bulletin.php?code=E5D92EEC96E7&amp;amp;id=87945902&amp;amp;type=1" TargetMode="External"/><Relationship Id="rId77" Type="http://schemas.openxmlformats.org/officeDocument/2006/relationships/hyperlink" Target="http://news.windin.com/ns/bulletin.php?code=E626D38D96E7&amp;amp;id=87945900&amp;amp;type=1" TargetMode="External"/><Relationship Id="rId78" Type="http://schemas.openxmlformats.org/officeDocument/2006/relationships/hyperlink" Target="http://news.windin.com/ns/bulletin.php?code=46971FA896E6&amp;amp;id=87945728&amp;amp;type=1" TargetMode="External"/><Relationship Id="rId79" Type="http://schemas.openxmlformats.org/officeDocument/2006/relationships/hyperlink" Target="http://news.windin.com/ns/bulletin.php?code=582E9EB8915E&amp;amp;id=87850432&amp;amp;type=1" TargetMode="External"/><Relationship Id="rId80" Type="http://schemas.openxmlformats.org/officeDocument/2006/relationships/hyperlink" Target="http://news.windin.com/ns/bulletin.php?code=98CFE4658EF7&amp;amp;id=87827092&amp;amp;type=1" TargetMode="External"/><Relationship Id="rId81" Type="http://schemas.openxmlformats.org/officeDocument/2006/relationships/hyperlink" Target="http://news.windin.com/ns/bulletin.php?code=1C8FCA078CBA&amp;amp;id=87740836&amp;amp;type=1" TargetMode="External"/><Relationship Id="rId82" Type="http://schemas.openxmlformats.org/officeDocument/2006/relationships/hyperlink" Target="http://news.windin.com/ns/bulletin.php?code=DC2D80528CB6&amp;amp;id=87740118&amp;amp;type=1" TargetMode="External"/><Relationship Id="rId83" Type="http://schemas.openxmlformats.org/officeDocument/2006/relationships/hyperlink" Target="http://news.windin.com/ns/bulletin.php?code=DAC6D8518CB6&amp;amp;id=87740090&amp;amp;type=1" TargetMode="External"/><Relationship Id="rId84" Type="http://schemas.openxmlformats.org/officeDocument/2006/relationships/hyperlink" Target="http://news.windin.com/ns/bulletin.php?code=D2A11F078CB6&amp;amp;id=87740066&amp;amp;type=1" TargetMode="External"/><Relationship Id="rId85" Type="http://schemas.openxmlformats.org/officeDocument/2006/relationships/hyperlink" Target="http://news.windin.com/ns/bulletin.php?code=D2A11F0A8CB6&amp;amp;id=87740074&amp;amp;type=1" TargetMode="External"/><Relationship Id="rId86" Type="http://schemas.openxmlformats.org/officeDocument/2006/relationships/hyperlink" Target="http://news.windin.com/ns/bulletin.php?code=ECB599F58664&amp;amp;id=87519890&amp;amp;type=1" TargetMode="External"/><Relationship Id="rId87" Type="http://schemas.openxmlformats.org/officeDocument/2006/relationships/hyperlink" Target="http://news.windin.com/ns/bulletin.php?code=D4C135FF8664&amp;amp;id=87519872&amp;amp;type=1" TargetMode="External"/><Relationship Id="rId88" Type="http://schemas.openxmlformats.org/officeDocument/2006/relationships/hyperlink" Target="http://news.windin.com/ns/bulletin.php?code=32FA149483EA&amp;amp;id=87472000&amp;amp;type=1" TargetMode="External"/><Relationship Id="rId89" Type="http://schemas.openxmlformats.org/officeDocument/2006/relationships/hyperlink" Target="http://news.windin.com/ns/bulletin.php?code=FA75AF658346&amp;amp;id=87462798&amp;amp;type=1" TargetMode="External"/><Relationship Id="rId90" Type="http://schemas.openxmlformats.org/officeDocument/2006/relationships/hyperlink" Target="http://news.windin.com/ns/bulletin.php?code=76A5898F834C&amp;amp;id=87463382&amp;amp;type=1" TargetMode="External"/><Relationship Id="rId91" Type="http://schemas.openxmlformats.org/officeDocument/2006/relationships/hyperlink" Target="http://news.windin.com/ns/bulletin.php?code=8D3F9CAE8344&amp;amp;id=87461990&amp;amp;type=1" TargetMode="External"/><Relationship Id="rId92" Type="http://schemas.openxmlformats.org/officeDocument/2006/relationships/hyperlink" Target="http://news.windin.com/ns/bulletin.php?code=86E247448344&amp;amp;id=87462032&amp;amp;type=1" TargetMode="External"/><Relationship Id="rId93" Type="http://schemas.openxmlformats.org/officeDocument/2006/relationships/hyperlink" Target="http://news.windin.com/ns/bulletin.php?code=3CEEADD47CEC&amp;amp;id=87293342&amp;amp;type=1" TargetMode="External"/><Relationship Id="rId94" Type="http://schemas.openxmlformats.org/officeDocument/2006/relationships/hyperlink" Target="http://news.windin.com/ns/bulletin.php?code=9615EA277B69&amp;amp;id=87249384&amp;amp;type=1" TargetMode="External"/><Relationship Id="rId95" Type="http://schemas.openxmlformats.org/officeDocument/2006/relationships/hyperlink" Target="http://news.windin.com/ns/bulletin.php?code=9615EA177B69&amp;amp;id=87249370&amp;amp;type=1" TargetMode="External"/><Relationship Id="rId96" Type="http://schemas.openxmlformats.org/officeDocument/2006/relationships/hyperlink" Target="http://news.windin.com/ns/bulletin.php?code=9615EA117B69&amp;amp;id=87249360&amp;amp;type=1" TargetMode="External"/><Relationship Id="rId97" Type="http://schemas.openxmlformats.org/officeDocument/2006/relationships/hyperlink" Target="http://news.windin.com/ns/bulletin.php?code=8E1445FB7371&amp;amp;id=87004708&amp;amp;type=1" TargetMode="External"/><Relationship Id="rId98" Type="http://schemas.openxmlformats.org/officeDocument/2006/relationships/hyperlink" Target="http://news.windin.com/ns/bulletin.php?code=53A3784E6E0D&amp;amp;id=86899550&amp;amp;type=1" TargetMode="External"/><Relationship Id="rId99" Type="http://schemas.openxmlformats.org/officeDocument/2006/relationships/hyperlink" Target="http://news.windin.com/ns/bulletin.php?code=079403766D36&amp;amp;id=86874402&amp;amp;type=1" TargetMode="External"/><Relationship Id="rId100" Type="http://schemas.openxmlformats.org/officeDocument/2006/relationships/hyperlink" Target="http://news.windin.com/ns/bulletin.php?code=6819A3866D36&amp;amp;id=86874460&amp;amp;type=1" TargetMode="External"/><Relationship Id="rId101" Type="http://schemas.openxmlformats.org/officeDocument/2006/relationships/hyperlink" Target="http://news.windin.com/ns/bulletin.php?code=EEBDD1A76D35&amp;amp;id=86874350&amp;amp;type=1" TargetMode="External"/><Relationship Id="rId102" Type="http://schemas.openxmlformats.org/officeDocument/2006/relationships/hyperlink" Target="http://news.windin.com/ns/bulletin.php?code=A3B2BD836879&amp;amp;id=86768736&amp;amp;type=1" TargetMode="External"/><Relationship Id="rId103" Type="http://schemas.openxmlformats.org/officeDocument/2006/relationships/hyperlink" Target="http://news.windin.com/ns/bulletin.php?code=C6C25A7060AA&amp;amp;id=86612556&amp;amp;type=1" TargetMode="External"/><Relationship Id="rId104" Type="http://schemas.openxmlformats.org/officeDocument/2006/relationships/hyperlink" Target="http://news.windin.com/ns/bulletin.php?code=B313B3A15D88&amp;amp;id=86540986&amp;amp;type=1" TargetMode="External"/><Relationship Id="rId105" Type="http://schemas.openxmlformats.org/officeDocument/2006/relationships/hyperlink" Target="http://news.windin.com/ns/bulletin.php?code=AB6CB1AA5D88&amp;amp;id=86540976&amp;amp;type=1" TargetMode="External"/><Relationship Id="rId106" Type="http://schemas.openxmlformats.org/officeDocument/2006/relationships/hyperlink" Target="http://news.windin.com/ns/bulletin.php?code=AE590F105D88&amp;amp;id=86540974&amp;amp;type=1" TargetMode="External"/><Relationship Id="rId107" Type="http://schemas.openxmlformats.org/officeDocument/2006/relationships/hyperlink" Target="http://news.windin.com/ns/bulletin.php?code=205E1E4D5A5C&amp;amp;id=86409276&amp;amp;type=1" TargetMode="External"/><Relationship Id="rId108" Type="http://schemas.openxmlformats.org/officeDocument/2006/relationships/hyperlink" Target="http://news.windin.com/ns/bulletin.php?code=476A918D51BE&amp;amp;id=86146746&amp;amp;type=1" TargetMode="External"/><Relationship Id="rId109" Type="http://schemas.openxmlformats.org/officeDocument/2006/relationships/hyperlink" Target="http://news.windin.com/ns/bulletin.php?code=2D89B6225034&amp;amp;id=86109144&amp;amp;type=1" TargetMode="External"/><Relationship Id="rId110" Type="http://schemas.openxmlformats.org/officeDocument/2006/relationships/hyperlink" Target="http://news.windin.com/ns/bulletin.php?code=26677C2D5034&amp;amp;id=86109142&amp;amp;type=1" TargetMode="External"/><Relationship Id="rId111" Type="http://schemas.openxmlformats.org/officeDocument/2006/relationships/hyperlink" Target="http://news.windin.com/ns/bulletin.php?code=4CA8F6A84774&amp;amp;id=85950494&amp;amp;type=1" TargetMode="External"/><Relationship Id="rId112" Type="http://schemas.openxmlformats.org/officeDocument/2006/relationships/hyperlink" Target="http://news.windin.com/ns/bulletin.php?code=1A0D013F41ED&amp;amp;id=85827588&amp;amp;type=1" TargetMode="External"/><Relationship Id="rId113" Type="http://schemas.openxmlformats.org/officeDocument/2006/relationships/hyperlink" Target="http://news.windin.com/ns/bulletin.php?code=4C6866433FA8&amp;amp;id=85722328&amp;amp;type=1" TargetMode="External"/><Relationship Id="rId114" Type="http://schemas.openxmlformats.org/officeDocument/2006/relationships/hyperlink" Target="http://news.windin.com/ns/bulletin.php?code=3C9407393FA8&amp;amp;id=85722324&amp;amp;type=1" TargetMode="External"/><Relationship Id="rId115" Type="http://schemas.openxmlformats.org/officeDocument/2006/relationships/hyperlink" Target="http://news.windin.com/ns/bulletin.php?code=3F7BB4713FA8&amp;amp;id=85722314&amp;amp;type=1" TargetMode="External"/><Relationship Id="rId116" Type="http://schemas.openxmlformats.org/officeDocument/2006/relationships/hyperlink" Target="http://news.windin.com/ns/bulletin.php?code=3D04D0873FA8&amp;amp;id=85722320&amp;amp;type=1" TargetMode="External"/><Relationship Id="rId117" Type="http://schemas.openxmlformats.org/officeDocument/2006/relationships/hyperlink" Target="http://news.windin.com/ns/bulletin.php?code=38C9D9413FA8&amp;amp;id=85722294&amp;amp;type=1" TargetMode="External"/><Relationship Id="rId118" Type="http://schemas.openxmlformats.org/officeDocument/2006/relationships/hyperlink" Target="http://news.windin.com/ns/bulletin.php?code=8DA7E7EF3BAF&amp;amp;id=85614538&amp;amp;type=1" TargetMode="External"/><Relationship Id="rId119" Type="http://schemas.openxmlformats.org/officeDocument/2006/relationships/hyperlink" Target="http://news.windin.com/ns/bulletin.php?code=C4473B5D3BAE&amp;amp;id=85614224&amp;amp;type=1" TargetMode="External"/><Relationship Id="rId120" Type="http://schemas.openxmlformats.org/officeDocument/2006/relationships/hyperlink" Target="http://news.windin.com/ns/bulletin.php?code=2B61B1803646&amp;amp;id=85474136&amp;amp;type=1" TargetMode="External"/><Relationship Id="rId121" Type="http://schemas.openxmlformats.org/officeDocument/2006/relationships/hyperlink" Target="http://news.windin.com/ns/bulletin.php?code=DB63EA503645&amp;amp;id=85474120&amp;amp;type=1" TargetMode="External"/><Relationship Id="rId122" Type="http://schemas.openxmlformats.org/officeDocument/2006/relationships/hyperlink" Target="http://news.windin.com/ns/bulletin.php?code=DB63EA3E3645&amp;amp;id=85474114&amp;amp;type=1" TargetMode="External"/><Relationship Id="rId123" Type="http://schemas.openxmlformats.org/officeDocument/2006/relationships/hyperlink" Target="http://news.windin.com/ns/bulletin.php?code=D700DB763184&amp;amp;id=85363966&amp;amp;type=1" TargetMode="External"/><Relationship Id="rId124" Type="http://schemas.openxmlformats.org/officeDocument/2006/relationships/hyperlink" Target="http://news.windin.com/ns/bulletin.php?code=DA25E46B2A85&amp;amp;id=85123444&amp;amp;type=1" TargetMode="External"/><Relationship Id="rId125" Type="http://schemas.openxmlformats.org/officeDocument/2006/relationships/hyperlink" Target="http://news.windin.com/ns/bulletin.php?code=CE6522172A85&amp;amp;id=85123430&amp;amp;type=1" TargetMode="External"/><Relationship Id="rId126" Type="http://schemas.openxmlformats.org/officeDocument/2006/relationships/hyperlink" Target="http://news.windin.com/ns/bulletin.php?code=C1EF6A692A85&amp;amp;id=85123404&amp;amp;type=1" TargetMode="External"/><Relationship Id="rId127" Type="http://schemas.openxmlformats.org/officeDocument/2006/relationships/hyperlink" Target="http://news.windin.com/ns/bulletin.php?code=B2B372052A85&amp;amp;id=85123278&amp;amp;type=1" TargetMode="External"/><Relationship Id="rId128" Type="http://schemas.openxmlformats.org/officeDocument/2006/relationships/hyperlink" Target="http://news.windin.com/ns/bulletin.php?code=B3B0A9ED2A85&amp;amp;id=85123254&amp;amp;type=1" TargetMode="External"/><Relationship Id="rId129" Type="http://schemas.openxmlformats.org/officeDocument/2006/relationships/hyperlink" Target="http://news.windin.com/ns/bulletin.php?code=9295FCEF28D2&amp;amp;id=84984958&amp;amp;type=1" TargetMode="External"/><Relationship Id="rId130" Type="http://schemas.openxmlformats.org/officeDocument/2006/relationships/hyperlink" Target="http://news.windin.com/ns/bulletin.php?code=2BB24FC920E7&amp;amp;id=84748692&amp;amp;type=1" TargetMode="External"/><Relationship Id="rId131" Type="http://schemas.openxmlformats.org/officeDocument/2006/relationships/hyperlink" Target="http://news.windin.com/ns/bulletin.php?code=028D2F081EB0&amp;amp;id=84686558&amp;amp;type=1" TargetMode="External"/><Relationship Id="rId132" Type="http://schemas.openxmlformats.org/officeDocument/2006/relationships/hyperlink" Target="http://news.windin.com/ns/bulletin.php?code=D55061AF1EAF&amp;amp;id=84686450&amp;amp;type=1" TargetMode="External"/><Relationship Id="rId133" Type="http://schemas.openxmlformats.org/officeDocument/2006/relationships/hyperlink" Target="http://news.windin.com/ns/bulletin.php?code=D39CDEF71EAF&amp;amp;id=84686406&amp;amp;type=1" TargetMode="External"/><Relationship Id="rId134" Type="http://schemas.openxmlformats.org/officeDocument/2006/relationships/hyperlink" Target="http://news.windin.com/ns/bulletin.php?code=D55061A31EAF&amp;amp;id=84686422&amp;amp;type=1" TargetMode="External"/><Relationship Id="rId135" Type="http://schemas.openxmlformats.org/officeDocument/2006/relationships/hyperlink" Target="http://news.windin.com/ns/bulletin.php?code=D39CDEDF1EAF&amp;amp;id=84686388&amp;amp;type=1" TargetMode="External"/><Relationship Id="rId136" Type="http://schemas.openxmlformats.org/officeDocument/2006/relationships/hyperlink" Target="http://news.windin.com/ns/bulletin.php?code=CE739F751EAF&amp;amp;id=84686408&amp;amp;type=1" TargetMode="External"/><Relationship Id="rId137" Type="http://schemas.openxmlformats.org/officeDocument/2006/relationships/hyperlink" Target="http://news.windin.com/ns/bulletin.php?code=CDEDD7081EAF&amp;amp;id=84686374&amp;amp;type=1" TargetMode="External"/><Relationship Id="rId138" Type="http://schemas.openxmlformats.org/officeDocument/2006/relationships/hyperlink" Target="http://news.windin.com/ns/bulletin.php?code=A430FF681309&amp;amp;id=84374614&amp;amp;type=1" TargetMode="External"/><Relationship Id="rId139" Type="http://schemas.openxmlformats.org/officeDocument/2006/relationships/hyperlink" Target="http://news.windin.com/ns/bulletin.php?code=8E77757612C9&amp;amp;id=84359266&amp;amp;type=1" TargetMode="External"/><Relationship Id="rId140" Type="http://schemas.openxmlformats.org/officeDocument/2006/relationships/hyperlink" Target="http://news.windin.com/ns/bulletin.php?code=7D461C72F33B&amp;amp;id=84195168&amp;amp;type=1" TargetMode="External"/><Relationship Id="rId141" Type="http://schemas.openxmlformats.org/officeDocument/2006/relationships/hyperlink" Target="http://news.windin.com/ns/bulletin.php?code=74FF976F6E4D&amp;amp;id=83965028&amp;amp;type=1" TargetMode="External"/><Relationship Id="rId142" Type="http://schemas.openxmlformats.org/officeDocument/2006/relationships/hyperlink" Target="http://news.windin.com/ns/bulletin.php?code=41EE8BDF059C&amp;amp;id=83553238&amp;amp;type=1" TargetMode="External"/><Relationship Id="rId143" Type="http://schemas.openxmlformats.org/officeDocument/2006/relationships/hyperlink" Target="http://news.windin.com/ns/bulletin.php?code=E8860A5BB29D&amp;amp;id=83531398&amp;amp;type=1" TargetMode="External"/><Relationship Id="rId144" Type="http://schemas.openxmlformats.org/officeDocument/2006/relationships/hyperlink" Target="http://news.windin.com/ns/bulletin.php?code=55F65F3BA441&amp;amp;id=83394114&amp;amp;type=1" TargetMode="External"/><Relationship Id="rId145" Type="http://schemas.openxmlformats.org/officeDocument/2006/relationships/hyperlink" Target="http://news.windin.com/ns/bulletin.php?code=B83AAF0C1083&amp;amp;id=83393942&amp;amp;type=1" TargetMode="External"/><Relationship Id="rId146" Type="http://schemas.openxmlformats.org/officeDocument/2006/relationships/hyperlink" Target="http://news.windin.com/ns/bulletin.php?code=CFA715E71B0F&amp;amp;id=83394138&amp;amp;type=1" TargetMode="External"/><Relationship Id="rId147" Type="http://schemas.openxmlformats.org/officeDocument/2006/relationships/hyperlink" Target="http://news.windin.com/ns/bulletin.php?code=D7DAF413BD7F&amp;amp;id=83324360&amp;amp;type=1" TargetMode="External"/><Relationship Id="rId148" Type="http://schemas.openxmlformats.org/officeDocument/2006/relationships/hyperlink" Target="http://news.windin.com/ns/bulletin.php?code=90158D2067F9&amp;amp;id=83279906&amp;amp;type=1" TargetMode="External"/><Relationship Id="rId149" Type="http://schemas.openxmlformats.org/officeDocument/2006/relationships/hyperlink" Target="http://news.windin.com/ns/bulletin.php?code=07322336FC5A&amp;amp;id=83279964&amp;amp;type=1" TargetMode="External"/><Relationship Id="rId150" Type="http://schemas.openxmlformats.org/officeDocument/2006/relationships/hyperlink" Target="http://news.windin.com/ns/bulletin.php?code=524494D71AE1&amp;amp;id=83279946&amp;amp;type=1" TargetMode="External"/><Relationship Id="rId151" Type="http://schemas.openxmlformats.org/officeDocument/2006/relationships/hyperlink" Target="http://news.windin.com/ns/bulletin.php?code=56B52CFD8BD0&amp;amp;id=83218616&amp;amp;type=1" TargetMode="External"/><Relationship Id="rId152" Type="http://schemas.openxmlformats.org/officeDocument/2006/relationships/hyperlink" Target="http://news.windin.com/ns/bulletin.php?code=BBC9678DD1A2&amp;amp;id=83183456&amp;amp;type=1" TargetMode="External"/><Relationship Id="rId153" Type="http://schemas.openxmlformats.org/officeDocument/2006/relationships/hyperlink" Target="http://news.windin.com/ns/bulletin.php?code=7D0D9140BE44&amp;amp;id=83183408&amp;amp;type=1" TargetMode="External"/><Relationship Id="rId154" Type="http://schemas.openxmlformats.org/officeDocument/2006/relationships/hyperlink" Target="http://news.windin.com/ns/bulletin.php?code=BC56FB668853&amp;amp;id=83183404&amp;amp;type=1" TargetMode="External"/><Relationship Id="rId155" Type="http://schemas.openxmlformats.org/officeDocument/2006/relationships/image" Target="media/image4.jpeg"/><Relationship Id="rId156" Type="http://schemas.openxmlformats.org/officeDocument/2006/relationships/footer" Target="footer13.xml"/><Relationship Id="rId157" Type="http://schemas.openxmlformats.org/officeDocument/2006/relationships/footer" Target="footer14.xml"/><Relationship Id="rId158" Type="http://schemas.openxmlformats.org/officeDocument/2006/relationships/footer" Target="footer15.xml"/><Relationship Id="rId159" Type="http://schemas.openxmlformats.org/officeDocument/2006/relationships/footer" Target="footer16.xml"/><Relationship Id="rId160" Type="http://schemas.openxmlformats.org/officeDocument/2006/relationships/footer" Target="footer17.xml"/><Relationship Id="rId161" Type="http://schemas.openxmlformats.org/officeDocument/2006/relationships/footer" Target="footer18.xml"/><Relationship Id="rId162" Type="http://schemas.openxmlformats.org/officeDocument/2006/relationships/footer" Target="footer19.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智度科技股份有限公司</dc:creator>
  <dc:title>智度科技股份有限公司2017年年度报告全文</dc:title>
  <dcterms:created xsi:type="dcterms:W3CDTF">2020-05-02T19:56:59Z</dcterms:created>
  <dcterms:modified xsi:type="dcterms:W3CDTF">2020-05-02T19:56:59Z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2018-04-26T00:00:00Z</vt:filetime>
  </property>
  <property fmtid="{D5CDD505-2E9C-101B-9397-08002B2CF9AE}" pid="3" name="Creator">
    <vt:lpwstr>Microsoft® Office Word 2007</vt:lpwstr>
  </property>
  <property fmtid="{D5CDD505-2E9C-101B-9397-08002B2CF9AE}" pid="4" name="LastSaved">
    <vt:filetime>2020-05-02T00:00:00Z</vt:filetime>
  </property>
</Properties>
</file>