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208" w:lineRule="exact"/>
        <w:ind w:left="42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939709" cy="76752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39709" cy="767524"/>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147" w:right="4124" w:firstLine="0"/>
        <w:jc w:val="center"/>
        <w:rPr>
          <w:rFonts w:ascii="宋体" w:hAnsi="宋体" w:cs="宋体" w:eastAsia="宋体" w:hint="default"/>
          <w:sz w:val="36"/>
          <w:szCs w:val="36"/>
        </w:rPr>
      </w:pPr>
      <w:r>
        <w:rPr>
          <w:rFonts w:ascii="宋体" w:hAnsi="宋体" w:cs="宋体" w:eastAsia="宋体" w:hint="default"/>
          <w:b/>
          <w:bCs/>
          <w:sz w:val="36"/>
          <w:szCs w:val="36"/>
        </w:rPr>
        <w:t>智度科技股份有限公司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145" w:right="41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147" w:right="41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公司负责人赵立仁、主管会计工作负责人刘韡及会计机构负责人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金蕊声明：保证年度报告中财务报告的真实、准确、完整。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本年度报告中涉及未来计划、发展战略等前瞻性陈述，不构成公司对投资</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者的实质承诺，敬请广大投资者注意投资风险。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公司已在本年度报告中描述可能存在的相关风险，敬请查阅第四节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经营情</w:t>
      </w:r>
      <w:r>
        <w:rPr>
          <w:rFonts w:ascii="宋体" w:hAnsi="宋体" w:cs="宋体" w:eastAsia="宋体" w:hint="default"/>
          <w:sz w:val="28"/>
          <w:szCs w:val="28"/>
        </w:rPr>
      </w:r>
    </w:p>
    <w:p>
      <w:pPr>
        <w:spacing w:line="320"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况讨论与分析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九、公司未来发展的展望</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（四）公司面临的风险及主要</w:t>
      </w:r>
      <w:r>
        <w:rPr>
          <w:rFonts w:ascii="宋体" w:hAnsi="宋体" w:cs="宋体" w:eastAsia="宋体" w:hint="default"/>
          <w:spacing w:val="3"/>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965710782</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0.32</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47" w:right="412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225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147" w:right="412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公司、本公司、智度股份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智度德普、控股股东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猎鹰网络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智度亦复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掌汇天下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范特西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深圳市范特西科技有限公司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拉萨智恒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拉萨经济技术开发区智恒咨询有限公司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菲索广告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佑迎广告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万流客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万流客网络科技（上海）有限公司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谛视文化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上海谛视文化传媒有限公司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塔倍思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南京塔倍思信息科技有限公司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iOS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由苹果公司开发的移动操作系统</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Android</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both"/>
              <w:rPr>
                <w:rFonts w:ascii="宋体" w:hAnsi="宋体" w:cs="宋体" w:eastAsia="宋体" w:hint="default"/>
                <w:sz w:val="18"/>
                <w:szCs w:val="18"/>
              </w:rPr>
            </w:pPr>
            <w:r>
              <w:rPr>
                <w:rFonts w:ascii="宋体" w:hAnsi="宋体" w:cs="宋体" w:eastAsia="宋体" w:hint="default"/>
                <w:sz w:val="18"/>
                <w:szCs w:val="18"/>
              </w:rPr>
              <w:t>一个以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为基础的开源移动设备操作系统，主要用于智能手机和 </w:t>
            </w:r>
            <w:r>
              <w:rPr>
                <w:rFonts w:ascii="宋体" w:hAnsi="宋体" w:cs="宋体" w:eastAsia="宋体" w:hint="default"/>
                <w:spacing w:val="-4"/>
                <w:sz w:val="18"/>
                <w:szCs w:val="18"/>
              </w:rPr>
              <w:t>平板电脑，由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Google </w:t>
            </w:r>
            <w:r>
              <w:rPr>
                <w:rFonts w:ascii="宋体" w:hAnsi="宋体" w:cs="宋体" w:eastAsia="宋体" w:hint="default"/>
                <w:sz w:val="18"/>
                <w:szCs w:val="18"/>
              </w:rPr>
              <w:t>成立的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Open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Handset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3"/>
                <w:sz w:val="18"/>
                <w:szCs w:val="18"/>
              </w:rPr>
              <w:t>Alliance</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OHA</w:t>
            </w:r>
            <w:r>
              <w:rPr>
                <w:rFonts w:ascii="宋体" w:hAnsi="宋体" w:cs="宋体" w:eastAsia="宋体" w:hint="default"/>
                <w:spacing w:val="-3"/>
                <w:sz w:val="18"/>
                <w:szCs w:val="18"/>
              </w:rPr>
              <w:t>，开放手持</w:t>
            </w:r>
            <w:r>
              <w:rPr>
                <w:rFonts w:ascii="宋体" w:hAnsi="宋体" w:cs="宋体" w:eastAsia="宋体" w:hint="default"/>
                <w:sz w:val="18"/>
                <w:szCs w:val="18"/>
              </w:rPr>
              <w:t> 设备联盟）持续领导与开发中。</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系统目前是全球第一大智能 手机操作系统。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App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1"/>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Application</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的简称，是智能手机、社交网站上运用的第三方开发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的应用软件程序。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DSP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1"/>
              <w:ind w:left="27"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Demand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Side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3"/>
                <w:sz w:val="18"/>
                <w:szCs w:val="18"/>
              </w:rPr>
              <w:t>Platform</w:t>
            </w:r>
            <w:r>
              <w:rPr>
                <w:rFonts w:ascii="宋体" w:hAnsi="宋体" w:cs="宋体" w:eastAsia="宋体" w:hint="default"/>
                <w:spacing w:val="-3"/>
                <w:sz w:val="18"/>
                <w:szCs w:val="18"/>
              </w:rPr>
              <w:t>，广告需求方平台，帮助广告主在互联网或者移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动互联网上进行广告投放，</w:t>
            </w:r>
            <w:r>
              <w:rPr>
                <w:rFonts w:ascii="Times New Roman" w:hAnsi="Times New Roman" w:cs="Times New Roman" w:eastAsia="Times New Roman" w:hint="default"/>
                <w:spacing w:val="-4"/>
                <w:sz w:val="18"/>
                <w:szCs w:val="18"/>
              </w:rPr>
              <w:t>DSP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可以使广告主更简单便捷地遵循统一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的竞价和反馈方式，对位于多家广告交易平台的在线广告，以合理的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价格实时购买高质量的广告库存</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SSP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Supply Side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Platform</w:t>
            </w:r>
            <w:r>
              <w:rPr>
                <w:rFonts w:ascii="宋体" w:hAnsi="宋体" w:cs="宋体" w:eastAsia="宋体" w:hint="default"/>
                <w:sz w:val="18"/>
                <w:szCs w:val="18"/>
              </w:rPr>
              <w:t>，媒体资源供应商平台，为媒体的广告投放进行</w:t>
            </w:r>
            <w:r>
              <w:rPr>
                <w:rFonts w:ascii="宋体" w:hAnsi="宋体" w:cs="宋体" w:eastAsia="宋体" w:hint="default"/>
                <w:w w:val="99"/>
                <w:sz w:val="18"/>
                <w:szCs w:val="18"/>
              </w:rPr>
              <w:t> </w:t>
            </w:r>
            <w:r>
              <w:rPr>
                <w:rFonts w:ascii="宋体" w:hAnsi="宋体" w:cs="宋体" w:eastAsia="宋体" w:hint="default"/>
                <w:sz w:val="18"/>
                <w:szCs w:val="18"/>
              </w:rPr>
              <w:t>全方位的分析和管理的平台，与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需求方平台相对应，是媒体优 化自身收益的工具</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26496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智度股份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000676</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智度科技股份有限公司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智度股份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Genimous Technology Co. ,</w:t>
            </w:r>
            <w:r>
              <w:rPr>
                <w:rFonts w:ascii="Times New Roman"/>
                <w:spacing w:val="-2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Genimous</w:t>
            </w:r>
            <w:r>
              <w:rPr>
                <w:rFonts w:ascii="Times New Roman"/>
                <w:spacing w:val="-20"/>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赵立仁</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中国河南郑州高新技术产业开发区玉兰街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中国北京市西城区西绒线胡同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100032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http://www.genimous.com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zhidugufen@genimous.com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彭芬</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号（北门）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号（北门）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010-66237897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010-66237897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010-66237715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010-66237715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zhidugufen@genimous.com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pengfen@genimous.com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号（北门）公司证券部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91410000170000388E</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公司原是一家主营电力二次设备、信息技术产品的开发和生产应用的企业。</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年，公司以发行股份及支付现金购买资产并募集配套资金的方式收购猎鹰网络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股权、亦复信息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股权、掌汇天下 </w:t>
            </w:r>
            <w:r>
              <w:rPr>
                <w:rFonts w:ascii="Times New Roman" w:hAnsi="Times New Roman" w:cs="Times New Roman" w:eastAsia="Times New Roman" w:hint="default"/>
                <w:sz w:val="18"/>
                <w:szCs w:val="18"/>
              </w:rPr>
              <w:t>46.875%</w:t>
            </w:r>
            <w:r>
              <w:rPr>
                <w:rFonts w:ascii="宋体" w:hAnsi="宋体" w:cs="宋体" w:eastAsia="宋体" w:hint="default"/>
                <w:sz w:val="18"/>
                <w:szCs w:val="18"/>
              </w:rPr>
              <w:t>股权及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Spigot100%</w:t>
            </w:r>
            <w:r>
              <w:rPr>
                <w:rFonts w:ascii="宋体" w:hAnsi="宋体" w:cs="宋体" w:eastAsia="宋体" w:hint="default"/>
                <w:sz w:val="18"/>
                <w:szCs w:val="18"/>
              </w:rPr>
              <w:t>股权； 公司将持有思达仪表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的股权转让给了思达投资，思达投资支付 </w:t>
            </w:r>
            <w:r>
              <w:rPr>
                <w:rFonts w:ascii="Times New Roman" w:hAnsi="Times New Roman" w:cs="Times New Roman" w:eastAsia="Times New Roman" w:hint="default"/>
                <w:sz w:val="18"/>
                <w:szCs w:val="18"/>
              </w:rPr>
              <w:t>144,151,488.12</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元作为现金对价。公司从一家传统的仪器仪表公司转型为互联网公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r>
      <w:tr>
        <w:trPr>
          <w:trHeight w:val="44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2009  </w:t>
            </w:r>
            <w:r>
              <w:rPr>
                <w:rFonts w:ascii="宋体" w:hAnsi="宋体" w:cs="宋体" w:eastAsia="宋体" w:hint="default"/>
                <w:spacing w:val="-3"/>
                <w:sz w:val="18"/>
                <w:szCs w:val="18"/>
              </w:rPr>
              <w:t>年，公司控股股东为河南思达科技发展股份有限公司。</w:t>
            </w:r>
            <w:r>
              <w:rPr>
                <w:rFonts w:ascii="Times New Roman" w:hAnsi="Times New Roman" w:cs="Times New Roman" w:eastAsia="Times New Roman" w:hint="default"/>
                <w:spacing w:val="-3"/>
                <w:sz w:val="18"/>
                <w:szCs w:val="18"/>
              </w:rPr>
              <w:t>2009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日，河南思达科技发展股份有限公司与正弘置业签订股权转让协议，将其 持有的公司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9200 </w:t>
            </w:r>
            <w:r>
              <w:rPr>
                <w:rFonts w:ascii="宋体" w:hAnsi="宋体" w:cs="宋体" w:eastAsia="宋体" w:hint="default"/>
                <w:sz w:val="18"/>
                <w:szCs w:val="18"/>
              </w:rPr>
              <w:t>万股股份转让给正弘置业，占公司总股本的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w:t>
            </w:r>
            <w:r>
              <w:rPr>
                <w:rFonts w:ascii="宋体" w:hAnsi="宋体" w:cs="宋体" w:eastAsia="宋体" w:hint="default"/>
                <w:sz w:val="18"/>
                <w:szCs w:val="18"/>
              </w:rPr>
              <w:t>。此次交易 完成后，正弘置业成为公司的控股股东。</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日，正弘置业与智度</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德普签订股权转让协议，正弘置业将其持有的公司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63,000,000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股股份转让给智度</w:t>
            </w:r>
          </w:p>
          <w:p>
            <w:pPr>
              <w:pStyle w:val="TableParagraph"/>
              <w:spacing w:line="30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德普。本次股权转让完成后，智度德普持有公司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63,000,000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股股份，占公司总股 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宋体" w:hAnsi="宋体" w:cs="宋体" w:eastAsia="宋体" w:hint="default"/>
                <w:sz w:val="18"/>
                <w:szCs w:val="18"/>
              </w:rPr>
              <w:t>，成为公司第一大股东。</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月期间，智度德普通过二 级市场增持了公司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股股份。增持后，智度德普共持有公司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66,180,000 </w:t>
            </w:r>
            <w:r>
              <w:rPr>
                <w:rFonts w:ascii="宋体" w:hAnsi="宋体" w:cs="宋体" w:eastAsia="宋体" w:hint="default"/>
                <w:sz w:val="18"/>
                <w:szCs w:val="18"/>
              </w:rPr>
              <w:t>股股份，占公司已发行股份总数的</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21.04%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年，公司完成发行股份及支付现 金购买资产并募集配套资金暨关联交易事项，本次交易完成后，智度德普持有公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442,074,873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股股份，占公司总股本的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45.78%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4"/>
                <w:sz w:val="18"/>
                <w:szCs w:val="18"/>
              </w:rPr>
              <w:t>日，智度德普与</w:t>
            </w:r>
            <w:r>
              <w:rPr>
                <w:rFonts w:ascii="宋体" w:hAnsi="宋体" w:cs="宋体" w:eastAsia="宋体" w:hint="default"/>
                <w:sz w:val="18"/>
                <w:szCs w:val="18"/>
              </w:rPr>
              <w:t> 西藏旭赢百年投资有限公司（以下简称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西藏旭赢</w:t>
            </w:r>
            <w:r>
              <w:rPr>
                <w:rFonts w:ascii="Times New Roman" w:hAnsi="Times New Roman" w:cs="Times New Roman" w:eastAsia="Times New Roman" w:hint="default"/>
                <w:sz w:val="18"/>
                <w:szCs w:val="18"/>
              </w:rPr>
              <w:t>”</w:t>
            </w:r>
            <w:r>
              <w:rPr>
                <w:rFonts w:ascii="宋体" w:hAnsi="宋体" w:cs="宋体" w:eastAsia="宋体" w:hint="default"/>
                <w:sz w:val="18"/>
                <w:szCs w:val="18"/>
              </w:rPr>
              <w:t>）签署股权转让协议，智度德 普将其持有公司的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万股流通股转让给了西藏旭赢。本次交易完成后，智度德</w:t>
            </w:r>
            <w:r>
              <w:rPr>
                <w:rFonts w:ascii="宋体" w:hAnsi="宋体" w:cs="宋体" w:eastAsia="宋体" w:hint="default"/>
                <w:sz w:val="18"/>
                <w:szCs w:val="18"/>
              </w:rPr>
              <w:t> 普持有公司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379,074,873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股股份，占公司总股本的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39.25%</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号赛特广场十层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65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倪军</w:t>
              <w:tab/>
              <w:t>董阳阳</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7,659,568,013.04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6,373,794,918.71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9" w:right="0"/>
              <w:jc w:val="left"/>
              <w:rPr>
                <w:rFonts w:ascii="Times New Roman" w:hAnsi="Times New Roman" w:cs="Times New Roman" w:eastAsia="Times New Roman" w:hint="default"/>
                <w:sz w:val="18"/>
                <w:szCs w:val="18"/>
              </w:rPr>
            </w:pPr>
            <w:r>
              <w:rPr>
                <w:rFonts w:ascii="Times New Roman"/>
                <w:sz w:val="18"/>
              </w:rPr>
              <w:t>20.17%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2,364,007,200.40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713,430,009.15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527,325,402.70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316,113,821.03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678,814,433.86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472,170,469.26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242,070,025.45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301,192,024.67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-11,123,590.08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2,807.69%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167,544,205.69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0.4552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0.4552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7,889,658,082.27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7,027,309,687.98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6,491,274,490.45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5,863,132,725.34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5,052,735,150.75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4,607,850,605.15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2,111,744,370.72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1,659,854,174.46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1,876,214,824.68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2,011,754,643.18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201,005,883.68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236,176,346.60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143,323,996.47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132,923,782.40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191,091,053.00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227,059,045.45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135,464,210.47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125,200,124.94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-106,850,044.02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204,920,747.93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26,912,082.25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175,919,610.71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-184,397.51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54,259.77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44,213,698.59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9,743,043.99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11,312,483.46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11,728,502.84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35,816,282.17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11,718,734.41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45,317,330.94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19,620,225.64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-332,417.26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-223,823.76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-331,504.59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46,534.55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10,409,547.93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12,984,991.38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1,163,185.02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63,922.72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39,060.00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23,941.88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34,615,575.29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55,154,933.44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74,043,795.58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spacing w:line="285" w:lineRule="auto" w:before="8"/>
        <w:ind w:left="514" w:right="0" w:firstLine="1"/>
        <w:jc w:val="left"/>
        <w:rPr>
          <w:rFonts w:ascii="宋体" w:hAnsi="宋体" w:cs="宋体" w:eastAsia="宋体" w:hint="default"/>
          <w:sz w:val="20"/>
          <w:szCs w:val="20"/>
        </w:rPr>
      </w:pPr>
      <w:r>
        <w:rPr>
          <w:rFonts w:ascii="宋体" w:hAnsi="宋体" w:cs="宋体" w:eastAsia="宋体" w:hint="default"/>
          <w:b/>
          <w:bCs/>
          <w:sz w:val="20"/>
          <w:szCs w:val="20"/>
        </w:rPr>
        <w:t>（一）报告期内公司所从事的主要业务、主要产品及其用途、经营模式</w:t>
      </w:r>
      <w:r>
        <w:rPr>
          <w:rFonts w:ascii="宋体" w:hAnsi="宋体" w:cs="宋体" w:eastAsia="宋体" w:hint="default"/>
          <w:b/>
          <w:bCs/>
          <w:w w:val="99"/>
          <w:sz w:val="20"/>
          <w:szCs w:val="20"/>
        </w:rPr>
        <w:t> </w:t>
      </w:r>
      <w:r>
        <w:rPr>
          <w:rFonts w:ascii="宋体" w:hAnsi="宋体" w:cs="宋体" w:eastAsia="宋体" w:hint="default"/>
          <w:spacing w:val="-1"/>
          <w:sz w:val="20"/>
          <w:szCs w:val="20"/>
        </w:rPr>
        <w:t>智度股份致力于互联网搜索、大数据、</w:t>
      </w:r>
      <w:r>
        <w:rPr>
          <w:rFonts w:ascii="Times New Roman" w:hAnsi="Times New Roman" w:cs="Times New Roman" w:eastAsia="Times New Roman" w:hint="default"/>
          <w:spacing w:val="-1"/>
          <w:sz w:val="20"/>
          <w:szCs w:val="20"/>
        </w:rPr>
        <w:t>AI</w:t>
      </w:r>
      <w:r>
        <w:rPr>
          <w:rFonts w:ascii="宋体" w:hAnsi="宋体" w:cs="宋体" w:eastAsia="宋体" w:hint="default"/>
          <w:spacing w:val="-1"/>
          <w:sz w:val="20"/>
          <w:szCs w:val="20"/>
        </w:rPr>
        <w:t>等技术领域，开发并提供大量基于互联网的产品与服务，现已成</w:t>
      </w:r>
    </w:p>
    <w:p>
      <w:pPr>
        <w:pStyle w:val="Heading7"/>
        <w:spacing w:line="285" w:lineRule="auto"/>
        <w:ind w:right="1168"/>
        <w:jc w:val="both"/>
      </w:pPr>
      <w:r>
        <w:rPr>
          <w:spacing w:val="-1"/>
        </w:rPr>
        <w:t>为全球领先的第三方互联网搜索流量入口公司。报告期内，公司主营业务未发生重大变化，各业务板块协同发</w:t>
      </w:r>
      <w:r>
        <w:rPr>
          <w:spacing w:val="-62"/>
        </w:rPr>
        <w:t> </w:t>
      </w:r>
      <w:r>
        <w:rPr>
          <w:spacing w:val="-62"/>
        </w:rPr>
      </w:r>
      <w:r>
        <w:rPr/>
        <w:t>展，盈利能力显著增长。主要业务和经营模式如下：</w:t>
      </w:r>
    </w:p>
    <w:p>
      <w:pPr>
        <w:pStyle w:val="Heading7"/>
        <w:spacing w:line="240" w:lineRule="auto" w:before="12"/>
        <w:ind w:left="515" w:right="0"/>
        <w:jc w:val="left"/>
      </w:pPr>
      <w:r>
        <w:rPr>
          <w:rFonts w:ascii="Times New Roman" w:hAnsi="Times New Roman" w:cs="Times New Roman" w:eastAsia="Times New Roman" w:hint="default"/>
        </w:rPr>
        <w:t>1</w:t>
      </w:r>
      <w:r>
        <w:rPr/>
        <w:t>、第三方搜索流量入口业务</w:t>
      </w:r>
    </w:p>
    <w:p>
      <w:pPr>
        <w:pStyle w:val="Heading7"/>
        <w:spacing w:line="283" w:lineRule="auto" w:before="35"/>
        <w:ind w:right="0" w:firstLine="361"/>
        <w:jc w:val="left"/>
      </w:pPr>
      <w:r>
        <w:rPr>
          <w:rFonts w:ascii="宋体" w:hAnsi="宋体" w:cs="宋体" w:eastAsia="宋体" w:hint="default"/>
        </w:rPr>
        <w:t>2018</w:t>
      </w:r>
      <w:r>
        <w:rPr/>
        <w:t>年全球搜索业务收入超过</w:t>
      </w:r>
      <w:r>
        <w:rPr>
          <w:rFonts w:ascii="宋体" w:hAnsi="宋体" w:cs="宋体" w:eastAsia="宋体" w:hint="default"/>
        </w:rPr>
        <w:t>1000</w:t>
      </w:r>
      <w:r>
        <w:rPr/>
        <w:t>亿美元，其中通过第三方搜索流量形成搜索业务收入占到约</w:t>
      </w:r>
      <w:r>
        <w:rPr>
          <w:rFonts w:ascii="宋体" w:hAnsi="宋体" w:cs="宋体" w:eastAsia="宋体" w:hint="default"/>
        </w:rPr>
        <w:t>30%</w:t>
      </w:r>
      <w:r>
        <w:rPr/>
        <w:t>。美国</w:t>
      </w:r>
      <w:r>
        <w:rPr>
          <w:spacing w:val="-2"/>
          <w:w w:val="100"/>
        </w:rPr>
        <w:t> </w:t>
      </w:r>
      <w:r>
        <w:rPr>
          <w:rFonts w:ascii="Times New Roman" w:hAnsi="Times New Roman" w:cs="Times New Roman" w:eastAsia="Times New Roman" w:hint="default"/>
        </w:rPr>
        <w:t>Spigot</w:t>
      </w:r>
      <w:r>
        <w:rPr/>
        <w:t>是拥有互联网产品矩阵，以算法和大数据技术为驱动的第三方搜索流量入口公司。</w:t>
      </w:r>
      <w:r>
        <w:rPr>
          <w:rFonts w:ascii="Times New Roman" w:hAnsi="Times New Roman" w:cs="Times New Roman" w:eastAsia="Times New Roman" w:hint="default"/>
        </w:rPr>
        <w:t>Spigot</w:t>
      </w:r>
      <w:r>
        <w:rPr/>
        <w:t>拥有安全软件、</w:t>
      </w:r>
      <w:r>
        <w:rPr>
          <w:w w:val="100"/>
        </w:rPr>
        <w:t> </w:t>
      </w:r>
      <w:r>
        <w:rPr>
          <w:spacing w:val="-2"/>
        </w:rPr>
        <w:t>邮件管理软件、浏览器等系列自主研发的应用产品，通过大数据和算法对发行渠道和产品用户进行多维度分析，</w:t>
      </w:r>
      <w:r>
        <w:rPr>
          <w:spacing w:val="-79"/>
        </w:rPr>
        <w:t> </w:t>
      </w:r>
      <w:r>
        <w:rPr>
          <w:spacing w:val="-79"/>
        </w:rPr>
      </w:r>
      <w:r>
        <w:rPr/>
        <w:t>从而以低成本获取高质量的用户，同时为用户提供搜索入口服务，并将搜索请求分发给雅虎、谷歌、必应等，</w:t>
      </w:r>
      <w:r>
        <w:rPr>
          <w:w w:val="100"/>
        </w:rPr>
        <w:t> </w:t>
      </w:r>
      <w:r>
        <w:rPr/>
        <w:t>从而获得可观的商业变现收入。</w:t>
      </w:r>
    </w:p>
    <w:p>
      <w:pPr>
        <w:pStyle w:val="Heading7"/>
        <w:spacing w:line="271" w:lineRule="auto" w:before="14"/>
        <w:ind w:left="515" w:right="0"/>
        <w:jc w:val="left"/>
      </w:pPr>
      <w:r>
        <w:rPr>
          <w:rFonts w:ascii="Times New Roman" w:hAnsi="Times New Roman" w:cs="Times New Roman" w:eastAsia="Times New Roman" w:hint="default"/>
        </w:rPr>
        <w:t>2</w:t>
      </w:r>
      <w:r>
        <w:rPr/>
        <w:t>、移动广告联盟业务</w:t>
      </w:r>
      <w:r>
        <w:rPr>
          <w:w w:val="100"/>
        </w:rPr>
        <w:t> </w:t>
      </w:r>
      <w:r>
        <w:rPr>
          <w:spacing w:val="-3"/>
        </w:rPr>
        <w:t>猎鹰移动广告联盟（</w:t>
      </w:r>
      <w:r>
        <w:rPr>
          <w:rFonts w:ascii="Times New Roman" w:hAnsi="Times New Roman" w:cs="Times New Roman" w:eastAsia="Times New Roman" w:hint="default"/>
          <w:spacing w:val="-3"/>
        </w:rPr>
        <w:t>FMOBI</w:t>
      </w:r>
      <w:r>
        <w:rPr>
          <w:spacing w:val="-3"/>
        </w:rPr>
        <w:t>）具有国内领先的</w:t>
      </w:r>
      <w:r>
        <w:rPr>
          <w:rFonts w:ascii="Times New Roman" w:hAnsi="Times New Roman" w:cs="Times New Roman" w:eastAsia="Times New Roman" w:hint="default"/>
          <w:spacing w:val="-3"/>
        </w:rPr>
        <w:t>SSP</w:t>
      </w:r>
      <w:r>
        <w:rPr>
          <w:spacing w:val="-3"/>
        </w:rPr>
        <w:t>等技术处理能力，通过自有产品和第三方产品聚合并承载</w:t>
      </w:r>
    </w:p>
    <w:p>
      <w:pPr>
        <w:pStyle w:val="Heading7"/>
        <w:spacing w:line="271" w:lineRule="auto" w:before="6"/>
        <w:ind w:right="1130"/>
        <w:jc w:val="both"/>
      </w:pPr>
      <w:r>
        <w:rPr>
          <w:spacing w:val="-1"/>
        </w:rPr>
        <w:t>庞大的优质中长尾流量</w:t>
      </w:r>
      <w:r>
        <w:rPr>
          <w:rFonts w:ascii="Times New Roman" w:hAnsi="Times New Roman" w:cs="Times New Roman" w:eastAsia="Times New Roman" w:hint="default"/>
          <w:spacing w:val="-1"/>
        </w:rPr>
        <w:t>/</w:t>
      </w:r>
      <w:r>
        <w:rPr>
          <w:spacing w:val="-1"/>
        </w:rPr>
        <w:t>精品流量，基于大数据分析技术进行实时信息处理，提供丰富的用户画像标签和精准定</w:t>
      </w:r>
      <w:r>
        <w:rPr>
          <w:spacing w:val="-81"/>
        </w:rPr>
        <w:t> </w:t>
      </w:r>
      <w:r>
        <w:rPr>
          <w:spacing w:val="-81"/>
        </w:rPr>
      </w:r>
      <w:r>
        <w:rPr/>
        <w:t>向，为客户提供高效、快捷、受众精准的一站式服务，同时帮助媒体以更加高效的形式实现流量变现最大化。</w:t>
      </w:r>
    </w:p>
    <w:p>
      <w:pPr>
        <w:pStyle w:val="Heading7"/>
        <w:spacing w:line="271" w:lineRule="auto" w:before="24"/>
        <w:ind w:left="515" w:right="0"/>
        <w:jc w:val="left"/>
      </w:pPr>
      <w:r>
        <w:rPr>
          <w:rFonts w:ascii="Times New Roman" w:hAnsi="Times New Roman" w:cs="Times New Roman" w:eastAsia="Times New Roman" w:hint="default"/>
        </w:rPr>
        <w:t>3</w:t>
      </w:r>
      <w:r>
        <w:rPr/>
        <w:t>、数字营销业务</w:t>
      </w:r>
      <w:r>
        <w:rPr>
          <w:w w:val="100"/>
        </w:rPr>
        <w:t> </w:t>
      </w:r>
      <w:r>
        <w:rPr>
          <w:spacing w:val="-2"/>
        </w:rPr>
        <w:t>主要包括整合营销、实效营销和信息流业务。智度亦复是腾讯广点通、百度、阿里神马、爱奇艺、</w:t>
      </w:r>
      <w:r>
        <w:rPr>
          <w:rFonts w:ascii="Times New Roman" w:hAnsi="Times New Roman" w:cs="Times New Roman" w:eastAsia="Times New Roman" w:hint="default"/>
          <w:spacing w:val="-2"/>
        </w:rPr>
        <w:t>360</w:t>
      </w:r>
      <w:r>
        <w:rPr>
          <w:spacing w:val="-2"/>
        </w:rPr>
        <w:t>和搜</w:t>
      </w:r>
    </w:p>
    <w:p>
      <w:pPr>
        <w:pStyle w:val="Heading7"/>
        <w:spacing w:line="271" w:lineRule="auto" w:before="6"/>
        <w:ind w:right="0"/>
        <w:jc w:val="left"/>
      </w:pPr>
      <w:r>
        <w:rPr>
          <w:spacing w:val="-4"/>
        </w:rPr>
        <w:t>狗搜索的核心代理商，并取得了</w:t>
      </w:r>
      <w:r>
        <w:rPr>
          <w:rFonts w:ascii="Times New Roman" w:hAnsi="Times New Roman" w:cs="Times New Roman" w:eastAsia="Times New Roman" w:hint="default"/>
          <w:spacing w:val="-4"/>
        </w:rPr>
        <w:t>VIVO</w:t>
      </w:r>
      <w:r>
        <w:rPr>
          <w:spacing w:val="-4"/>
        </w:rPr>
        <w:t>、小米、一点资讯等硬核媒体厂商的核心代理资质，为金融、游戏、快消、</w:t>
      </w:r>
      <w:r>
        <w:rPr>
          <w:spacing w:val="-76"/>
        </w:rPr>
        <w:t> </w:t>
      </w:r>
      <w:r>
        <w:rPr>
          <w:spacing w:val="-76"/>
        </w:rPr>
      </w:r>
      <w:r>
        <w:rPr/>
        <w:t>汽车、旅游、家电等行业的品牌广告主提供营销服务。</w:t>
      </w:r>
    </w:p>
    <w:p>
      <w:pPr>
        <w:pStyle w:val="Heading7"/>
        <w:spacing w:line="271" w:lineRule="auto" w:before="24"/>
        <w:ind w:left="515" w:right="1118"/>
        <w:jc w:val="left"/>
      </w:pPr>
      <w:r>
        <w:rPr>
          <w:rFonts w:ascii="Times New Roman" w:hAnsi="Times New Roman" w:cs="Times New Roman" w:eastAsia="Times New Roman" w:hint="default"/>
        </w:rPr>
        <w:t>4</w:t>
      </w:r>
      <w:r>
        <w:rPr/>
        <w:t>、其他业务</w:t>
      </w:r>
      <w:r>
        <w:rPr>
          <w:w w:val="100"/>
        </w:rPr>
        <w:t> </w:t>
      </w:r>
      <w:r>
        <w:rPr>
          <w:spacing w:val="-1"/>
        </w:rPr>
        <w:t>公司在逐步布局互联网产业服务业务，形成了以互联网金融业务和游戏业务为主的第三块业务布局。公司</w:t>
      </w:r>
    </w:p>
    <w:p>
      <w:pPr>
        <w:pStyle w:val="Heading7"/>
        <w:spacing w:line="285" w:lineRule="auto" w:before="24"/>
        <w:ind w:right="1169"/>
        <w:jc w:val="both"/>
      </w:pPr>
      <w:r>
        <w:rPr>
          <w:spacing w:val="-1"/>
        </w:rPr>
        <w:t>依托互联网广告传媒，通过与产业链上下游客户合作，为广大中小微企业、商户、个人等提供优质的普惠金融</w:t>
      </w:r>
      <w:r>
        <w:rPr>
          <w:spacing w:val="-63"/>
        </w:rPr>
        <w:t> </w:t>
      </w:r>
      <w:r>
        <w:rPr>
          <w:spacing w:val="-63"/>
        </w:rPr>
      </w:r>
      <w:r>
        <w:rPr>
          <w:spacing w:val="-1"/>
        </w:rPr>
        <w:t>服务，助力公司对全产业链的优化整合。同时，随着公司业务需求的快速增长，为更好的满足客户需求，服务</w:t>
      </w:r>
      <w:r>
        <w:rPr>
          <w:spacing w:val="-63"/>
        </w:rPr>
        <w:t> </w:t>
      </w:r>
      <w:r>
        <w:rPr>
          <w:spacing w:val="-63"/>
        </w:rPr>
      </w:r>
      <w:r>
        <w:rPr>
          <w:spacing w:val="-1"/>
        </w:rPr>
        <w:t>各大媒体、广告主，开辟公司新的业务增长点，公司成立保险经纪公司，力争从媒体、客户的需求出发，量身</w:t>
      </w:r>
      <w:r>
        <w:rPr>
          <w:spacing w:val="-63"/>
        </w:rPr>
        <w:t> </w:t>
      </w:r>
      <w:r>
        <w:rPr>
          <w:spacing w:val="-63"/>
        </w:rPr>
      </w:r>
      <w:r>
        <w:rPr/>
        <w:t>设计保险产品方案，与客户的保险数字营销形成协同效应，更好为客户提供各项服务。</w:t>
      </w:r>
    </w:p>
    <w:p>
      <w:pPr>
        <w:pStyle w:val="Heading6"/>
        <w:spacing w:line="240" w:lineRule="auto" w:before="12"/>
        <w:ind w:right="0"/>
        <w:jc w:val="left"/>
        <w:rPr>
          <w:b w:val="0"/>
          <w:bCs w:val="0"/>
        </w:rPr>
      </w:pPr>
      <w:r>
        <w:rPr/>
        <w:t>（二）主要的业绩驱动因素</w:t>
      </w:r>
      <w:r>
        <w:rPr>
          <w:b w:val="0"/>
          <w:bCs w:val="0"/>
        </w:rPr>
      </w:r>
    </w:p>
    <w:p>
      <w:pPr>
        <w:pStyle w:val="Heading7"/>
        <w:spacing w:line="271" w:lineRule="auto" w:before="50"/>
        <w:ind w:left="514" w:right="0"/>
        <w:jc w:val="left"/>
      </w:pPr>
      <w:r>
        <w:rPr>
          <w:rFonts w:ascii="Times New Roman" w:hAnsi="Times New Roman" w:cs="Times New Roman" w:eastAsia="Times New Roman" w:hint="default"/>
        </w:rPr>
        <w:t>1</w:t>
      </w:r>
      <w:r>
        <w:rPr/>
        <w:t>、技术驱动优势是公司业务发展的核心竞争力</w:t>
      </w:r>
      <w:r>
        <w:rPr>
          <w:w w:val="100"/>
        </w:rPr>
        <w:t> </w:t>
      </w:r>
      <w:r>
        <w:rPr>
          <w:spacing w:val="-1"/>
        </w:rPr>
        <w:t>公司通过将产品研发、大数据技术、</w:t>
      </w:r>
      <w:r>
        <w:rPr>
          <w:rFonts w:ascii="Times New Roman" w:hAnsi="Times New Roman" w:cs="Times New Roman" w:eastAsia="Times New Roman" w:hint="default"/>
          <w:spacing w:val="-1"/>
        </w:rPr>
        <w:t>AI</w:t>
      </w:r>
      <w:r>
        <w:rPr>
          <w:spacing w:val="-1"/>
        </w:rPr>
        <w:t>算法和媒体优化经验、出众的分析能力相结合，不断研究并逐步运</w:t>
      </w:r>
    </w:p>
    <w:p>
      <w:pPr>
        <w:pStyle w:val="Heading7"/>
        <w:spacing w:line="278" w:lineRule="auto" w:before="6"/>
        <w:ind w:right="1168"/>
        <w:jc w:val="both"/>
      </w:pPr>
      <w:r>
        <w:rPr>
          <w:spacing w:val="-1"/>
        </w:rPr>
        <w:t>用到业务中，通过已承载数据优势，提升服务效率和质量，降低运营成本，打造差异化竞争优势，加强流量入</w:t>
      </w:r>
      <w:r>
        <w:rPr>
          <w:spacing w:val="-63"/>
        </w:rPr>
        <w:t> </w:t>
      </w:r>
      <w:r>
        <w:rPr>
          <w:spacing w:val="-63"/>
        </w:rPr>
      </w:r>
      <w:r>
        <w:rPr>
          <w:spacing w:val="-1"/>
        </w:rPr>
        <w:t>口的布局，使得从底层流量入口</w:t>
      </w:r>
      <w:r>
        <w:rPr>
          <w:rFonts w:ascii="Times New Roman" w:hAnsi="Times New Roman" w:cs="Times New Roman" w:eastAsia="Times New Roman" w:hint="default"/>
          <w:spacing w:val="-1"/>
        </w:rPr>
        <w:t>—</w:t>
      </w:r>
      <w:r>
        <w:rPr>
          <w:spacing w:val="-1"/>
        </w:rPr>
        <w:t>流量经营平台</w:t>
      </w:r>
      <w:r>
        <w:rPr>
          <w:rFonts w:ascii="Times New Roman" w:hAnsi="Times New Roman" w:cs="Times New Roman" w:eastAsia="Times New Roman" w:hint="default"/>
          <w:spacing w:val="-1"/>
        </w:rPr>
        <w:t>—</w:t>
      </w:r>
      <w:r>
        <w:rPr>
          <w:spacing w:val="-1"/>
        </w:rPr>
        <w:t>商业变现渠道的移动互联网流量聚合和经营的产业链协同效</w:t>
      </w:r>
      <w:r>
        <w:rPr>
          <w:spacing w:val="-63"/>
        </w:rPr>
        <w:t> </w:t>
      </w:r>
      <w:r>
        <w:rPr>
          <w:spacing w:val="-63"/>
        </w:rPr>
      </w:r>
      <w:r>
        <w:rPr/>
        <w:t>应更加明显。</w:t>
      </w:r>
    </w:p>
    <w:p>
      <w:pPr>
        <w:pStyle w:val="Heading7"/>
        <w:spacing w:line="271" w:lineRule="auto" w:before="18"/>
        <w:ind w:left="514" w:right="0"/>
        <w:jc w:val="left"/>
      </w:pPr>
      <w:r>
        <w:rPr>
          <w:rFonts w:ascii="Times New Roman" w:hAnsi="Times New Roman" w:cs="Times New Roman" w:eastAsia="Times New Roman" w:hint="default"/>
        </w:rPr>
        <w:t>2</w:t>
      </w:r>
      <w:r>
        <w:rPr/>
        <w:t>、优质的客户资源是公司业绩提升的有力保障</w:t>
      </w:r>
      <w:r>
        <w:rPr>
          <w:w w:val="100"/>
        </w:rPr>
        <w:t> </w:t>
      </w:r>
      <w:r>
        <w:rPr>
          <w:spacing w:val="-1"/>
        </w:rPr>
        <w:t>公司在长期的运营中，积累了大量的大型、优质客户，并与大型、优质客户建立长期、稳定的合作关系。</w:t>
      </w:r>
    </w:p>
    <w:p>
      <w:pPr>
        <w:pStyle w:val="Heading7"/>
        <w:spacing w:line="285" w:lineRule="auto" w:before="24"/>
        <w:ind w:right="1169"/>
        <w:jc w:val="both"/>
      </w:pPr>
      <w:r>
        <w:rPr>
          <w:spacing w:val="-1"/>
        </w:rPr>
        <w:t>大型、优质客户往往实力强、信誉好、知名度高、抗风险能力强，客户预算规模较大且持续、稳定增加。在巩</w:t>
      </w:r>
      <w:r>
        <w:rPr>
          <w:spacing w:val="-63"/>
        </w:rPr>
        <w:t> </w:t>
      </w:r>
      <w:r>
        <w:rPr>
          <w:spacing w:val="-63"/>
        </w:rPr>
      </w:r>
      <w:r>
        <w:rPr>
          <w:spacing w:val="-1"/>
        </w:rPr>
        <w:t>固既有核心客户合作基础上深度挖掘需求潜能，随着公司技术优势的不断显现和服务水平的持续提高，客户黏</w:t>
      </w:r>
      <w:r>
        <w:rPr>
          <w:spacing w:val="-63"/>
        </w:rPr>
        <w:t> </w:t>
      </w:r>
      <w:r>
        <w:rPr>
          <w:spacing w:val="-63"/>
        </w:rPr>
      </w:r>
      <w:r>
        <w:rPr/>
        <w:t>性不断增强，公司业务规模不断扩大，无疑会是公司业绩提升的有力保障。</w:t>
      </w:r>
    </w:p>
    <w:p>
      <w:pPr>
        <w:pStyle w:val="Heading7"/>
        <w:spacing w:line="240" w:lineRule="auto" w:before="12"/>
        <w:ind w:left="514" w:right="0"/>
        <w:jc w:val="left"/>
      </w:pPr>
      <w:r>
        <w:rPr>
          <w:rFonts w:ascii="Times New Roman" w:hAnsi="Times New Roman" w:cs="Times New Roman" w:eastAsia="Times New Roman" w:hint="default"/>
        </w:rPr>
        <w:t>3</w:t>
      </w:r>
      <w:r>
        <w:rPr/>
        <w:t>、品牌效应的提升为公司业务发展提供了强劲动力</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7"/>
        <w:spacing w:line="285" w:lineRule="auto" w:before="38"/>
        <w:ind w:right="1168" w:firstLine="360"/>
        <w:jc w:val="both"/>
      </w:pPr>
      <w:r>
        <w:rPr/>
        <w:t>上市公司各业务主体在各自经营的移动互联网细分领域均具有较强的影响力，在移动互联网业务领域中具</w:t>
      </w:r>
      <w:r>
        <w:rPr>
          <w:w w:val="100"/>
        </w:rPr>
        <w:t> </w:t>
      </w:r>
      <w:r>
        <w:rPr>
          <w:spacing w:val="-1"/>
        </w:rPr>
        <w:t>有多年业务经验，具有稳定的优质客户资源。在深度整合后，依托于算法、大数据等技术优势，将产品和服务</w:t>
      </w:r>
      <w:r>
        <w:rPr>
          <w:spacing w:val="-63"/>
        </w:rPr>
        <w:t> </w:t>
      </w:r>
      <w:r>
        <w:rPr>
          <w:spacing w:val="-63"/>
        </w:rPr>
      </w:r>
      <w:r>
        <w:rPr>
          <w:spacing w:val="-1"/>
        </w:rPr>
        <w:t>相结合、内容和创意相融合，为客户提供定制化、整合、一站式的服务，进一步提升公司品牌影响力，提高公</w:t>
      </w:r>
      <w:r>
        <w:rPr>
          <w:spacing w:val="-62"/>
        </w:rPr>
        <w:t> </w:t>
      </w:r>
      <w:r>
        <w:rPr>
          <w:spacing w:val="-62"/>
        </w:rPr>
      </w:r>
      <w:r>
        <w:rPr>
          <w:spacing w:val="-1"/>
        </w:rPr>
        <w:t>司核心竞争力，同时推动公司业绩不断增长。公司凭借多年累积的行业经验和全面的服务能力，在行业内逐渐</w:t>
      </w:r>
      <w:r>
        <w:rPr>
          <w:spacing w:val="-63"/>
        </w:rPr>
        <w:t> </w:t>
      </w:r>
      <w:r>
        <w:rPr>
          <w:spacing w:val="-63"/>
        </w:rPr>
      </w:r>
      <w:r>
        <w:rPr>
          <w:spacing w:val="-1"/>
        </w:rPr>
        <w:t>形成了良好的口碑和极高的品牌知名度。作为行业的领导者，公司拥有超高的市场占有率、强大的市场定价和</w:t>
      </w:r>
      <w:r>
        <w:rPr>
          <w:spacing w:val="-63"/>
        </w:rPr>
        <w:t> </w:t>
      </w:r>
      <w:r>
        <w:rPr>
          <w:spacing w:val="-63"/>
        </w:rPr>
      </w:r>
      <w:r>
        <w:rPr/>
        <w:t>议价能力，充分地把握着行业市场的主导权。</w:t>
      </w:r>
    </w:p>
    <w:p>
      <w:pPr>
        <w:spacing w:line="240" w:lineRule="auto" w:before="10"/>
        <w:rPr>
          <w:rFonts w:ascii="宋体" w:hAnsi="宋体" w:cs="宋体" w:eastAsia="宋体" w:hint="default"/>
          <w:sz w:val="24"/>
          <w:szCs w:val="24"/>
        </w:rPr>
      </w:pPr>
    </w:p>
    <w:p>
      <w:pPr>
        <w:pStyle w:val="Heading6"/>
        <w:spacing w:line="240" w:lineRule="auto"/>
        <w:ind w:right="0"/>
        <w:jc w:val="left"/>
        <w:rPr>
          <w:rFonts w:ascii="宋体" w:hAnsi="宋体" w:cs="宋体" w:eastAsia="宋体" w:hint="default"/>
          <w:b w:val="0"/>
          <w:bCs w:val="0"/>
          <w:sz w:val="10"/>
          <w:szCs w:val="10"/>
        </w:rPr>
      </w:pPr>
      <w:r>
        <w:rPr/>
        <w:t>（三）报告期内公司所属行业的发展阶段以及公司所处的行业地位</w:t>
      </w:r>
      <w:r>
        <w:rPr>
          <w:rFonts w:ascii="宋体" w:hAnsi="宋体" w:cs="宋体" w:eastAsia="宋体" w:hint="default"/>
          <w:position w:val="10"/>
          <w:sz w:val="10"/>
          <w:szCs w:val="10"/>
        </w:rPr>
        <w:t>1</w:t>
      </w:r>
      <w:r>
        <w:rPr>
          <w:rFonts w:ascii="宋体" w:hAnsi="宋体" w:cs="宋体" w:eastAsia="宋体" w:hint="default"/>
          <w:b w:val="0"/>
          <w:bCs w:val="0"/>
          <w:sz w:val="10"/>
          <w:szCs w:val="10"/>
        </w:rPr>
      </w:r>
    </w:p>
    <w:p>
      <w:pPr>
        <w:pStyle w:val="Heading7"/>
        <w:spacing w:line="240" w:lineRule="auto" w:before="50"/>
        <w:ind w:left="514" w:right="0"/>
        <w:jc w:val="left"/>
      </w:pPr>
      <w:r>
        <w:rPr>
          <w:rFonts w:ascii="Times New Roman" w:hAnsi="Times New Roman" w:cs="Times New Roman" w:eastAsia="Times New Roman" w:hint="default"/>
        </w:rPr>
        <w:t>1</w:t>
      </w:r>
      <w:r>
        <w:rPr/>
        <w:t>、互联网行业的发展阶段</w:t>
      </w:r>
    </w:p>
    <w:p>
      <w:pPr>
        <w:pStyle w:val="Heading7"/>
        <w:spacing w:line="273" w:lineRule="auto" w:before="35"/>
        <w:ind w:right="1028" w:firstLine="360"/>
        <w:jc w:val="left"/>
      </w:pPr>
      <w:r>
        <w:rPr>
          <w:rFonts w:ascii="Times New Roman" w:hAnsi="Times New Roman" w:cs="Times New Roman" w:eastAsia="Times New Roman" w:hint="default"/>
          <w:spacing w:val="-3"/>
        </w:rPr>
        <w:t>2018</w:t>
      </w:r>
      <w:r>
        <w:rPr>
          <w:spacing w:val="-3"/>
        </w:rPr>
        <w:t>年是决胜全面建成小康社会、实施</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规划承上启下的关键一年，经过多年的高速发展，中国的互</w:t>
      </w:r>
      <w:r>
        <w:rPr>
          <w:w w:val="100"/>
        </w:rPr>
        <w:t> </w:t>
      </w:r>
      <w:r>
        <w:rPr>
          <w:spacing w:val="-4"/>
        </w:rPr>
        <w:t>联网行业逐渐走向成熟，不断开创新局面，网络空间日渐清朗，网络覆盖范围逐步扩大，</w:t>
      </w:r>
      <w:r>
        <w:rPr>
          <w:spacing w:val="-32"/>
        </w:rPr>
        <w:t> </w:t>
      </w:r>
      <w:r>
        <w:rPr/>
        <w:t>入网门槛进一步降低，</w:t>
      </w:r>
      <w:r>
        <w:rPr>
          <w:spacing w:val="-89"/>
        </w:rPr>
        <w:t> </w:t>
      </w:r>
      <w:r>
        <w:rPr>
          <w:spacing w:val="-89"/>
        </w:rPr>
      </w:r>
      <w:r>
        <w:rPr/>
        <w:t>信息化成果惠及亿万人民，网络安全保障能力不断曾强。随着</w:t>
      </w:r>
      <w:r>
        <w:rPr>
          <w:rFonts w:ascii="Times New Roman" w:hAnsi="Times New Roman" w:cs="Times New Roman" w:eastAsia="Times New Roman" w:hint="default"/>
        </w:rPr>
        <w:t>“</w:t>
      </w:r>
      <w:r>
        <w:rPr/>
        <w:t>网络覆盖工程</w:t>
      </w:r>
      <w:r>
        <w:rPr>
          <w:rFonts w:ascii="Times New Roman" w:hAnsi="Times New Roman" w:cs="Times New Roman" w:eastAsia="Times New Roman" w:hint="default"/>
        </w:rPr>
        <w:t>”</w:t>
      </w:r>
      <w:r>
        <w:rPr/>
        <w:t>加速实施，更多居民用得上互联</w:t>
      </w:r>
      <w:r>
        <w:rPr>
          <w:w w:val="100"/>
        </w:rPr>
        <w:t> </w:t>
      </w:r>
      <w:r>
        <w:rPr>
          <w:spacing w:val="2"/>
        </w:rPr>
        <w:t>网。截至 </w:t>
      </w:r>
      <w:r>
        <w:rPr>
          <w:rFonts w:ascii="Times New Roman" w:hAnsi="Times New Roman" w:cs="Times New Roman" w:eastAsia="Times New Roman" w:hint="default"/>
        </w:rPr>
        <w:t>2018 </w:t>
      </w:r>
      <w:r>
        <w:rPr/>
        <w:t>年第三季度末，全国行政村通光纤比例达到 </w:t>
      </w:r>
      <w:r>
        <w:rPr>
          <w:rFonts w:ascii="Times New Roman" w:hAnsi="Times New Roman" w:cs="Times New Roman" w:eastAsia="Times New Roman" w:hint="default"/>
          <w:spacing w:val="-6"/>
        </w:rPr>
        <w:t>96%</w:t>
      </w:r>
      <w:r>
        <w:rPr>
          <w:spacing w:val="-6"/>
        </w:rPr>
        <w:t>，贫困村通宽带比例超过 </w:t>
      </w:r>
      <w:r>
        <w:rPr>
          <w:rFonts w:ascii="Times New Roman" w:hAnsi="Times New Roman" w:cs="Times New Roman" w:eastAsia="Times New Roman" w:hint="default"/>
          <w:spacing w:val="-7"/>
        </w:rPr>
        <w:t>94%</w:t>
      </w:r>
      <w:r>
        <w:rPr>
          <w:spacing w:val="-7"/>
        </w:rPr>
        <w:t>，已提前实现</w:t>
      </w:r>
      <w:r>
        <w:rPr>
          <w:rFonts w:ascii="Times New Roman" w:hAnsi="Times New Roman" w:cs="Times New Roman" w:eastAsia="Times New Roman" w:hint="default"/>
          <w:spacing w:val="-7"/>
        </w:rPr>
        <w:t>“</w:t>
      </w:r>
      <w:r>
        <w:rPr>
          <w:spacing w:val="-7"/>
        </w:rPr>
        <w:t>宽</w:t>
      </w:r>
      <w:r>
        <w:rPr>
          <w:spacing w:val="-94"/>
        </w:rPr>
        <w:t> </w:t>
      </w:r>
      <w:r>
        <w:rPr/>
        <w:t>带网络覆盖 </w:t>
      </w:r>
      <w:r>
        <w:rPr>
          <w:rFonts w:ascii="Times New Roman" w:hAnsi="Times New Roman" w:cs="Times New Roman" w:eastAsia="Times New Roman" w:hint="default"/>
        </w:rPr>
        <w:t>90%</w:t>
      </w:r>
      <w:r>
        <w:rPr/>
        <w:t>以上贫困村</w:t>
      </w:r>
      <w:r>
        <w:rPr>
          <w:rFonts w:ascii="Times New Roman" w:hAnsi="Times New Roman" w:cs="Times New Roman" w:eastAsia="Times New Roman" w:hint="default"/>
        </w:rPr>
        <w:t>” </w:t>
      </w:r>
      <w:r>
        <w:rPr/>
        <w:t>的发展目标，</w:t>
      </w:r>
      <w:r>
        <w:rPr>
          <w:spacing w:val="-44"/>
        </w:rPr>
        <w:t> </w:t>
      </w:r>
      <w:r>
        <w:rPr>
          <w:spacing w:val="-5"/>
        </w:rPr>
        <w:t>更多居民用网需求得到保障。根据中国互联网络信息中心（</w:t>
      </w:r>
      <w:r>
        <w:rPr>
          <w:rFonts w:ascii="Times New Roman" w:hAnsi="Times New Roman" w:cs="Times New Roman" w:eastAsia="Times New Roman" w:hint="default"/>
          <w:spacing w:val="-5"/>
        </w:rPr>
        <w:t>CNNIC</w:t>
      </w:r>
      <w:r>
        <w:rPr>
          <w:spacing w:val="-5"/>
        </w:rPr>
        <w:t>）</w:t>
      </w:r>
    </w:p>
    <w:p>
      <w:pPr>
        <w:pStyle w:val="Heading7"/>
        <w:spacing w:line="271" w:lineRule="auto" w:before="4"/>
        <w:ind w:right="0"/>
        <w:jc w:val="left"/>
      </w:pPr>
      <w:r>
        <w:rPr>
          <w:spacing w:val="-2"/>
        </w:rPr>
        <w:t>《中国互联网络发展状况统计报告》（以下简称</w:t>
      </w:r>
      <w:r>
        <w:rPr>
          <w:rFonts w:ascii="Times New Roman" w:hAnsi="Times New Roman" w:cs="Times New Roman" w:eastAsia="Times New Roman" w:hint="default"/>
          <w:spacing w:val="-2"/>
        </w:rPr>
        <w:t>“</w:t>
      </w:r>
      <w:r>
        <w:rPr>
          <w:spacing w:val="-2"/>
        </w:rPr>
        <w:t>《中国互联网络发展报告》</w:t>
      </w:r>
      <w:r>
        <w:rPr>
          <w:rFonts w:ascii="Times New Roman" w:hAnsi="Times New Roman" w:cs="Times New Roman" w:eastAsia="Times New Roman" w:hint="default"/>
          <w:spacing w:val="-2"/>
        </w:rPr>
        <w:t>”</w:t>
      </w:r>
      <w:r>
        <w:rPr>
          <w:spacing w:val="-2"/>
        </w:rPr>
        <w:t>）的数据显示，截至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spacing w:val="-49"/>
        </w:rPr>
        <w:t> </w:t>
      </w:r>
      <w:r>
        <w:rPr/>
        <w:t>我国网民规模达</w:t>
      </w:r>
      <w:r>
        <w:rPr>
          <w:rFonts w:ascii="Times New Roman" w:hAnsi="Times New Roman" w:cs="Times New Roman" w:eastAsia="Times New Roman" w:hint="default"/>
        </w:rPr>
        <w:t>8.29</w:t>
      </w:r>
      <w:r>
        <w:rPr/>
        <w:t>亿，普及率达</w:t>
      </w:r>
      <w:r>
        <w:rPr>
          <w:rFonts w:ascii="Times New Roman" w:hAnsi="Times New Roman" w:cs="Times New Roman" w:eastAsia="Times New Roman" w:hint="default"/>
        </w:rPr>
        <w:t>59.6%</w:t>
      </w:r>
      <w:r>
        <w:rPr/>
        <w:t>，较</w:t>
      </w:r>
      <w:r>
        <w:rPr>
          <w:rFonts w:ascii="Times New Roman" w:hAnsi="Times New Roman" w:cs="Times New Roman" w:eastAsia="Times New Roman" w:hint="default"/>
        </w:rPr>
        <w:t>2017</w:t>
      </w:r>
      <w:r>
        <w:rPr/>
        <w:t>年底提升</w:t>
      </w:r>
      <w:r>
        <w:rPr>
          <w:rFonts w:ascii="Times New Roman" w:hAnsi="Times New Roman" w:cs="Times New Roman" w:eastAsia="Times New Roman" w:hint="default"/>
        </w:rPr>
        <w:t>3.8</w:t>
      </w:r>
      <w:r>
        <w:rPr/>
        <w:t>个百分点，全年新增网民</w:t>
      </w:r>
      <w:r>
        <w:rPr>
          <w:rFonts w:ascii="Times New Roman" w:hAnsi="Times New Roman" w:cs="Times New Roman" w:eastAsia="Times New Roman" w:hint="default"/>
        </w:rPr>
        <w:t>5653</w:t>
      </w:r>
      <w:r>
        <w:rPr/>
        <w:t>万，</w:t>
      </w:r>
    </w:p>
    <w:p>
      <w:pPr>
        <w:spacing w:line="240" w:lineRule="auto" w:before="0"/>
        <w:rPr>
          <w:rFonts w:ascii="宋体" w:hAnsi="宋体" w:cs="宋体" w:eastAsia="宋体" w:hint="default"/>
          <w:sz w:val="5"/>
          <w:szCs w:val="5"/>
        </w:rPr>
      </w:pPr>
    </w:p>
    <w:p>
      <w:pPr>
        <w:spacing w:line="4258" w:lineRule="exact"/>
        <w:ind w:left="51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68610" cy="270433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68610" cy="2704338"/>
                    </a:xfrm>
                    <a:prstGeom prst="rect">
                      <a:avLst/>
                    </a:prstGeom>
                  </pic:spPr>
                </pic:pic>
              </a:graphicData>
            </a:graphic>
          </wp:inline>
        </w:drawing>
      </w:r>
      <w:r>
        <w:rPr>
          <w:rFonts w:ascii="宋体" w:hAnsi="宋体" w:cs="宋体" w:eastAsia="宋体" w:hint="default"/>
          <w:position w:val="-84"/>
          <w:sz w:val="20"/>
          <w:szCs w:val="20"/>
        </w:rPr>
      </w:r>
    </w:p>
    <w:p>
      <w:pPr>
        <w:pStyle w:val="Heading7"/>
        <w:spacing w:line="271" w:lineRule="auto" w:before="51"/>
        <w:ind w:left="514" w:right="1126"/>
        <w:jc w:val="left"/>
      </w:pPr>
      <w:r>
        <w:rPr/>
        <w:t>注：以上图表来自中国互联网络信息中心（</w:t>
      </w:r>
      <w:r>
        <w:rPr>
          <w:rFonts w:ascii="Times New Roman" w:hAnsi="Times New Roman" w:cs="Times New Roman" w:eastAsia="Times New Roman" w:hint="default"/>
        </w:rPr>
        <w:t>CNNIC</w:t>
      </w:r>
      <w:r>
        <w:rPr/>
        <w:t>）《中国互联网络发展状况统计报告》</w:t>
      </w:r>
      <w:r>
        <w:rPr>
          <w:w w:val="100"/>
        </w:rPr>
        <w:t> </w:t>
      </w:r>
      <w:r>
        <w:rPr/>
        <w:t>在移动端方面，互联网</w:t>
      </w:r>
      <w:r>
        <w:rPr>
          <w:rFonts w:ascii="Times New Roman" w:hAnsi="Times New Roman" w:cs="Times New Roman" w:eastAsia="Times New Roman" w:hint="default"/>
        </w:rPr>
        <w:t>“</w:t>
      </w:r>
      <w:r>
        <w:rPr/>
        <w:t>提速降费</w:t>
      </w:r>
      <w:r>
        <w:rPr>
          <w:rFonts w:ascii="Times New Roman" w:hAnsi="Times New Roman" w:cs="Times New Roman" w:eastAsia="Times New Roman" w:hint="default"/>
        </w:rPr>
        <w:t>” </w:t>
      </w:r>
      <w:r>
        <w:rPr/>
        <w:t>工作取得实质性进展，</w:t>
      </w:r>
      <w:r>
        <w:rPr>
          <w:spacing w:val="-62"/>
        </w:rPr>
        <w:t> </w:t>
      </w:r>
      <w:r>
        <w:rPr/>
        <w:t>更多居民用得起互联网。国内电信运营商落实相</w:t>
      </w:r>
    </w:p>
    <w:p>
      <w:pPr>
        <w:pStyle w:val="Heading7"/>
        <w:spacing w:line="271" w:lineRule="auto" w:before="6"/>
        <w:ind w:right="1125"/>
        <w:jc w:val="left"/>
      </w:pPr>
      <w:r>
        <w:rPr/>
        <w:t>关要求，</w:t>
      </w:r>
      <w:r>
        <w:rPr>
          <w:spacing w:val="-84"/>
        </w:rPr>
        <w:t> </w:t>
      </w:r>
      <w:r>
        <w:rPr/>
        <w:t>自</w:t>
      </w:r>
      <w:r>
        <w:rPr>
          <w:spacing w:val="-3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t>年</w:t>
      </w:r>
      <w:r>
        <w:rPr>
          <w:spacing w:val="-29"/>
        </w:rPr>
        <w:t> </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月起，移动互联网跨省</w:t>
      </w:r>
      <w:r>
        <w:rPr>
          <w:rFonts w:ascii="Times New Roman" w:hAnsi="Times New Roman" w:cs="Times New Roman" w:eastAsia="Times New Roman" w:hint="default"/>
        </w:rPr>
        <w:t>“</w:t>
      </w:r>
      <w:r>
        <w:rPr/>
        <w:t>漫游</w:t>
      </w:r>
      <w:r>
        <w:rPr>
          <w:rFonts w:ascii="Times New Roman" w:hAnsi="Times New Roman" w:cs="Times New Roman" w:eastAsia="Times New Roman" w:hint="default"/>
        </w:rPr>
        <w:t>”</w:t>
      </w:r>
      <w:r>
        <w:rPr/>
        <w:t>成为历史，运营商移动流量平均单价降幅均超过</w:t>
      </w:r>
      <w:r>
        <w:rPr>
          <w:spacing w:val="-30"/>
        </w:rPr>
        <w:t> </w:t>
      </w:r>
      <w:r>
        <w:rPr>
          <w:rFonts w:ascii="Times New Roman" w:hAnsi="Times New Roman" w:cs="Times New Roman" w:eastAsia="Times New Roman" w:hint="default"/>
        </w:rPr>
        <w:t>55%</w:t>
      </w:r>
      <w:r>
        <w:rPr/>
        <w:t>，</w:t>
      </w:r>
      <w:r>
        <w:rPr>
          <w:spacing w:val="-84"/>
        </w:rPr>
        <w:t> </w:t>
      </w:r>
      <w:r>
        <w:rPr/>
        <w:t>居</w:t>
      </w:r>
      <w:r>
        <w:rPr>
          <w:w w:val="100"/>
        </w:rPr>
        <w:t> </w:t>
      </w:r>
      <w:r>
        <w:rPr/>
        <w:t>民信息交流效率得到提升。我国手机网民规模达</w:t>
      </w:r>
      <w:r>
        <w:rPr>
          <w:rFonts w:ascii="Times New Roman" w:hAnsi="Times New Roman" w:cs="Times New Roman" w:eastAsia="Times New Roman" w:hint="default"/>
        </w:rPr>
        <w:t>8.17</w:t>
      </w:r>
      <w:r>
        <w:rPr/>
        <w:t>亿，全年新增手机网民</w:t>
      </w:r>
      <w:r>
        <w:rPr>
          <w:rFonts w:ascii="Times New Roman" w:hAnsi="Times New Roman" w:cs="Times New Roman" w:eastAsia="Times New Roman" w:hint="default"/>
        </w:rPr>
        <w:t>6433</w:t>
      </w:r>
      <w:r>
        <w:rPr/>
        <w:t>万，网民通过手机接入互联网</w:t>
      </w:r>
      <w:r>
        <w:rPr>
          <w:w w:val="100"/>
        </w:rPr>
        <w:t> </w:t>
      </w:r>
      <w:r>
        <w:rPr/>
        <w:t>的比例高达</w:t>
      </w:r>
      <w:r>
        <w:rPr>
          <w:rFonts w:ascii="Times New Roman" w:hAnsi="Times New Roman" w:cs="Times New Roman" w:eastAsia="Times New Roman" w:hint="default"/>
        </w:rPr>
        <w:t>98.6%</w:t>
      </w:r>
      <w:r>
        <w:rPr/>
        <w:t>。</w:t>
      </w:r>
    </w:p>
    <w:p>
      <w:pPr>
        <w:pStyle w:val="Heading7"/>
        <w:spacing w:line="271" w:lineRule="auto" w:before="6"/>
        <w:ind w:right="1130" w:firstLine="360"/>
        <w:jc w:val="both"/>
      </w:pPr>
      <w:r>
        <w:rPr>
          <w:rFonts w:ascii="Times New Roman" w:hAnsi="Times New Roman" w:cs="Times New Roman" w:eastAsia="Times New Roman" w:hint="default"/>
        </w:rPr>
        <w:t>2018</w:t>
      </w:r>
      <w:r>
        <w:rPr/>
        <w:t>年，移动互联网接入流量消费达 </w:t>
      </w:r>
      <w:r>
        <w:rPr>
          <w:rFonts w:ascii="Times New Roman" w:hAnsi="Times New Roman" w:cs="Times New Roman" w:eastAsia="Times New Roman" w:hint="default"/>
        </w:rPr>
        <w:t>711.1 </w:t>
      </w:r>
      <w:r>
        <w:rPr/>
        <w:t>亿 </w:t>
      </w:r>
      <w:r>
        <w:rPr>
          <w:rFonts w:ascii="Times New Roman" w:hAnsi="Times New Roman" w:cs="Times New Roman" w:eastAsia="Times New Roman" w:hint="default"/>
        </w:rPr>
        <w:t>GB</w:t>
      </w:r>
      <w:r>
        <w:rPr/>
        <w:t>，</w:t>
      </w:r>
      <w:r>
        <w:rPr>
          <w:spacing w:val="-40"/>
        </w:rPr>
        <w:t> </w:t>
      </w:r>
      <w:r>
        <w:rPr/>
        <w:t>较</w:t>
      </w:r>
      <w:r>
        <w:rPr>
          <w:rFonts w:ascii="Times New Roman" w:hAnsi="Times New Roman" w:cs="Times New Roman" w:eastAsia="Times New Roman" w:hint="default"/>
        </w:rPr>
        <w:t>2017</w:t>
      </w:r>
      <w:r>
        <w:rPr/>
        <w:t>年底增长</w:t>
      </w:r>
      <w:r>
        <w:rPr>
          <w:rFonts w:ascii="Times New Roman" w:hAnsi="Times New Roman" w:cs="Times New Roman" w:eastAsia="Times New Roman" w:hint="default"/>
        </w:rPr>
        <w:t>189.1%</w:t>
      </w:r>
      <w:r>
        <w:rPr/>
        <w:t>，我国市场上监测到的移动应</w:t>
      </w:r>
      <w:r>
        <w:rPr>
          <w:w w:val="100"/>
        </w:rPr>
        <w:t> </w:t>
      </w:r>
      <w:r>
        <w:rPr/>
        <w:t>用程序（ </w:t>
      </w:r>
      <w:r>
        <w:rPr>
          <w:rFonts w:ascii="Times New Roman" w:hAnsi="Times New Roman" w:cs="Times New Roman" w:eastAsia="Times New Roman" w:hint="default"/>
        </w:rPr>
        <w:t>APP</w:t>
      </w:r>
      <w:r>
        <w:rPr/>
        <w:t>）在架数量为</w:t>
      </w:r>
      <w:r>
        <w:rPr>
          <w:rFonts w:ascii="Times New Roman" w:hAnsi="Times New Roman" w:cs="Times New Roman" w:eastAsia="Times New Roman" w:hint="default"/>
        </w:rPr>
        <w:t>449</w:t>
      </w:r>
      <w:r>
        <w:rPr/>
        <w:t>万款，我国本土第三方应用商店移动应用数量超过</w:t>
      </w:r>
      <w:r>
        <w:rPr>
          <w:rFonts w:ascii="Times New Roman" w:hAnsi="Times New Roman" w:cs="Times New Roman" w:eastAsia="Times New Roman" w:hint="default"/>
        </w:rPr>
        <w:t>268</w:t>
      </w:r>
      <w:r>
        <w:rPr/>
        <w:t>万款，占比为</w:t>
      </w:r>
      <w:r>
        <w:rPr>
          <w:spacing w:val="-57"/>
        </w:rPr>
        <w:t> </w:t>
      </w:r>
      <w:r>
        <w:rPr>
          <w:rFonts w:ascii="Times New Roman" w:hAnsi="Times New Roman" w:cs="Times New Roman" w:eastAsia="Times New Roman" w:hint="default"/>
        </w:rPr>
        <w:t>59.7%</w:t>
      </w:r>
      <w:r>
        <w:rPr/>
        <w:t>，苹</w:t>
      </w:r>
      <w:r>
        <w:rPr>
          <w:spacing w:val="-2"/>
          <w:w w:val="100"/>
        </w:rPr>
        <w:t> </w:t>
      </w:r>
      <w:r>
        <w:rPr/>
        <w:t>果商店（中国区）移动应用数量约 </w:t>
      </w:r>
      <w:r>
        <w:rPr>
          <w:rFonts w:ascii="Times New Roman" w:hAnsi="Times New Roman" w:cs="Times New Roman" w:eastAsia="Times New Roman" w:hint="default"/>
        </w:rPr>
        <w:t>181 </w:t>
      </w:r>
      <w:r>
        <w:rPr/>
        <w:t>万款，占比为</w:t>
      </w:r>
      <w:r>
        <w:rPr>
          <w:spacing w:val="-39"/>
        </w:rPr>
        <w:t> </w:t>
      </w:r>
      <w:r>
        <w:rPr>
          <w:rFonts w:ascii="Times New Roman" w:hAnsi="Times New Roman" w:cs="Times New Roman" w:eastAsia="Times New Roman" w:hint="default"/>
        </w:rPr>
        <w:t>40.3%</w:t>
      </w:r>
      <w:r>
        <w:rPr/>
        <w:t>。包括基础类应用（及时通讯、搜索引擎、网络新</w:t>
      </w:r>
      <w:r>
        <w:rPr>
          <w:w w:val="100"/>
        </w:rPr>
        <w:t> </w:t>
      </w:r>
      <w:r>
        <w:rPr/>
        <w:t>闻、社交应用等）、商务交易类应用（网络购物、网上外卖、旅行预定等）互联网金融类应用（互联网理财、</w:t>
      </w:r>
    </w:p>
    <w:p>
      <w:pPr>
        <w:spacing w:line="240" w:lineRule="auto" w:before="8"/>
        <w:rPr>
          <w:rFonts w:ascii="宋体" w:hAnsi="宋体" w:cs="宋体" w:eastAsia="宋体" w:hint="default"/>
          <w:sz w:val="22"/>
          <w:szCs w:val="22"/>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1998pt" strokecolor="#000000">
                <v:path arrowok="t"/>
              </v:shape>
            </v:group>
          </v:group>
        </w:pict>
      </w:r>
      <w:r>
        <w:rPr>
          <w:rFonts w:ascii="宋体" w:hAnsi="宋体" w:cs="宋体" w:eastAsia="宋体" w:hint="default"/>
          <w:sz w:val="2"/>
          <w:szCs w:val="2"/>
        </w:rPr>
      </w:r>
    </w:p>
    <w:p>
      <w:pPr>
        <w:pStyle w:val="BodyText"/>
        <w:spacing w:line="240" w:lineRule="auto" w:before="81"/>
        <w:ind w:right="0"/>
        <w:jc w:val="left"/>
      </w:pPr>
      <w:r>
        <w:rPr>
          <w:rFonts w:ascii="Times New Roman" w:hAnsi="Times New Roman" w:cs="Times New Roman" w:eastAsia="Times New Roman" w:hint="default"/>
          <w:position w:val="8"/>
          <w:sz w:val="12"/>
          <w:szCs w:val="12"/>
        </w:rPr>
        <w:t>1   </w:t>
      </w:r>
      <w:r>
        <w:rPr/>
        <w:t>注：本报告相关行业数据来自以下报告：</w:t>
      </w:r>
    </w:p>
    <w:p>
      <w:pPr>
        <w:pStyle w:val="Heading7"/>
        <w:spacing w:line="240" w:lineRule="auto" w:before="36"/>
        <w:ind w:right="0"/>
        <w:jc w:val="left"/>
      </w:pPr>
      <w:r>
        <w:rPr>
          <w:rFonts w:ascii="Times New Roman" w:hAnsi="Times New Roman" w:cs="Times New Roman" w:eastAsia="Times New Roman" w:hint="default"/>
          <w:sz w:val="18"/>
          <w:szCs w:val="18"/>
        </w:rPr>
        <w:t>1</w:t>
      </w:r>
      <w:r>
        <w:rPr>
          <w:sz w:val="18"/>
          <w:szCs w:val="18"/>
        </w:rPr>
        <w:t>、</w:t>
      </w:r>
      <w:r>
        <w:rPr>
          <w:spacing w:val="51"/>
          <w:sz w:val="18"/>
          <w:szCs w:val="18"/>
        </w:rPr>
        <w:t> </w:t>
      </w:r>
      <w:r>
        <w:rPr/>
        <w:t>中国互联网络信息中心（</w:t>
      </w:r>
      <w:r>
        <w:rPr>
          <w:rFonts w:ascii="Times New Roman" w:hAnsi="Times New Roman" w:cs="Times New Roman" w:eastAsia="Times New Roman" w:hint="default"/>
        </w:rPr>
        <w:t>CNNIC</w:t>
      </w:r>
      <w:r>
        <w:rPr/>
        <w:t>）《中国互联网络发展状况统计报告》；</w:t>
      </w:r>
    </w:p>
    <w:p>
      <w:pPr>
        <w:pStyle w:val="BodyText"/>
        <w:spacing w:line="240" w:lineRule="auto" w:before="23"/>
        <w:ind w:right="0"/>
        <w:jc w:val="left"/>
      </w:pPr>
      <w:r>
        <w:rPr>
          <w:rFonts w:ascii="Times New Roman" w:hAnsi="Times New Roman" w:cs="Times New Roman" w:eastAsia="Times New Roman" w:hint="default"/>
        </w:rPr>
        <w:t>2</w:t>
      </w:r>
      <w:r>
        <w:rPr/>
        <w:t>、 </w:t>
      </w:r>
      <w:r>
        <w:rPr>
          <w:spacing w:val="-30"/>
        </w:rPr>
        <w:t> </w:t>
      </w:r>
      <w:r>
        <w:rPr>
          <w:rFonts w:ascii="Times New Roman" w:hAnsi="Times New Roman" w:cs="Times New Roman" w:eastAsia="Times New Roman" w:hint="default"/>
        </w:rPr>
        <w:t>CTR  </w:t>
      </w:r>
      <w:r>
        <w:rPr/>
        <w:t>媒介智讯《</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年中国广告市场回顾</w:t>
      </w:r>
      <w:r>
        <w:rPr>
          <w:spacing w:val="-90"/>
        </w:rPr>
        <w:t>》</w:t>
      </w:r>
      <w:r>
        <w:rPr/>
        <w:t>；</w:t>
      </w:r>
    </w:p>
    <w:p>
      <w:pPr>
        <w:pStyle w:val="BodyText"/>
        <w:spacing w:line="240" w:lineRule="auto" w:before="24"/>
        <w:ind w:right="0"/>
        <w:jc w:val="left"/>
      </w:pPr>
      <w:r>
        <w:rPr>
          <w:rFonts w:ascii="Times New Roman" w:hAnsi="Times New Roman" w:cs="Times New Roman" w:eastAsia="Times New Roman" w:hint="default"/>
        </w:rPr>
        <w:t>3</w:t>
      </w:r>
      <w:r>
        <w:rPr/>
        <w:t>、 </w:t>
      </w:r>
      <w:r>
        <w:rPr>
          <w:spacing w:val="-30"/>
        </w:rPr>
        <w:t> </w:t>
      </w:r>
      <w:r>
        <w:rPr/>
        <w:t>艾瑞咨询《中国网络广告市场年度监测报告</w:t>
      </w:r>
      <w:r>
        <w:rPr>
          <w:spacing w:val="-90"/>
        </w:rPr>
        <w:t>》；</w:t>
      </w:r>
      <w:r>
        <w:rPr/>
      </w:r>
    </w:p>
    <w:p>
      <w:pPr>
        <w:pStyle w:val="BodyText"/>
        <w:spacing w:line="240" w:lineRule="auto" w:before="24"/>
        <w:ind w:right="0"/>
        <w:jc w:val="left"/>
      </w:pPr>
      <w:r>
        <w:rPr>
          <w:rFonts w:ascii="Times New Roman" w:hAnsi="Times New Roman" w:cs="Times New Roman" w:eastAsia="Times New Roman" w:hint="default"/>
        </w:rPr>
        <w:t>4</w:t>
      </w:r>
      <w:r>
        <w:rPr/>
        <w:t>、 </w:t>
      </w:r>
      <w:r>
        <w:rPr>
          <w:spacing w:val="-30"/>
        </w:rPr>
        <w:t> </w:t>
      </w:r>
      <w:r>
        <w:rPr/>
        <w:t>艾瑞咨询《</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年中国互联网发展全瞻</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7"/>
        <w:spacing w:line="285" w:lineRule="auto" w:before="38"/>
        <w:ind w:right="0"/>
        <w:jc w:val="left"/>
      </w:pPr>
      <w:r>
        <w:rPr>
          <w:spacing w:val="-1"/>
        </w:rPr>
        <w:t>网上支付等）、网络娱乐类应用（网络音乐、网络文学、网络游戏、网络视频、网络直播等）在内的几大类应</w:t>
      </w:r>
      <w:r>
        <w:rPr>
          <w:spacing w:val="-63"/>
        </w:rPr>
        <w:t> </w:t>
      </w:r>
      <w:r>
        <w:rPr>
          <w:spacing w:val="-63"/>
        </w:rPr>
      </w:r>
      <w:r>
        <w:rPr/>
        <w:t>用，在用户规模及使用率上都得到了提升，商业变现能力稳步增长。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6085" w:lineRule="exact"/>
        <w:ind w:left="514" w:right="0" w:firstLine="0"/>
        <w:rPr>
          <w:rFonts w:ascii="宋体" w:hAnsi="宋体" w:cs="宋体" w:eastAsia="宋体" w:hint="default"/>
          <w:sz w:val="20"/>
          <w:szCs w:val="20"/>
        </w:rPr>
      </w:pPr>
      <w:r>
        <w:rPr>
          <w:rFonts w:ascii="宋体" w:hAnsi="宋体" w:cs="宋体" w:eastAsia="宋体" w:hint="default"/>
          <w:position w:val="-121"/>
          <w:sz w:val="20"/>
          <w:szCs w:val="20"/>
        </w:rPr>
        <w:drawing>
          <wp:inline distT="0" distB="0" distL="0" distR="0">
            <wp:extent cx="6085640" cy="3864483"/>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6085640" cy="3864483"/>
                    </a:xfrm>
                    <a:prstGeom prst="rect">
                      <a:avLst/>
                    </a:prstGeom>
                  </pic:spPr>
                </pic:pic>
              </a:graphicData>
            </a:graphic>
          </wp:inline>
        </w:drawing>
      </w:r>
      <w:r>
        <w:rPr>
          <w:rFonts w:ascii="宋体" w:hAnsi="宋体" w:cs="宋体" w:eastAsia="宋体" w:hint="default"/>
          <w:position w:val="-121"/>
          <w:sz w:val="20"/>
          <w:szCs w:val="20"/>
        </w:rPr>
      </w:r>
    </w:p>
    <w:p>
      <w:pPr>
        <w:pStyle w:val="Heading7"/>
        <w:spacing w:line="240" w:lineRule="auto" w:before="73"/>
        <w:ind w:left="514" w:right="0"/>
        <w:jc w:val="left"/>
      </w:pPr>
      <w:r>
        <w:rPr/>
        <w:t>来源：中国互联网络信息中心（</w:t>
      </w:r>
      <w:r>
        <w:rPr>
          <w:rFonts w:ascii="Times New Roman" w:hAnsi="Times New Roman" w:cs="Times New Roman" w:eastAsia="Times New Roman" w:hint="default"/>
        </w:rPr>
        <w:t>CNNIC</w:t>
      </w:r>
      <w:r>
        <w:rPr/>
        <w:t>）《中国互联网络发展状况统计报告》</w:t>
      </w:r>
    </w:p>
    <w:p>
      <w:pPr>
        <w:pStyle w:val="Heading7"/>
        <w:spacing w:line="278" w:lineRule="auto" w:before="35"/>
        <w:ind w:right="1082" w:firstLine="360"/>
        <w:jc w:val="left"/>
      </w:pPr>
      <w:r>
        <w:rPr>
          <w:rFonts w:ascii="Times New Roman" w:hAnsi="Times New Roman" w:cs="Times New Roman" w:eastAsia="Times New Roman" w:hint="default"/>
        </w:rPr>
        <w:t>2018</w:t>
      </w:r>
      <w:r>
        <w:rPr/>
        <w:t>年，移动互联网发展水平进一步提高，各移动应用领域逐渐深化，配套支撑不断完善，总体发展水平</w:t>
      </w:r>
      <w:r>
        <w:rPr>
          <w:w w:val="100"/>
        </w:rPr>
        <w:t> </w:t>
      </w:r>
      <w:r>
        <w:rPr/>
        <w:t>走在世界前列。随着众多互联网企业布局，</w:t>
      </w:r>
      <w:r>
        <w:rPr>
          <w:spacing w:val="-30"/>
        </w:rPr>
        <w:t> </w:t>
      </w:r>
      <w:r>
        <w:rPr/>
        <w:t>应用市场成熟度逐渐提高，内容生产的专业度与垂直度不断加深，</w:t>
      </w:r>
      <w:r>
        <w:rPr>
          <w:w w:val="100"/>
        </w:rPr>
        <w:t> </w:t>
      </w:r>
      <w:r>
        <w:rPr/>
        <w:t>优质内容成为各平台的核心竞争力，整个移动互联网行业仍具备极高的增长潜力。</w:t>
      </w:r>
    </w:p>
    <w:p>
      <w:pPr>
        <w:spacing w:line="240" w:lineRule="auto" w:before="5"/>
        <w:rPr>
          <w:rFonts w:ascii="宋体" w:hAnsi="宋体" w:cs="宋体" w:eastAsia="宋体" w:hint="default"/>
          <w:sz w:val="12"/>
          <w:szCs w:val="12"/>
        </w:rPr>
      </w:pPr>
    </w:p>
    <w:p>
      <w:pPr>
        <w:spacing w:line="4062" w:lineRule="exact"/>
        <w:ind w:left="51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342457" cy="257946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5342457" cy="2579465"/>
                    </a:xfrm>
                    <a:prstGeom prst="rect">
                      <a:avLst/>
                    </a:prstGeom>
                  </pic:spPr>
                </pic:pic>
              </a:graphicData>
            </a:graphic>
          </wp:inline>
        </w:drawing>
      </w:r>
      <w:r>
        <w:rPr>
          <w:rFonts w:ascii="宋体" w:hAnsi="宋体" w:cs="宋体" w:eastAsia="宋体" w:hint="default"/>
          <w:position w:val="-80"/>
          <w:sz w:val="20"/>
          <w:szCs w:val="20"/>
        </w:rPr>
      </w:r>
    </w:p>
    <w:p>
      <w:pPr>
        <w:pStyle w:val="Heading7"/>
        <w:spacing w:line="240" w:lineRule="auto" w:before="162"/>
        <w:ind w:left="514" w:right="0"/>
        <w:jc w:val="left"/>
      </w:pPr>
      <w:r>
        <w:rPr/>
        <w:t>来源：中国互联网络信息中心（</w:t>
      </w:r>
      <w:r>
        <w:rPr>
          <w:rFonts w:ascii="Times New Roman" w:hAnsi="Times New Roman" w:cs="Times New Roman" w:eastAsia="Times New Roman" w:hint="default"/>
        </w:rPr>
        <w:t>CNNIC</w:t>
      </w:r>
      <w:r>
        <w:rPr/>
        <w:t>）《中国互联网络发展状况统计报告》</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7"/>
        <w:spacing w:line="271" w:lineRule="auto" w:before="38"/>
        <w:ind w:left="514" w:right="4092"/>
        <w:jc w:val="left"/>
      </w:pPr>
      <w:r>
        <w:rPr>
          <w:rFonts w:ascii="Times New Roman" w:hAnsi="Times New Roman" w:cs="Times New Roman" w:eastAsia="Times New Roman" w:hint="default"/>
        </w:rPr>
        <w:t>2</w:t>
      </w:r>
      <w:r>
        <w:rPr/>
        <w:t>、公司所处的行业地位</w:t>
      </w:r>
      <w:r>
        <w:rPr>
          <w:w w:val="100"/>
        </w:rPr>
        <w:t> </w:t>
      </w:r>
      <w:r>
        <w:rPr>
          <w:spacing w:val="-1"/>
        </w:rPr>
        <w:t>报告期内，公司的行业地位不断得到夯实与提升，具体如下：</w:t>
      </w:r>
    </w:p>
    <w:p>
      <w:pPr>
        <w:pStyle w:val="Heading7"/>
        <w:spacing w:line="271" w:lineRule="auto" w:before="24"/>
        <w:ind w:left="51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Spigot</w:t>
      </w:r>
      <w:r>
        <w:rPr/>
        <w:t>发展迅猛成为全球领先的第三方搜索流量入口公司</w:t>
      </w:r>
      <w:r>
        <w:rPr>
          <w:w w:val="100"/>
        </w:rPr>
        <w:t> </w:t>
      </w:r>
      <w:r>
        <w:rPr>
          <w:rFonts w:ascii="宋体" w:hAnsi="宋体" w:cs="宋体" w:eastAsia="宋体" w:hint="default"/>
          <w:spacing w:val="-1"/>
        </w:rPr>
        <w:t>2018</w:t>
      </w:r>
      <w:r>
        <w:rPr>
          <w:spacing w:val="-1"/>
        </w:rPr>
        <w:t>年全球搜索业务收入超过</w:t>
      </w:r>
      <w:r>
        <w:rPr>
          <w:rFonts w:ascii="宋体" w:hAnsi="宋体" w:cs="宋体" w:eastAsia="宋体" w:hint="default"/>
          <w:spacing w:val="-1"/>
        </w:rPr>
        <w:t>1000</w:t>
      </w:r>
      <w:r>
        <w:rPr>
          <w:spacing w:val="-1"/>
        </w:rPr>
        <w:t>亿美元，其中通过第三方搜索流量形成搜索业务收入占到约</w:t>
      </w:r>
      <w:r>
        <w:rPr>
          <w:rFonts w:ascii="宋体" w:hAnsi="宋体" w:cs="宋体" w:eastAsia="宋体" w:hint="default"/>
          <w:spacing w:val="-1"/>
        </w:rPr>
        <w:t>30%</w:t>
      </w:r>
      <w:r>
        <w:rPr>
          <w:spacing w:val="-1"/>
        </w:rPr>
        <w:t>。美国</w:t>
      </w:r>
      <w:r>
        <w:rPr/>
      </w:r>
    </w:p>
    <w:p>
      <w:pPr>
        <w:pStyle w:val="Heading7"/>
        <w:spacing w:line="280" w:lineRule="auto" w:before="24"/>
        <w:ind w:right="0"/>
        <w:jc w:val="left"/>
      </w:pPr>
      <w:r>
        <w:rPr>
          <w:rFonts w:ascii="Times New Roman" w:hAnsi="Times New Roman" w:cs="Times New Roman" w:eastAsia="Times New Roman" w:hint="default"/>
        </w:rPr>
        <w:t>Spigot</w:t>
      </w:r>
      <w:r>
        <w:rPr/>
        <w:t>是拥有互联网产品矩阵，以算法和大数据技术为驱动的第三方搜索流量入口公司。</w:t>
      </w:r>
      <w:r>
        <w:rPr>
          <w:rFonts w:ascii="Times New Roman" w:hAnsi="Times New Roman" w:cs="Times New Roman" w:eastAsia="Times New Roman" w:hint="default"/>
        </w:rPr>
        <w:t>Spigot</w:t>
      </w:r>
      <w:r>
        <w:rPr/>
        <w:t>拥有安全软件、</w:t>
      </w:r>
      <w:r>
        <w:rPr>
          <w:w w:val="100"/>
        </w:rPr>
        <w:t> </w:t>
      </w:r>
      <w:r>
        <w:rPr>
          <w:spacing w:val="-2"/>
        </w:rPr>
        <w:t>邮件管理软件、浏览器等系列自主研发的应用产品，通过大数据和算法对发行渠道和产品用户进行多维度分析，</w:t>
      </w:r>
      <w:r>
        <w:rPr>
          <w:spacing w:val="-79"/>
        </w:rPr>
        <w:t> </w:t>
      </w:r>
      <w:r>
        <w:rPr>
          <w:spacing w:val="-79"/>
        </w:rPr>
      </w:r>
      <w:r>
        <w:rPr/>
        <w:t>从而以低成本获取高质量的用户，同时为用户提供搜索入口服务，并将搜索请求分发给雅虎、谷歌、必应等，</w:t>
      </w:r>
      <w:r>
        <w:rPr>
          <w:w w:val="100"/>
        </w:rPr>
        <w:t> </w:t>
      </w:r>
      <w:r>
        <w:rPr/>
        <w:t>从而获得可观的商业变现收入。</w:t>
      </w:r>
    </w:p>
    <w:p>
      <w:pPr>
        <w:pStyle w:val="Heading7"/>
        <w:spacing w:line="271" w:lineRule="auto" w:before="16"/>
        <w:ind w:left="514" w:right="0" w:firstLine="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FMOBI</w:t>
      </w:r>
      <w:r>
        <w:rPr/>
        <w:t>处于国内移动广告联盟第二梯队的领先地位</w:t>
      </w:r>
      <w:r>
        <w:rPr>
          <w:w w:val="100"/>
        </w:rPr>
        <w:t> </w:t>
      </w:r>
      <w:r>
        <w:rPr>
          <w:spacing w:val="-4"/>
        </w:rPr>
        <w:t>我国的移动广告联盟，除了第一梯队的阿里巴巴、百度、腾讯、头条以外，</w:t>
      </w:r>
      <w:r>
        <w:rPr>
          <w:rFonts w:ascii="宋体" w:hAnsi="宋体" w:cs="宋体" w:eastAsia="宋体" w:hint="default"/>
          <w:spacing w:val="-4"/>
        </w:rPr>
        <w:t>FMOBI</w:t>
      </w:r>
      <w:r>
        <w:rPr>
          <w:spacing w:val="-4"/>
        </w:rPr>
        <w:t>处于第二梯队的领先地位。</w:t>
      </w:r>
    </w:p>
    <w:p>
      <w:pPr>
        <w:pStyle w:val="Heading7"/>
        <w:spacing w:line="280" w:lineRule="auto" w:before="24"/>
        <w:ind w:right="0"/>
        <w:jc w:val="left"/>
      </w:pPr>
      <w:r>
        <w:rPr>
          <w:rFonts w:ascii="Times New Roman" w:hAnsi="Times New Roman" w:cs="Times New Roman" w:eastAsia="Times New Roman" w:hint="default"/>
        </w:rPr>
        <w:t>FMOBI</w:t>
      </w:r>
      <w:r>
        <w:rPr/>
        <w:t>具有国内领先的</w:t>
      </w:r>
      <w:r>
        <w:rPr>
          <w:rFonts w:ascii="Times New Roman" w:hAnsi="Times New Roman" w:cs="Times New Roman" w:eastAsia="Times New Roman" w:hint="default"/>
        </w:rPr>
        <w:t>SSP</w:t>
      </w:r>
      <w:r>
        <w:rPr/>
        <w:t>等技术处理能力，聚合并承载庞大的优质中长尾流量</w:t>
      </w:r>
      <w:r>
        <w:rPr>
          <w:rFonts w:ascii="Times New Roman" w:hAnsi="Times New Roman" w:cs="Times New Roman" w:eastAsia="Times New Roman" w:hint="default"/>
        </w:rPr>
        <w:t>/</w:t>
      </w:r>
      <w:r>
        <w:rPr/>
        <w:t>精品流量，基于大数据分析技</w:t>
      </w:r>
      <w:r>
        <w:rPr>
          <w:w w:val="100"/>
        </w:rPr>
        <w:t> </w:t>
      </w:r>
      <w:r>
        <w:rPr/>
        <w:t>术进行实时信息处理，提供丰富的用户画像标签和精准定向，为客户提供高效，快捷，受众精准的一站式数字</w:t>
      </w:r>
      <w:r>
        <w:rPr>
          <w:w w:val="100"/>
        </w:rPr>
        <w:t> </w:t>
      </w:r>
      <w:r>
        <w:rPr>
          <w:spacing w:val="-4"/>
        </w:rPr>
        <w:t>营销服务，形成更加智能的匹配和高效的资源利用，实现了</w:t>
      </w:r>
      <w:r>
        <w:rPr>
          <w:rFonts w:ascii="Times New Roman" w:hAnsi="Times New Roman" w:cs="Times New Roman" w:eastAsia="Times New Roman" w:hint="default"/>
          <w:spacing w:val="-4"/>
        </w:rPr>
        <w:t>RTB/PD</w:t>
      </w:r>
      <w:r>
        <w:rPr>
          <w:spacing w:val="-4"/>
        </w:rPr>
        <w:t>等交易方式，智能调整预算和媒体间的适配，</w:t>
      </w:r>
      <w:r>
        <w:rPr>
          <w:spacing w:val="-65"/>
        </w:rPr>
        <w:t> </w:t>
      </w:r>
      <w:r>
        <w:rPr>
          <w:spacing w:val="-65"/>
        </w:rPr>
      </w:r>
      <w:r>
        <w:rPr>
          <w:spacing w:val="-2"/>
        </w:rPr>
        <w:t>更好的服务于广告主。在供给端，媒体将其库存位放到交易平台上，平台根据媒体的需求管理其广告位。目前，</w:t>
      </w:r>
      <w:r>
        <w:rPr>
          <w:spacing w:val="-76"/>
        </w:rPr>
        <w:t> </w:t>
      </w:r>
      <w:r>
        <w:rPr>
          <w:spacing w:val="-76"/>
        </w:rPr>
      </w:r>
      <w:r>
        <w:rPr/>
        <w:t>平台上有众多在线进行交易的广告位，分别来自各大门户网站、视频网站、电商网站、垂直类网站以及各类中</w:t>
      </w:r>
      <w:r>
        <w:rPr>
          <w:w w:val="100"/>
        </w:rPr>
        <w:t> </w:t>
      </w:r>
      <w:r>
        <w:rPr/>
        <w:t>小网站媒体的库存位，帮助媒体以更加高效的形式实现流量变现最大化。</w:t>
      </w:r>
    </w:p>
    <w:p>
      <w:pPr>
        <w:pStyle w:val="Heading7"/>
        <w:spacing w:line="271" w:lineRule="auto" w:before="16"/>
        <w:ind w:left="514" w:right="0"/>
        <w:jc w:val="left"/>
      </w:pPr>
      <w:r>
        <w:rPr/>
        <w:t>（</w:t>
      </w:r>
      <w:r>
        <w:rPr>
          <w:rFonts w:ascii="Times New Roman" w:hAnsi="Times New Roman" w:cs="Times New Roman" w:eastAsia="Times New Roman" w:hint="default"/>
        </w:rPr>
        <w:t>3</w:t>
      </w:r>
      <w:r>
        <w:rPr/>
        <w:t>）智度亦复是国内头部数字营销公司</w:t>
      </w:r>
      <w:r>
        <w:rPr>
          <w:w w:val="100"/>
        </w:rPr>
        <w:t> </w:t>
      </w:r>
      <w:r>
        <w:rPr>
          <w:spacing w:val="-1"/>
        </w:rPr>
        <w:t>智度亦复是腾讯广点通、百度、阿里神马、</w:t>
      </w:r>
      <w:r>
        <w:rPr>
          <w:rFonts w:ascii="Times New Roman" w:hAnsi="Times New Roman" w:cs="Times New Roman" w:eastAsia="Times New Roman" w:hint="default"/>
          <w:spacing w:val="-1"/>
        </w:rPr>
        <w:t>360</w:t>
      </w:r>
      <w:r>
        <w:rPr>
          <w:spacing w:val="-1"/>
        </w:rPr>
        <w:t>和搜狗搜索的核心代理商，并取得了</w:t>
      </w:r>
      <w:r>
        <w:rPr>
          <w:rFonts w:ascii="Times New Roman" w:hAnsi="Times New Roman" w:cs="Times New Roman" w:eastAsia="Times New Roman" w:hint="default"/>
          <w:spacing w:val="-1"/>
        </w:rPr>
        <w:t>VIVO</w:t>
      </w:r>
      <w:r>
        <w:rPr>
          <w:spacing w:val="-1"/>
        </w:rPr>
        <w:t>、小米、一点资</w:t>
      </w:r>
    </w:p>
    <w:p>
      <w:pPr>
        <w:pStyle w:val="Heading7"/>
        <w:spacing w:line="285" w:lineRule="auto" w:before="6"/>
        <w:ind w:right="0"/>
        <w:jc w:val="left"/>
      </w:pPr>
      <w:r>
        <w:rPr>
          <w:spacing w:val="-1"/>
        </w:rPr>
        <w:t>讯等硬核媒体厂商的核心代理资质，为金融、游戏、快消、汽车、旅游、家电等行业的品牌广告主提供营销服</w:t>
      </w:r>
      <w:r>
        <w:rPr>
          <w:spacing w:val="-63"/>
        </w:rPr>
        <w:t> </w:t>
      </w:r>
      <w:r>
        <w:rPr>
          <w:spacing w:val="-63"/>
        </w:rPr>
      </w:r>
      <w:r>
        <w:rPr/>
        <w:t>务，服务的品牌包括联合利华、松下、法拉利、东风日产、三七互娱、招商银行、太平洋保险等。</w:t>
      </w:r>
    </w:p>
    <w:p>
      <w:pPr>
        <w:pStyle w:val="Heading7"/>
        <w:spacing w:line="271" w:lineRule="auto" w:before="12"/>
        <w:ind w:right="1131" w:firstLine="360"/>
        <w:jc w:val="both"/>
      </w:pPr>
      <w:r>
        <w:rPr>
          <w:spacing w:val="-3"/>
        </w:rPr>
        <w:t>智度亦复荣获阿里文娱智能营销平台</w:t>
      </w:r>
      <w:r>
        <w:rPr>
          <w:rFonts w:ascii="Times New Roman" w:hAnsi="Times New Roman" w:cs="Times New Roman" w:eastAsia="Times New Roman" w:hint="default"/>
          <w:spacing w:val="-3"/>
        </w:rPr>
        <w:t>2019</w:t>
      </w:r>
      <w:r>
        <w:rPr>
          <w:spacing w:val="-3"/>
        </w:rPr>
        <w:t>年度</w:t>
      </w:r>
      <w:r>
        <w:rPr>
          <w:rFonts w:ascii="Times New Roman" w:hAnsi="Times New Roman" w:cs="Times New Roman" w:eastAsia="Times New Roman" w:hint="default"/>
          <w:spacing w:val="-3"/>
        </w:rPr>
        <w:t>KA</w:t>
      </w:r>
      <w:r>
        <w:rPr>
          <w:spacing w:val="-3"/>
        </w:rPr>
        <w:t>核心代理商、</w:t>
      </w:r>
      <w:r>
        <w:rPr>
          <w:rFonts w:ascii="Times New Roman" w:hAnsi="Times New Roman" w:cs="Times New Roman" w:eastAsia="Times New Roman" w:hint="default"/>
          <w:spacing w:val="-3"/>
        </w:rPr>
        <w:t>KA</w:t>
      </w:r>
      <w:r>
        <w:rPr>
          <w:spacing w:val="-3"/>
        </w:rPr>
        <w:t>金融行业和软件行业代理商牌照授权，腾</w:t>
      </w:r>
      <w:r>
        <w:rPr>
          <w:w w:val="100"/>
        </w:rPr>
        <w:t> </w:t>
      </w:r>
      <w:r>
        <w:rPr>
          <w:spacing w:val="-2"/>
        </w:rPr>
        <w:t>讯广告授予的金牌服务商，并斩获腾讯广告最佳新锐奖、腾讯社交广告</w:t>
      </w:r>
      <w:r>
        <w:rPr>
          <w:rFonts w:ascii="Times New Roman" w:hAnsi="Times New Roman" w:cs="Times New Roman" w:eastAsia="Times New Roman" w:hint="default"/>
          <w:spacing w:val="-2"/>
        </w:rPr>
        <w:t>KA</w:t>
      </w:r>
      <w:r>
        <w:rPr>
          <w:spacing w:val="-2"/>
        </w:rPr>
        <w:t>服务商最佳贡献奖、爱奇艺内容贡献</w:t>
      </w:r>
      <w:r>
        <w:rPr>
          <w:spacing w:val="-67"/>
        </w:rPr>
        <w:t> </w:t>
      </w:r>
      <w:r>
        <w:rPr>
          <w:spacing w:val="-67"/>
        </w:rPr>
      </w:r>
      <w:r>
        <w:rPr/>
        <w:t>奖、爱奇艺内容营销大奖、</w:t>
      </w:r>
      <w:r>
        <w:rPr>
          <w:rFonts w:ascii="Times New Roman" w:hAnsi="Times New Roman" w:cs="Times New Roman" w:eastAsia="Times New Roman" w:hint="default"/>
        </w:rPr>
        <w:t>360MASTER</w:t>
      </w:r>
      <w:r>
        <w:rPr/>
        <w:t>营销大奖金奖等。</w:t>
      </w:r>
    </w:p>
    <w:p>
      <w:pPr>
        <w:pStyle w:val="Heading7"/>
        <w:spacing w:line="240" w:lineRule="auto" w:before="6"/>
        <w:ind w:left="514" w:right="0"/>
        <w:jc w:val="left"/>
      </w:pPr>
      <w:r>
        <w:rPr/>
        <w:t>（</w:t>
      </w:r>
      <w:r>
        <w:rPr>
          <w:rFonts w:ascii="Times New Roman" w:hAnsi="Times New Roman" w:cs="Times New Roman" w:eastAsia="Times New Roman" w:hint="default"/>
        </w:rPr>
        <w:t>4</w:t>
      </w:r>
      <w:r>
        <w:rPr/>
        <w:t>）实现业绩稳定增长</w:t>
      </w:r>
    </w:p>
    <w:p>
      <w:pPr>
        <w:pStyle w:val="Heading7"/>
        <w:spacing w:line="271" w:lineRule="auto" w:before="35"/>
        <w:ind w:right="1130" w:firstLine="360"/>
        <w:jc w:val="both"/>
      </w:pPr>
      <w:r>
        <w:rPr>
          <w:spacing w:val="-3"/>
        </w:rPr>
        <w:t>报告期内，公司实现营业总收入 </w:t>
      </w:r>
      <w:r>
        <w:rPr>
          <w:rFonts w:ascii="Times New Roman" w:hAnsi="Times New Roman" w:cs="Times New Roman" w:eastAsia="Times New Roman" w:hint="default"/>
        </w:rPr>
        <w:t>767,379.21 </w:t>
      </w:r>
      <w:r>
        <w:rPr>
          <w:spacing w:val="-4"/>
        </w:rPr>
        <w:t>万元，相比上年同期增长</w:t>
      </w:r>
      <w:r>
        <w:rPr>
          <w:spacing w:val="-61"/>
        </w:rPr>
        <w:t> </w:t>
      </w:r>
      <w:r>
        <w:rPr>
          <w:rFonts w:ascii="Times New Roman" w:hAnsi="Times New Roman" w:cs="Times New Roman" w:eastAsia="Times New Roman" w:hint="default"/>
        </w:rPr>
        <w:t>20.37%</w:t>
      </w:r>
      <w:r>
        <w:rPr/>
        <w:t>；实现归属上市公司股东净利</w:t>
      </w:r>
      <w:r>
        <w:rPr>
          <w:w w:val="100"/>
        </w:rPr>
        <w:t> </w:t>
      </w:r>
      <w:r>
        <w:rPr/>
        <w:t>润 </w:t>
      </w:r>
      <w:r>
        <w:rPr>
          <w:rFonts w:ascii="Times New Roman" w:hAnsi="Times New Roman" w:cs="Times New Roman" w:eastAsia="Times New Roman" w:hint="default"/>
        </w:rPr>
        <w:t>71,343.00 </w:t>
      </w:r>
      <w:r>
        <w:rPr/>
        <w:t>万元，相比上年同期增长 </w:t>
      </w:r>
      <w:r>
        <w:rPr>
          <w:rFonts w:ascii="Times New Roman" w:hAnsi="Times New Roman" w:cs="Times New Roman" w:eastAsia="Times New Roman" w:hint="default"/>
        </w:rPr>
        <w:t>35.29% </w:t>
      </w:r>
      <w:r>
        <w:rPr/>
        <w:t>；实现每股收益 </w:t>
      </w:r>
      <w:r>
        <w:rPr>
          <w:rFonts w:ascii="Times New Roman" w:hAnsi="Times New Roman" w:cs="Times New Roman" w:eastAsia="Times New Roman" w:hint="default"/>
        </w:rPr>
        <w:t>0.7388 </w:t>
      </w:r>
      <w:r>
        <w:rPr/>
        <w:t>元，相比上年同期增长了 </w:t>
      </w:r>
      <w:r>
        <w:rPr>
          <w:rFonts w:ascii="Times New Roman" w:hAnsi="Times New Roman" w:cs="Times New Roman" w:eastAsia="Times New Roman" w:hint="default"/>
        </w:rPr>
        <w:t>35.31%</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Spigot,</w:t>
            </w:r>
            <w:r>
              <w:rPr>
                <w:rFonts w:ascii="Times New Roman"/>
                <w:spacing w:val="-2"/>
                <w:sz w:val="18"/>
              </w:rPr>
              <w:t> </w:t>
            </w:r>
            <w:r>
              <w:rPr>
                <w:rFonts w:ascii="Times New Roman"/>
                <w:sz w:val="18"/>
              </w:rPr>
              <w:t>Inc.</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494,913,457.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29"/>
              <w:jc w:val="left"/>
              <w:rPr>
                <w:rFonts w:ascii="宋体" w:hAnsi="宋体" w:cs="宋体" w:eastAsia="宋体" w:hint="default"/>
                <w:sz w:val="18"/>
                <w:szCs w:val="18"/>
              </w:rPr>
            </w:pPr>
            <w:r>
              <w:rPr>
                <w:rFonts w:ascii="宋体" w:hAnsi="宋体" w:cs="宋体" w:eastAsia="宋体" w:hint="default"/>
                <w:sz w:val="18"/>
                <w:szCs w:val="18"/>
              </w:rPr>
              <w:t>美国内华达 州</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互联网软件 </w:t>
            </w:r>
            <w:r>
              <w:rPr>
                <w:rFonts w:ascii="宋体" w:hAnsi="宋体" w:cs="宋体" w:eastAsia="宋体" w:hint="default"/>
                <w:spacing w:val="-12"/>
                <w:sz w:val="18"/>
                <w:szCs w:val="18"/>
              </w:rPr>
              <w:t>开发、应用和</w:t>
            </w:r>
            <w:r>
              <w:rPr>
                <w:rFonts w:ascii="宋体" w:hAnsi="宋体" w:cs="宋体" w:eastAsia="宋体" w:hint="default"/>
                <w:sz w:val="18"/>
                <w:szCs w:val="18"/>
              </w:rPr>
              <w:t> </w:t>
            </w:r>
            <w:r>
              <w:rPr>
                <w:rFonts w:ascii="宋体" w:hAnsi="宋体" w:cs="宋体" w:eastAsia="宋体" w:hint="default"/>
                <w:spacing w:val="-12"/>
                <w:sz w:val="18"/>
                <w:szCs w:val="18"/>
              </w:rPr>
              <w:t>分发，用户流</w:t>
            </w:r>
            <w:r>
              <w:rPr>
                <w:rFonts w:ascii="宋体" w:hAnsi="宋体" w:cs="宋体" w:eastAsia="宋体" w:hint="default"/>
                <w:sz w:val="18"/>
                <w:szCs w:val="18"/>
              </w:rPr>
              <w:t> 量收益转换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安排治理架 </w:t>
            </w:r>
            <w:r>
              <w:rPr>
                <w:rFonts w:ascii="宋体" w:hAnsi="宋体" w:cs="宋体" w:eastAsia="宋体" w:hint="default"/>
                <w:spacing w:val="-12"/>
                <w:sz w:val="18"/>
                <w:szCs w:val="18"/>
              </w:rPr>
              <w:t>构，业务、资</w:t>
            </w:r>
            <w:r>
              <w:rPr>
                <w:rFonts w:ascii="宋体" w:hAnsi="宋体" w:cs="宋体" w:eastAsia="宋体" w:hint="default"/>
                <w:sz w:val="18"/>
                <w:szCs w:val="18"/>
              </w:rPr>
              <w:t> </w:t>
            </w:r>
            <w:r>
              <w:rPr>
                <w:rFonts w:ascii="宋体" w:hAnsi="宋体" w:cs="宋体" w:eastAsia="宋体" w:hint="default"/>
                <w:spacing w:val="-12"/>
                <w:sz w:val="18"/>
                <w:szCs w:val="18"/>
              </w:rPr>
              <w:t>产、财务、人</w:t>
            </w:r>
            <w:r>
              <w:rPr>
                <w:rFonts w:ascii="宋体" w:hAnsi="宋体" w:cs="宋体" w:eastAsia="宋体" w:hint="default"/>
                <w:sz w:val="18"/>
                <w:szCs w:val="18"/>
              </w:rPr>
              <w:t> </w:t>
            </w:r>
            <w:r>
              <w:rPr>
                <w:rFonts w:ascii="宋体" w:hAnsi="宋体" w:cs="宋体" w:eastAsia="宋体" w:hint="default"/>
                <w:spacing w:val="-12"/>
                <w:sz w:val="18"/>
                <w:szCs w:val="18"/>
              </w:rPr>
              <w:t>员、机构全面</w:t>
            </w:r>
            <w:r>
              <w:rPr>
                <w:rFonts w:ascii="宋体" w:hAnsi="宋体" w:cs="宋体" w:eastAsia="宋体" w:hint="default"/>
                <w:sz w:val="18"/>
                <w:szCs w:val="18"/>
              </w:rPr>
              <w:t> 整合</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36,842,987.2</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72"/>
              <w:jc w:val="left"/>
              <w:rPr>
                <w:rFonts w:ascii="Times New Roman" w:hAnsi="Times New Roman" w:cs="Times New Roman" w:eastAsia="Times New Roman" w:hint="default"/>
                <w:sz w:val="18"/>
                <w:szCs w:val="18"/>
              </w:rPr>
            </w:pPr>
            <w:r>
              <w:rPr>
                <w:rFonts w:ascii="Times New Roman"/>
                <w:sz w:val="18"/>
              </w:rPr>
              <w:t>Polarity</w:t>
            </w:r>
            <w:r>
              <w:rPr>
                <w:rFonts w:ascii="Times New Roman"/>
                <w:w w:val="99"/>
                <w:sz w:val="18"/>
              </w:rPr>
              <w:t> </w:t>
            </w:r>
            <w:r>
              <w:rPr>
                <w:rFonts w:ascii="Times New Roman"/>
                <w:spacing w:val="-2"/>
                <w:sz w:val="18"/>
              </w:rPr>
              <w:t>Technologies</w:t>
            </w:r>
            <w:r>
              <w:rPr>
                <w:rFonts w:ascii="Times New Roman"/>
                <w:spacing w:val="-36"/>
                <w:sz w:val="18"/>
              </w:rPr>
              <w:t> </w:t>
            </w:r>
            <w:r>
              <w:rPr>
                <w:rFonts w:ascii="Times New Roman"/>
                <w:spacing w:val="-36"/>
                <w:sz w:val="18"/>
              </w:rPr>
            </w:r>
            <w:r>
              <w:rPr>
                <w:rFonts w:ascii="Times New Roman"/>
                <w:sz w:val="18"/>
              </w:rPr>
              <w:t>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546,094,579.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29"/>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互联网软件 </w:t>
            </w:r>
            <w:r>
              <w:rPr>
                <w:rFonts w:ascii="宋体" w:hAnsi="宋体" w:cs="宋体" w:eastAsia="宋体" w:hint="default"/>
                <w:spacing w:val="-12"/>
                <w:sz w:val="18"/>
                <w:szCs w:val="18"/>
              </w:rPr>
              <w:t>开发、应用和</w:t>
            </w:r>
            <w:r>
              <w:rPr>
                <w:rFonts w:ascii="宋体" w:hAnsi="宋体" w:cs="宋体" w:eastAsia="宋体" w:hint="default"/>
                <w:sz w:val="18"/>
                <w:szCs w:val="18"/>
              </w:rPr>
              <w:t> </w:t>
            </w:r>
            <w:r>
              <w:rPr>
                <w:rFonts w:ascii="宋体" w:hAnsi="宋体" w:cs="宋体" w:eastAsia="宋体" w:hint="default"/>
                <w:spacing w:val="-12"/>
                <w:sz w:val="18"/>
                <w:szCs w:val="18"/>
              </w:rPr>
              <w:t>分发，用户流</w:t>
            </w:r>
            <w:r>
              <w:rPr>
                <w:rFonts w:ascii="宋体" w:hAnsi="宋体" w:cs="宋体" w:eastAsia="宋体" w:hint="default"/>
                <w:sz w:val="18"/>
                <w:szCs w:val="18"/>
              </w:rPr>
              <w:t> 量收益转换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45,690,266.8</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72"/>
              <w:jc w:val="left"/>
              <w:rPr>
                <w:rFonts w:ascii="Times New Roman" w:hAnsi="Times New Roman" w:cs="Times New Roman" w:eastAsia="Times New Roman" w:hint="default"/>
                <w:sz w:val="18"/>
                <w:szCs w:val="18"/>
              </w:rPr>
            </w:pPr>
            <w:r>
              <w:rPr>
                <w:rFonts w:ascii="Times New Roman"/>
                <w:sz w:val="18"/>
              </w:rPr>
              <w:t>Eightpoint </w:t>
            </w:r>
            <w:r>
              <w:rPr>
                <w:rFonts w:ascii="Times New Roman"/>
                <w:spacing w:val="-2"/>
                <w:sz w:val="18"/>
              </w:rPr>
              <w:t>Technologies</w:t>
            </w:r>
            <w:r>
              <w:rPr>
                <w:rFonts w:ascii="Times New Roman"/>
                <w:spacing w:val="-35"/>
                <w:sz w:val="18"/>
              </w:rPr>
              <w:t> </w:t>
            </w:r>
            <w:r>
              <w:rPr>
                <w:rFonts w:ascii="Times New Roman"/>
                <w:spacing w:val="-35"/>
                <w:sz w:val="18"/>
              </w:rPr>
            </w:r>
            <w:r>
              <w:rPr>
                <w:rFonts w:ascii="Times New Roman"/>
                <w:sz w:val="18"/>
              </w:rPr>
              <w:t>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681,889,758.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互联网软件 </w:t>
            </w:r>
            <w:r>
              <w:rPr>
                <w:rFonts w:ascii="宋体" w:hAnsi="宋体" w:cs="宋体" w:eastAsia="宋体" w:hint="default"/>
                <w:spacing w:val="-12"/>
                <w:sz w:val="18"/>
                <w:szCs w:val="18"/>
              </w:rPr>
              <w:t>开发、应用和</w:t>
            </w:r>
            <w:r>
              <w:rPr>
                <w:rFonts w:ascii="宋体" w:hAnsi="宋体" w:cs="宋体" w:eastAsia="宋体" w:hint="default"/>
                <w:sz w:val="18"/>
                <w:szCs w:val="18"/>
              </w:rPr>
              <w:t> </w:t>
            </w:r>
            <w:r>
              <w:rPr>
                <w:rFonts w:ascii="宋体" w:hAnsi="宋体" w:cs="宋体" w:eastAsia="宋体" w:hint="default"/>
                <w:spacing w:val="-12"/>
                <w:sz w:val="18"/>
                <w:szCs w:val="18"/>
              </w:rPr>
              <w:t>分发，用户流</w:t>
            </w:r>
            <w:r>
              <w:rPr>
                <w:rFonts w:ascii="宋体" w:hAnsi="宋体" w:cs="宋体" w:eastAsia="宋体" w:hint="default"/>
                <w:sz w:val="18"/>
                <w:szCs w:val="18"/>
              </w:rPr>
              <w:t> 量收益转换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350,792,444.</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智度投资（香</w:t>
            </w:r>
            <w:r>
              <w:rPr>
                <w:rFonts w:ascii="宋体" w:hAnsi="宋体" w:cs="宋体" w:eastAsia="宋体" w:hint="default"/>
                <w:sz w:val="18"/>
                <w:szCs w:val="18"/>
              </w:rPr>
              <w:t> </w:t>
            </w:r>
            <w:r>
              <w:rPr>
                <w:rFonts w:ascii="宋体" w:hAnsi="宋体" w:cs="宋体" w:eastAsia="宋体" w:hint="default"/>
                <w:spacing w:val="-12"/>
                <w:sz w:val="18"/>
                <w:szCs w:val="18"/>
              </w:rPr>
              <w:t>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1,670,615,97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6.13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投资与资产 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101,727,753.</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7"/>
        <w:spacing w:line="271" w:lineRule="auto" w:before="8"/>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全球化发展模式</w:t>
      </w:r>
      <w:r>
        <w:rPr>
          <w:w w:val="100"/>
        </w:rPr>
        <w:t> </w:t>
      </w:r>
      <w:r>
        <w:rPr>
          <w:spacing w:val="-2"/>
        </w:rPr>
        <w:t>公司积极推进国际化业务、坚持全球化战略。以</w:t>
      </w:r>
      <w:r>
        <w:rPr>
          <w:rFonts w:ascii="Times New Roman" w:hAnsi="Times New Roman" w:cs="Times New Roman" w:eastAsia="Times New Roman" w:hint="default"/>
          <w:spacing w:val="-2"/>
        </w:rPr>
        <w:t>Spigot</w:t>
      </w:r>
      <w:r>
        <w:rPr>
          <w:spacing w:val="-2"/>
        </w:rPr>
        <w:t>为境外业务发展的核心平台，通过丰富的海外变现经</w:t>
      </w:r>
    </w:p>
    <w:p>
      <w:pPr>
        <w:pStyle w:val="Heading7"/>
        <w:spacing w:line="285" w:lineRule="auto" w:before="6"/>
        <w:ind w:right="1169"/>
        <w:jc w:val="both"/>
      </w:pPr>
      <w:r>
        <w:rPr>
          <w:spacing w:val="-1"/>
        </w:rPr>
        <w:t>验、用户基础、产品矩阵以及具有竞争力的大数据和算法技术经验。引进强劲的合作方跃盟科技和邑炎科技成</w:t>
      </w:r>
      <w:r>
        <w:rPr>
          <w:spacing w:val="-63"/>
        </w:rPr>
        <w:t> </w:t>
      </w:r>
      <w:r>
        <w:rPr>
          <w:spacing w:val="-63"/>
        </w:rPr>
      </w:r>
      <w:r>
        <w:rPr>
          <w:spacing w:val="-1"/>
        </w:rPr>
        <w:t>立合资公司，充分发挥各方优势，布局手机厂商流量，提升中国手机厂商用户的商业变现效率，推动公司业务</w:t>
      </w:r>
      <w:r>
        <w:rPr>
          <w:spacing w:val="-63"/>
        </w:rPr>
        <w:t> </w:t>
      </w:r>
      <w:r>
        <w:rPr>
          <w:spacing w:val="-63"/>
        </w:rPr>
      </w:r>
      <w:r>
        <w:rPr/>
        <w:t>全球化发展。</w:t>
      </w:r>
    </w:p>
    <w:p>
      <w:pPr>
        <w:pStyle w:val="Heading7"/>
        <w:spacing w:line="271" w:lineRule="auto" w:before="12"/>
        <w:ind w:left="51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智能化技术</w:t>
      </w:r>
      <w:r>
        <w:rPr>
          <w:w w:val="100"/>
        </w:rPr>
        <w:t> </w:t>
      </w:r>
      <w:r>
        <w:rPr>
          <w:spacing w:val="-1"/>
        </w:rPr>
        <w:t>公司具备健全的知识产权管理体系和研发管理制度，重视技术创新，公司通过将算法、大数据技术和媒体</w:t>
      </w:r>
    </w:p>
    <w:p>
      <w:pPr>
        <w:pStyle w:val="Heading7"/>
        <w:spacing w:line="278" w:lineRule="auto" w:before="24"/>
        <w:ind w:right="1112"/>
        <w:jc w:val="both"/>
      </w:pPr>
      <w:r>
        <w:rPr/>
        <w:t>优化经验、出众的分析能力相结合，不断研究并逐步运用到业务中，通过已承载数据优势，提升服务效率和质</w:t>
      </w:r>
      <w:r>
        <w:rPr>
          <w:w w:val="100"/>
        </w:rPr>
        <w:t> </w:t>
      </w:r>
      <w:r>
        <w:rPr>
          <w:spacing w:val="-1"/>
        </w:rPr>
        <w:t>量，降低运营成本，打造差异化竞争优势。建设了包括竞品追踪系统、</w:t>
      </w:r>
      <w:r>
        <w:rPr>
          <w:rFonts w:ascii="Times New Roman" w:hAnsi="Times New Roman" w:cs="Times New Roman" w:eastAsia="Times New Roman" w:hint="default"/>
          <w:spacing w:val="-1"/>
        </w:rPr>
        <w:t>moniter</w:t>
      </w:r>
      <w:r>
        <w:rPr>
          <w:spacing w:val="-1"/>
        </w:rPr>
        <w:t>流量管控系统，</w:t>
      </w:r>
      <w:r>
        <w:rPr>
          <w:rFonts w:ascii="Times New Roman" w:hAnsi="Times New Roman" w:cs="Times New Roman" w:eastAsia="Times New Roman" w:hint="default"/>
          <w:spacing w:val="-1"/>
        </w:rPr>
        <w:t>DMP</w:t>
      </w:r>
      <w:r>
        <w:rPr>
          <w:spacing w:val="-1"/>
        </w:rPr>
        <w:t>数据系统、</w:t>
      </w:r>
      <w:r>
        <w:rPr>
          <w:spacing w:val="-59"/>
        </w:rPr>
        <w:t> </w:t>
      </w:r>
      <w:r>
        <w:rPr>
          <w:spacing w:val="-59"/>
        </w:rPr>
      </w:r>
      <w:r>
        <w:rPr>
          <w:rFonts w:ascii="Times New Roman" w:hAnsi="Times New Roman" w:cs="Times New Roman" w:eastAsia="Times New Roman" w:hint="default"/>
          <w:spacing w:val="-3"/>
        </w:rPr>
        <w:t>SSP</w:t>
      </w:r>
      <w:r>
        <w:rPr>
          <w:spacing w:val="-3"/>
        </w:rPr>
        <w:t>平台系统、嵌入式</w:t>
      </w:r>
      <w:r>
        <w:rPr>
          <w:rFonts w:ascii="Times New Roman" w:hAnsi="Times New Roman" w:cs="Times New Roman" w:eastAsia="Times New Roman" w:hint="default"/>
          <w:spacing w:val="-3"/>
        </w:rPr>
        <w:t>SDK</w:t>
      </w:r>
      <w:r>
        <w:rPr>
          <w:spacing w:val="-3"/>
        </w:rPr>
        <w:t>系统、猎鹰胜效通反作弊核心算法软件等产品。使得从底层流量入口</w:t>
      </w:r>
      <w:r>
        <w:rPr>
          <w:rFonts w:ascii="Times New Roman" w:hAnsi="Times New Roman" w:cs="Times New Roman" w:eastAsia="Times New Roman" w:hint="default"/>
          <w:spacing w:val="-3"/>
        </w:rPr>
        <w:t>—</w:t>
      </w:r>
      <w:r>
        <w:rPr>
          <w:spacing w:val="-3"/>
        </w:rPr>
        <w:t>流量经营平台</w:t>
      </w:r>
    </w:p>
    <w:p>
      <w:pPr>
        <w:pStyle w:val="Heading7"/>
        <w:spacing w:line="271" w:lineRule="auto"/>
        <w:ind w:left="514" w:right="4092" w:hanging="360"/>
        <w:jc w:val="left"/>
      </w:pPr>
      <w:r>
        <w:rPr>
          <w:rFonts w:ascii="Times New Roman" w:hAnsi="Times New Roman" w:cs="Times New Roman" w:eastAsia="Times New Roman" w:hint="default"/>
          <w:spacing w:val="-1"/>
        </w:rPr>
        <w:t>—</w:t>
      </w:r>
      <w:r>
        <w:rPr>
          <w:spacing w:val="-1"/>
        </w:rPr>
        <w:t>商业变现渠道的移动互联网流量聚合和经营的产业链协同效应更加明显。</w:t>
      </w:r>
      <w:r>
        <w:rPr>
          <w:spacing w:val="-74"/>
        </w:rPr>
        <w:t> </w:t>
      </w:r>
      <w:r>
        <w:rPr>
          <w:spacing w:val="-74"/>
        </w:rPr>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专业化和国际化人才</w:t>
      </w:r>
    </w:p>
    <w:p>
      <w:pPr>
        <w:pStyle w:val="Heading7"/>
        <w:spacing w:line="283" w:lineRule="auto" w:before="6"/>
        <w:ind w:right="1131" w:firstLine="360"/>
        <w:jc w:val="both"/>
      </w:pPr>
      <w:r>
        <w:rPr>
          <w:spacing w:val="-3"/>
        </w:rPr>
        <w:t>公司本科及以上学历的员工占</w:t>
      </w:r>
      <w:r>
        <w:rPr>
          <w:rFonts w:ascii="Times New Roman" w:hAnsi="Times New Roman" w:cs="Times New Roman" w:eastAsia="Times New Roman" w:hint="default"/>
          <w:spacing w:val="-3"/>
        </w:rPr>
        <w:t>70%</w:t>
      </w:r>
      <w:r>
        <w:rPr>
          <w:spacing w:val="-3"/>
        </w:rPr>
        <w:t>以上，且引入了较多的海外互联网行业相关人才，对全球互联网市场有深</w:t>
      </w:r>
      <w:r>
        <w:rPr>
          <w:w w:val="100"/>
        </w:rPr>
        <w:t> </w:t>
      </w:r>
      <w:r>
        <w:rPr/>
        <w:t>入的了解和研究。公司管理团队有着丰富的行业经验，对行业有着深刻理解，在移动互联网行业趋势判断、资</w:t>
      </w:r>
      <w:r>
        <w:rPr>
          <w:w w:val="100"/>
        </w:rPr>
        <w:t> </w:t>
      </w:r>
      <w:r>
        <w:rPr/>
        <w:t>源整合运营、流量变现、广告商务合作等领域积累了丰富的经验并形成了自己的方法论。公司的核心人员均具</w:t>
      </w:r>
      <w:r>
        <w:rPr>
          <w:w w:val="100"/>
        </w:rPr>
        <w:t> </w:t>
      </w:r>
      <w:r>
        <w:rPr/>
        <w:t>有多年的行业工作经验，曾就职于百度、腾讯、阿里、好耶等知名企业，对行业发展及竞争情况把握精准，对</w:t>
      </w:r>
      <w:r>
        <w:rPr>
          <w:w w:val="100"/>
        </w:rPr>
        <w:t> </w:t>
      </w:r>
      <w:r>
        <w:rPr/>
        <w:t>商业机会和市场态势分析敏锐。</w:t>
      </w:r>
    </w:p>
    <w:p>
      <w:pPr>
        <w:pStyle w:val="Heading7"/>
        <w:spacing w:line="285" w:lineRule="auto" w:before="14"/>
        <w:ind w:right="1208" w:firstLine="360"/>
        <w:jc w:val="both"/>
      </w:pPr>
      <w:r>
        <w:rPr>
          <w:spacing w:val="-1"/>
        </w:rPr>
        <w:t>公司内部不断完善优秀人才培育体系，通过入职及内外部在职培训等多阶段分层次定向培养机制，增强员</w:t>
      </w:r>
      <w:r>
        <w:rPr>
          <w:w w:val="100"/>
        </w:rPr>
        <w:t> </w:t>
      </w:r>
      <w:r>
        <w:rPr/>
        <w:t>工的专业能力及专业服务精神，提高员工对公司的认可度和忠诚度。</w:t>
      </w:r>
    </w:p>
    <w:p>
      <w:pPr>
        <w:pStyle w:val="Heading7"/>
        <w:spacing w:line="240" w:lineRule="auto" w:before="12"/>
        <w:ind w:left="51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优质的品牌合作伙伴</w:t>
      </w:r>
    </w:p>
    <w:p>
      <w:pPr>
        <w:spacing w:after="0" w:line="240" w:lineRule="auto"/>
        <w:jc w:val="left"/>
        <w:sectPr>
          <w:footerReference w:type="default" r:id="rId16"/>
          <w:pgSz w:w="11910" w:h="16840"/>
          <w:pgMar w:footer="979" w:header="747" w:top="1060" w:bottom="1160" w:left="980" w:right="0"/>
          <w:pgNumType w:start="14"/>
        </w:sectPr>
      </w:pPr>
    </w:p>
    <w:p>
      <w:pPr>
        <w:spacing w:line="240" w:lineRule="auto" w:before="1"/>
        <w:rPr>
          <w:rFonts w:ascii="宋体" w:hAnsi="宋体" w:cs="宋体" w:eastAsia="宋体" w:hint="default"/>
          <w:sz w:val="25"/>
          <w:szCs w:val="25"/>
        </w:rPr>
      </w:pPr>
    </w:p>
    <w:p>
      <w:pPr>
        <w:pStyle w:val="Heading7"/>
        <w:spacing w:line="280" w:lineRule="auto" w:before="38"/>
        <w:ind w:right="0" w:firstLine="360"/>
        <w:jc w:val="left"/>
      </w:pPr>
      <w:r>
        <w:rPr/>
        <w:t>经过多年的发展与合作，公司形成了极具竞争力的互联网流量经营平台，媒体拓展能力不断加强，与国内</w:t>
      </w:r>
      <w:r>
        <w:rPr>
          <w:w w:val="100"/>
        </w:rPr>
        <w:t> </w:t>
      </w:r>
      <w:r>
        <w:rPr>
          <w:spacing w:val="-2"/>
        </w:rPr>
        <w:t>外知名媒体均有良好的合作关系，如：百度、腾讯、阿里、</w:t>
      </w:r>
      <w:r>
        <w:rPr>
          <w:rFonts w:ascii="Times New Roman" w:hAnsi="Times New Roman" w:cs="Times New Roman" w:eastAsia="Times New Roman" w:hint="default"/>
          <w:spacing w:val="-2"/>
        </w:rPr>
        <w:t>360</w:t>
      </w:r>
      <w:r>
        <w:rPr>
          <w:spacing w:val="-2"/>
        </w:rPr>
        <w:t>、搜狗、爱奇艺、华为、小米、</w:t>
      </w:r>
      <w:r>
        <w:rPr>
          <w:rFonts w:ascii="Times New Roman" w:hAnsi="Times New Roman" w:cs="Times New Roman" w:eastAsia="Times New Roman" w:hint="default"/>
          <w:spacing w:val="-2"/>
        </w:rPr>
        <w:t>VIVO</w:t>
      </w:r>
      <w:r>
        <w:rPr>
          <w:spacing w:val="-2"/>
        </w:rPr>
        <w:t>、</w:t>
      </w:r>
      <w:r>
        <w:rPr>
          <w:rFonts w:ascii="Times New Roman" w:hAnsi="Times New Roman" w:cs="Times New Roman" w:eastAsia="Times New Roman" w:hint="default"/>
          <w:spacing w:val="-2"/>
        </w:rPr>
        <w:t>OPPO</w:t>
      </w:r>
      <w:r>
        <w:rPr>
          <w:rFonts w:ascii="Times New Roman" w:hAnsi="Times New Roman" w:cs="Times New Roman" w:eastAsia="Times New Roman" w:hint="default"/>
        </w:rPr>
        <w:t> </w:t>
      </w:r>
      <w:r>
        <w:rPr/>
        <w:t>、</w:t>
      </w:r>
      <w:r>
        <w:rPr>
          <w:spacing w:val="-81"/>
        </w:rPr>
        <w:t> </w:t>
      </w:r>
      <w:r>
        <w:rPr/>
        <w:t>雅虎、谷歌等。公司依托其技术优势，将产品和服务相结合、内容和创意相融合，为广告主提供定制化、整合</w:t>
      </w:r>
      <w:r>
        <w:rPr>
          <w:w w:val="100"/>
        </w:rPr>
        <w:t> </w:t>
      </w:r>
      <w:r>
        <w:rPr/>
        <w:t>的营销服务，增强原有客户粘性的同时，吸引大批品牌广告主。</w:t>
      </w:r>
    </w:p>
    <w:p>
      <w:pPr>
        <w:pStyle w:val="Heading7"/>
        <w:spacing w:line="278" w:lineRule="auto" w:before="16"/>
        <w:ind w:right="0" w:firstLine="360"/>
        <w:jc w:val="left"/>
      </w:pPr>
      <w:r>
        <w:rPr/>
        <w:t>报告期内，公司合作的品牌覆盖互联网、游戏、汽车、快消以及金融等多行业，合作客户多来自于各行业</w:t>
      </w:r>
      <w:r>
        <w:rPr>
          <w:w w:val="100"/>
        </w:rPr>
        <w:t> </w:t>
      </w:r>
      <w:r>
        <w:rPr>
          <w:spacing w:val="-2"/>
        </w:rPr>
        <w:t>的领先品牌及世界</w:t>
      </w:r>
      <w:r>
        <w:rPr>
          <w:rFonts w:ascii="Times New Roman" w:hAnsi="Times New Roman" w:cs="Times New Roman" w:eastAsia="Times New Roman" w:hint="default"/>
          <w:spacing w:val="-2"/>
        </w:rPr>
        <w:t>500</w:t>
      </w:r>
      <w:r>
        <w:rPr>
          <w:spacing w:val="-2"/>
        </w:rPr>
        <w:t>强企业。随着公司业务的稳步发展和快速升级，公司将继续扩大并深度发掘客户需求，以</w:t>
      </w:r>
      <w:r>
        <w:rPr>
          <w:spacing w:val="-75"/>
        </w:rPr>
        <w:t> </w:t>
      </w:r>
      <w:r>
        <w:rPr>
          <w:spacing w:val="-75"/>
        </w:rPr>
      </w:r>
      <w:r>
        <w:rPr/>
        <w:t>增强公司竞争力，实现业绩持续增长。</w:t>
      </w:r>
    </w:p>
    <w:p>
      <w:pPr>
        <w:spacing w:after="0" w:line="27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Heading5"/>
        <w:spacing w:line="264" w:lineRule="auto"/>
        <w:ind w:right="1131" w:firstLine="420"/>
        <w:jc w:val="both"/>
      </w:pPr>
      <w:r>
        <w:rPr>
          <w:spacing w:val="-1"/>
        </w:rPr>
        <w:t>智度股份是一家致力于互联网搜索、大数据、</w:t>
      </w:r>
      <w:r>
        <w:rPr>
          <w:rFonts w:ascii="Times New Roman" w:hAnsi="Times New Roman" w:cs="Times New Roman" w:eastAsia="Times New Roman" w:hint="default"/>
          <w:spacing w:val="-1"/>
        </w:rPr>
        <w:t>AI</w:t>
      </w:r>
      <w:r>
        <w:rPr>
          <w:spacing w:val="-1"/>
        </w:rPr>
        <w:t>技术等领域，开发并提供大量基于互联网的产品与服</w:t>
      </w:r>
      <w:r>
        <w:rPr/>
        <w:t> </w:t>
      </w:r>
      <w:r>
        <w:rPr>
          <w:spacing w:val="-1"/>
        </w:rPr>
        <w:t>务，已成为全球领先的第三方互联网搜索入口公司。</w:t>
      </w:r>
      <w:r>
        <w:rPr>
          <w:rFonts w:ascii="Times New Roman" w:hAnsi="Times New Roman" w:cs="Times New Roman" w:eastAsia="Times New Roman" w:hint="default"/>
          <w:spacing w:val="-1"/>
        </w:rPr>
        <w:t>2018</w:t>
      </w:r>
      <w:r>
        <w:rPr>
          <w:spacing w:val="-1"/>
        </w:rPr>
        <w:t>年，是公司综合实力稳健提升的一年，各业务板</w:t>
      </w:r>
      <w:r>
        <w:rPr>
          <w:spacing w:val="-84"/>
        </w:rPr>
        <w:t> </w:t>
      </w:r>
      <w:r>
        <w:rPr>
          <w:spacing w:val="-84"/>
        </w:rPr>
      </w:r>
      <w:r>
        <w:rPr>
          <w:spacing w:val="-1"/>
        </w:rPr>
        <w:t>块协同发展，盈利能力进一步提升。公司管理层紧密围绕董事会的战略安排，结合公司实际经营计划，全</w:t>
      </w:r>
      <w:r>
        <w:rPr>
          <w:spacing w:val="-85"/>
        </w:rPr>
        <w:t> </w:t>
      </w:r>
      <w:r>
        <w:rPr>
          <w:spacing w:val="-85"/>
        </w:rPr>
      </w:r>
      <w:r>
        <w:rPr/>
        <w:t>面推进各项经营管理工作，积极优化公司资源配置，提升公司核心竞争力、盈利能力和综合实力。</w:t>
      </w:r>
    </w:p>
    <w:p>
      <w:pPr>
        <w:pStyle w:val="Heading5"/>
        <w:spacing w:line="264" w:lineRule="auto" w:before="54"/>
        <w:ind w:right="1028" w:firstLine="420"/>
        <w:jc w:val="left"/>
      </w:pPr>
      <w:r>
        <w:rPr/>
        <w:t>公司遵循了互联网企业的发展思路，先扩充客户数量与收入规模，再通过数据技术产品提升毛利率， 历经几年的持续投入与发展，公司盈利能力不断提高，相对于营业收入的增长率，公司利润增长率持续快 </w:t>
      </w:r>
      <w:r>
        <w:rPr>
          <w:spacing w:val="-4"/>
        </w:rPr>
        <w:t>速上升，</w:t>
      </w:r>
      <w:r>
        <w:rPr>
          <w:rFonts w:ascii="Times New Roman" w:hAnsi="Times New Roman" w:cs="Times New Roman" w:eastAsia="Times New Roman" w:hint="default"/>
          <w:spacing w:val="-4"/>
        </w:rPr>
        <w:t>2018</w:t>
      </w:r>
      <w:r>
        <w:rPr>
          <w:spacing w:val="-4"/>
        </w:rPr>
        <w:t>年，公司实现营业总收入 </w:t>
      </w:r>
      <w:r>
        <w:rPr>
          <w:rFonts w:ascii="Times New Roman" w:hAnsi="Times New Roman" w:cs="Times New Roman" w:eastAsia="Times New Roman" w:hint="default"/>
          <w:sz w:val="20"/>
          <w:szCs w:val="20"/>
        </w:rPr>
        <w:t>767,379.21 </w:t>
      </w:r>
      <w:r>
        <w:rPr>
          <w:spacing w:val="-4"/>
        </w:rPr>
        <w:t>万元，同比增长</w:t>
      </w:r>
      <w:r>
        <w:rPr>
          <w:rFonts w:ascii="Times New Roman" w:hAnsi="Times New Roman" w:cs="Times New Roman" w:eastAsia="Times New Roman" w:hint="default"/>
          <w:spacing w:val="-4"/>
        </w:rPr>
        <w:t>20.37%</w:t>
      </w:r>
      <w:r>
        <w:rPr>
          <w:spacing w:val="-4"/>
        </w:rPr>
        <w:t>，实现利润总额 </w:t>
      </w:r>
      <w:r>
        <w:rPr>
          <w:rFonts w:ascii="Times New Roman" w:hAnsi="Times New Roman" w:cs="Times New Roman" w:eastAsia="Times New Roman" w:hint="default"/>
        </w:rPr>
        <w:t>77,535.64</w:t>
      </w:r>
      <w:r>
        <w:rPr>
          <w:rFonts w:ascii="Times New Roman" w:hAnsi="Times New Roman" w:cs="Times New Roman" w:eastAsia="Times New Roman" w:hint="default"/>
          <w:spacing w:val="12"/>
        </w:rPr>
        <w:t> </w:t>
      </w:r>
      <w:r>
        <w:rPr/>
        <w:t>万元， 同比增长</w:t>
      </w:r>
      <w:r>
        <w:rPr>
          <w:rFonts w:ascii="Times New Roman" w:hAnsi="Times New Roman" w:cs="Times New Roman" w:eastAsia="Times New Roman" w:hint="default"/>
        </w:rPr>
        <w:t>41.21%</w:t>
      </w:r>
      <w:r>
        <w:rPr/>
        <w:t>。其中，互联网媒体业务（包括第三方搜索流量入口业务及</w:t>
      </w:r>
      <w:r>
        <w:rPr>
          <w:sz w:val="20"/>
          <w:szCs w:val="20"/>
        </w:rPr>
        <w:t>移动广告联盟业务</w:t>
      </w:r>
      <w:r>
        <w:rPr/>
        <w:t>）实现营业</w:t>
      </w:r>
      <w:r>
        <w:rPr>
          <w:spacing w:val="-69"/>
        </w:rPr>
        <w:t> </w:t>
      </w:r>
      <w:r>
        <w:rPr>
          <w:spacing w:val="-69"/>
        </w:rPr>
      </w:r>
      <w:r>
        <w:rPr>
          <w:spacing w:val="7"/>
        </w:rPr>
        <w:t>收入 </w:t>
      </w:r>
      <w:r>
        <w:rPr>
          <w:rFonts w:ascii="Times New Roman" w:hAnsi="Times New Roman" w:cs="Times New Roman" w:eastAsia="Times New Roman" w:hint="default"/>
        </w:rPr>
        <w:t>200,926.16 </w:t>
      </w:r>
      <w:r>
        <w:rPr>
          <w:spacing w:val="10"/>
        </w:rPr>
        <w:t>万元，占公司营业收入的</w:t>
      </w:r>
      <w:r>
        <w:rPr>
          <w:rFonts w:ascii="Times New Roman" w:hAnsi="Times New Roman" w:cs="Times New Roman" w:eastAsia="Times New Roman" w:hint="default"/>
          <w:spacing w:val="10"/>
        </w:rPr>
        <w:t>26.23%</w:t>
      </w:r>
      <w:r>
        <w:rPr>
          <w:spacing w:val="10"/>
        </w:rPr>
        <w:t>，与去年同期相比收入增长</w:t>
      </w:r>
      <w:r>
        <w:rPr>
          <w:rFonts w:ascii="Times New Roman" w:hAnsi="Times New Roman" w:cs="Times New Roman" w:eastAsia="Times New Roman" w:hint="default"/>
          <w:spacing w:val="10"/>
        </w:rPr>
        <w:t>44.35%</w:t>
      </w:r>
      <w:r>
        <w:rPr>
          <w:spacing w:val="10"/>
        </w:rPr>
        <w:t>；实现营业利润</w:t>
      </w:r>
      <w:r>
        <w:rPr>
          <w:spacing w:val="-92"/>
        </w:rPr>
        <w:t> </w:t>
      </w:r>
      <w:r>
        <w:rPr>
          <w:spacing w:val="-92"/>
        </w:rPr>
      </w:r>
      <w:r>
        <w:rPr>
          <w:rFonts w:ascii="Times New Roman" w:hAnsi="Times New Roman" w:cs="Times New Roman" w:eastAsia="Times New Roman" w:hint="default"/>
        </w:rPr>
        <w:t>57,893.15</w:t>
      </w:r>
      <w:r>
        <w:rPr/>
        <w:t>万元，占公司营业利润的</w:t>
      </w:r>
      <w:r>
        <w:rPr>
          <w:rFonts w:ascii="Times New Roman" w:hAnsi="Times New Roman" w:cs="Times New Roman" w:eastAsia="Times New Roman" w:hint="default"/>
        </w:rPr>
        <w:t>74.64%</w:t>
      </w:r>
      <w:r>
        <w:rPr/>
        <w:t>，与去年同期相比利润增长</w:t>
      </w:r>
      <w:r>
        <w:rPr>
          <w:rFonts w:ascii="Times New Roman" w:hAnsi="Times New Roman" w:cs="Times New Roman" w:eastAsia="Times New Roman" w:hint="default"/>
        </w:rPr>
        <w:t>52.46%</w:t>
      </w:r>
      <w:r>
        <w:rPr/>
        <w:t>。数字营销业务实现营业收入 </w:t>
      </w:r>
      <w:r>
        <w:rPr>
          <w:spacing w:val="6"/>
        </w:rPr>
        <w:t>人民币</w:t>
      </w:r>
      <w:r>
        <w:rPr>
          <w:rFonts w:ascii="Times New Roman" w:hAnsi="Times New Roman" w:cs="Times New Roman" w:eastAsia="Times New Roman" w:hint="default"/>
          <w:spacing w:val="6"/>
        </w:rPr>
        <w:t>529,458.92</w:t>
      </w:r>
      <w:r>
        <w:rPr>
          <w:spacing w:val="6"/>
        </w:rPr>
        <w:t>万元，占公司营业收入的</w:t>
      </w:r>
      <w:r>
        <w:rPr>
          <w:rFonts w:ascii="Times New Roman" w:hAnsi="Times New Roman" w:cs="Times New Roman" w:eastAsia="Times New Roman" w:hint="default"/>
          <w:spacing w:val="6"/>
        </w:rPr>
        <w:t>69.12%</w:t>
      </w:r>
      <w:r>
        <w:rPr>
          <w:spacing w:val="6"/>
        </w:rPr>
        <w:t>，与去年同期相比增长</w:t>
      </w:r>
      <w:r>
        <w:rPr>
          <w:rFonts w:ascii="Times New Roman" w:hAnsi="Times New Roman" w:cs="Times New Roman" w:eastAsia="Times New Roman" w:hint="default"/>
          <w:spacing w:val="6"/>
        </w:rPr>
        <w:t>9.29%</w:t>
      </w:r>
      <w:r>
        <w:rPr>
          <w:spacing w:val="6"/>
        </w:rPr>
        <w:t>；实现营业利润人民币</w:t>
      </w:r>
      <w:r>
        <w:rPr>
          <w:spacing w:val="-94"/>
        </w:rPr>
        <w:t> </w:t>
      </w:r>
      <w:r>
        <w:rPr>
          <w:spacing w:val="-94"/>
        </w:rPr>
      </w:r>
      <w:r>
        <w:rPr>
          <w:rFonts w:ascii="Times New Roman" w:hAnsi="Times New Roman" w:cs="Times New Roman" w:eastAsia="Times New Roman" w:hint="default"/>
        </w:rPr>
        <w:t>13,976.77</w:t>
      </w:r>
      <w:r>
        <w:rPr/>
        <w:t>万元，占公司整体营业利润的</w:t>
      </w:r>
      <w:r>
        <w:rPr>
          <w:rFonts w:ascii="Times New Roman" w:hAnsi="Times New Roman" w:cs="Times New Roman" w:eastAsia="Times New Roman" w:hint="default"/>
        </w:rPr>
        <w:t>18.02%</w:t>
      </w:r>
      <w:r>
        <w:rPr/>
        <w:t>，与去年同期相比增长</w:t>
      </w:r>
      <w:r>
        <w:rPr>
          <w:rFonts w:ascii="宋体" w:hAnsi="宋体" w:cs="宋体" w:eastAsia="宋体" w:hint="default"/>
        </w:rPr>
        <w:t>31.86%</w:t>
      </w:r>
      <w:r>
        <w:rPr/>
        <w:t>。经营活动产生的现金流净额 为</w:t>
      </w:r>
      <w:r>
        <w:rPr>
          <w:rFonts w:ascii="宋体" w:hAnsi="宋体" w:cs="宋体" w:eastAsia="宋体" w:hint="default"/>
        </w:rPr>
        <w:t>30,119.20</w:t>
      </w:r>
      <w:r>
        <w:rPr/>
        <w:t>万元，主要系报告年度内，公司围绕战略规划，积极落实</w:t>
      </w:r>
      <w:r>
        <w:rPr>
          <w:spacing w:val="-12"/>
        </w:rPr>
        <w:t> </w:t>
      </w:r>
      <w:r>
        <w:rPr/>
        <w:t>年度经营计划，专注主营业务，强</w:t>
      </w:r>
      <w:r>
        <w:rPr/>
        <w:t> 化和巩固优势业务领域，其中互联网媒体业务及数字营销业务继续保持快速增长，同时，公司强化资金管 </w:t>
      </w:r>
      <w:r>
        <w:rPr>
          <w:spacing w:val="8"/>
        </w:rPr>
        <w:t>控，经营活动产生的现金净流量由负转正，并大幅提升。如扣除互联网金融相关经营活动现金净流出</w:t>
      </w:r>
      <w:r>
        <w:rPr>
          <w:spacing w:val="-81"/>
        </w:rPr>
        <w:t> </w:t>
      </w:r>
      <w:r>
        <w:rPr>
          <w:spacing w:val="-81"/>
        </w:rPr>
      </w:r>
      <w:r>
        <w:rPr>
          <w:rFonts w:ascii="宋体" w:hAnsi="宋体" w:cs="宋体" w:eastAsia="宋体" w:hint="default"/>
        </w:rPr>
        <w:t>10,367.84</w:t>
      </w:r>
      <w:r>
        <w:rPr/>
        <w:t>万元，经营活动产生的现金流量净流入为</w:t>
      </w:r>
      <w:r>
        <w:rPr>
          <w:rFonts w:ascii="宋体" w:hAnsi="宋体" w:cs="宋体" w:eastAsia="宋体" w:hint="default"/>
        </w:rPr>
        <w:t>40,487.04</w:t>
      </w:r>
      <w:r>
        <w:rPr/>
        <w:t>万元。报告期内公司总体经营情况如下：</w:t>
      </w:r>
    </w:p>
    <w:p>
      <w:pPr>
        <w:pStyle w:val="Heading5"/>
        <w:spacing w:line="240" w:lineRule="auto" w:before="55"/>
        <w:ind w:left="574" w:right="0"/>
        <w:jc w:val="left"/>
      </w:pPr>
      <w:r>
        <w:rPr/>
        <w:t>（一）</w:t>
      </w:r>
      <w:r>
        <w:rPr>
          <w:spacing w:val="-21"/>
        </w:rPr>
        <w:t> </w:t>
      </w:r>
      <w:r>
        <w:rPr/>
        <w:t>主营业务发展良好</w:t>
      </w:r>
    </w:p>
    <w:p>
      <w:pPr>
        <w:pStyle w:val="Heading5"/>
        <w:spacing w:line="290" w:lineRule="auto" w:before="78"/>
        <w:ind w:left="574" w:right="1173"/>
        <w:jc w:val="left"/>
      </w:pPr>
      <w:r>
        <w:rPr>
          <w:rFonts w:ascii="Times New Roman" w:hAnsi="Times New Roman" w:cs="Times New Roman" w:eastAsia="Times New Roman" w:hint="default"/>
        </w:rPr>
        <w:t>1</w:t>
      </w:r>
      <w:r>
        <w:rPr/>
        <w:t>、第三方搜索流量入口业务 境外平台</w:t>
      </w:r>
      <w:r>
        <w:rPr>
          <w:rFonts w:ascii="Times New Roman" w:hAnsi="Times New Roman" w:cs="Times New Roman" w:eastAsia="Times New Roman" w:hint="default"/>
        </w:rPr>
        <w:t>Spigot</w:t>
      </w:r>
      <w:r>
        <w:rPr/>
        <w:t>凭借较强的技术壁垒、优质的品牌客户以及优秀的业务团队，不断开拓进取，取得了</w:t>
      </w:r>
    </w:p>
    <w:p>
      <w:pPr>
        <w:pStyle w:val="Heading5"/>
        <w:spacing w:line="248" w:lineRule="exact"/>
        <w:ind w:right="0"/>
        <w:jc w:val="left"/>
      </w:pPr>
      <w:r>
        <w:rPr/>
        <w:t>良好的成绩。</w:t>
      </w:r>
    </w:p>
    <w:p>
      <w:pPr>
        <w:pStyle w:val="Heading5"/>
        <w:spacing w:line="290" w:lineRule="auto" w:before="76"/>
        <w:ind w:left="574" w:right="1126"/>
        <w:jc w:val="left"/>
      </w:pPr>
      <w:r>
        <w:rPr>
          <w:rFonts w:ascii="Times New Roman" w:hAnsi="Times New Roman" w:cs="Times New Roman" w:eastAsia="Times New Roman" w:hint="default"/>
        </w:rPr>
        <w:t>2</w:t>
      </w:r>
      <w:r>
        <w:rPr/>
        <w:t>、</w:t>
      </w:r>
      <w:r>
        <w:rPr>
          <w:sz w:val="20"/>
          <w:szCs w:val="20"/>
        </w:rPr>
        <w:t>移动广告联盟业务</w:t>
      </w:r>
      <w:r>
        <w:rPr>
          <w:w w:val="100"/>
          <w:sz w:val="20"/>
          <w:szCs w:val="20"/>
        </w:rPr>
        <w:t> </w:t>
      </w:r>
      <w:r>
        <w:rPr>
          <w:rFonts w:ascii="Times New Roman" w:hAnsi="Times New Roman" w:cs="Times New Roman" w:eastAsia="Times New Roman" w:hint="default"/>
        </w:rPr>
        <w:t>FMOBI</w:t>
      </w:r>
      <w:r>
        <w:rPr/>
        <w:t>作为境内流量平台，应用国内领先的</w:t>
      </w:r>
      <w:r>
        <w:rPr>
          <w:rFonts w:ascii="Times New Roman" w:hAnsi="Times New Roman" w:cs="Times New Roman" w:eastAsia="Times New Roman" w:hint="default"/>
        </w:rPr>
        <w:t>SSP</w:t>
      </w:r>
      <w:r>
        <w:rPr/>
        <w:t>等技术处理系统，通过自有产品和第三方产品聚合优</w:t>
      </w:r>
    </w:p>
    <w:p>
      <w:pPr>
        <w:pStyle w:val="Heading5"/>
        <w:spacing w:line="248" w:lineRule="exact"/>
        <w:ind w:right="0"/>
        <w:jc w:val="left"/>
      </w:pPr>
      <w:r>
        <w:rPr/>
        <w:t>质流量，不断为互联网用户提供优质、便利的服务，商业变现能力不断增强。</w:t>
      </w:r>
    </w:p>
    <w:p>
      <w:pPr>
        <w:pStyle w:val="Heading5"/>
        <w:spacing w:line="290" w:lineRule="auto" w:before="76"/>
        <w:ind w:left="574" w:right="0"/>
        <w:jc w:val="left"/>
      </w:pPr>
      <w:r>
        <w:rPr>
          <w:rFonts w:ascii="Times New Roman" w:hAnsi="Times New Roman" w:cs="Times New Roman" w:eastAsia="Times New Roman" w:hint="default"/>
        </w:rPr>
        <w:t>3</w:t>
      </w:r>
      <w:r>
        <w:rPr/>
        <w:t>、数字营销业务 </w:t>
      </w:r>
      <w:r>
        <w:rPr>
          <w:spacing w:val="-1"/>
        </w:rPr>
        <w:t>智度亦复是腾讯广点通、百度、阿里神马、</w:t>
      </w:r>
      <w:r>
        <w:rPr>
          <w:rFonts w:ascii="Times New Roman" w:hAnsi="Times New Roman" w:cs="Times New Roman" w:eastAsia="Times New Roman" w:hint="default"/>
          <w:spacing w:val="-1"/>
        </w:rPr>
        <w:t>360</w:t>
      </w:r>
      <w:r>
        <w:rPr>
          <w:spacing w:val="-1"/>
        </w:rPr>
        <w:t>和搜狗搜索的核心代理商，并取得了</w:t>
      </w:r>
      <w:r>
        <w:rPr>
          <w:rFonts w:ascii="Times New Roman" w:hAnsi="Times New Roman" w:cs="Times New Roman" w:eastAsia="Times New Roman" w:hint="default"/>
          <w:spacing w:val="-1"/>
        </w:rPr>
        <w:t>VIVO</w:t>
      </w:r>
      <w:r>
        <w:rPr>
          <w:spacing w:val="-1"/>
        </w:rPr>
        <w:t>、小米、爱</w:t>
      </w:r>
    </w:p>
    <w:p>
      <w:pPr>
        <w:pStyle w:val="Heading5"/>
        <w:spacing w:line="247" w:lineRule="exact"/>
        <w:ind w:right="0"/>
        <w:jc w:val="left"/>
      </w:pPr>
      <w:r>
        <w:rPr/>
        <w:t>奇艺、一点资讯等硬核媒体厂商的核心代理资质，为金融、游戏、快消、汽车、旅游、家电等行业的品牌</w:t>
      </w:r>
    </w:p>
    <w:p>
      <w:pPr>
        <w:pStyle w:val="Heading5"/>
        <w:spacing w:line="240" w:lineRule="auto" w:before="38"/>
        <w:ind w:right="0"/>
        <w:jc w:val="left"/>
      </w:pPr>
      <w:r>
        <w:rPr/>
        <w:t>广告主提供营销服务。</w:t>
      </w:r>
    </w:p>
    <w:p>
      <w:pPr>
        <w:pStyle w:val="Heading5"/>
        <w:spacing w:line="290" w:lineRule="auto" w:before="78"/>
        <w:ind w:left="574" w:right="1118"/>
        <w:jc w:val="left"/>
      </w:pPr>
      <w:r>
        <w:rPr>
          <w:rFonts w:ascii="Times New Roman" w:hAnsi="Times New Roman" w:cs="Times New Roman" w:eastAsia="Times New Roman" w:hint="default"/>
        </w:rPr>
        <w:t>4</w:t>
      </w:r>
      <w:r>
        <w:rPr/>
        <w:t>、其他业务 </w:t>
      </w:r>
      <w:r>
        <w:rPr>
          <w:spacing w:val="-1"/>
        </w:rPr>
        <w:t>报告期内，公司稳步向互联网游戏业务和互联网金融业务拓展，在逐步提升业务规模的同时，增强上</w:t>
      </w:r>
    </w:p>
    <w:p>
      <w:pPr>
        <w:pStyle w:val="Heading5"/>
        <w:spacing w:line="269" w:lineRule="exact"/>
        <w:ind w:right="0"/>
        <w:jc w:val="left"/>
      </w:pPr>
      <w:r>
        <w:rPr/>
        <w:t>市公司的持续盈利能力。</w:t>
      </w:r>
    </w:p>
    <w:p>
      <w:pPr>
        <w:pStyle w:val="Heading5"/>
        <w:spacing w:line="307" w:lineRule="auto" w:before="76"/>
        <w:ind w:left="574" w:right="0"/>
        <w:jc w:val="left"/>
      </w:pPr>
      <w:r>
        <w:rPr/>
        <w:t>（二）整合协同效果明显 </w:t>
      </w:r>
      <w:r>
        <w:rPr>
          <w:spacing w:val="-1"/>
        </w:rPr>
        <w:t>报告期内，公司对资产、业务、人力、财务等进行了进一步的整合、协同和完善，进一步扩大了平台</w:t>
      </w:r>
    </w:p>
    <w:p>
      <w:pPr>
        <w:pStyle w:val="Heading5"/>
        <w:spacing w:line="254" w:lineRule="exact"/>
        <w:ind w:right="0"/>
        <w:jc w:val="left"/>
      </w:pPr>
      <w:r>
        <w:rPr/>
        <w:t>业务规模，培育了互联网产品矩阵，加固了互联网流量入口、流量经营平台、商业变现渠道三位一体的闭</w:t>
      </w:r>
    </w:p>
    <w:p>
      <w:pPr>
        <w:pStyle w:val="Heading5"/>
        <w:spacing w:line="273" w:lineRule="auto" w:before="37"/>
        <w:ind w:right="0"/>
        <w:jc w:val="left"/>
      </w:pPr>
      <w:r>
        <w:rPr>
          <w:spacing w:val="-1"/>
        </w:rPr>
        <w:t>环。公司全面整合各子公司的业务资源、客户资源、专业人才、技术资源，并通过集中采买，交叉销售等</w:t>
      </w:r>
      <w:r>
        <w:rPr>
          <w:spacing w:val="-83"/>
        </w:rPr>
        <w:t> </w:t>
      </w:r>
      <w:r>
        <w:rPr>
          <w:spacing w:val="-83"/>
        </w:rPr>
      </w:r>
      <w:r>
        <w:rPr/>
        <w:t>方式，实现有效管理、高效运营。</w:t>
      </w:r>
    </w:p>
    <w:p>
      <w:pPr>
        <w:pStyle w:val="Heading5"/>
        <w:spacing w:line="240" w:lineRule="auto" w:before="47"/>
        <w:ind w:left="574" w:right="0"/>
        <w:jc w:val="left"/>
      </w:pPr>
      <w:r>
        <w:rPr/>
        <w:t>报告期内，公司业务处于平稳向上发展阶段，公司结合发展战略及目前的业务布局，通过不断的整合</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4" w:lineRule="auto" w:before="35"/>
        <w:ind w:right="0"/>
        <w:jc w:val="left"/>
      </w:pPr>
      <w:r>
        <w:rPr/>
        <w:t>完善，形成了</w:t>
      </w:r>
      <w:r>
        <w:rPr>
          <w:rFonts w:ascii="Times New Roman" w:hAnsi="Times New Roman" w:cs="Times New Roman" w:eastAsia="Times New Roman" w:hint="default"/>
        </w:rPr>
        <w:t>“</w:t>
      </w:r>
      <w:r>
        <w:rPr/>
        <w:t>业务板块</w:t>
      </w:r>
      <w:r>
        <w:rPr>
          <w:rFonts w:ascii="Times New Roman" w:hAnsi="Times New Roman" w:cs="Times New Roman" w:eastAsia="Times New Roman" w:hint="default"/>
        </w:rPr>
        <w:t>+</w:t>
      </w:r>
      <w:r>
        <w:rPr/>
        <w:t>管理中心</w:t>
      </w:r>
      <w:r>
        <w:rPr>
          <w:rFonts w:ascii="Times New Roman" w:hAnsi="Times New Roman" w:cs="Times New Roman" w:eastAsia="Times New Roman" w:hint="default"/>
        </w:rPr>
        <w:t>”</w:t>
      </w:r>
      <w:r>
        <w:rPr/>
        <w:t>的经营管理模式，核心业务成熟度日益提升，包括第三方搜索流量入 口业务、</w:t>
      </w:r>
      <w:r>
        <w:rPr>
          <w:sz w:val="20"/>
          <w:szCs w:val="20"/>
        </w:rPr>
        <w:t>移动广告联盟业务</w:t>
      </w:r>
      <w:r>
        <w:rPr/>
        <w:t>和数字营销业务，此外还有互联网金融、游戏等其他新兴拓展业务，在过往核</w:t>
      </w:r>
      <w:r>
        <w:rPr/>
        <w:t> </w:t>
      </w:r>
      <w:r>
        <w:rPr>
          <w:spacing w:val="-5"/>
        </w:rPr>
        <w:t>心业务的成功经验带领下正在快速成长；管理中心包括</w:t>
      </w:r>
      <w:r>
        <w:rPr>
          <w:rFonts w:ascii="Times New Roman" w:hAnsi="Times New Roman" w:cs="Times New Roman" w:eastAsia="Times New Roman" w:hint="default"/>
          <w:spacing w:val="-5"/>
        </w:rPr>
        <w:t>“</w:t>
      </w:r>
      <w:r>
        <w:rPr>
          <w:spacing w:val="-5"/>
        </w:rPr>
        <w:t>行政中心</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财务中心</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人事中心</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法务中心</w:t>
      </w:r>
      <w:r>
        <w:rPr>
          <w:rFonts w:ascii="Times New Roman" w:hAnsi="Times New Roman" w:cs="Times New Roman" w:eastAsia="Times New Roman" w:hint="default"/>
          <w:spacing w:val="-5"/>
        </w:rPr>
        <w:t>”</w:t>
      </w:r>
      <w:r>
        <w:rPr>
          <w:spacing w:val="-5"/>
        </w:rPr>
        <w:t>、</w:t>
      </w:r>
      <w:r>
        <w:rPr>
          <w:spacing w:val="-93"/>
        </w:rPr>
        <w:t> </w:t>
      </w:r>
      <w:r>
        <w:rPr>
          <w:rFonts w:ascii="Times New Roman" w:hAnsi="Times New Roman" w:cs="Times New Roman" w:eastAsia="Times New Roman" w:hint="default"/>
        </w:rPr>
        <w:t>“IT</w:t>
      </w:r>
      <w:r>
        <w:rPr/>
        <w:t>中心</w:t>
      </w:r>
      <w:r>
        <w:rPr>
          <w:rFonts w:ascii="Times New Roman" w:hAnsi="Times New Roman" w:cs="Times New Roman" w:eastAsia="Times New Roman" w:hint="default"/>
        </w:rPr>
        <w:t>”</w:t>
      </w:r>
      <w:r>
        <w:rPr/>
        <w:t>，由上市公司统一垂直管理。</w:t>
      </w:r>
    </w:p>
    <w:p>
      <w:pPr>
        <w:pStyle w:val="Heading5"/>
        <w:spacing w:line="307" w:lineRule="auto" w:before="38"/>
        <w:ind w:left="574" w:right="1173"/>
        <w:jc w:val="left"/>
      </w:pPr>
      <w:r>
        <w:rPr/>
        <w:t>（三）全球化布局已具规模 报告期内，</w:t>
      </w:r>
      <w:r>
        <w:rPr>
          <w:rFonts w:ascii="Times New Roman" w:hAnsi="Times New Roman" w:cs="Times New Roman" w:eastAsia="Times New Roman" w:hint="default"/>
        </w:rPr>
        <w:t>Spigot</w:t>
      </w:r>
      <w:r>
        <w:rPr/>
        <w:t>作为境外业务发展的核心平台，在积极推进国际化业务、坚持全球化战略的同时，</w:t>
      </w:r>
    </w:p>
    <w:p>
      <w:pPr>
        <w:pStyle w:val="Heading5"/>
        <w:spacing w:line="231" w:lineRule="exact"/>
        <w:ind w:right="0"/>
        <w:jc w:val="left"/>
      </w:pPr>
      <w:r>
        <w:rPr/>
        <w:t>平衡境内外业务共同发展，两块并举地为公司持续稳健发展奠定坚实的基础。为充分发挥公司资源优势、</w:t>
      </w:r>
    </w:p>
    <w:p>
      <w:pPr>
        <w:pStyle w:val="Heading5"/>
        <w:spacing w:line="268" w:lineRule="auto" w:before="37"/>
        <w:ind w:right="1092"/>
        <w:jc w:val="left"/>
      </w:pPr>
      <w:r>
        <w:rPr>
          <w:spacing w:val="-1"/>
        </w:rPr>
        <w:t>拓展海外广告市场，为全球范围内手机厂商提供海外客户资源和系统平台建设等解决方案，最终实现打造</w:t>
      </w:r>
      <w:r>
        <w:rPr>
          <w:spacing w:val="-81"/>
        </w:rPr>
        <w:t> </w:t>
      </w:r>
      <w:r>
        <w:rPr>
          <w:spacing w:val="-81"/>
        </w:rPr>
      </w:r>
      <w:r>
        <w:rPr/>
        <w:t>具有国际影响力的海外移动商业变现体系，公司于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月与苏州跃盟、上海邑炎共同投资设立深圳智 度邑盟信息技术有限公司。本次投资将有效优化公司目前的业务结构、实现业务联动、增强核心竞争力， 提升综合盈利能力，对公司发展战略的实施有积极的意义。</w:t>
      </w:r>
    </w:p>
    <w:p>
      <w:pPr>
        <w:pStyle w:val="Heading5"/>
        <w:spacing w:line="307" w:lineRule="auto" w:before="51"/>
        <w:ind w:left="574" w:right="0"/>
        <w:jc w:val="left"/>
      </w:pPr>
      <w:r>
        <w:rPr/>
        <w:t>（四）产融战略得到落实 </w:t>
      </w:r>
      <w:r>
        <w:rPr>
          <w:spacing w:val="-1"/>
        </w:rPr>
        <w:t>公司坚持内生发展与外延扩张同步推进，在做大公司现有业务体量的同时，借助自身优势，寻找新的</w:t>
      </w:r>
    </w:p>
    <w:p>
      <w:pPr>
        <w:pStyle w:val="Heading5"/>
        <w:spacing w:line="269" w:lineRule="exact"/>
        <w:ind w:right="0"/>
        <w:jc w:val="left"/>
      </w:pPr>
      <w:r>
        <w:rPr/>
        <w:t>业绩增长点。公司设立了互联网小额贷款公司和保理公司，并于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日设立了西藏智度保险经纪有</w:t>
      </w:r>
    </w:p>
    <w:p>
      <w:pPr>
        <w:pStyle w:val="Heading5"/>
        <w:spacing w:line="240" w:lineRule="auto" w:before="22"/>
        <w:ind w:right="0"/>
        <w:jc w:val="left"/>
      </w:pPr>
      <w:r>
        <w:rPr/>
        <w:t>限公司，以此丰富业务模式，推动公司收入结构多元化，增强整体业务可持续发展能力和市场竞争力。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3"/>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7,659,568,013.04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6,373,794,918.71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7,659,568,013.04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6,373,794,918.71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2,009,261,641.63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1,391,948,633.48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5,294,589,221.06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4,844,517,826.64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76.01%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355,349,614.62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137,328,458.59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367,535.73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6,046,332,166.69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5,256,950,569.48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82.48%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1,613,235,846.35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1,116,844,349.23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44.45%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7,659,200,477.31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6,223,534,991.86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2,009,261,641.63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1,017,376,150.24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5,294,589,221.06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5,044,385,734.16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355,349,614.62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161,773,107.46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6,045,964,630.96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5,396,307,280.13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1,613,235,846.35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827,227,711.73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6,223,870,153.16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5,458,778,028.76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14.02%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1,017,376,150.24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739,887,225.74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5,044,385,734.16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4,668,606,371.32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161,773,107.46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50,284,431.70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221.72%</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335,161.30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3"/>
          <w:szCs w:val="23"/>
        </w:rPr>
      </w:pPr>
    </w:p>
    <w:p>
      <w:pPr>
        <w:pStyle w:val="Heading2"/>
        <w:tabs>
          <w:tab w:pos="2850" w:val="left" w:leader="none"/>
        </w:tabs>
        <w:spacing w:line="240" w:lineRule="auto"/>
        <w:ind w:right="0"/>
        <w:jc w:val="left"/>
        <w:rPr>
          <w:rFonts w:ascii="Times New Roman" w:hAnsi="Times New Roman" w:cs="Times New Roman" w:eastAsia="Times New Roman" w:hint="default"/>
          <w:b w:val="0"/>
          <w:bCs w:val="0"/>
        </w:rPr>
      </w:pPr>
      <w:r>
        <w:rPr/>
        <w:t>详见</w:t>
      </w:r>
      <w:r>
        <w:rPr>
          <w:rFonts w:ascii="Times New Roman" w:hAnsi="Times New Roman" w:cs="Times New Roman" w:eastAsia="Times New Roman" w:hint="default"/>
        </w:rPr>
        <w:t>“</w:t>
      </w:r>
      <w:r>
        <w:rPr/>
        <w:t>第五节</w:t>
      </w:r>
      <w:r>
        <w:rPr>
          <w:spacing w:val="-25"/>
        </w:rPr>
        <w:t> </w:t>
      </w:r>
      <w:r>
        <w:rPr/>
        <w:t>重要事项</w:t>
        <w:tab/>
        <w:t>八、与上年度财务报告相比，合并报表范围发生变化的情况说明</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6"/>
        <w:rPr>
          <w:rFonts w:ascii="Times New Roman" w:hAnsi="Times New Roman" w:cs="Times New Roman" w:eastAsia="Times New Roman" w:hint="default"/>
          <w:b/>
          <w:bCs/>
          <w:sz w:val="26"/>
          <w:szCs w:val="26"/>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3,156,306,847.19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1,480,763,824.19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864,005,822.19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461,130,017.35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195,053,926.63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155,353,256.83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3,156,306,847.19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41.13%</w:t>
            </w:r>
          </w:p>
        </w:tc>
      </w:tr>
    </w:tbl>
    <w:p>
      <w:pPr>
        <w:pStyle w:val="BodyText"/>
        <w:spacing w:line="240" w:lineRule="auto" w:before="51"/>
        <w:ind w:right="0"/>
        <w:jc w:val="left"/>
      </w:pPr>
      <w:r>
        <w:rPr/>
        <w:t>主要客户其他情况说明</w:t>
      </w:r>
    </w:p>
    <w:p>
      <w:pPr>
        <w:pStyle w:val="BodyText"/>
        <w:spacing w:line="319" w:lineRule="auto" w:before="117"/>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公司前五名客户的不与公司存在关联关系，公司董事、监事、高级管理人员、核心技术人员、持股</w:t>
      </w:r>
      <w:r>
        <w:rPr>
          <w:rFonts w:ascii="Times New Roman" w:hAnsi="Times New Roman" w:cs="Times New Roman" w:eastAsia="Times New Roman" w:hint="default"/>
        </w:rPr>
        <w:t>5%</w:t>
      </w:r>
      <w:r>
        <w:rPr/>
        <w:t>以上股东、实际控制 人和其他关联方在主要客户中不存在直接或者间接拥有权益等。</w:t>
      </w:r>
    </w:p>
    <w:p>
      <w:pPr>
        <w:pStyle w:val="BodyText"/>
        <w:spacing w:line="240" w:lineRule="auto" w:before="58"/>
        <w:ind w:right="0"/>
        <w:jc w:val="left"/>
      </w:pPr>
      <w:r>
        <w:rPr/>
        <w:t>公司主要供应商情况</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5,094,054,873.55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1,477,506,700.27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1,273,561,764.55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1,040,526,564.48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801,941,680.64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500,518,163.61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5,094,054,873.55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76.73%</w:t>
            </w:r>
          </w:p>
        </w:tc>
      </w:tr>
    </w:tbl>
    <w:p>
      <w:pPr>
        <w:pStyle w:val="BodyText"/>
        <w:spacing w:line="240" w:lineRule="auto" w:before="51"/>
        <w:ind w:right="0"/>
        <w:jc w:val="left"/>
      </w:pPr>
      <w:r>
        <w:rPr/>
        <w:t>主要供应商其他情况说明</w:t>
      </w:r>
    </w:p>
    <w:p>
      <w:pPr>
        <w:pStyle w:val="BodyText"/>
        <w:spacing w:line="319" w:lineRule="auto" w:before="117"/>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公司前五名供应商不与公司存在关联关系，公司董事、监事、高级管理人员、核心技术人员、持股</w:t>
      </w:r>
      <w:r>
        <w:rPr>
          <w:rFonts w:ascii="Times New Roman" w:hAnsi="Times New Roman" w:cs="Times New Roman" w:eastAsia="Times New Roman" w:hint="default"/>
        </w:rPr>
        <w:t>5%</w:t>
      </w:r>
      <w:r>
        <w:rPr/>
        <w:t>以上股东、实际控制 人和其他关联方在主要供应商中不存在直接或者间接拥有权益等。</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139,072,722.55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99,172,649.10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40.23%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主要系报告年度内随业绩大幅增长， 相应人员薪酬支出及推广宣传业务 招待费用增加所致。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391,381,646.97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214,294,160.00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82.64%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主要系报告年度内随业绩大幅增长， 相应人员薪酬支出增加所致。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15,065,401.04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22,131,655.27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-31.93%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主要系报告年度内公司融资成本减 少所致。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118,293,188.11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83,954,350.16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40.90%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主要系报告年度内随业绩大幅增长， 相应研发支出增加所致。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2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报告期内，公司立足战略目标，围绕主营业务，增强研发能力，通过技术创新提升公司核心竞争力。 公司研发投入情况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124,024,950.32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96,365,083.14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5,731,762.21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12,410,732.98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8,064,188,349.99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6,496,960,672.30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7,762,996,325.32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6,508,084,262.38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301,192,024.67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-11,123,590.08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2,807.69%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5,206,585,292.04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9,514,258,496.69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5,239,791,609.94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9,247,275,597.53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-33,206,317.90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266,982,899.16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-112.44%</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854,900,523.82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1,047,481,700.00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608,981,341.50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1,283,448,752.03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245,919,182.32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-235,967,052.03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538,608,674.25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12,160,813.24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4,329.05%</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61" w:type="dxa"/>
        <w:tblLayout w:type="fixed"/>
        <w:tblCellMar>
          <w:top w:w="0" w:type="dxa"/>
          <w:left w:w="0" w:type="dxa"/>
          <w:bottom w:w="0" w:type="dxa"/>
          <w:right w:w="0" w:type="dxa"/>
        </w:tblCellMar>
        <w:tblLook w:val="01E0"/>
      </w:tblPr>
      <w:tblGrid>
        <w:gridCol w:w="1471"/>
        <w:gridCol w:w="1778"/>
        <w:gridCol w:w="1558"/>
        <w:gridCol w:w="1450"/>
        <w:gridCol w:w="3230"/>
      </w:tblGrid>
      <w:tr>
        <w:trPr>
          <w:trHeight w:val="326" w:hRule="exact"/>
        </w:trPr>
        <w:tc>
          <w:tcPr>
            <w:tcW w:w="147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6"/>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6"/>
              <w:ind w:left="5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6"/>
              <w:ind w:left="358"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323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6"/>
              <w:ind w:left="1067"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664" w:hRule="exact"/>
        </w:trPr>
        <w:tc>
          <w:tcPr>
            <w:tcW w:w="147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316" w:lineRule="auto" w:before="31"/>
              <w:ind w:left="3" w:right="16"/>
              <w:jc w:val="left"/>
              <w:rPr>
                <w:rFonts w:ascii="宋体" w:hAnsi="宋体" w:cs="宋体" w:eastAsia="宋体" w:hint="default"/>
                <w:sz w:val="18"/>
                <w:szCs w:val="18"/>
              </w:rPr>
            </w:pPr>
            <w:r>
              <w:rPr>
                <w:rFonts w:ascii="宋体" w:hAnsi="宋体" w:cs="宋体" w:eastAsia="宋体" w:hint="default"/>
                <w:sz w:val="18"/>
                <w:szCs w:val="18"/>
              </w:rPr>
              <w:t>经营活动现金流入 小计</w:t>
            </w:r>
          </w:p>
        </w:tc>
        <w:tc>
          <w:tcPr>
            <w:tcW w:w="1778"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66"/>
              <w:ind w:right="3"/>
              <w:jc w:val="right"/>
              <w:rPr>
                <w:rFonts w:ascii="Times New Roman" w:hAnsi="Times New Roman" w:cs="Times New Roman" w:eastAsia="Times New Roman" w:hint="default"/>
                <w:sz w:val="18"/>
                <w:szCs w:val="18"/>
              </w:rPr>
            </w:pPr>
            <w:r>
              <w:rPr>
                <w:rFonts w:ascii="Times New Roman"/>
                <w:spacing w:val="-1"/>
                <w:sz w:val="18"/>
              </w:rPr>
              <w:t>8,064,188,349.99</w:t>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6"/>
              <w:ind w:right="4"/>
              <w:jc w:val="right"/>
              <w:rPr>
                <w:rFonts w:ascii="Times New Roman" w:hAnsi="Times New Roman" w:cs="Times New Roman" w:eastAsia="Times New Roman" w:hint="default"/>
                <w:sz w:val="18"/>
                <w:szCs w:val="18"/>
              </w:rPr>
            </w:pPr>
            <w:r>
              <w:rPr>
                <w:rFonts w:ascii="Times New Roman"/>
                <w:spacing w:val="-1"/>
                <w:sz w:val="18"/>
              </w:rPr>
              <w:t>6,496,960,672.30</w:t>
            </w:r>
          </w:p>
        </w:tc>
        <w:tc>
          <w:tcPr>
            <w:tcW w:w="14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z w:val="18"/>
              </w:rPr>
              <w:t>24.12%</w:t>
            </w:r>
          </w:p>
        </w:tc>
        <w:tc>
          <w:tcPr>
            <w:tcW w:w="3230"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26"/>
              <w:ind w:left="4" w:right="-25"/>
              <w:jc w:val="left"/>
              <w:rPr>
                <w:rFonts w:ascii="宋体" w:hAnsi="宋体" w:cs="宋体" w:eastAsia="宋体" w:hint="default"/>
                <w:sz w:val="18"/>
                <w:szCs w:val="18"/>
              </w:rPr>
            </w:pPr>
            <w:r>
              <w:rPr>
                <w:rFonts w:ascii="宋体" w:hAnsi="宋体" w:cs="宋体" w:eastAsia="宋体" w:hint="default"/>
                <w:sz w:val="18"/>
                <w:szCs w:val="18"/>
              </w:rPr>
              <w:t>主要系报告年度内公司营业额大幅增加， 相应经营活动现金流入大幅增长。</w:t>
            </w:r>
          </w:p>
        </w:tc>
      </w:tr>
      <w:tr>
        <w:trPr>
          <w:trHeight w:val="966" w:hRule="exact"/>
        </w:trPr>
        <w:tc>
          <w:tcPr>
            <w:tcW w:w="1471" w:type="dxa"/>
            <w:tcBorders>
              <w:top w:val="single" w:sz="4" w:space="0" w:color="000000"/>
              <w:left w:val="single" w:sz="4" w:space="0" w:color="000000"/>
              <w:bottom w:val="single" w:sz="4" w:space="0" w:color="FFFFFF"/>
              <w:right w:val="single" w:sz="4" w:space="0" w:color="000000"/>
            </w:tcBorders>
            <w:shd w:val="clear" w:color="auto" w:fill="A6A6A6"/>
          </w:tcPr>
          <w:p>
            <w:pPr>
              <w:pStyle w:val="TableParagraph"/>
              <w:spacing w:line="319" w:lineRule="auto" w:before="21"/>
              <w:ind w:left="3" w:right="16"/>
              <w:jc w:val="left"/>
              <w:rPr>
                <w:rFonts w:ascii="宋体" w:hAnsi="宋体" w:cs="宋体" w:eastAsia="宋体" w:hint="default"/>
                <w:sz w:val="18"/>
                <w:szCs w:val="18"/>
              </w:rPr>
            </w:pPr>
            <w:r>
              <w:rPr>
                <w:rFonts w:ascii="宋体" w:hAnsi="宋体" w:cs="宋体" w:eastAsia="宋体" w:hint="default"/>
                <w:sz w:val="18"/>
                <w:szCs w:val="18"/>
              </w:rPr>
              <w:t>经营活动现金流出 小计</w:t>
            </w:r>
          </w:p>
        </w:tc>
        <w:tc>
          <w:tcPr>
            <w:tcW w:w="1778" w:type="dxa"/>
            <w:tcBorders>
              <w:top w:val="single" w:sz="4" w:space="0" w:color="000000"/>
              <w:left w:val="single" w:sz="6" w:space="0" w:color="000000"/>
              <w:bottom w:val="single" w:sz="4" w:space="0" w:color="FFFFFF"/>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7,762,996,325.32</w:t>
            </w:r>
          </w:p>
        </w:tc>
        <w:tc>
          <w:tcPr>
            <w:tcW w:w="155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6,508,084,262.38</w:t>
            </w:r>
          </w:p>
        </w:tc>
        <w:tc>
          <w:tcPr>
            <w:tcW w:w="14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19.28%</w:t>
            </w:r>
          </w:p>
        </w:tc>
        <w:tc>
          <w:tcPr>
            <w:tcW w:w="3230" w:type="dxa"/>
            <w:tcBorders>
              <w:top w:val="single" w:sz="4" w:space="0" w:color="000000"/>
              <w:left w:val="single" w:sz="4" w:space="0" w:color="000000"/>
              <w:bottom w:val="single" w:sz="4" w:space="0" w:color="FFFFFF"/>
              <w:right w:val="single" w:sz="4" w:space="0" w:color="000000"/>
            </w:tcBorders>
          </w:tcPr>
          <w:p>
            <w:pPr>
              <w:pStyle w:val="TableParagraph"/>
              <w:spacing w:line="319"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主要系报告年度内公司营业成本随营业 </w:t>
            </w:r>
            <w:r>
              <w:rPr>
                <w:rFonts w:ascii="宋体" w:hAnsi="宋体" w:cs="宋体" w:eastAsia="宋体" w:hint="default"/>
                <w:spacing w:val="-2"/>
                <w:sz w:val="18"/>
                <w:szCs w:val="18"/>
              </w:rPr>
              <w:t>额同向大幅增加，相应经营活动现金流出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大幅增长。</w:t>
            </w:r>
          </w:p>
        </w:tc>
      </w:tr>
      <w:tr>
        <w:trPr>
          <w:trHeight w:val="655" w:hRule="exact"/>
        </w:trPr>
        <w:tc>
          <w:tcPr>
            <w:tcW w:w="1471" w:type="dxa"/>
            <w:tcBorders>
              <w:top w:val="single" w:sz="4" w:space="0" w:color="FFFFFF"/>
              <w:left w:val="single" w:sz="4" w:space="0" w:color="000000"/>
              <w:bottom w:val="single" w:sz="4" w:space="0" w:color="000000"/>
              <w:right w:val="single" w:sz="4" w:space="0" w:color="000000"/>
            </w:tcBorders>
            <w:shd w:val="clear" w:color="auto" w:fill="A6A6A6"/>
          </w:tcPr>
          <w:p>
            <w:pPr>
              <w:pStyle w:val="TableParagraph"/>
              <w:spacing w:line="316" w:lineRule="auto" w:before="21"/>
              <w:ind w:left="3" w:right="16"/>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778" w:type="dxa"/>
            <w:tcBorders>
              <w:top w:val="single" w:sz="4" w:space="0" w:color="FFFFFF"/>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301,192,024.67</w:t>
            </w:r>
          </w:p>
        </w:tc>
        <w:tc>
          <w:tcPr>
            <w:tcW w:w="15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-11,123,590.08</w:t>
            </w:r>
          </w:p>
        </w:tc>
        <w:tc>
          <w:tcPr>
            <w:tcW w:w="14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2807.69%</w:t>
            </w:r>
          </w:p>
        </w:tc>
        <w:tc>
          <w:tcPr>
            <w:tcW w:w="3230"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21"/>
              <w:ind w:left="4" w:right="-25"/>
              <w:jc w:val="left"/>
              <w:rPr>
                <w:rFonts w:ascii="宋体" w:hAnsi="宋体" w:cs="宋体" w:eastAsia="宋体" w:hint="default"/>
                <w:sz w:val="18"/>
                <w:szCs w:val="18"/>
              </w:rPr>
            </w:pPr>
            <w:r>
              <w:rPr>
                <w:rFonts w:ascii="宋体" w:hAnsi="宋体" w:cs="宋体" w:eastAsia="宋体" w:hint="default"/>
                <w:sz w:val="18"/>
                <w:szCs w:val="18"/>
              </w:rPr>
              <w:t>主要系报告年度内，公司围绕战略规划， 积极落实年度经营计划，专注主营业务，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8" w:type="dxa"/>
        <w:tblLayout w:type="fixed"/>
        <w:tblCellMar>
          <w:top w:w="0" w:type="dxa"/>
          <w:left w:w="0" w:type="dxa"/>
          <w:bottom w:w="0" w:type="dxa"/>
          <w:right w:w="0" w:type="dxa"/>
        </w:tblCellMar>
        <w:tblLook w:val="01E0"/>
      </w:tblPr>
      <w:tblGrid>
        <w:gridCol w:w="1476"/>
        <w:gridCol w:w="1776"/>
        <w:gridCol w:w="1558"/>
        <w:gridCol w:w="1450"/>
        <w:gridCol w:w="3230"/>
      </w:tblGrid>
      <w:tr>
        <w:trPr>
          <w:trHeight w:val="2214" w:hRule="exact"/>
        </w:trPr>
        <w:tc>
          <w:tcPr>
            <w:tcW w:w="1476" w:type="dxa"/>
            <w:tcBorders>
              <w:top w:val="single" w:sz="4" w:space="0" w:color="000000"/>
              <w:left w:val="single" w:sz="4" w:space="0" w:color="000000"/>
              <w:bottom w:val="single" w:sz="4" w:space="0" w:color="FFFFFF"/>
              <w:right w:val="single" w:sz="4" w:space="0" w:color="000000"/>
            </w:tcBorders>
            <w:shd w:val="clear" w:color="auto" w:fill="A6A6A6"/>
          </w:tcPr>
          <w:p>
            <w:pPr/>
          </w:p>
        </w:tc>
        <w:tc>
          <w:tcPr>
            <w:tcW w:w="1776" w:type="dxa"/>
            <w:tcBorders>
              <w:top w:val="single" w:sz="4" w:space="0" w:color="000000"/>
              <w:left w:val="single" w:sz="4" w:space="0" w:color="000000"/>
              <w:bottom w:val="single" w:sz="4" w:space="0" w:color="FFFFFF"/>
              <w:right w:val="single" w:sz="4" w:space="0" w:color="000000"/>
            </w:tcBorders>
          </w:tcPr>
          <w:p>
            <w:pPr/>
          </w:p>
        </w:tc>
        <w:tc>
          <w:tcPr>
            <w:tcW w:w="1558" w:type="dxa"/>
            <w:tcBorders>
              <w:top w:val="single" w:sz="4" w:space="0" w:color="000000"/>
              <w:left w:val="single" w:sz="4" w:space="0" w:color="000000"/>
              <w:bottom w:val="single" w:sz="4" w:space="0" w:color="FFFFFF"/>
              <w:right w:val="single" w:sz="4" w:space="0" w:color="000000"/>
            </w:tcBorders>
          </w:tcPr>
          <w:p>
            <w:pPr/>
          </w:p>
        </w:tc>
        <w:tc>
          <w:tcPr>
            <w:tcW w:w="1450" w:type="dxa"/>
            <w:tcBorders>
              <w:top w:val="single" w:sz="4" w:space="0" w:color="000000"/>
              <w:left w:val="single" w:sz="4" w:space="0" w:color="000000"/>
              <w:bottom w:val="single" w:sz="4" w:space="0" w:color="FFFFFF"/>
              <w:right w:val="single" w:sz="4" w:space="0" w:color="000000"/>
            </w:tcBorders>
          </w:tcPr>
          <w:p>
            <w:pPr/>
          </w:p>
        </w:tc>
        <w:tc>
          <w:tcPr>
            <w:tcW w:w="3230"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强化和巩固优势业务领域，其中互联网媒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体业务及数字营销业务继续保持快速增 </w:t>
            </w:r>
            <w:r>
              <w:rPr>
                <w:rFonts w:ascii="宋体" w:hAnsi="宋体" w:cs="宋体" w:eastAsia="宋体" w:hint="default"/>
                <w:spacing w:val="-2"/>
                <w:sz w:val="18"/>
                <w:szCs w:val="18"/>
              </w:rPr>
              <w:t>长，同时，公司强化资金管控，经营活动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产生的现金净流量由负转正，并大幅提 </w:t>
            </w:r>
            <w:r>
              <w:rPr>
                <w:rFonts w:ascii="宋体" w:hAnsi="宋体" w:cs="宋体" w:eastAsia="宋体" w:hint="default"/>
                <w:spacing w:val="-2"/>
                <w:sz w:val="18"/>
                <w:szCs w:val="18"/>
              </w:rPr>
              <w:t>升。如扣除互联网金融相关经营活动现金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净流出</w:t>
            </w:r>
            <w:r>
              <w:rPr>
                <w:rFonts w:ascii="宋体" w:hAnsi="宋体" w:cs="宋体" w:eastAsia="宋体" w:hint="default"/>
                <w:sz w:val="18"/>
                <w:szCs w:val="18"/>
              </w:rPr>
              <w:t>10,367.84</w:t>
            </w:r>
            <w:r>
              <w:rPr>
                <w:rFonts w:ascii="宋体" w:hAnsi="宋体" w:cs="宋体" w:eastAsia="宋体" w:hint="default"/>
                <w:sz w:val="18"/>
                <w:szCs w:val="18"/>
              </w:rPr>
              <w:t>万元，经营活动产生的 现金流量净流入为</w:t>
            </w:r>
            <w:r>
              <w:rPr>
                <w:rFonts w:ascii="宋体" w:hAnsi="宋体" w:cs="宋体" w:eastAsia="宋体" w:hint="default"/>
                <w:sz w:val="18"/>
                <w:szCs w:val="18"/>
              </w:rPr>
              <w:t>40,487.04</w:t>
            </w:r>
            <w:r>
              <w:rPr>
                <w:rFonts w:ascii="宋体" w:hAnsi="宋体" w:cs="宋体" w:eastAsia="宋体" w:hint="default"/>
                <w:sz w:val="18"/>
                <w:szCs w:val="18"/>
              </w:rPr>
              <w:t>万元。</w:t>
            </w:r>
          </w:p>
        </w:tc>
      </w:tr>
      <w:tr>
        <w:trPr>
          <w:trHeight w:val="654" w:hRule="exact"/>
        </w:trPr>
        <w:tc>
          <w:tcPr>
            <w:tcW w:w="1476" w:type="dxa"/>
            <w:tcBorders>
              <w:top w:val="single" w:sz="4" w:space="0" w:color="FFFFFF"/>
              <w:left w:val="single" w:sz="4" w:space="0" w:color="000000"/>
              <w:bottom w:val="single" w:sz="4" w:space="0" w:color="000000"/>
              <w:right w:val="single" w:sz="4" w:space="0" w:color="000000"/>
            </w:tcBorders>
            <w:shd w:val="clear" w:color="auto" w:fill="A6A6A6"/>
          </w:tcPr>
          <w:p>
            <w:pPr>
              <w:pStyle w:val="TableParagraph"/>
              <w:spacing w:line="316" w:lineRule="auto" w:before="21"/>
              <w:ind w:left="6" w:right="18"/>
              <w:jc w:val="left"/>
              <w:rPr>
                <w:rFonts w:ascii="宋体" w:hAnsi="宋体" w:cs="宋体" w:eastAsia="宋体" w:hint="default"/>
                <w:sz w:val="18"/>
                <w:szCs w:val="18"/>
              </w:rPr>
            </w:pPr>
            <w:r>
              <w:rPr>
                <w:rFonts w:ascii="宋体" w:hAnsi="宋体" w:cs="宋体" w:eastAsia="宋体" w:hint="default"/>
                <w:sz w:val="18"/>
                <w:szCs w:val="18"/>
              </w:rPr>
              <w:t>投资活动现金流入 小计</w:t>
            </w:r>
          </w:p>
        </w:tc>
        <w:tc>
          <w:tcPr>
            <w:tcW w:w="17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5,206,585,292.04</w:t>
            </w:r>
          </w:p>
        </w:tc>
        <w:tc>
          <w:tcPr>
            <w:tcW w:w="15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9,514,258,496.69</w:t>
            </w:r>
          </w:p>
        </w:tc>
        <w:tc>
          <w:tcPr>
            <w:tcW w:w="14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-45.28%</w:t>
            </w:r>
          </w:p>
        </w:tc>
        <w:tc>
          <w:tcPr>
            <w:tcW w:w="3230"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21"/>
              <w:ind w:left="4" w:right="153"/>
              <w:jc w:val="left"/>
              <w:rPr>
                <w:rFonts w:ascii="宋体" w:hAnsi="宋体" w:cs="宋体" w:eastAsia="宋体" w:hint="default"/>
                <w:sz w:val="18"/>
                <w:szCs w:val="18"/>
              </w:rPr>
            </w:pPr>
            <w:r>
              <w:rPr>
                <w:rFonts w:ascii="宋体" w:hAnsi="宋体" w:cs="宋体" w:eastAsia="宋体" w:hint="default"/>
                <w:sz w:val="18"/>
                <w:szCs w:val="18"/>
              </w:rPr>
              <w:t>主要系报告年度内公司购买理财产品减 少所致。</w:t>
            </w:r>
          </w:p>
        </w:tc>
      </w:tr>
      <w:tr>
        <w:trPr>
          <w:trHeight w:val="966" w:hRule="exact"/>
        </w:trPr>
        <w:tc>
          <w:tcPr>
            <w:tcW w:w="1476" w:type="dxa"/>
            <w:tcBorders>
              <w:top w:val="single" w:sz="4" w:space="0" w:color="000000"/>
              <w:left w:val="single" w:sz="4" w:space="0" w:color="000000"/>
              <w:bottom w:val="single" w:sz="4" w:space="0" w:color="FFFFFF"/>
              <w:right w:val="single" w:sz="4" w:space="0" w:color="000000"/>
            </w:tcBorders>
            <w:shd w:val="clear" w:color="auto" w:fill="A6A6A6"/>
          </w:tcPr>
          <w:p>
            <w:pPr>
              <w:pStyle w:val="TableParagraph"/>
              <w:spacing w:line="316" w:lineRule="auto" w:before="21"/>
              <w:ind w:left="6" w:right="18"/>
              <w:jc w:val="left"/>
              <w:rPr>
                <w:rFonts w:ascii="宋体" w:hAnsi="宋体" w:cs="宋体" w:eastAsia="宋体" w:hint="default"/>
                <w:sz w:val="18"/>
                <w:szCs w:val="18"/>
              </w:rPr>
            </w:pPr>
            <w:r>
              <w:rPr>
                <w:rFonts w:ascii="宋体" w:hAnsi="宋体" w:cs="宋体" w:eastAsia="宋体" w:hint="default"/>
                <w:sz w:val="18"/>
                <w:szCs w:val="18"/>
              </w:rPr>
              <w:t>投资活动现金流出 小计</w:t>
            </w:r>
          </w:p>
        </w:tc>
        <w:tc>
          <w:tcPr>
            <w:tcW w:w="17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5,239,791,609.94</w:t>
            </w:r>
          </w:p>
        </w:tc>
        <w:tc>
          <w:tcPr>
            <w:tcW w:w="155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9,247,275,597.53</w:t>
            </w:r>
          </w:p>
        </w:tc>
        <w:tc>
          <w:tcPr>
            <w:tcW w:w="14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-43.34%</w:t>
            </w:r>
          </w:p>
        </w:tc>
        <w:tc>
          <w:tcPr>
            <w:tcW w:w="3230"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21"/>
              <w:ind w:left="4" w:right="72"/>
              <w:jc w:val="left"/>
              <w:rPr>
                <w:rFonts w:ascii="宋体" w:hAnsi="宋体" w:cs="宋体" w:eastAsia="宋体" w:hint="default"/>
                <w:sz w:val="18"/>
                <w:szCs w:val="18"/>
              </w:rPr>
            </w:pPr>
            <w:r>
              <w:rPr>
                <w:rFonts w:ascii="宋体" w:hAnsi="宋体" w:cs="宋体" w:eastAsia="宋体" w:hint="default"/>
                <w:sz w:val="18"/>
                <w:szCs w:val="18"/>
              </w:rPr>
              <w:t>主要系报告年度内公司购买理财产品减 少及按照合同约定分期支付</w:t>
            </w:r>
            <w:r>
              <w:rPr>
                <w:rFonts w:ascii="Times New Roman" w:hAnsi="Times New Roman" w:cs="Times New Roman" w:eastAsia="Times New Roman" w:hint="default"/>
                <w:sz w:val="18"/>
                <w:szCs w:val="18"/>
              </w:rPr>
              <w:t>spigot</w:t>
            </w:r>
            <w:r>
              <w:rPr>
                <w:rFonts w:ascii="宋体" w:hAnsi="宋体" w:cs="宋体" w:eastAsia="宋体" w:hint="default"/>
                <w:sz w:val="18"/>
                <w:szCs w:val="18"/>
              </w:rPr>
              <w:t>股权收 购款及对外投资增加所致。</w:t>
            </w:r>
          </w:p>
        </w:tc>
      </w:tr>
      <w:tr>
        <w:trPr>
          <w:trHeight w:val="966" w:hRule="exact"/>
        </w:trPr>
        <w:tc>
          <w:tcPr>
            <w:tcW w:w="1476" w:type="dxa"/>
            <w:tcBorders>
              <w:top w:val="single" w:sz="4" w:space="0" w:color="FFFFFF"/>
              <w:left w:val="single" w:sz="4" w:space="0" w:color="000000"/>
              <w:bottom w:val="single" w:sz="4" w:space="0" w:color="FFFFFF"/>
              <w:right w:val="single" w:sz="4" w:space="0" w:color="000000"/>
            </w:tcBorders>
            <w:shd w:val="clear" w:color="auto" w:fill="A6A6A6"/>
          </w:tcPr>
          <w:p>
            <w:pPr>
              <w:pStyle w:val="TableParagraph"/>
              <w:spacing w:line="316" w:lineRule="auto" w:before="21"/>
              <w:ind w:left="6" w:right="18"/>
              <w:jc w:val="left"/>
              <w:rPr>
                <w:rFonts w:ascii="宋体" w:hAnsi="宋体" w:cs="宋体" w:eastAsia="宋体" w:hint="default"/>
                <w:sz w:val="18"/>
                <w:szCs w:val="18"/>
              </w:rPr>
            </w:pPr>
            <w:r>
              <w:rPr>
                <w:rFonts w:ascii="宋体" w:hAnsi="宋体" w:cs="宋体" w:eastAsia="宋体" w:hint="default"/>
                <w:sz w:val="18"/>
                <w:szCs w:val="18"/>
              </w:rPr>
              <w:t>投资活动产生的现 金流量净额</w:t>
            </w:r>
          </w:p>
        </w:tc>
        <w:tc>
          <w:tcPr>
            <w:tcW w:w="17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-33,206,317.90</w:t>
            </w:r>
          </w:p>
        </w:tc>
        <w:tc>
          <w:tcPr>
            <w:tcW w:w="15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266,982,899.16</w:t>
            </w:r>
          </w:p>
        </w:tc>
        <w:tc>
          <w:tcPr>
            <w:tcW w:w="14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-112.44%</w:t>
            </w:r>
            <w:r>
              <w:rPr>
                <w:rFonts w:ascii="Times New Roman"/>
                <w:sz w:val="18"/>
              </w:rPr>
            </w:r>
          </w:p>
        </w:tc>
        <w:tc>
          <w:tcPr>
            <w:tcW w:w="3230" w:type="dxa"/>
            <w:tcBorders>
              <w:top w:val="single" w:sz="4" w:space="0" w:color="FFFFFF"/>
              <w:left w:val="single" w:sz="4" w:space="0" w:color="000000"/>
              <w:bottom w:val="single" w:sz="4" w:space="0" w:color="FFFFFF"/>
              <w:right w:val="single" w:sz="4" w:space="0" w:color="000000"/>
            </w:tcBorders>
          </w:tcPr>
          <w:p>
            <w:pPr>
              <w:pStyle w:val="TableParagraph"/>
              <w:spacing w:line="309" w:lineRule="auto" w:before="21"/>
              <w:ind w:left="4" w:right="72"/>
              <w:jc w:val="left"/>
              <w:rPr>
                <w:rFonts w:ascii="宋体" w:hAnsi="宋体" w:cs="宋体" w:eastAsia="宋体" w:hint="default"/>
                <w:sz w:val="18"/>
                <w:szCs w:val="18"/>
              </w:rPr>
            </w:pPr>
            <w:r>
              <w:rPr>
                <w:rFonts w:ascii="宋体" w:hAnsi="宋体" w:cs="宋体" w:eastAsia="宋体" w:hint="default"/>
                <w:sz w:val="18"/>
                <w:szCs w:val="18"/>
              </w:rPr>
              <w:t>主要系报告年度内公司购买理财产品减 少及按照合同约定分期支付</w:t>
            </w:r>
            <w:r>
              <w:rPr>
                <w:rFonts w:ascii="Times New Roman" w:hAnsi="Times New Roman" w:cs="Times New Roman" w:eastAsia="Times New Roman" w:hint="default"/>
                <w:sz w:val="18"/>
                <w:szCs w:val="18"/>
              </w:rPr>
              <w:t>spigot</w:t>
            </w:r>
            <w:r>
              <w:rPr>
                <w:rFonts w:ascii="宋体" w:hAnsi="宋体" w:cs="宋体" w:eastAsia="宋体" w:hint="default"/>
                <w:sz w:val="18"/>
                <w:szCs w:val="18"/>
              </w:rPr>
              <w:t>股权收 购款及对外投资增加所致。</w:t>
            </w:r>
          </w:p>
        </w:tc>
      </w:tr>
      <w:tr>
        <w:trPr>
          <w:trHeight w:val="654" w:hRule="exact"/>
        </w:trPr>
        <w:tc>
          <w:tcPr>
            <w:tcW w:w="1476" w:type="dxa"/>
            <w:tcBorders>
              <w:top w:val="single" w:sz="4" w:space="0" w:color="FFFFFF"/>
              <w:left w:val="single" w:sz="4" w:space="0" w:color="000000"/>
              <w:bottom w:val="single" w:sz="4" w:space="0" w:color="000000"/>
              <w:right w:val="single" w:sz="4" w:space="0" w:color="000000"/>
            </w:tcBorders>
            <w:shd w:val="clear" w:color="auto" w:fill="A6A6A6"/>
          </w:tcPr>
          <w:p>
            <w:pPr>
              <w:pStyle w:val="TableParagraph"/>
              <w:spacing w:line="316" w:lineRule="auto" w:before="21"/>
              <w:ind w:left="6" w:right="18"/>
              <w:jc w:val="left"/>
              <w:rPr>
                <w:rFonts w:ascii="宋体" w:hAnsi="宋体" w:cs="宋体" w:eastAsia="宋体" w:hint="default"/>
                <w:sz w:val="18"/>
                <w:szCs w:val="18"/>
              </w:rPr>
            </w:pPr>
            <w:r>
              <w:rPr>
                <w:rFonts w:ascii="宋体" w:hAnsi="宋体" w:cs="宋体" w:eastAsia="宋体" w:hint="default"/>
                <w:sz w:val="18"/>
                <w:szCs w:val="18"/>
              </w:rPr>
              <w:t>筹资活动现金流入 小计</w:t>
            </w:r>
          </w:p>
        </w:tc>
        <w:tc>
          <w:tcPr>
            <w:tcW w:w="17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854,900,523.82</w:t>
            </w:r>
          </w:p>
        </w:tc>
        <w:tc>
          <w:tcPr>
            <w:tcW w:w="15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1,047,481,700.00</w:t>
            </w:r>
          </w:p>
        </w:tc>
        <w:tc>
          <w:tcPr>
            <w:tcW w:w="14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-18.39%</w:t>
            </w:r>
          </w:p>
        </w:tc>
        <w:tc>
          <w:tcPr>
            <w:tcW w:w="3230"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主要系报告年度内银行借款增加，关联方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资金拆借减少所致。</w:t>
            </w:r>
          </w:p>
        </w:tc>
      </w:tr>
      <w:tr>
        <w:trPr>
          <w:trHeight w:val="654" w:hRule="exact"/>
        </w:trPr>
        <w:tc>
          <w:tcPr>
            <w:tcW w:w="147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316" w:lineRule="auto" w:before="21"/>
              <w:ind w:left="6" w:right="18"/>
              <w:jc w:val="left"/>
              <w:rPr>
                <w:rFonts w:ascii="宋体" w:hAnsi="宋体" w:cs="宋体" w:eastAsia="宋体" w:hint="default"/>
                <w:sz w:val="18"/>
                <w:szCs w:val="18"/>
              </w:rPr>
            </w:pPr>
            <w:r>
              <w:rPr>
                <w:rFonts w:ascii="宋体" w:hAnsi="宋体" w:cs="宋体" w:eastAsia="宋体" w:hint="default"/>
                <w:sz w:val="18"/>
                <w:szCs w:val="18"/>
              </w:rPr>
              <w:t>筹资活动现金流出 小计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608,981,341.50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1,283,448,752.03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-52.55%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主要系报告年度内银行借款偿还增加，关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联方资金拆借减少所致。</w:t>
            </w:r>
          </w:p>
        </w:tc>
      </w:tr>
      <w:tr>
        <w:trPr>
          <w:trHeight w:val="654" w:hRule="exact"/>
        </w:trPr>
        <w:tc>
          <w:tcPr>
            <w:tcW w:w="147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316" w:lineRule="auto" w:before="21"/>
              <w:ind w:left="6" w:right="18"/>
              <w:jc w:val="left"/>
              <w:rPr>
                <w:rFonts w:ascii="宋体" w:hAnsi="宋体" w:cs="宋体" w:eastAsia="宋体" w:hint="default"/>
                <w:sz w:val="18"/>
                <w:szCs w:val="18"/>
              </w:rPr>
            </w:pPr>
            <w:r>
              <w:rPr>
                <w:rFonts w:ascii="宋体" w:hAnsi="宋体" w:cs="宋体" w:eastAsia="宋体" w:hint="default"/>
                <w:sz w:val="18"/>
                <w:szCs w:val="18"/>
              </w:rPr>
              <w:t>筹资活动产生的现 金流量净额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245,919,182.32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-235,967,052.03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204.22%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主要系报告年度内银行借款增加，关联方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资金拆借减少所致。</w:t>
            </w:r>
          </w:p>
        </w:tc>
      </w:tr>
    </w:tbl>
    <w:p>
      <w:pPr>
        <w:pStyle w:val="BodyText"/>
        <w:spacing w:line="240" w:lineRule="auto" w:before="51"/>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50,560,567.01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主要系报告年度内取得理 </w:t>
            </w:r>
            <w:r>
              <w:rPr>
                <w:rFonts w:ascii="宋体" w:hAnsi="宋体" w:cs="宋体" w:eastAsia="宋体" w:hint="default"/>
                <w:spacing w:val="-5"/>
                <w:sz w:val="18"/>
                <w:szCs w:val="18"/>
              </w:rPr>
              <w:t>财产品投资收益、取得联营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公司长期股权投资收益。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60,748,776.11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报告年度内按照公司会计 </w:t>
            </w:r>
            <w:r>
              <w:rPr>
                <w:rFonts w:ascii="宋体" w:hAnsi="宋体" w:cs="宋体" w:eastAsia="宋体" w:hint="default"/>
                <w:spacing w:val="-5"/>
                <w:sz w:val="18"/>
                <w:szCs w:val="18"/>
              </w:rPr>
              <w:t>政策，采用账龄分析法、个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别认定法计提的资产减值 损失。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6" w:right="0"/>
              <w:jc w:val="left"/>
              <w:rPr>
                <w:rFonts w:ascii="Times New Roman" w:hAnsi="Times New Roman" w:cs="Times New Roman" w:eastAsia="Times New Roman" w:hint="default"/>
                <w:sz w:val="18"/>
                <w:szCs w:val="18"/>
              </w:rPr>
            </w:pPr>
            <w:r>
              <w:rPr>
                <w:rFonts w:ascii="Times New Roman"/>
                <w:sz w:val="18"/>
              </w:rPr>
              <w:t>85,640.15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主要系报告年度内取得得 违约金赔偿款</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380,494.41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报告年度内诉讼赔偿支出 及非流动资产报废损失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6"/>
        <w:gridCol w:w="1916"/>
        <w:gridCol w:w="1623"/>
        <w:gridCol w:w="2166"/>
        <w:gridCol w:w="2340"/>
      </w:tblGrid>
      <w:tr>
        <w:trPr>
          <w:trHeight w:val="10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10,058,228.57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报告年度内公司核算与日 常经营活动相关的政府补 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62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1,067,452,713.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721,124,038.89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3.27%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主要系报告年度内公司有序开展经 </w:t>
            </w:r>
            <w:r>
              <w:rPr>
                <w:rFonts w:ascii="宋体" w:hAnsi="宋体" w:cs="宋体" w:eastAsia="宋体" w:hint="default"/>
                <w:spacing w:val="-2"/>
                <w:sz w:val="18"/>
                <w:szCs w:val="18"/>
              </w:rPr>
              <w:t>营，业务经营收付款、支付股权收购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款等事项所致；报告年度公司强化资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金管控，经营活动产生的现金净流量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由负转正，并大幅提升。</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94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1,896,139,750.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1,380,115,186.</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19.64%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4.39%</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主要系报告年度内公司围绕战略规 划，积极落实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年度经营计划， 专注主营业务，强化和巩固优势业务 领域，其中互联网媒体业务及数字营 销业务继续保持快速增长，实现营业 收入及利润较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年度大幅增加， 应收账款相应增长。</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3,168.10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112,948,933.7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93,408,613.72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0.10%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主要系报告年度内公司确认北京奇 </w:t>
            </w:r>
            <w:r>
              <w:rPr>
                <w:rFonts w:ascii="宋体" w:hAnsi="宋体" w:cs="宋体" w:eastAsia="宋体" w:hint="default"/>
                <w:spacing w:val="-2"/>
                <w:sz w:val="18"/>
                <w:szCs w:val="18"/>
              </w:rPr>
              <w:t>酷工场科技有限公司、天津六六游科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技有限公司等公司的投资收益及新 增对上海邑炎信息科技有限公司的 投资所致。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9,829,698.77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8,902,575.08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主要系公司正常经营过程中固定资 产的采购、折旧计提所致。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2.58%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主要系报告年度内向银行申请短期 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181,820.00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98,376,638.00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-1.40%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主要系报告年度内境外子公司偿还 银行借款所致。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 w:right="75"/>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171,341,592.8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61,705,940.60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主要系报告年度内公司开展互联网 </w:t>
            </w:r>
            <w:r>
              <w:rPr>
                <w:rFonts w:ascii="宋体" w:hAnsi="宋体" w:cs="宋体" w:eastAsia="宋体" w:hint="default"/>
                <w:spacing w:val="-2"/>
                <w:sz w:val="18"/>
                <w:szCs w:val="18"/>
              </w:rPr>
              <w:t>金融业务，一年内到期贷款余额变化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813,728,131.9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1,382,304,530.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主要系报告年度内向第三方商业银 行及基金公司购买的理财产品减少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658,660.84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主要系报告年度内公司开展互联网 金融业务，发放的贷款余额。</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425,314,739.5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主要系报告年度内公司对外投资相 关行业公司形成的可供出售权益工 具。</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348,509,034.0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382,042,709.34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主要系公司正常经营过程中无形资 产的采购、摊销计提所致。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25,535,477.14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19,803,714.93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主要系报告年度内按项目规划进度 持续投入研发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Admath</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Desk</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82,042,437.56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44,518,583.99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主要系在资产负债表日按照相关资 </w:t>
            </w:r>
            <w:r>
              <w:rPr>
                <w:rFonts w:ascii="宋体" w:hAnsi="宋体" w:cs="宋体" w:eastAsia="宋体" w:hint="default"/>
                <w:spacing w:val="-2"/>
                <w:sz w:val="18"/>
                <w:szCs w:val="18"/>
              </w:rPr>
              <w:t>产、负债的账面价值及计税基础确认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239,894,238.1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105,923,796.27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主要系报告年度公司业绩快速增长， 增加员工奖金等福利所致。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160,824,437.3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122,385,209.13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主要系报告年度公司营业收入、利润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总额大幅增长，相应流转税金及所得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314,438,000.2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254,802,809.52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主要系按合同约定的尚未支付的股 权收购价款重分类变化所致。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26,542.25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299,191,739.44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主要系尚未支付的股权收购价款重 分类到一年内到期的非流动负债。</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10,748,167.50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13,961,324.35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主要系在资产负债表日按照相关资 </w:t>
            </w:r>
            <w:r>
              <w:rPr>
                <w:rFonts w:ascii="宋体" w:hAnsi="宋体" w:cs="宋体" w:eastAsia="宋体" w:hint="default"/>
                <w:spacing w:val="-2"/>
                <w:sz w:val="18"/>
                <w:szCs w:val="18"/>
              </w:rPr>
              <w:t>产、负债的账面价值及计税基础确认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20"/>
        <w:gridCol w:w="1219"/>
        <w:gridCol w:w="1207"/>
        <w:gridCol w:w="1213"/>
        <w:gridCol w:w="1207"/>
        <w:gridCol w:w="1219"/>
        <w:gridCol w:w="1213"/>
        <w:gridCol w:w="1073"/>
      </w:tblGrid>
      <w:tr>
        <w:trPr>
          <w:trHeight w:val="161"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24"/>
              <w:jc w:val="right"/>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8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98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的金融资产</w:t>
            </w:r>
          </w:p>
          <w:p>
            <w:pPr>
              <w:pStyle w:val="TableParagraph"/>
              <w:spacing w:line="319" w:lineRule="auto" w:before="76"/>
              <w:ind w:left="22" w:right="105"/>
              <w:jc w:val="left"/>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1,187,539.50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75,495,200.00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76,682,739.5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1,187,539.50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75,495,200.00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76,682,739.5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1,187,539.50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75,495,200.00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76,682,739.5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448"/>
        <w:gridCol w:w="3644"/>
        <w:gridCol w:w="2276"/>
      </w:tblGrid>
      <w:tr>
        <w:trPr>
          <w:trHeight w:val="349" w:hRule="exact"/>
        </w:trPr>
        <w:tc>
          <w:tcPr>
            <w:tcW w:w="2448"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644"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720"/>
              <w:jc w:val="right"/>
              <w:rPr>
                <w:rFonts w:ascii="宋体" w:hAnsi="宋体" w:cs="宋体" w:eastAsia="宋体" w:hint="default"/>
                <w:sz w:val="24"/>
                <w:szCs w:val="24"/>
              </w:rPr>
            </w:pPr>
            <w:r>
              <w:rPr>
                <w:rFonts w:ascii="宋体" w:hAnsi="宋体" w:cs="宋体" w:eastAsia="宋体" w:hint="default"/>
                <w:b/>
                <w:bCs/>
                <w:w w:val="95"/>
                <w:sz w:val="24"/>
                <w:szCs w:val="24"/>
              </w:rPr>
              <w:t>期末账面价值</w:t>
            </w:r>
            <w:r>
              <w:rPr>
                <w:rFonts w:ascii="宋体" w:hAnsi="宋体" w:cs="宋体" w:eastAsia="宋体" w:hint="default"/>
                <w:sz w:val="24"/>
                <w:szCs w:val="24"/>
              </w:rPr>
            </w:r>
          </w:p>
        </w:tc>
        <w:tc>
          <w:tcPr>
            <w:tcW w:w="2276"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113"/>
              <w:jc w:val="right"/>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348" w:hRule="exact"/>
        </w:trPr>
        <w:tc>
          <w:tcPr>
            <w:tcW w:w="244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64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19"/>
              <w:jc w:val="right"/>
              <w:rPr>
                <w:rFonts w:ascii="Times New Roman" w:hAnsi="Times New Roman" w:cs="Times New Roman" w:eastAsia="Times New Roman" w:hint="default"/>
                <w:sz w:val="24"/>
                <w:szCs w:val="24"/>
              </w:rPr>
            </w:pPr>
            <w:r>
              <w:rPr>
                <w:rFonts w:ascii="Times New Roman"/>
                <w:sz w:val="24"/>
              </w:rPr>
              <w:t>4,200,000.00</w:t>
            </w:r>
          </w:p>
        </w:tc>
        <w:tc>
          <w:tcPr>
            <w:tcW w:w="2276"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113"/>
              <w:jc w:val="right"/>
              <w:rPr>
                <w:rFonts w:ascii="宋体" w:hAnsi="宋体" w:cs="宋体" w:eastAsia="宋体" w:hint="default"/>
                <w:sz w:val="24"/>
                <w:szCs w:val="24"/>
              </w:rPr>
            </w:pPr>
            <w:r>
              <w:rPr>
                <w:rFonts w:ascii="宋体" w:hAnsi="宋体" w:cs="宋体" w:eastAsia="宋体" w:hint="default"/>
                <w:sz w:val="24"/>
                <w:szCs w:val="24"/>
              </w:rPr>
              <w:t>短期借款质押</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right="0"/>
        <w:jc w:val="left"/>
        <w:rPr>
          <w:b w:val="0"/>
          <w:bCs w:val="0"/>
        </w:rPr>
      </w:pPr>
      <w:bookmarkStart w:name="五、投资状况" w:id="45"/>
      <w:bookmarkEnd w:id="45"/>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715,889,216.42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958,529,302.16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0"/>
              <w:jc w:val="both"/>
              <w:rPr>
                <w:rFonts w:ascii="宋体" w:hAnsi="宋体" w:cs="宋体" w:eastAsia="宋体" w:hint="default"/>
                <w:sz w:val="18"/>
                <w:szCs w:val="18"/>
              </w:rPr>
            </w:pPr>
            <w:r>
              <w:rPr>
                <w:rFonts w:ascii="宋体" w:hAnsi="宋体" w:cs="宋体" w:eastAsia="宋体" w:hint="default"/>
                <w:sz w:val="18"/>
                <w:szCs w:val="18"/>
              </w:rPr>
              <w:t>智度投 资（香 港）有</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投资与 资产管 理等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2,016.4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7,753.9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6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深圳智 度惠信 新兴产 业股权 投资基 金合伙 企业</w:t>
            </w:r>
          </w:p>
          <w:p>
            <w:pPr>
              <w:pStyle w:val="TableParagraph"/>
              <w:spacing w:line="319" w:lineRule="auto" w:before="19"/>
              <w:ind w:left="22" w:right="60"/>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投资管 理、股 权投 资、受 托管理 股权投 资基 金、受 托资产 管理等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30" w:right="0"/>
              <w:jc w:val="center"/>
              <w:rPr>
                <w:rFonts w:ascii="Times New Roman" w:hAnsi="Times New Roman" w:cs="Times New Roman" w:eastAsia="Times New Roman" w:hint="default"/>
                <w:sz w:val="18"/>
                <w:szCs w:val="18"/>
              </w:rPr>
            </w:pPr>
            <w:r>
              <w:rPr>
                <w:rFonts w:ascii="Times New Roman"/>
                <w:sz w:val="18"/>
              </w:rPr>
              <w:t>13.67%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4"/>
              <w:jc w:val="right"/>
              <w:rPr>
                <w:rFonts w:ascii="宋体" w:hAnsi="宋体" w:cs="宋体" w:eastAsia="宋体" w:hint="default"/>
                <w:sz w:val="18"/>
                <w:szCs w:val="18"/>
              </w:rPr>
            </w:pPr>
            <w:r>
              <w:rPr>
                <w:rFonts w:ascii="宋体" w:hAnsi="宋体" w:cs="宋体" w:eastAsia="宋体" w:hint="default"/>
                <w:sz w:val="18"/>
                <w:szCs w:val="18"/>
              </w:rPr>
              <w:t>自有</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深圳市 引导基 金投资 有限公 司、</w:t>
            </w:r>
            <w:r>
              <w:rPr>
                <w:rFonts w:ascii="宋体" w:hAnsi="宋体" w:cs="宋体" w:eastAsia="宋体" w:hint="default"/>
                <w:spacing w:val="-48"/>
                <w:sz w:val="18"/>
                <w:szCs w:val="18"/>
              </w:rPr>
              <w:t> </w:t>
            </w:r>
            <w:r>
              <w:rPr>
                <w:rFonts w:ascii="宋体" w:hAnsi="宋体" w:cs="宋体" w:eastAsia="宋体" w:hint="default"/>
                <w:sz w:val="18"/>
                <w:szCs w:val="18"/>
              </w:rPr>
              <w:t>深</w:t>
            </w:r>
            <w:r>
              <w:rPr>
                <w:rFonts w:ascii="宋体" w:hAnsi="宋体" w:cs="宋体" w:eastAsia="宋体" w:hint="default"/>
                <w:sz w:val="18"/>
                <w:szCs w:val="18"/>
              </w:rPr>
              <w:t> 圳市汇 通金控 基金投 资有限 公司、 国光电 器股份 有限公 司、匠 星实业 有限公 司、湖 北瀛通 通讯线 材股份 有限公 司、深 圳智度 德信股 权投资 管理有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投资管 理、股 权投资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-2,337,</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728.93</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62" w:lineRule="auto"/>
              <w:ind w:left="22" w:right="28"/>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m.cn/ne</w:t>
            </w:r>
            <w:r>
              <w:rPr>
                <w:rFonts w:ascii="Times New Roman"/>
                <w:sz w:val="18"/>
              </w:rPr>
              <w:t> w/discl</w:t>
            </w:r>
            <w:r>
              <w:rPr>
                <w:rFonts w:ascii="Times New Roman"/>
                <w:w w:val="99"/>
                <w:sz w:val="18"/>
              </w:rPr>
              <w:t> </w:t>
            </w:r>
            <w:r>
              <w:rPr>
                <w:rFonts w:ascii="Times New Roman"/>
                <w:sz w:val="18"/>
              </w:rPr>
              <w:t>osure/d</w:t>
            </w:r>
            <w:r>
              <w:rPr>
                <w:rFonts w:ascii="Times New Roman"/>
                <w:w w:val="99"/>
                <w:sz w:val="18"/>
              </w:rPr>
              <w:t> </w:t>
            </w:r>
            <w:r>
              <w:rPr>
                <w:rFonts w:ascii="Times New Roman"/>
                <w:sz w:val="18"/>
              </w:rPr>
              <w:t>etail?pl</w:t>
            </w:r>
            <w:r>
              <w:rPr>
                <w:rFonts w:ascii="Times New Roman"/>
                <w:sz w:val="18"/>
              </w:rPr>
              <w:t> ate=szs</w:t>
            </w:r>
            <w:r>
              <w:rPr>
                <w:rFonts w:ascii="Times New Roman"/>
                <w:w w:val="99"/>
                <w:sz w:val="18"/>
              </w:rPr>
              <w:t> </w:t>
            </w:r>
            <w:r>
              <w:rPr>
                <w:rFonts w:ascii="Times New Roman"/>
                <w:sz w:val="18"/>
              </w:rPr>
              <w:t>e&amp;stoc</w:t>
            </w:r>
            <w:r>
              <w:rPr>
                <w:rFonts w:ascii="Times New Roman"/>
                <w:sz w:val="18"/>
              </w:rPr>
              <w:t> kCode= 000676</w:t>
            </w:r>
          </w:p>
          <w:p>
            <w:pPr>
              <w:pStyle w:val="TableParagraph"/>
              <w:spacing w:line="362" w:lineRule="auto" w:before="3"/>
              <w:ind w:left="22" w:right="23"/>
              <w:jc w:val="both"/>
              <w:rPr>
                <w:rFonts w:ascii="Times New Roman" w:hAnsi="Times New Roman" w:cs="Times New Roman" w:eastAsia="Times New Roman" w:hint="default"/>
                <w:sz w:val="18"/>
                <w:szCs w:val="18"/>
              </w:rPr>
            </w:pPr>
            <w:r>
              <w:rPr>
                <w:rFonts w:ascii="Times New Roman"/>
                <w:sz w:val="18"/>
              </w:rPr>
              <w:t>&amp;annou ncemen tId=120 512352</w:t>
            </w:r>
          </w:p>
          <w:p>
            <w:pPr>
              <w:pStyle w:val="TableParagraph"/>
              <w:spacing w:line="362" w:lineRule="auto" w:before="3"/>
              <w:ind w:left="22" w:right="23"/>
              <w:jc w:val="both"/>
              <w:rPr>
                <w:rFonts w:ascii="Times New Roman" w:hAnsi="Times New Roman" w:cs="Times New Roman" w:eastAsia="Times New Roman" w:hint="default"/>
                <w:sz w:val="18"/>
                <w:szCs w:val="18"/>
              </w:rPr>
            </w:pPr>
            <w:r>
              <w:rPr>
                <w:rFonts w:ascii="Times New Roman"/>
                <w:sz w:val="18"/>
              </w:rPr>
              <w:t>4&amp;anno unceme ntTime</w:t>
            </w:r>
          </w:p>
          <w:p>
            <w:pPr>
              <w:pStyle w:val="TableParagraph"/>
              <w:spacing w:line="240" w:lineRule="auto" w:before="3"/>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07-05</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2,016.4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5"/>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99,390,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025.01</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491.76001pt;margin-top:544.419983pt;width:43pt;height:179.45pt;mso-position-horizontal-relative:page;mso-position-vertical-relative:page;z-index:-1264912" coordorigin="9835,10888" coordsize="860,3589">
            <v:shape style="position:absolute;left:9835;top:10888;width:860;height:3589" coordorigin="9835,10888" coordsize="860,3589" path="m9835,14477l10694,14477,10694,10888,9835,10888,9835,14477xe" filled="true" fillcolor="#ffffff" stroked="false">
              <v:path arrowok="t"/>
              <v:fill type="solid"/>
            </v:shape>
            <w10:wrap type="none"/>
          </v:group>
        </w:pict>
      </w:r>
    </w:p>
    <w:p>
      <w:pPr>
        <w:pStyle w:val="Heading4"/>
        <w:spacing w:line="240" w:lineRule="auto" w:before="35"/>
        <w:ind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57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3" w:right="0"/>
              <w:jc w:val="left"/>
              <w:rPr>
                <w:rFonts w:ascii="Times New Roman" w:hAnsi="Times New Roman" w:cs="Times New Roman" w:eastAsia="Times New Roman" w:hint="default"/>
                <w:sz w:val="18"/>
                <w:szCs w:val="18"/>
              </w:rPr>
            </w:pPr>
            <w:r>
              <w:rPr>
                <w:rFonts w:ascii="Times New Roman"/>
                <w:sz w:val="18"/>
              </w:rPr>
              <w:t>281,824.49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93" w:right="0"/>
              <w:jc w:val="center"/>
              <w:rPr>
                <w:rFonts w:ascii="Times New Roman" w:hAnsi="Times New Roman" w:cs="Times New Roman" w:eastAsia="Times New Roman" w:hint="default"/>
                <w:sz w:val="18"/>
                <w:szCs w:val="18"/>
              </w:rPr>
            </w:pPr>
            <w:r>
              <w:rPr>
                <w:rFonts w:ascii="Times New Roman"/>
                <w:sz w:val="18"/>
              </w:rPr>
              <w:t>46,598.55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252,664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39.03%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29,031.13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本公司对 募集资金 实行专户 </w:t>
            </w:r>
            <w:r>
              <w:rPr>
                <w:rFonts w:ascii="宋体" w:hAnsi="宋体" w:cs="宋体" w:eastAsia="宋体" w:hint="default"/>
                <w:spacing w:val="-18"/>
                <w:sz w:val="18"/>
                <w:szCs w:val="18"/>
              </w:rPr>
              <w:t>存储，公司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个募集资 </w:t>
            </w:r>
            <w:r>
              <w:rPr>
                <w:rFonts w:ascii="宋体" w:hAnsi="宋体" w:cs="宋体" w:eastAsia="宋体" w:hint="default"/>
                <w:spacing w:val="-18"/>
                <w:sz w:val="18"/>
                <w:szCs w:val="18"/>
              </w:rPr>
              <w:t>金专户，分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别开设于 上海浦东 发展银行 股份有限 公司北京 </w:t>
            </w:r>
            <w:r>
              <w:rPr>
                <w:rFonts w:ascii="宋体" w:hAnsi="宋体" w:cs="宋体" w:eastAsia="宋体" w:hint="default"/>
                <w:spacing w:val="-18"/>
                <w:sz w:val="18"/>
                <w:szCs w:val="18"/>
              </w:rPr>
              <w:t>分行、中国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建设银行 股份有限 公司北京 苏州桥支 </w:t>
            </w:r>
            <w:r>
              <w:rPr>
                <w:rFonts w:ascii="宋体" w:hAnsi="宋体" w:cs="宋体" w:eastAsia="宋体" w:hint="default"/>
                <w:spacing w:val="-18"/>
                <w:sz w:val="18"/>
                <w:szCs w:val="18"/>
              </w:rPr>
              <w:t>行。尚未使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用的募集 资金余额 与募集资 金银行专 户余额不 存在差异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5" w:right="0"/>
              <w:jc w:val="left"/>
              <w:rPr>
                <w:rFonts w:ascii="Times New Roman" w:hAnsi="Times New Roman" w:cs="Times New Roman" w:eastAsia="Times New Roman" w:hint="default"/>
                <w:sz w:val="18"/>
                <w:szCs w:val="18"/>
              </w:rPr>
            </w:pPr>
            <w:r>
              <w:rPr>
                <w:rFonts w:ascii="Times New Roman"/>
                <w:sz w:val="18"/>
              </w:rPr>
              <w:t>29,031.13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281,824.49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46,598.55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252,664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29,031.13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29,031.13</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r>
        <w:rPr/>
        <w:pict>
          <v:shape style="position:absolute;margin-left:130.279999pt;margin-top:615.579956pt;width:53.65pt;height:15.6pt;mso-position-horizontal-relative:page;mso-position-vertical-relative:page;z-index:-1264816" type="#_x0000_t202" filled="false" stroked="false">
            <v:textbox inset="0,0,0,0">
              <w:txbxContent>
                <w:p>
                  <w:pPr>
                    <w:pStyle w:val="BodyText"/>
                    <w:spacing w:line="240" w:lineRule="auto" w:before="51"/>
                    <w:ind w:left="0" w:right="0"/>
                    <w:jc w:val="left"/>
                  </w:pPr>
                  <w:r>
                    <w:rPr/>
                    <w:t>通）</w:t>
                  </w:r>
                </w:p>
              </w:txbxContent>
            </v:textbox>
            <w10:wrap type="none"/>
          </v:shape>
        </w:pict>
      </w:r>
    </w:p>
    <w:p>
      <w:pPr>
        <w:spacing w:line="3541" w:lineRule="exact"/>
        <w:ind w:left="149"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480.85pt;height:177.1pt;mso-position-horizontal-relative:char;mso-position-vertical-relative:line" coordorigin="0,0" coordsize="9617,3542">
            <v:group style="position:absolute;left:10;top:10;width:9556;height:2" coordorigin="10,10" coordsize="9556,2">
              <v:shape style="position:absolute;left:10;top:10;width:9556;height:2" coordorigin="10,10" coordsize="9556,0" path="m10,10l9565,10e" filled="false" stroked="true" strokeweight=".48pt" strokecolor="#000000">
                <v:path arrowok="t"/>
              </v:shape>
            </v:group>
            <v:group style="position:absolute;left:5;top:5;width:2;height:3532" coordorigin="5,5" coordsize="2,3532">
              <v:shape style="position:absolute;left:5;top:5;width:2;height:3532" coordorigin="5,5" coordsize="0,3532" path="m5,5l5,3537e" filled="false" stroked="true" strokeweight=".48pt" strokecolor="#000000">
                <v:path arrowok="t"/>
              </v:shape>
            </v:group>
            <v:group style="position:absolute;left:10;top:3532;width:9556;height:2" coordorigin="10,3532" coordsize="9556,2">
              <v:shape style="position:absolute;left:10;top:3532;width:9556;height:2" coordorigin="10,3532" coordsize="9556,0" path="m10,3532l9565,3532e" filled="false" stroked="true" strokeweight=".48pt" strokecolor="#000000">
                <v:path arrowok="t"/>
              </v:shape>
            </v:group>
            <v:group style="position:absolute;left:9570;top:5;width:2;height:3532" coordorigin="9570,5" coordsize="2,3532">
              <v:shape style="position:absolute;left:9570;top:5;width:2;height:3532" coordorigin="9570,5" coordsize="0,3532" path="m9570,5l9570,3537e" filled="false" stroked="true" strokeweight=".48004pt" strokecolor="#000000">
                <v:path arrowok="t"/>
              </v:shape>
              <v:shape style="position:absolute;left:0;top:0;width:9617;height:3542" type="#_x0000_t202" filled="false" stroked="false">
                <v:textbox inset="0,0,0,0">
                  <w:txbxContent>
                    <w:p>
                      <w:pPr>
                        <w:spacing w:line="307" w:lineRule="auto" w:before="65"/>
                        <w:ind w:left="32" w:right="0" w:firstLine="0"/>
                        <w:jc w:val="both"/>
                        <w:rPr>
                          <w:rFonts w:ascii="宋体" w:hAnsi="宋体" w:cs="宋体" w:eastAsia="宋体" w:hint="default"/>
                          <w:sz w:val="18"/>
                          <w:szCs w:val="18"/>
                        </w:rPr>
                      </w:pPr>
                      <w:r>
                        <w:rPr>
                          <w:rFonts w:ascii="宋体" w:hAnsi="宋体" w:cs="宋体" w:eastAsia="宋体" w:hint="default"/>
                          <w:sz w:val="18"/>
                          <w:szCs w:val="18"/>
                        </w:rPr>
                        <w:t>实际募集资金金额、资金到位时间经中国证券监督管理委员会《关于核准智度投资股份有限公司向北京智度德普股权投资 </w:t>
                      </w:r>
                      <w:r>
                        <w:rPr>
                          <w:rFonts w:ascii="宋体" w:hAnsi="宋体" w:cs="宋体" w:eastAsia="宋体" w:hint="default"/>
                          <w:spacing w:val="-3"/>
                          <w:sz w:val="18"/>
                          <w:szCs w:val="18"/>
                        </w:rPr>
                        <w:t>中心（有限合伙）等发行股份购买资产并募集配套资金的批复》（证监许可</w:t>
                      </w:r>
                      <w:r>
                        <w:rPr>
                          <w:rFonts w:ascii="Times New Roman" w:hAnsi="Times New Roman" w:cs="Times New Roman" w:eastAsia="Times New Roman" w:hint="default"/>
                          <w:spacing w:val="-3"/>
                          <w:sz w:val="18"/>
                          <w:szCs w:val="18"/>
                        </w:rPr>
                        <w:t>[2016]834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号）文件核准，并经深圳证券交易所</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同意，智度投资股份有限公司（现已更名为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智度科技股份有限公司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）获准非公开发行人民币普通股（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419,381,688 </w:t>
                      </w:r>
                      <w:r>
                        <w:rPr>
                          <w:rFonts w:ascii="宋体" w:hAnsi="宋体" w:cs="宋体" w:eastAsia="宋体" w:hint="default"/>
                          <w:sz w:val="18"/>
                          <w:szCs w:val="18"/>
                        </w:rPr>
                        <w:t>股，每股面值人民币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281,824.49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7"/>
                        <w:ind w:left="32" w:right="0" w:firstLine="0"/>
                        <w:jc w:val="left"/>
                        <w:rPr>
                          <w:rFonts w:ascii="宋体" w:hAnsi="宋体" w:cs="宋体" w:eastAsia="宋体" w:hint="default"/>
                          <w:sz w:val="18"/>
                          <w:szCs w:val="18"/>
                        </w:rPr>
                      </w:pPr>
                      <w:r>
                        <w:rPr>
                          <w:rFonts w:ascii="宋体" w:hAnsi="宋体" w:cs="宋体" w:eastAsia="宋体" w:hint="default"/>
                          <w:sz w:val="18"/>
                          <w:szCs w:val="18"/>
                        </w:rPr>
                        <w:t>扣除发生的券商承销佣金、保荐费及其他发行费用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1,940.00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279,884.49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万元。业经瑞华会计师事</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务所（特殊普通合伙）瑞华验字</w:t>
                      </w:r>
                      <w:r>
                        <w:rPr>
                          <w:rFonts w:ascii="Times New Roman" w:hAnsi="Times New Roman" w:cs="Times New Roman" w:eastAsia="Times New Roman" w:hint="default"/>
                          <w:sz w:val="18"/>
                          <w:szCs w:val="18"/>
                        </w:rPr>
                        <w:t>[2016]01660009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号《验资报告》验证。截至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日，本公司募集资金累计投</w:t>
                      </w:r>
                    </w:p>
                    <w:p>
                      <w:pPr>
                        <w:spacing w:line="300" w:lineRule="auto" w:before="63"/>
                        <w:ind w:left="32" w:right="73" w:firstLine="0"/>
                        <w:jc w:val="left"/>
                        <w:rPr>
                          <w:rFonts w:ascii="宋体" w:hAnsi="宋体" w:cs="宋体" w:eastAsia="宋体" w:hint="default"/>
                          <w:sz w:val="18"/>
                          <w:szCs w:val="18"/>
                        </w:rPr>
                      </w:pPr>
                      <w:r>
                        <w:rPr>
                          <w:rFonts w:ascii="宋体" w:hAnsi="宋体" w:cs="宋体" w:eastAsia="宋体" w:hint="default"/>
                          <w:sz w:val="18"/>
                          <w:szCs w:val="18"/>
                        </w:rPr>
                        <w:t>入募投项目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206,065.45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1,940.00 </w:t>
                      </w:r>
                      <w:r>
                        <w:rPr>
                          <w:rFonts w:ascii="宋体" w:hAnsi="宋体" w:cs="宋体" w:eastAsia="宋体" w:hint="default"/>
                          <w:spacing w:val="-8"/>
                          <w:sz w:val="18"/>
                          <w:szCs w:val="18"/>
                        </w:rPr>
                        <w:t>万元），尚未使用的金额为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82,365.36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75,629.66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元，专户存储累计利息及利用闲置募投资金购买理财产品取得的投资收益扣除手续费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6,735.70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年度，本公司 募集资金使用情况为：以募集资金直接投入募投项目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46,598.55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日，本公司募集资金累计直接 投入募投项目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252,664.00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Spigot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公司的现金对价在实际付款日的汇率差异暂时留存在流动资金账户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元，尚未使用的募集资金余额为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29,031.13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70"/>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Spigot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公司的 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161,085.8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161,085.8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24,898.55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134,849.9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8" w:lineRule="auto"/>
              <w:ind w:left="186" w:right="82" w:hanging="101"/>
              <w:jc w:val="left"/>
              <w:rPr>
                <w:rFonts w:ascii="宋体" w:hAnsi="宋体" w:cs="宋体" w:eastAsia="宋体" w:hint="default"/>
                <w:sz w:val="20"/>
                <w:szCs w:val="20"/>
              </w:rPr>
            </w:pPr>
            <w:r>
              <w:rPr>
                <w:rFonts w:ascii="宋体" w:hAnsi="宋体" w:cs="宋体" w:eastAsia="宋体" w:hint="default"/>
                <w:sz w:val="20"/>
                <w:szCs w:val="20"/>
              </w:rPr>
              <w:t>股权交</w:t>
            </w:r>
            <w:r>
              <w:rPr>
                <w:rFonts w:ascii="宋体" w:hAnsi="宋体" w:cs="宋体" w:eastAsia="宋体" w:hint="default"/>
                <w:w w:val="100"/>
                <w:sz w:val="20"/>
                <w:szCs w:val="20"/>
              </w:rPr>
              <w:t> </w:t>
            </w:r>
            <w:r>
              <w:rPr>
                <w:rFonts w:ascii="宋体" w:hAnsi="宋体" w:cs="宋体" w:eastAsia="宋体" w:hint="default"/>
                <w:sz w:val="20"/>
                <w:szCs w:val="20"/>
              </w:rPr>
              <w:t>割日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3" w:right="0"/>
              <w:jc w:val="left"/>
              <w:rPr>
                <w:rFonts w:ascii="Arial Narrow" w:hAnsi="Arial Narrow" w:cs="Arial Narrow" w:eastAsia="Arial Narrow" w:hint="default"/>
                <w:sz w:val="20"/>
                <w:szCs w:val="20"/>
              </w:rPr>
            </w:pPr>
            <w:r>
              <w:rPr>
                <w:rFonts w:ascii="Arial Narrow"/>
                <w:sz w:val="20"/>
              </w:rPr>
              <w:t>6,761.84</w:t>
            </w:r>
          </w:p>
          <w:p>
            <w:pPr>
              <w:pStyle w:val="TableParagraph"/>
              <w:spacing w:line="240" w:lineRule="auto" w:before="36"/>
              <w:ind w:left="23" w:right="0"/>
              <w:jc w:val="left"/>
              <w:rPr>
                <w:rFonts w:ascii="宋体" w:hAnsi="宋体" w:cs="宋体" w:eastAsia="宋体" w:hint="default"/>
                <w:sz w:val="20"/>
                <w:szCs w:val="20"/>
              </w:rPr>
            </w:pPr>
            <w:r>
              <w:rPr>
                <w:rFonts w:ascii="宋体" w:hAnsi="宋体" w:cs="宋体" w:eastAsia="宋体" w:hint="default"/>
                <w:sz w:val="20"/>
                <w:szCs w:val="20"/>
              </w:rPr>
              <w:t>万美元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、支付重组相关费用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5"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Admath</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sz w:val="18"/>
                <w:szCs w:val="18"/>
              </w:rPr>
              <w:t> Desk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5,729.94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1,913.82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85" w:right="82"/>
              <w:jc w:val="center"/>
              <w:rPr>
                <w:rFonts w:ascii="宋体" w:hAnsi="宋体" w:cs="宋体" w:eastAsia="宋体" w:hint="default"/>
                <w:sz w:val="20"/>
                <w:szCs w:val="20"/>
              </w:rPr>
            </w:pPr>
            <w:r>
              <w:rPr>
                <w:rFonts w:ascii="宋体" w:hAnsi="宋体" w:cs="宋体" w:eastAsia="宋体" w:hint="default"/>
                <w:sz w:val="20"/>
                <w:szCs w:val="20"/>
              </w:rPr>
              <w:t>自项目</w:t>
            </w:r>
            <w:r>
              <w:rPr>
                <w:rFonts w:ascii="宋体" w:hAnsi="宋体" w:cs="宋体" w:eastAsia="宋体" w:hint="default"/>
                <w:w w:val="100"/>
                <w:sz w:val="20"/>
                <w:szCs w:val="20"/>
              </w:rPr>
              <w:t> </w:t>
            </w:r>
            <w:r>
              <w:rPr>
                <w:rFonts w:ascii="宋体" w:hAnsi="宋体" w:cs="宋体" w:eastAsia="宋体" w:hint="default"/>
                <w:sz w:val="20"/>
                <w:szCs w:val="20"/>
              </w:rPr>
              <w:t>启动</w:t>
            </w:r>
            <w:r>
              <w:rPr>
                <w:rFonts w:ascii="宋体" w:hAnsi="宋体" w:cs="宋体" w:eastAsia="宋体" w:hint="default"/>
                <w:spacing w:val="-50"/>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w w:val="100"/>
                <w:sz w:val="20"/>
                <w:szCs w:val="20"/>
              </w:rPr>
              <w:t> </w:t>
            </w:r>
            <w:r>
              <w:rPr>
                <w:rFonts w:ascii="宋体" w:hAnsi="宋体" w:cs="宋体" w:eastAsia="宋体" w:hint="default"/>
                <w:sz w:val="20"/>
                <w:szCs w:val="20"/>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、中小企业数字营销 体系建设项目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43,007.06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5"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5"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iOS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5"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7"/>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、运营平台（胜效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的升级及功能完善项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38.5pt;height:15.6pt;mso-position-horizontal-relative:char;mso-position-vertical-relative:line" coordorigin="0,0" coordsize="770,312">
                  <v:group style="position:absolute;left:0;top:0;width:770;height:312" coordorigin="0,0" coordsize="770,312">
                    <v:shape style="position:absolute;left:0;top:0;width:770;height:312" coordorigin="0,0" coordsize="770,312" path="m0,312l769,312,76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1,100.34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85" w:right="82"/>
              <w:jc w:val="center"/>
              <w:rPr>
                <w:rFonts w:ascii="宋体" w:hAnsi="宋体" w:cs="宋体" w:eastAsia="宋体" w:hint="default"/>
                <w:sz w:val="20"/>
                <w:szCs w:val="20"/>
              </w:rPr>
            </w:pPr>
            <w:r>
              <w:rPr>
                <w:rFonts w:ascii="宋体" w:hAnsi="宋体" w:cs="宋体" w:eastAsia="宋体" w:hint="default"/>
                <w:sz w:val="20"/>
                <w:szCs w:val="20"/>
              </w:rPr>
              <w:t>自项目</w:t>
            </w:r>
            <w:r>
              <w:rPr>
                <w:rFonts w:ascii="宋体" w:hAnsi="宋体" w:cs="宋体" w:eastAsia="宋体" w:hint="default"/>
                <w:w w:val="100"/>
                <w:sz w:val="20"/>
                <w:szCs w:val="20"/>
              </w:rPr>
              <w:t> </w:t>
            </w:r>
            <w:r>
              <w:rPr>
                <w:rFonts w:ascii="宋体" w:hAnsi="宋体" w:cs="宋体" w:eastAsia="宋体" w:hint="default"/>
                <w:sz w:val="20"/>
                <w:szCs w:val="20"/>
              </w:rPr>
              <w:t>启动</w:t>
            </w:r>
            <w:r>
              <w:rPr>
                <w:rFonts w:ascii="宋体" w:hAnsi="宋体" w:cs="宋体" w:eastAsia="宋体" w:hint="default"/>
                <w:spacing w:val="-50"/>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w w:val="100"/>
                <w:sz w:val="20"/>
                <w:szCs w:val="20"/>
              </w:rPr>
              <w:t> </w:t>
            </w:r>
            <w:r>
              <w:rPr>
                <w:rFonts w:ascii="宋体" w:hAnsi="宋体" w:cs="宋体" w:eastAsia="宋体" w:hint="default"/>
                <w:sz w:val="20"/>
                <w:szCs w:val="20"/>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、游戏业务的海外发 行及推广项目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14,848.38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85" w:right="82"/>
              <w:jc w:val="center"/>
              <w:rPr>
                <w:rFonts w:ascii="宋体" w:hAnsi="宋体" w:cs="宋体" w:eastAsia="宋体" w:hint="default"/>
                <w:sz w:val="20"/>
                <w:szCs w:val="20"/>
              </w:rPr>
            </w:pPr>
            <w:r>
              <w:rPr>
                <w:rFonts w:ascii="宋体" w:hAnsi="宋体" w:cs="宋体" w:eastAsia="宋体" w:hint="default"/>
                <w:sz w:val="20"/>
                <w:szCs w:val="20"/>
              </w:rPr>
              <w:t>自项目</w:t>
            </w:r>
            <w:r>
              <w:rPr>
                <w:rFonts w:ascii="宋体" w:hAnsi="宋体" w:cs="宋体" w:eastAsia="宋体" w:hint="default"/>
                <w:w w:val="100"/>
                <w:sz w:val="20"/>
                <w:szCs w:val="20"/>
              </w:rPr>
              <w:t> </w:t>
            </w:r>
            <w:r>
              <w:rPr>
                <w:rFonts w:ascii="宋体" w:hAnsi="宋体" w:cs="宋体" w:eastAsia="宋体" w:hint="default"/>
                <w:sz w:val="20"/>
                <w:szCs w:val="20"/>
              </w:rPr>
              <w:t>启动</w:t>
            </w:r>
            <w:r>
              <w:rPr>
                <w:rFonts w:ascii="宋体" w:hAnsi="宋体" w:cs="宋体" w:eastAsia="宋体" w:hint="default"/>
                <w:spacing w:val="-50"/>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w w:val="100"/>
                <w:sz w:val="20"/>
                <w:szCs w:val="20"/>
              </w:rPr>
              <w:t> </w:t>
            </w:r>
            <w:r>
              <w:rPr>
                <w:rFonts w:ascii="宋体" w:hAnsi="宋体" w:cs="宋体" w:eastAsia="宋体" w:hint="default"/>
                <w:sz w:val="20"/>
                <w:szCs w:val="20"/>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、新游戏项目的研发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5"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、外购超级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17,406.38</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、移动媒体资源采购</w:t>
            </w:r>
            <w:r>
              <w:rPr>
                <w:rFonts w:ascii="宋体" w:hAnsi="宋体" w:cs="宋体" w:eastAsia="宋体" w:hint="default"/>
                <w:sz w:val="18"/>
                <w:szCs w:val="18"/>
              </w:rPr>
              <w:t>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21,700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115" w:right="82" w:hanging="30"/>
              <w:jc w:val="both"/>
              <w:rPr>
                <w:rFonts w:ascii="宋体" w:hAnsi="宋体" w:cs="宋体" w:eastAsia="宋体" w:hint="default"/>
                <w:sz w:val="20"/>
                <w:szCs w:val="20"/>
              </w:rPr>
            </w:pPr>
            <w:r>
              <w:rPr>
                <w:rFonts w:ascii="宋体" w:hAnsi="宋体" w:cs="宋体" w:eastAsia="宋体" w:hint="default"/>
                <w:sz w:val="20"/>
                <w:szCs w:val="20"/>
              </w:rPr>
              <w:t>自项目</w:t>
            </w:r>
            <w:r>
              <w:rPr>
                <w:rFonts w:ascii="宋体" w:hAnsi="宋体" w:cs="宋体" w:eastAsia="宋体" w:hint="default"/>
                <w:w w:val="100"/>
                <w:sz w:val="20"/>
                <w:szCs w:val="20"/>
              </w:rPr>
              <w:t> </w:t>
            </w:r>
            <w:r>
              <w:rPr>
                <w:rFonts w:ascii="宋体" w:hAnsi="宋体" w:cs="宋体" w:eastAsia="宋体" w:hint="default"/>
                <w:sz w:val="20"/>
                <w:szCs w:val="20"/>
              </w:rPr>
              <w:t>启动</w:t>
            </w:r>
            <w:r>
              <w:rPr>
                <w:rFonts w:ascii="宋体" w:hAnsi="宋体" w:cs="宋体" w:eastAsia="宋体" w:hint="default"/>
                <w:spacing w:val="-50"/>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w w:val="100"/>
                <w:sz w:val="20"/>
                <w:szCs w:val="20"/>
              </w:rPr>
              <w:t> </w:t>
            </w:r>
            <w:r>
              <w:rPr>
                <w:rFonts w:ascii="宋体" w:hAnsi="宋体" w:cs="宋体" w:eastAsia="宋体" w:hint="default"/>
                <w:sz w:val="20"/>
                <w:szCs w:val="20"/>
              </w:rPr>
              <w:t>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281,824.4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278,899.9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46,598.55</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252,664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6,761.84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281,824.4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278,899.9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46,598.55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252,664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6,761.84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日第七届董事会第三十六次会议及第七届监事会第二十五次会议，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年第二次临时股东大会审议通过</w:t>
            </w:r>
            <w:r>
              <w:rPr>
                <w:rFonts w:ascii="宋体" w:hAnsi="宋体" w:cs="宋体" w:eastAsia="宋体" w:hint="default"/>
                <w:spacing w:val="-45"/>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本公司终止</w:t>
            </w:r>
          </w:p>
          <w:p>
            <w:pPr>
              <w:pStyle w:val="TableParagraph"/>
              <w:spacing w:line="302" w:lineRule="auto" w:before="63"/>
              <w:ind w:left="16" w:right="24"/>
              <w:jc w:val="left"/>
              <w:rPr>
                <w:rFonts w:ascii="宋体" w:hAnsi="宋体" w:cs="宋体" w:eastAsia="宋体" w:hint="default"/>
                <w:sz w:val="18"/>
                <w:szCs w:val="18"/>
              </w:rPr>
            </w:pPr>
            <w:r>
              <w:rPr>
                <w:rFonts w:ascii="宋体" w:hAnsi="宋体" w:cs="宋体" w:eastAsia="宋体" w:hint="default"/>
                <w:sz w:val="18"/>
                <w:szCs w:val="18"/>
              </w:rPr>
              <w:t>了原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个募集资金投资项目，开展了新项目，终止原因参见本公司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 </w:t>
            </w:r>
            <w:r>
              <w:rPr>
                <w:rFonts w:ascii="宋体" w:hAnsi="宋体" w:cs="宋体" w:eastAsia="宋体" w:hint="default"/>
                <w:spacing w:val="-6"/>
                <w:sz w:val="18"/>
                <w:szCs w:val="18"/>
              </w:rPr>
              <w:t>变更部分募集资金用途的公告》。</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31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日第七届董事会第三十六次会议及第七届监事会第二十五次会议，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年第二次临时股东大会审议通过</w:t>
            </w:r>
            <w:r>
              <w:rPr>
                <w:rFonts w:ascii="宋体" w:hAnsi="宋体" w:cs="宋体" w:eastAsia="宋体" w:hint="default"/>
                <w:spacing w:val="-45"/>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本公司终止</w:t>
            </w:r>
          </w:p>
          <w:p>
            <w:pPr>
              <w:pStyle w:val="TableParagraph"/>
              <w:spacing w:line="302" w:lineRule="auto" w:before="63"/>
              <w:ind w:left="16" w:right="24"/>
              <w:jc w:val="left"/>
              <w:rPr>
                <w:rFonts w:ascii="宋体" w:hAnsi="宋体" w:cs="宋体" w:eastAsia="宋体" w:hint="default"/>
                <w:sz w:val="18"/>
                <w:szCs w:val="18"/>
              </w:rPr>
            </w:pPr>
            <w:r>
              <w:rPr>
                <w:rFonts w:ascii="宋体" w:hAnsi="宋体" w:cs="宋体" w:eastAsia="宋体" w:hint="default"/>
                <w:sz w:val="18"/>
                <w:szCs w:val="18"/>
              </w:rPr>
              <w:t>了原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个募集资金投资项目，开展了新项目，终止原因参见本公司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 </w:t>
            </w:r>
            <w:r>
              <w:rPr>
                <w:rFonts w:ascii="宋体" w:hAnsi="宋体" w:cs="宋体" w:eastAsia="宋体" w:hint="default"/>
                <w:spacing w:val="-6"/>
                <w:sz w:val="18"/>
                <w:szCs w:val="18"/>
              </w:rPr>
              <w:t>变更部分募集资金用途的公告》。</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31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8"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日第七届董事会第二十三次会议和第七届监事会第十七次会议审议通过了</w:t>
            </w:r>
          </w:p>
          <w:p>
            <w:pPr>
              <w:pStyle w:val="TableParagraph"/>
              <w:spacing w:line="316" w:lineRule="auto" w:before="63"/>
              <w:ind w:left="16" w:right="21"/>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《关于使用部分闲置募集资金暂时补充流动资金的议案》，同意本公司使用部分闲置的募集资金暂时</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补充流动资金，总额为人民币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亿元，使用期限自董事会审议通过之日起不超过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w:t>
            </w:r>
          </w:p>
          <w:p>
            <w:pPr>
              <w:pStyle w:val="TableParagraph"/>
              <w:spacing w:line="248" w:lineRule="exact"/>
              <w:ind w:left="16" w:right="0"/>
              <w:jc w:val="left"/>
              <w:rPr>
                <w:rFonts w:ascii="宋体" w:hAnsi="宋体" w:cs="宋体" w:eastAsia="宋体" w:hint="default"/>
                <w:sz w:val="18"/>
                <w:szCs w:val="18"/>
              </w:rPr>
            </w:pPr>
            <w:r>
              <w:rPr>
                <w:rFonts w:ascii="宋体" w:hAnsi="宋体" w:cs="宋体" w:eastAsia="宋体" w:hint="default"/>
                <w:sz w:val="18"/>
                <w:szCs w:val="18"/>
              </w:rPr>
              <w:t>前归还至募集资金专用账户。本公司已于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日每次归还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pStyle w:val="TableParagraph"/>
              <w:spacing w:line="302" w:lineRule="auto" w:before="63"/>
              <w:ind w:left="16" w:right="22"/>
              <w:jc w:val="left"/>
              <w:rPr>
                <w:rFonts w:ascii="宋体" w:hAnsi="宋体" w:cs="宋体" w:eastAsia="宋体" w:hint="default"/>
                <w:sz w:val="18"/>
                <w:szCs w:val="18"/>
              </w:rPr>
            </w:pPr>
            <w:r>
              <w:rPr>
                <w:rFonts w:ascii="宋体" w:hAnsi="宋体" w:cs="宋体" w:eastAsia="宋体" w:hint="default"/>
                <w:spacing w:val="-4"/>
                <w:sz w:val="18"/>
                <w:szCs w:val="18"/>
              </w:rPr>
              <w:t>元至募集资金专用账户。截至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日，本公司用于补充流动资金的闲置募集资金已全部 归还完毕。</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vMerge/>
            <w:tcBorders>
              <w:left w:val="single" w:sz="9" w:space="0" w:color="D2D2D2"/>
              <w:right w:val="single" w:sz="4" w:space="0" w:color="000000"/>
            </w:tcBorders>
          </w:tcPr>
          <w:p>
            <w:pPr/>
          </w:p>
        </w:tc>
      </w:tr>
      <w:tr>
        <w:trPr>
          <w:trHeight w:val="83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ind w:left="0" w:right="1141"/>
        <w:jc w:val="right"/>
      </w:pPr>
      <w:r>
        <w:rPr/>
        <w:pict>
          <v:shape style="position:absolute;margin-left:56.459999pt;margin-top:-49.848282pt;width:479.2pt;height:290.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77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日，经本公司第七届董事会第十七次会议和第七届监事会第十一次会议，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年第一次临时股东大会审议通过了《关于使用部分闲置募集资金购买理财产品</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的议案》同意本公司自本次股东大会决议通过之日起一年内（即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09" w:lineRule="auto" w:before="63"/>
                          <w:ind w:left="22" w:right="2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日）使用部分闲置募集资金购买最高不超过人民币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亿元保本型理财产品。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 </w:t>
                        </w:r>
                        <w:r>
                          <w:rPr>
                            <w:rFonts w:ascii="宋体" w:hAnsi="宋体" w:cs="宋体" w:eastAsia="宋体" w:hint="default"/>
                            <w:sz w:val="18"/>
                            <w:szCs w:val="18"/>
                          </w:rPr>
                          <w:t>经本公司第七届董事会第三十二次会议和第七届监事会第二十三次会议，审议通过了《关于使用部</w:t>
                        </w:r>
                        <w:r>
                          <w:rPr>
                            <w:rFonts w:ascii="宋体" w:hAnsi="宋体" w:cs="宋体" w:eastAsia="宋体" w:hint="default"/>
                            <w:sz w:val="18"/>
                            <w:szCs w:val="18"/>
                          </w:rPr>
                          <w:t> </w:t>
                        </w:r>
                        <w:r>
                          <w:rPr>
                            <w:rFonts w:ascii="宋体" w:hAnsi="宋体" w:cs="宋体" w:eastAsia="宋体" w:hint="default"/>
                            <w:spacing w:val="-3"/>
                            <w:sz w:val="18"/>
                            <w:szCs w:val="18"/>
                          </w:rPr>
                          <w:t>分闲置募集资金购买理财产品的议案》，同意本公司自本次董事会决议通过之日起一年内（即</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2017</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日）使用部分闲置募集资金购买最高不超过人民币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亿元保本型理财</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产品。截至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日，本公司使用闲置募集资金购买保本型理财产品的余额为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309" w:lineRule="auto" w:before="63"/>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年度，本公司使用闲置募集资金购买理财产品取得的投资收益为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4,335.10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日，经本公司第八届董事会第三次会议，审议通过了《关于使用部分闲置募集资金购买理财产品的 </w:t>
                        </w:r>
                        <w:r>
                          <w:rPr>
                            <w:rFonts w:ascii="宋体" w:hAnsi="宋体" w:cs="宋体" w:eastAsia="宋体" w:hint="default"/>
                            <w:spacing w:val="-4"/>
                            <w:sz w:val="18"/>
                            <w:szCs w:val="18"/>
                          </w:rPr>
                          <w:t>议案》，同意本公司自本次董事会决议通过之日起一年内（即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p>
                        <w:pPr>
                          <w:pStyle w:val="TableParagraph"/>
                          <w:spacing w:line="300"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使用部分闲置募集资金购买最高不超过人民币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亿元保本型理财产品。截至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本公司使用闲置募集资金购买保本型理财产品的余额为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年度，本公司使用闲置募集资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金购买理财产品取得的投资收益为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1,789.04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日，本公司其余尚未使用的</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29,031.13 </w:t>
                        </w:r>
                        <w:r>
                          <w:rPr>
                            <w:rFonts w:ascii="宋体" w:hAnsi="宋体" w:cs="宋体" w:eastAsia="宋体" w:hint="default"/>
                            <w:sz w:val="18"/>
                            <w:szCs w:val="18"/>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不涉及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35"/>
        <w:ind w:right="0"/>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上海猎鹰网 络有限公司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移动互联网 广告服务业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35,714,299.0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1,183,710,41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508,183,798.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1,364,806,67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260,430,141.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232,390,890.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上海智度亦 复信息技术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互联网整合 营销专业服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1,418,183,75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211,665,970.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4,788,064,71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118,897,535.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105,692,131.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391"/>
              <w:jc w:val="left"/>
              <w:rPr>
                <w:rFonts w:ascii="Times New Roman" w:hAnsi="Times New Roman" w:cs="Times New Roman" w:eastAsia="Times New Roman" w:hint="default"/>
                <w:sz w:val="18"/>
                <w:szCs w:val="18"/>
              </w:rPr>
            </w:pPr>
            <w:r>
              <w:rPr>
                <w:rFonts w:ascii="Times New Roman"/>
                <w:sz w:val="18"/>
              </w:rPr>
              <w:t>SPIGOT 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互联网软件 开发、应用 和分发等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28"/>
              <w:jc w:val="left"/>
              <w:rPr>
                <w:rFonts w:ascii="Times New Roman" w:hAnsi="Times New Roman" w:cs="Times New Roman" w:eastAsia="Times New Roman" w:hint="default"/>
                <w:sz w:val="18"/>
                <w:szCs w:val="18"/>
              </w:rPr>
            </w:pPr>
            <w:r>
              <w:rPr>
                <w:rFonts w:ascii="Times New Roman"/>
                <w:sz w:val="18"/>
              </w:rPr>
              <w:t>USD62,511.7</w:t>
            </w:r>
            <w:r>
              <w:rPr>
                <w:rFonts w:ascii="Times New Roman"/>
                <w:w w:val="99"/>
                <w:sz w:val="18"/>
              </w:rPr>
              <w:t> </w:t>
            </w: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494,913,457.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202,907,049.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875,438,673.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48,026,805.4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36,842,987.2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r>
              <w:rPr>
                <w:rFonts w:ascii="Times New Roman"/>
                <w:sz w:val="18"/>
              </w:rPr>
              <w:t>Polarity</w:t>
            </w:r>
            <w:r>
              <w:rPr>
                <w:rFonts w:ascii="Times New Roman"/>
                <w:w w:val="99"/>
                <w:sz w:val="18"/>
              </w:rPr>
              <w:t> </w:t>
            </w:r>
            <w:r>
              <w:rPr>
                <w:rFonts w:ascii="Times New Roman"/>
                <w:spacing w:val="-2"/>
                <w:sz w:val="18"/>
              </w:rPr>
              <w:t>Technologies</w:t>
            </w:r>
            <w:r>
              <w:rPr>
                <w:rFonts w:ascii="Times New Roman"/>
                <w:spacing w:val="-36"/>
                <w:sz w:val="18"/>
              </w:rPr>
              <w:t> </w:t>
            </w:r>
            <w:r>
              <w:rPr>
                <w:rFonts w:ascii="Times New Roman"/>
                <w:spacing w:val="-36"/>
                <w:sz w:val="18"/>
              </w:rPr>
            </w:r>
            <w:r>
              <w:rPr>
                <w:rFonts w:ascii="Times New Roman"/>
                <w:sz w:val="18"/>
              </w:rPr>
              <w:t>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互联网信息 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w:t>
            </w:r>
            <w:r>
              <w:rPr>
                <w:rFonts w:ascii="Times New Roman"/>
                <w:spacing w:val="-2"/>
                <w:sz w:val="18"/>
              </w:rPr>
              <w:t> </w:t>
            </w:r>
            <w:r>
              <w:rPr>
                <w:rFonts w:ascii="Times New Roman"/>
                <w:sz w:val="18"/>
              </w:rPr>
              <w:t>1.17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546,094,579.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116,934,637.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1,544,953,11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54,355,450.9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45,690,266.8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r>
              <w:rPr>
                <w:rFonts w:ascii="Times New Roman"/>
                <w:sz w:val="18"/>
              </w:rPr>
              <w:t>Eightpoint </w:t>
            </w:r>
            <w:r>
              <w:rPr>
                <w:rFonts w:ascii="Times New Roman"/>
                <w:spacing w:val="-2"/>
                <w:sz w:val="18"/>
              </w:rPr>
              <w:t>Technologies</w:t>
            </w:r>
            <w:r>
              <w:rPr>
                <w:rFonts w:ascii="Times New Roman"/>
                <w:spacing w:val="-35"/>
                <w:sz w:val="18"/>
              </w:rPr>
              <w:t> </w:t>
            </w:r>
            <w:r>
              <w:rPr>
                <w:rFonts w:ascii="Times New Roman"/>
                <w:spacing w:val="-35"/>
                <w:sz w:val="18"/>
              </w:rPr>
            </w:r>
            <w:r>
              <w:rPr>
                <w:rFonts w:ascii="Times New Roman"/>
                <w:sz w:val="18"/>
              </w:rPr>
              <w:t>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互联网信息 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w:t>
            </w:r>
            <w:r>
              <w:rPr>
                <w:rFonts w:ascii="Times New Roman"/>
                <w:spacing w:val="-2"/>
                <w:sz w:val="18"/>
              </w:rPr>
              <w:t> </w:t>
            </w: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681,889,758.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609,637,391.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615,838,924.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350,024,219.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350,792,444.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西藏智度保险经纪有限公司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喀什智优网络科技有限公司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深圳亦复广告有限公司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深圳市行走科技有限公司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喀什飞鸟网络科技有限公司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Polarity Internet Technologies</w:t>
            </w:r>
            <w:r>
              <w:rPr>
                <w:rFonts w:ascii="Times New Roman"/>
                <w:spacing w:val="-23"/>
                <w:sz w:val="18"/>
              </w:rPr>
              <w:t> </w:t>
            </w:r>
            <w:r>
              <w:rPr>
                <w:rFonts w:ascii="Times New Roman"/>
                <w:sz w:val="18"/>
              </w:rPr>
              <w:t>SRL</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优化公司相关领域的产业布局，促进公 司的业绩快速增长</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5"/>
        <w:spacing w:line="273" w:lineRule="auto"/>
        <w:ind w:left="574" w:right="1197" w:hanging="420"/>
        <w:jc w:val="left"/>
      </w:pPr>
      <w:r>
        <w:rPr/>
        <w:t>（一）产业格局和趋势 </w:t>
      </w:r>
      <w:r>
        <w:rPr>
          <w:rFonts w:ascii="宋体" w:hAnsi="宋体" w:cs="宋体" w:eastAsia="宋体" w:hint="default"/>
        </w:rPr>
        <w:t>DUG</w:t>
      </w:r>
      <w:r>
        <w:rPr/>
        <w:t>《</w:t>
      </w:r>
      <w:r>
        <w:rPr>
          <w:rFonts w:ascii="宋体" w:hAnsi="宋体" w:cs="宋体" w:eastAsia="宋体" w:hint="default"/>
        </w:rPr>
        <w:t>2018</w:t>
      </w:r>
      <w:r>
        <w:rPr/>
        <w:t>年度全球移动互联网市场报告》显示，截至</w:t>
      </w:r>
      <w:r>
        <w:rPr>
          <w:rFonts w:ascii="宋体" w:hAnsi="宋体" w:cs="宋体" w:eastAsia="宋体" w:hint="default"/>
        </w:rPr>
        <w:t>2018</w:t>
      </w:r>
      <w:r>
        <w:rPr/>
        <w:t>年年底，全球互联网用户已达</w:t>
      </w:r>
      <w:r>
        <w:rPr>
          <w:rFonts w:ascii="宋体" w:hAnsi="宋体" w:cs="宋体" w:eastAsia="宋体" w:hint="default"/>
        </w:rPr>
        <w:t>43</w:t>
      </w:r>
      <w:r>
        <w:rPr/>
        <w:t>亿人次，</w:t>
      </w:r>
    </w:p>
    <w:p>
      <w:pPr>
        <w:pStyle w:val="Heading5"/>
        <w:spacing w:line="273" w:lineRule="auto" w:before="7"/>
        <w:ind w:right="0"/>
        <w:jc w:val="left"/>
      </w:pPr>
      <w:r>
        <w:rPr/>
        <w:t>约占全球人口</w:t>
      </w:r>
      <w:r>
        <w:rPr>
          <w:rFonts w:ascii="宋体" w:hAnsi="宋体" w:cs="宋体" w:eastAsia="宋体" w:hint="default"/>
        </w:rPr>
        <w:t>57%</w:t>
      </w:r>
      <w:r>
        <w:rPr/>
        <w:t>，全球超过一半人口进入了互联网世界，互联网普及率平局已经达到</w:t>
      </w:r>
      <w:r>
        <w:rPr>
          <w:rFonts w:ascii="宋体" w:hAnsi="宋体" w:cs="宋体" w:eastAsia="宋体" w:hint="default"/>
        </w:rPr>
        <w:t>80.9%</w:t>
      </w:r>
      <w:r>
        <w:rPr/>
        <w:t>，诸如</w:t>
      </w:r>
      <w:r>
        <w:rPr>
          <w:rFonts w:ascii="宋体" w:hAnsi="宋体" w:cs="宋体" w:eastAsia="宋体" w:hint="default"/>
        </w:rPr>
        <w:t>2018</w:t>
      </w:r>
      <w:r>
        <w:rPr/>
        <w:t>年 美国、日被互联网普及率均达到了</w:t>
      </w:r>
      <w:r>
        <w:rPr>
          <w:rFonts w:ascii="宋体" w:hAnsi="宋体" w:cs="宋体" w:eastAsia="宋体" w:hint="default"/>
        </w:rPr>
        <w:t>82%</w:t>
      </w:r>
      <w:r>
        <w:rPr/>
        <w:t>以上。中国是全球互联网用户最多的国家，也是移动用户最多的国 </w:t>
      </w:r>
      <w:r>
        <w:rPr>
          <w:spacing w:val="-1"/>
        </w:rPr>
        <w:t>家。</w:t>
      </w:r>
      <w:r>
        <w:rPr>
          <w:rFonts w:ascii="宋体" w:hAnsi="宋体" w:cs="宋体" w:eastAsia="宋体" w:hint="default"/>
          <w:spacing w:val="-1"/>
        </w:rPr>
        <w:t>2018</w:t>
      </w:r>
      <w:r>
        <w:rPr>
          <w:spacing w:val="-1"/>
        </w:rPr>
        <w:t>年，中国互联网普及率为</w:t>
      </w:r>
      <w:r>
        <w:rPr>
          <w:rFonts w:ascii="宋体" w:hAnsi="宋体" w:cs="宋体" w:eastAsia="宋体" w:hint="default"/>
          <w:spacing w:val="-1"/>
        </w:rPr>
        <w:t>58.8%</w:t>
      </w:r>
      <w:r>
        <w:rPr>
          <w:spacing w:val="-1"/>
        </w:rPr>
        <w:t>，其中移动端使用率高于</w:t>
      </w:r>
      <w:r>
        <w:rPr>
          <w:rFonts w:ascii="宋体" w:hAnsi="宋体" w:cs="宋体" w:eastAsia="宋体" w:hint="default"/>
          <w:spacing w:val="-1"/>
        </w:rPr>
        <w:t>PC</w:t>
      </w:r>
      <w:r>
        <w:rPr>
          <w:spacing w:val="-1"/>
        </w:rPr>
        <w:t>端。目前全球有</w:t>
      </w:r>
      <w:r>
        <w:rPr>
          <w:rFonts w:ascii="宋体" w:hAnsi="宋体" w:cs="宋体" w:eastAsia="宋体" w:hint="default"/>
          <w:spacing w:val="-1"/>
        </w:rPr>
        <w:t>51.1</w:t>
      </w:r>
      <w:r>
        <w:rPr>
          <w:spacing w:val="-1"/>
        </w:rPr>
        <w:t>亿独立移动用户，</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0"/>
        <w:jc w:val="left"/>
      </w:pPr>
      <w:r>
        <w:rPr>
          <w:spacing w:val="-3"/>
        </w:rPr>
        <w:t>比去年增加了</w:t>
      </w:r>
      <w:r>
        <w:rPr>
          <w:rFonts w:ascii="宋体" w:hAnsi="宋体" w:cs="宋体" w:eastAsia="宋体" w:hint="default"/>
          <w:spacing w:val="-3"/>
        </w:rPr>
        <w:t>1</w:t>
      </w:r>
      <w:r>
        <w:rPr>
          <w:spacing w:val="-3"/>
        </w:rPr>
        <w:t>亿（</w:t>
      </w:r>
      <w:r>
        <w:rPr>
          <w:rFonts w:ascii="宋体" w:hAnsi="宋体" w:cs="宋体" w:eastAsia="宋体" w:hint="default"/>
          <w:spacing w:val="-3"/>
        </w:rPr>
        <w:t>2</w:t>
      </w:r>
      <w:r>
        <w:rPr>
          <w:spacing w:val="-3"/>
        </w:rPr>
        <w:t>％）。随着智能手机活跃用户持续增长，全球各国移动互联网连接不同程度实现提速，</w:t>
      </w:r>
      <w:r>
        <w:rPr>
          <w:spacing w:val="-92"/>
        </w:rPr>
        <w:t> </w:t>
      </w:r>
      <w:r>
        <w:rPr>
          <w:spacing w:val="-92"/>
        </w:rPr>
      </w:r>
      <w:r>
        <w:rPr/>
        <w:t>移动互联网前景仍然被看好。</w:t>
      </w:r>
      <w:r>
        <w:rPr>
          <w:rFonts w:ascii="宋体" w:hAnsi="宋体" w:cs="宋体" w:eastAsia="宋体" w:hint="default"/>
        </w:rPr>
        <w:t>2019</w:t>
      </w:r>
      <w:r>
        <w:rPr/>
        <w:t>年，随着</w:t>
      </w:r>
      <w:r>
        <w:rPr>
          <w:rFonts w:ascii="宋体" w:hAnsi="宋体" w:cs="宋体" w:eastAsia="宋体" w:hint="default"/>
        </w:rPr>
        <w:t>5G</w:t>
      </w:r>
      <w:r>
        <w:rPr/>
        <w:t>元年的到来，全球将迎来一个更具魅力的移动互联网时代。</w:t>
      </w:r>
    </w:p>
    <w:p>
      <w:pPr>
        <w:pStyle w:val="Heading5"/>
        <w:spacing w:line="273" w:lineRule="auto" w:before="7"/>
        <w:ind w:right="1197" w:firstLine="420"/>
        <w:jc w:val="left"/>
      </w:pPr>
      <w:r>
        <w:rPr/>
        <w:t>艾瑞咨询《</w:t>
      </w:r>
      <w:r>
        <w:rPr>
          <w:rFonts w:ascii="宋体" w:hAnsi="宋体" w:cs="宋体" w:eastAsia="宋体" w:hint="default"/>
        </w:rPr>
        <w:t>2019</w:t>
      </w:r>
      <w:r>
        <w:rPr/>
        <w:t>年中国互联网发展全瞻》报告，</w:t>
      </w:r>
      <w:r>
        <w:rPr>
          <w:rFonts w:ascii="宋体" w:hAnsi="宋体" w:cs="宋体" w:eastAsia="宋体" w:hint="default"/>
        </w:rPr>
        <w:t>2018</w:t>
      </w:r>
      <w:r>
        <w:rPr/>
        <w:t>上半年中国互联网网民数量增加</w:t>
      </w:r>
      <w:r>
        <w:rPr>
          <w:rFonts w:ascii="宋体" w:hAnsi="宋体" w:cs="宋体" w:eastAsia="宋体" w:hint="default"/>
        </w:rPr>
        <w:t>2968</w:t>
      </w:r>
      <w:r>
        <w:rPr/>
        <w:t>万</w:t>
      </w:r>
      <w:r>
        <w:rPr>
          <w:rFonts w:ascii="宋体" w:hAnsi="宋体" w:cs="宋体" w:eastAsia="宋体" w:hint="default"/>
        </w:rPr>
        <w:t>,</w:t>
      </w:r>
      <w:r>
        <w:rPr/>
        <w:t>其中手 机网民数量增长</w:t>
      </w:r>
      <w:r>
        <w:rPr>
          <w:rFonts w:ascii="宋体" w:hAnsi="宋体" w:cs="宋体" w:eastAsia="宋体" w:hint="default"/>
        </w:rPr>
        <w:t>3509</w:t>
      </w:r>
      <w:r>
        <w:rPr/>
        <w:t>万</w:t>
      </w:r>
      <w:r>
        <w:rPr>
          <w:rFonts w:ascii="宋体" w:hAnsi="宋体" w:cs="宋体" w:eastAsia="宋体" w:hint="default"/>
        </w:rPr>
        <w:t>,</w:t>
      </w:r>
      <w:r>
        <w:rPr/>
        <w:t>可见现阶段中国网民数量增长主要来自与人口红利以及智能手机的大范围普及。 近十年中国互联网网民数量快速增长</w:t>
      </w:r>
      <w:r>
        <w:rPr>
          <w:rFonts w:ascii="宋体" w:hAnsi="宋体" w:cs="宋体" w:eastAsia="宋体" w:hint="default"/>
        </w:rPr>
        <w:t>,</w:t>
      </w:r>
      <w:r>
        <w:rPr/>
        <w:t>网民数量十年复合增长率达到</w:t>
      </w:r>
      <w:r>
        <w:rPr>
          <w:rFonts w:ascii="宋体" w:hAnsi="宋体" w:cs="宋体" w:eastAsia="宋体" w:hint="default"/>
        </w:rPr>
        <w:t>89%,</w:t>
      </w:r>
      <w:r>
        <w:rPr/>
        <w:t>超过这段时间中国的</w:t>
      </w:r>
      <w:r>
        <w:rPr>
          <w:rFonts w:ascii="宋体" w:hAnsi="宋体" w:cs="宋体" w:eastAsia="宋体" w:hint="default"/>
        </w:rPr>
        <w:t>GDP</w:t>
      </w:r>
      <w:r>
        <w:rPr/>
        <w:t>平均增 速。随着网民数量的增长</w:t>
      </w:r>
      <w:r>
        <w:rPr>
          <w:rFonts w:ascii="宋体" w:hAnsi="宋体" w:cs="宋体" w:eastAsia="宋体" w:hint="default"/>
        </w:rPr>
        <w:t>,</w:t>
      </w:r>
      <w:r>
        <w:rPr/>
        <w:t>中国互联网网民普及率也在逐年增加。</w:t>
      </w:r>
    </w:p>
    <w:p>
      <w:pPr>
        <w:spacing w:line="240" w:lineRule="auto" w:before="11"/>
        <w:rPr>
          <w:rFonts w:ascii="宋体" w:hAnsi="宋体" w:cs="宋体" w:eastAsia="宋体" w:hint="default"/>
          <w:sz w:val="6"/>
          <w:szCs w:val="6"/>
        </w:rPr>
      </w:pPr>
    </w:p>
    <w:p>
      <w:pPr>
        <w:spacing w:line="5167" w:lineRule="exact"/>
        <w:ind w:left="934"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5128339" cy="328155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8" cstate="print"/>
                    <a:stretch>
                      <a:fillRect/>
                    </a:stretch>
                  </pic:blipFill>
                  <pic:spPr>
                    <a:xfrm>
                      <a:off x="0" y="0"/>
                      <a:ext cx="5128339" cy="3281553"/>
                    </a:xfrm>
                    <a:prstGeom prst="rect">
                      <a:avLst/>
                    </a:prstGeom>
                  </pic:spPr>
                </pic:pic>
              </a:graphicData>
            </a:graphic>
          </wp:inline>
        </w:drawing>
      </w:r>
      <w:r>
        <w:rPr>
          <w:rFonts w:ascii="宋体" w:hAnsi="宋体" w:cs="宋体" w:eastAsia="宋体" w:hint="default"/>
          <w:position w:val="-102"/>
          <w:sz w:val="20"/>
          <w:szCs w:val="20"/>
        </w:rPr>
      </w:r>
    </w:p>
    <w:p>
      <w:pPr>
        <w:pStyle w:val="Heading7"/>
        <w:spacing w:line="271" w:lineRule="auto" w:before="65"/>
        <w:ind w:right="0" w:firstLine="160"/>
        <w:jc w:val="left"/>
      </w:pPr>
      <w:r>
        <w:rPr>
          <w:spacing w:val="-1"/>
        </w:rPr>
        <w:t>根据艾瑞更新版统计口径</w:t>
      </w:r>
      <w:r>
        <w:rPr>
          <w:rFonts w:ascii="Times New Roman" w:hAnsi="Times New Roman" w:cs="Times New Roman" w:eastAsia="Times New Roman" w:hint="default"/>
          <w:spacing w:val="-1"/>
        </w:rPr>
        <w:t>,2017</w:t>
      </w:r>
      <w:r>
        <w:rPr>
          <w:spacing w:val="-1"/>
        </w:rPr>
        <w:t>年中国网络经济营收规模达到</w:t>
      </w:r>
      <w:r>
        <w:rPr>
          <w:rFonts w:ascii="Times New Roman" w:hAnsi="Times New Roman" w:cs="Times New Roman" w:eastAsia="Times New Roman" w:hint="default"/>
          <w:spacing w:val="-1"/>
        </w:rPr>
        <w:t>36556.8</w:t>
      </w:r>
      <w:r>
        <w:rPr>
          <w:spacing w:val="-1"/>
        </w:rPr>
        <w:t>亿元</w:t>
      </w:r>
      <w:r>
        <w:rPr>
          <w:rFonts w:ascii="Times New Roman" w:hAnsi="Times New Roman" w:cs="Times New Roman" w:eastAsia="Times New Roman" w:hint="default"/>
          <w:spacing w:val="-1"/>
        </w:rPr>
        <w:t>,</w:t>
      </w:r>
      <w:r>
        <w:rPr>
          <w:spacing w:val="-1"/>
        </w:rPr>
        <w:t>同比増速达到</w:t>
      </w:r>
      <w:r>
        <w:rPr>
          <w:rFonts w:ascii="Times New Roman" w:hAnsi="Times New Roman" w:cs="Times New Roman" w:eastAsia="Times New Roman" w:hint="default"/>
          <w:spacing w:val="-1"/>
        </w:rPr>
        <w:t>42.5%</w:t>
      </w:r>
      <w:r>
        <w:rPr>
          <w:spacing w:val="-1"/>
        </w:rPr>
        <w:t>是网络经济增速</w:t>
      </w:r>
      <w:r>
        <w:rPr>
          <w:w w:val="100"/>
        </w:rPr>
        <w:t> </w:t>
      </w:r>
      <w:r>
        <w:rPr/>
        <w:t>在经历了</w:t>
      </w:r>
      <w:r>
        <w:rPr>
          <w:rFonts w:ascii="Times New Roman" w:hAnsi="Times New Roman" w:cs="Times New Roman" w:eastAsia="Times New Roman" w:hint="default"/>
        </w:rPr>
        <w:t>2016</w:t>
      </w:r>
      <w:r>
        <w:rPr/>
        <w:t>年的明显趋缓后的首次回升</w:t>
      </w:r>
      <w:r>
        <w:rPr>
          <w:rFonts w:ascii="Times New Roman" w:hAnsi="Times New Roman" w:cs="Times New Roman" w:eastAsia="Times New Roman" w:hint="default"/>
        </w:rPr>
        <w:t>,</w:t>
      </w:r>
      <w:r>
        <w:rPr/>
        <w:t>未来</w:t>
      </w:r>
      <w:r>
        <w:rPr>
          <w:rFonts w:ascii="Times New Roman" w:hAnsi="Times New Roman" w:cs="Times New Roman" w:eastAsia="Times New Roman" w:hint="default"/>
        </w:rPr>
        <w:t>,</w:t>
      </w:r>
      <w:r>
        <w:rPr/>
        <w:t>伴随着互联网的发展进入稳健期</w:t>
      </w:r>
      <w:r>
        <w:rPr>
          <w:rFonts w:ascii="Times New Roman" w:hAnsi="Times New Roman" w:cs="Times New Roman" w:eastAsia="Times New Roman" w:hint="default"/>
        </w:rPr>
        <w:t>,</w:t>
      </w:r>
      <w:r>
        <w:rPr/>
        <w:t>网络经济规模的增速将逐渐放</w:t>
      </w:r>
      <w:r>
        <w:rPr>
          <w:w w:val="100"/>
        </w:rPr>
        <w:t> </w:t>
      </w:r>
      <w:r>
        <w:rPr/>
        <w:t>缓</w:t>
      </w:r>
      <w:r>
        <w:rPr>
          <w:rFonts w:ascii="Times New Roman" w:hAnsi="Times New Roman" w:cs="Times New Roman" w:eastAsia="Times New Roman" w:hint="default"/>
        </w:rPr>
        <w:t>,</w:t>
      </w:r>
      <w:r>
        <w:rPr/>
        <w:t>未来三年内</w:t>
      </w:r>
      <w:r>
        <w:rPr>
          <w:rFonts w:ascii="Times New Roman" w:hAnsi="Times New Roman" w:cs="Times New Roman" w:eastAsia="Times New Roman" w:hint="default"/>
        </w:rPr>
        <w:t>,</w:t>
      </w:r>
      <w:r>
        <w:rPr/>
        <w:t>这一指标将逐步趋于</w:t>
      </w:r>
      <w:r>
        <w:rPr>
          <w:rFonts w:ascii="Times New Roman" w:hAnsi="Times New Roman" w:cs="Times New Roman" w:eastAsia="Times New Roman" w:hint="default"/>
        </w:rPr>
        <w:t>20%</w:t>
      </w:r>
      <w:r>
        <w:rPr/>
        <w:t>并较长期地保持在这一水平上。</w:t>
      </w:r>
    </w:p>
    <w:p>
      <w:pPr>
        <w:spacing w:line="4348" w:lineRule="exact"/>
        <w:ind w:left="15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6124784" cy="2761011"/>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9" cstate="print"/>
                    <a:stretch>
                      <a:fillRect/>
                    </a:stretch>
                  </pic:blipFill>
                  <pic:spPr>
                    <a:xfrm>
                      <a:off x="0" y="0"/>
                      <a:ext cx="6124784" cy="2761011"/>
                    </a:xfrm>
                    <a:prstGeom prst="rect">
                      <a:avLst/>
                    </a:prstGeom>
                  </pic:spPr>
                </pic:pic>
              </a:graphicData>
            </a:graphic>
          </wp:inline>
        </w:drawing>
      </w:r>
      <w:r>
        <w:rPr>
          <w:rFonts w:ascii="宋体" w:hAnsi="宋体" w:cs="宋体" w:eastAsia="宋体" w:hint="default"/>
          <w:position w:val="-86"/>
          <w:sz w:val="20"/>
          <w:szCs w:val="20"/>
        </w:rPr>
      </w:r>
    </w:p>
    <w:p>
      <w:pPr>
        <w:pStyle w:val="Heading7"/>
        <w:spacing w:line="278" w:lineRule="auto" w:before="26"/>
        <w:ind w:right="1169" w:firstLine="160"/>
        <w:jc w:val="both"/>
      </w:pPr>
      <w:r>
        <w:rPr/>
        <w:t>截止</w:t>
      </w:r>
      <w:r>
        <w:rPr>
          <w:rFonts w:ascii="Times New Roman" w:hAnsi="Times New Roman" w:cs="Times New Roman" w:eastAsia="Times New Roman" w:hint="default"/>
        </w:rPr>
        <w:t>2019</w:t>
      </w:r>
      <w:r>
        <w:rPr/>
        <w:t>年，中国拥有全球最多的互联网网民，相较于世界经济体量最大的美国，依然有值得期待的增长空</w:t>
      </w:r>
      <w:r>
        <w:rPr>
          <w:w w:val="100"/>
        </w:rPr>
        <w:t> </w:t>
      </w:r>
      <w:r>
        <w:rPr>
          <w:spacing w:val="-1"/>
        </w:rPr>
        <w:t>间。在中国互联网用户规模快速发展的过程中，用户教育的模式、挖掘用户潜力和价值的手段以及面对如此多</w:t>
      </w:r>
      <w:r>
        <w:rPr>
          <w:spacing w:val="-63"/>
        </w:rPr>
        <w:t> </w:t>
      </w:r>
      <w:r>
        <w:rPr>
          <w:spacing w:val="-63"/>
        </w:rPr>
      </w:r>
      <w:r>
        <w:rPr/>
        <w:t>的用户的技术和管理经验为全球互联网经济的发展提供了借鉴意义。</w:t>
      </w:r>
    </w:p>
    <w:p>
      <w:pPr>
        <w:spacing w:after="0" w:line="278" w:lineRule="auto"/>
        <w:jc w:val="both"/>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6"/>
        <w:spacing w:line="240" w:lineRule="auto" w:before="38"/>
        <w:ind w:right="0"/>
        <w:jc w:val="left"/>
        <w:rPr>
          <w:b w:val="0"/>
          <w:bCs w:val="0"/>
        </w:rPr>
      </w:pPr>
      <w:r>
        <w:rPr/>
        <w:t>（二）</w:t>
      </w:r>
      <w:r>
        <w:rPr>
          <w:spacing w:val="-16"/>
        </w:rPr>
        <w:t> </w:t>
      </w:r>
      <w:r>
        <w:rPr/>
        <w:t>公司发展战略</w:t>
      </w:r>
      <w:r>
        <w:rPr>
          <w:b w:val="0"/>
          <w:bCs w:val="0"/>
        </w:rPr>
      </w:r>
    </w:p>
    <w:p>
      <w:pPr>
        <w:pStyle w:val="Heading7"/>
        <w:spacing w:line="304" w:lineRule="auto" w:before="90"/>
        <w:ind w:left="514" w:right="0" w:firstLine="1"/>
        <w:jc w:val="left"/>
      </w:pPr>
      <w:r>
        <w:rPr>
          <w:rFonts w:ascii="Times New Roman" w:hAnsi="Times New Roman" w:cs="Times New Roman" w:eastAsia="Times New Roman" w:hint="default"/>
        </w:rPr>
        <w:t>1</w:t>
      </w:r>
      <w:r>
        <w:rPr/>
        <w:t>、强化第三方搜索入口业务头部地位</w:t>
      </w:r>
      <w:r>
        <w:rPr>
          <w:w w:val="100"/>
        </w:rPr>
        <w:t> </w:t>
      </w:r>
      <w:r>
        <w:rPr>
          <w:spacing w:val="-2"/>
        </w:rPr>
        <w:t>以</w:t>
      </w:r>
      <w:r>
        <w:rPr>
          <w:rFonts w:ascii="Times New Roman" w:hAnsi="Times New Roman" w:cs="Times New Roman" w:eastAsia="Times New Roman" w:hint="default"/>
          <w:spacing w:val="-2"/>
        </w:rPr>
        <w:t>Spigot</w:t>
      </w:r>
      <w:r>
        <w:rPr>
          <w:spacing w:val="-2"/>
        </w:rPr>
        <w:t>作为境外业务发展依托，通过大数据及</w:t>
      </w:r>
      <w:r>
        <w:rPr>
          <w:rFonts w:ascii="Times New Roman" w:hAnsi="Times New Roman" w:cs="Times New Roman" w:eastAsia="Times New Roman" w:hint="default"/>
          <w:spacing w:val="-2"/>
        </w:rPr>
        <w:t>AI</w:t>
      </w:r>
      <w:r>
        <w:rPr>
          <w:spacing w:val="-2"/>
        </w:rPr>
        <w:t>算法精准描绘出用户画像，为客户提供各项服务，凭借出</w:t>
      </w:r>
    </w:p>
    <w:p>
      <w:pPr>
        <w:pStyle w:val="Heading7"/>
        <w:spacing w:line="238" w:lineRule="exact"/>
        <w:ind w:right="0"/>
        <w:jc w:val="left"/>
      </w:pPr>
      <w:r>
        <w:rPr/>
        <w:t>色的媒体优化经验、出众的分析能力和高质量的用户基础，强化第三方搜索入口业务头部地位。</w:t>
      </w:r>
    </w:p>
    <w:p>
      <w:pPr>
        <w:pStyle w:val="Heading7"/>
        <w:spacing w:line="304" w:lineRule="auto" w:before="90"/>
        <w:ind w:left="514" w:right="0"/>
        <w:jc w:val="left"/>
      </w:pPr>
      <w:r>
        <w:rPr>
          <w:rFonts w:ascii="Times New Roman" w:hAnsi="Times New Roman" w:cs="Times New Roman" w:eastAsia="Times New Roman" w:hint="default"/>
        </w:rPr>
        <w:t>2</w:t>
      </w:r>
      <w:r>
        <w:rPr/>
        <w:t>、加大产品布局拓展商业空间</w:t>
      </w:r>
      <w:r>
        <w:rPr>
          <w:w w:val="100"/>
        </w:rPr>
        <w:t> </w:t>
      </w:r>
      <w:r>
        <w:rPr>
          <w:spacing w:val="-2"/>
        </w:rPr>
        <w:t>加大研发投入，不断改进产品性能，开发出更多具有技术含量和国际竞争力的产品，通过多场景、多环境、</w:t>
      </w:r>
    </w:p>
    <w:p>
      <w:pPr>
        <w:pStyle w:val="Heading7"/>
        <w:spacing w:line="285" w:lineRule="auto"/>
        <w:ind w:right="1169"/>
        <w:jc w:val="both"/>
      </w:pPr>
      <w:r>
        <w:rPr>
          <w:spacing w:val="-1"/>
        </w:rPr>
        <w:t>多维度的产品布局打造互联网矩阵型产品模块。同时，公司将积极加强平台体系的建设，以支撑不断丰富的产</w:t>
      </w:r>
      <w:r>
        <w:rPr>
          <w:spacing w:val="-63"/>
        </w:rPr>
        <w:t> </w:t>
      </w:r>
      <w:r>
        <w:rPr>
          <w:spacing w:val="-63"/>
        </w:rPr>
      </w:r>
      <w:r>
        <w:rPr>
          <w:spacing w:val="-1"/>
        </w:rPr>
        <w:t>品矩阵。结合稳健的业务扩张优化自己的服务能力，提高自身竞争力，整合已有优质资源禀赋，带动公司协同</w:t>
      </w:r>
      <w:r>
        <w:rPr>
          <w:spacing w:val="-63"/>
        </w:rPr>
        <w:t> </w:t>
      </w:r>
      <w:r>
        <w:rPr>
          <w:spacing w:val="-63"/>
        </w:rPr>
      </w:r>
      <w:r>
        <w:rPr/>
        <w:t>发展，延续传统主营业务优势，保持新业务增长点不断放大。</w:t>
      </w:r>
    </w:p>
    <w:p>
      <w:pPr>
        <w:pStyle w:val="Heading7"/>
        <w:spacing w:line="304" w:lineRule="auto" w:before="53"/>
        <w:ind w:left="514" w:right="0" w:firstLine="39"/>
        <w:jc w:val="left"/>
      </w:pPr>
      <w:r>
        <w:rPr>
          <w:rFonts w:ascii="Times New Roman" w:hAnsi="Times New Roman" w:cs="Times New Roman" w:eastAsia="Times New Roman" w:hint="default"/>
        </w:rPr>
        <w:t>3</w:t>
      </w:r>
      <w:r>
        <w:rPr/>
        <w:t>、继续推进全球化战略</w:t>
      </w:r>
      <w:r>
        <w:rPr>
          <w:w w:val="100"/>
        </w:rPr>
        <w:t> </w:t>
      </w:r>
      <w:r>
        <w:rPr>
          <w:spacing w:val="-1"/>
        </w:rPr>
        <w:t>继续推进全球化战略，充分发挥公司自身资源优势、联合拥有相关技术和海外业务资源合作方，拓展海外</w:t>
      </w:r>
    </w:p>
    <w:p>
      <w:pPr>
        <w:pStyle w:val="Heading7"/>
        <w:spacing w:line="314" w:lineRule="auto"/>
        <w:ind w:left="514" w:right="1118" w:hanging="360"/>
        <w:jc w:val="left"/>
      </w:pPr>
      <w:r>
        <w:rPr/>
        <w:t>市场，帮助境内外客户实现双向流动，实现打造具有国际影响力的互联网企业。</w:t>
      </w:r>
      <w:r>
        <w:rPr>
          <w:w w:val="100"/>
        </w:rPr>
        <w:t> </w:t>
      </w:r>
      <w:r>
        <w:rPr>
          <w:rFonts w:ascii="Times New Roman" w:hAnsi="Times New Roman" w:cs="Times New Roman" w:eastAsia="Times New Roman" w:hint="default"/>
        </w:rPr>
        <w:t>4</w:t>
      </w:r>
      <w:r>
        <w:rPr/>
        <w:t>、进一步打造技术驱动型的互联网企业</w:t>
      </w:r>
      <w:r>
        <w:rPr>
          <w:w w:val="100"/>
        </w:rPr>
        <w:t> </w:t>
      </w:r>
      <w:r>
        <w:rPr>
          <w:spacing w:val="-1"/>
        </w:rPr>
        <w:t>以技术创新推动公司整体业务持续发展，塑造技术核心竞争力，进一步扩大公司产品市场份额。随着大数</w:t>
      </w:r>
    </w:p>
    <w:p>
      <w:pPr>
        <w:pStyle w:val="Heading7"/>
        <w:spacing w:line="271" w:lineRule="auto"/>
        <w:ind w:right="0"/>
        <w:jc w:val="left"/>
      </w:pPr>
      <w:r>
        <w:rPr>
          <w:spacing w:val="-1"/>
        </w:rPr>
        <w:t>据、</w:t>
      </w:r>
      <w:r>
        <w:rPr>
          <w:rFonts w:ascii="Times New Roman" w:hAnsi="Times New Roman" w:cs="Times New Roman" w:eastAsia="Times New Roman" w:hint="default"/>
          <w:spacing w:val="-1"/>
        </w:rPr>
        <w:t>AI</w:t>
      </w:r>
      <w:r>
        <w:rPr>
          <w:spacing w:val="-1"/>
        </w:rPr>
        <w:t>算法、广告技术等的发展和完善，尝试将该等技术运用到公司业务中，充分发挥其核心禀赋提升服务效</w:t>
      </w:r>
      <w:r>
        <w:rPr>
          <w:spacing w:val="-63"/>
        </w:rPr>
        <w:t> </w:t>
      </w:r>
      <w:r>
        <w:rPr>
          <w:spacing w:val="-63"/>
        </w:rPr>
      </w:r>
      <w:r>
        <w:rPr/>
        <w:t>率，提高客户满意度，打造差异化竞争优势，建立坚实的技术壁垒。</w:t>
      </w:r>
    </w:p>
    <w:p>
      <w:pPr>
        <w:pStyle w:val="Heading6"/>
        <w:spacing w:line="240" w:lineRule="auto" w:before="64"/>
        <w:ind w:right="0"/>
        <w:jc w:val="left"/>
        <w:rPr>
          <w:b w:val="0"/>
          <w:bCs w:val="0"/>
        </w:rPr>
      </w:pPr>
      <w:r>
        <w:rPr/>
        <w:t>（三）经营计划</w:t>
      </w:r>
      <w:r>
        <w:rPr>
          <w:b w:val="0"/>
          <w:bCs w:val="0"/>
        </w:rPr>
      </w:r>
    </w:p>
    <w:p>
      <w:pPr>
        <w:pStyle w:val="Heading7"/>
        <w:spacing w:line="304" w:lineRule="auto" w:before="90"/>
        <w:ind w:left="514" w:right="0" w:firstLine="1"/>
        <w:jc w:val="left"/>
      </w:pPr>
      <w:r>
        <w:rPr>
          <w:rFonts w:ascii="Times New Roman" w:hAnsi="Times New Roman" w:cs="Times New Roman" w:eastAsia="Times New Roman" w:hint="default"/>
        </w:rPr>
        <w:t>1</w:t>
      </w:r>
      <w:r>
        <w:rPr/>
        <w:t>、进一步发展公司主营业务</w:t>
      </w:r>
      <w:r>
        <w:rPr>
          <w:w w:val="100"/>
        </w:rPr>
        <w:t> </w:t>
      </w:r>
      <w:r>
        <w:rPr>
          <w:spacing w:val="-1"/>
        </w:rPr>
        <w:t>公司将继续集中优质资源发展公司主营业务，深入发挥各业务主体之间的协同效应，提升各主体业务和利</w:t>
      </w:r>
    </w:p>
    <w:p>
      <w:pPr>
        <w:pStyle w:val="Heading7"/>
        <w:spacing w:line="259" w:lineRule="exact"/>
        <w:ind w:right="0"/>
        <w:jc w:val="left"/>
      </w:pPr>
      <w:r>
        <w:rPr/>
        <w:t>润表现，最终实现上市公司综合实力以及内在价值的提升。</w:t>
      </w:r>
    </w:p>
    <w:p>
      <w:pPr>
        <w:pStyle w:val="Heading7"/>
        <w:spacing w:line="304" w:lineRule="auto" w:before="90"/>
        <w:ind w:left="514" w:right="0"/>
        <w:jc w:val="left"/>
      </w:pPr>
      <w:r>
        <w:rPr/>
        <w:t>（</w:t>
      </w:r>
      <w:r>
        <w:rPr>
          <w:rFonts w:ascii="Times New Roman" w:hAnsi="Times New Roman" w:cs="Times New Roman" w:eastAsia="Times New Roman" w:hint="default"/>
        </w:rPr>
        <w:t>1</w:t>
      </w:r>
      <w:r>
        <w:rPr/>
        <w:t>）着重发力第三方搜索入口业务</w:t>
      </w:r>
      <w:r>
        <w:rPr>
          <w:w w:val="100"/>
        </w:rPr>
        <w:t> </w:t>
      </w:r>
      <w:r>
        <w:rPr>
          <w:spacing w:val="-1"/>
        </w:rPr>
        <w:t>公司将进一步巩固第三方搜索入口业务核心地位，充分整合专业细分和多渠道的分散流量资源，并全力加</w:t>
      </w:r>
    </w:p>
    <w:p>
      <w:pPr>
        <w:pStyle w:val="Heading7"/>
        <w:spacing w:line="278" w:lineRule="auto"/>
        <w:ind w:right="0"/>
        <w:jc w:val="left"/>
      </w:pPr>
      <w:r>
        <w:rPr>
          <w:spacing w:val="-1"/>
        </w:rPr>
        <w:t>速</w:t>
      </w:r>
      <w:r>
        <w:rPr>
          <w:rFonts w:ascii="Times New Roman" w:hAnsi="Times New Roman" w:cs="Times New Roman" w:eastAsia="Times New Roman" w:hint="default"/>
          <w:spacing w:val="-1"/>
        </w:rPr>
        <w:t>Spigot</w:t>
      </w:r>
      <w:r>
        <w:rPr>
          <w:spacing w:val="-1"/>
        </w:rPr>
        <w:t>在海外移动端的布局。同时，公司还将加强自有搜索入口平台的技术建设，加大对大数据技术的投入，</w:t>
      </w:r>
      <w:r>
        <w:rPr>
          <w:spacing w:val="-62"/>
        </w:rPr>
        <w:t> </w:t>
      </w:r>
      <w:r>
        <w:rPr>
          <w:spacing w:val="-62"/>
        </w:rPr>
      </w:r>
      <w:r>
        <w:rPr/>
        <w:t>并根据技术的发展程度和公司的实际经营情况，尝试将人工智能、区块链等技术运用到公司媒体业务中，建立</w:t>
      </w:r>
      <w:r>
        <w:rPr>
          <w:w w:val="100"/>
        </w:rPr>
        <w:t> </w:t>
      </w:r>
      <w:r>
        <w:rPr/>
        <w:t>更高的技术壁垒。</w:t>
      </w:r>
    </w:p>
    <w:p>
      <w:pPr>
        <w:pStyle w:val="Heading7"/>
        <w:spacing w:line="304" w:lineRule="auto" w:before="59"/>
        <w:ind w:left="514" w:right="0"/>
        <w:jc w:val="left"/>
      </w:pPr>
      <w:r>
        <w:rPr/>
        <w:t>（</w:t>
      </w:r>
      <w:r>
        <w:rPr>
          <w:rFonts w:ascii="Times New Roman" w:hAnsi="Times New Roman" w:cs="Times New Roman" w:eastAsia="Times New Roman" w:hint="default"/>
        </w:rPr>
        <w:t>2</w:t>
      </w:r>
      <w:r>
        <w:rPr/>
        <w:t>）提升移动广告联盟信息流业务贡献比例</w:t>
      </w:r>
      <w:r>
        <w:rPr>
          <w:w w:val="100"/>
        </w:rPr>
        <w:t> </w:t>
      </w:r>
      <w:r>
        <w:rPr>
          <w:spacing w:val="-1"/>
        </w:rPr>
        <w:t>积极优化流量聚合变现平台，接入更多媒体，培养客户对自身平台的习惯度和依赖度，进一步积累合作资</w:t>
      </w:r>
    </w:p>
    <w:p>
      <w:pPr>
        <w:pStyle w:val="Heading7"/>
        <w:spacing w:line="288" w:lineRule="auto"/>
        <w:ind w:right="0"/>
        <w:jc w:val="left"/>
      </w:pPr>
      <w:r>
        <w:rPr>
          <w:spacing w:val="-1"/>
        </w:rPr>
        <w:t>源，巩固优势地位。发展已经成为快速增长驱动力的信息流业务，为互联网广告创造新的成长空间。通过更加</w:t>
      </w:r>
      <w:r>
        <w:rPr>
          <w:spacing w:val="-63"/>
        </w:rPr>
        <w:t> </w:t>
      </w:r>
      <w:r>
        <w:rPr>
          <w:spacing w:val="-63"/>
        </w:rPr>
      </w:r>
      <w:r>
        <w:rPr/>
        <w:t>优质的内容与服务，精准分发至目标用户，实现商业变现稳健增长。</w:t>
      </w:r>
    </w:p>
    <w:p>
      <w:pPr>
        <w:pStyle w:val="Heading7"/>
        <w:spacing w:line="304" w:lineRule="auto" w:before="50"/>
        <w:ind w:left="514" w:right="0"/>
        <w:jc w:val="left"/>
      </w:pPr>
      <w:r>
        <w:rPr/>
        <w:t>（</w:t>
      </w:r>
      <w:r>
        <w:rPr>
          <w:rFonts w:ascii="Times New Roman" w:hAnsi="Times New Roman" w:cs="Times New Roman" w:eastAsia="Times New Roman" w:hint="default"/>
        </w:rPr>
        <w:t>3</w:t>
      </w:r>
      <w:r>
        <w:rPr/>
        <w:t>）继续保持数字营销的头部地位</w:t>
      </w:r>
      <w:r>
        <w:rPr>
          <w:w w:val="100"/>
        </w:rPr>
        <w:t> </w:t>
      </w:r>
      <w:r>
        <w:rPr>
          <w:spacing w:val="-2"/>
        </w:rPr>
        <w:t>公司将保持现有数字营销业务优势，进一步加强客户粘性并拓展新客户；将数字营销服务能力进一步提升，</w:t>
      </w:r>
    </w:p>
    <w:p>
      <w:pPr>
        <w:pStyle w:val="Heading7"/>
        <w:spacing w:line="259" w:lineRule="exact"/>
        <w:ind w:right="0"/>
        <w:jc w:val="left"/>
      </w:pPr>
      <w:r>
        <w:rPr/>
        <w:t>优化创意和营销策略；充分整合体系内的营销资源，实现资源的交叉销售和集中采买，提升利润空间。</w:t>
      </w:r>
    </w:p>
    <w:p>
      <w:pPr>
        <w:pStyle w:val="Heading7"/>
        <w:spacing w:line="304" w:lineRule="auto" w:before="90"/>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、加大移动端产品矩阵投入</w:t>
      </w:r>
      <w:r>
        <w:rPr>
          <w:w w:val="100"/>
        </w:rPr>
        <w:t> </w:t>
      </w:r>
      <w:r>
        <w:rPr>
          <w:spacing w:val="-1"/>
        </w:rPr>
        <w:t>加大移动端互联网产品矩阵投入，推进内容社交领域以及生活工具、系统工具、办公工具等工具类产品，</w:t>
      </w:r>
    </w:p>
    <w:p>
      <w:pPr>
        <w:pStyle w:val="Heading7"/>
        <w:spacing w:line="285" w:lineRule="auto"/>
        <w:ind w:right="1169"/>
        <w:jc w:val="both"/>
      </w:pPr>
      <w:r>
        <w:rPr>
          <w:spacing w:val="-1"/>
        </w:rPr>
        <w:t>进一步加强对市场以及用户需求变化的高度敏感性，提高市场占有率。依托自有产品矩阵，聚合第三方产品，</w:t>
      </w:r>
      <w:r>
        <w:rPr>
          <w:spacing w:val="-63"/>
        </w:rPr>
        <w:t> </w:t>
      </w:r>
      <w:r>
        <w:rPr>
          <w:spacing w:val="-63"/>
        </w:rPr>
      </w:r>
      <w:r>
        <w:rPr>
          <w:spacing w:val="-1"/>
        </w:rPr>
        <w:t>在构建更完备的信息流流量分发入口同时，更加注重深耕客户个性化需求。凭借强大的研发能力，快速迭代应</w:t>
      </w:r>
      <w:r>
        <w:rPr>
          <w:spacing w:val="-63"/>
        </w:rPr>
        <w:t> </w:t>
      </w:r>
      <w:r>
        <w:rPr>
          <w:spacing w:val="-63"/>
        </w:rPr>
      </w:r>
      <w:r>
        <w:rPr/>
        <w:t>用产品并对应用产品的分发策略进行调整，提高用户体验，增加用户粘性。</w:t>
      </w:r>
    </w:p>
    <w:p>
      <w:pPr>
        <w:pStyle w:val="Heading7"/>
        <w:spacing w:line="304" w:lineRule="auto" w:before="53"/>
        <w:ind w:left="514" w:right="0"/>
        <w:jc w:val="left"/>
      </w:pPr>
      <w:r>
        <w:rPr>
          <w:rFonts w:ascii="Times New Roman" w:hAnsi="Times New Roman" w:cs="Times New Roman" w:eastAsia="Times New Roman" w:hint="default"/>
        </w:rPr>
        <w:t>3</w:t>
      </w:r>
      <w:r>
        <w:rPr/>
        <w:t>、全面推进全球化的发展战略</w:t>
      </w:r>
      <w:r>
        <w:rPr>
          <w:w w:val="100"/>
        </w:rPr>
        <w:t> </w:t>
      </w:r>
      <w:r>
        <w:rPr>
          <w:spacing w:val="-1"/>
        </w:rPr>
        <w:t>在公司形成的互联网流量入口、流量经营入口、商业变现渠道闭环的基础上，加大布局手机厂商流量，并</w:t>
      </w:r>
    </w:p>
    <w:p>
      <w:pPr>
        <w:pStyle w:val="Heading7"/>
        <w:spacing w:line="288" w:lineRule="auto"/>
        <w:ind w:right="0"/>
        <w:jc w:val="left"/>
      </w:pPr>
      <w:r>
        <w:rPr>
          <w:spacing w:val="-1"/>
        </w:rPr>
        <w:t>通过技术壁垒巩固流量优势，打造具有国际影响力的海外移动商业变现体系，助力公司长期可持续性高速发展</w:t>
      </w:r>
      <w:r>
        <w:rPr>
          <w:spacing w:val="-62"/>
        </w:rPr>
        <w:t> </w:t>
      </w:r>
      <w:r>
        <w:rPr>
          <w:spacing w:val="-62"/>
        </w:rPr>
      </w:r>
      <w:r>
        <w:rPr/>
        <w:t>和全球化战略的实现。</w:t>
      </w:r>
    </w:p>
    <w:p>
      <w:pPr>
        <w:pStyle w:val="Heading7"/>
        <w:spacing w:line="240" w:lineRule="auto" w:before="50"/>
        <w:ind w:left="514" w:right="0"/>
        <w:jc w:val="left"/>
      </w:pPr>
      <w:r>
        <w:rPr>
          <w:rFonts w:ascii="Times New Roman" w:hAnsi="Times New Roman" w:cs="Times New Roman" w:eastAsia="Times New Roman" w:hint="default"/>
        </w:rPr>
        <w:t>4</w:t>
      </w:r>
      <w:r>
        <w:rPr/>
        <w:t>、内生外延夯实技术壁垒</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7"/>
        <w:spacing w:line="280" w:lineRule="auto" w:before="38"/>
        <w:ind w:right="1158" w:firstLine="360"/>
        <w:jc w:val="both"/>
      </w:pPr>
      <w:r>
        <w:rPr/>
        <w:t>加强技术方面的投入，吸纳有资源的外部优秀技术人才团队，在自身研发孵化的同时进行投资布局，通过</w:t>
      </w:r>
      <w:r>
        <w:rPr>
          <w:w w:val="100"/>
        </w:rPr>
        <w:t> </w:t>
      </w:r>
      <w:r>
        <w:rPr>
          <w:spacing w:val="-1"/>
        </w:rPr>
        <w:t>产业并购的方式吸纳外部优秀技术公司，实现公司内生外延式的技术沉淀。以传统技术积累为基础，逐年加大</w:t>
      </w:r>
      <w:r>
        <w:rPr>
          <w:spacing w:val="-63"/>
        </w:rPr>
        <w:t> </w:t>
      </w:r>
      <w:r>
        <w:rPr>
          <w:spacing w:val="-63"/>
        </w:rPr>
      </w:r>
      <w:r>
        <w:rPr>
          <w:spacing w:val="-1"/>
        </w:rPr>
        <w:t>研发投入，在人工智能、</w:t>
      </w:r>
      <w:r>
        <w:rPr>
          <w:rFonts w:ascii="Times New Roman" w:hAnsi="Times New Roman" w:cs="Times New Roman" w:eastAsia="Times New Roman" w:hint="default"/>
          <w:spacing w:val="-1"/>
        </w:rPr>
        <w:t>AI</w:t>
      </w:r>
      <w:r>
        <w:rPr>
          <w:spacing w:val="-1"/>
        </w:rPr>
        <w:t>算法、大数据等领域进行技术升级，打造坚实的技术壁垒，提高产业效率，驱动公</w:t>
      </w:r>
      <w:r>
        <w:rPr>
          <w:spacing w:val="-62"/>
        </w:rPr>
        <w:t> </w:t>
      </w:r>
      <w:r>
        <w:rPr>
          <w:spacing w:val="-62"/>
        </w:rPr>
      </w:r>
      <w:r>
        <w:rPr/>
        <w:t>司业绩的不断增长，增强议价能力。</w:t>
      </w:r>
    </w:p>
    <w:p>
      <w:pPr>
        <w:spacing w:line="240" w:lineRule="auto" w:before="0"/>
        <w:rPr>
          <w:rFonts w:ascii="宋体" w:hAnsi="宋体" w:cs="宋体" w:eastAsia="宋体" w:hint="default"/>
          <w:sz w:val="20"/>
          <w:szCs w:val="20"/>
        </w:rPr>
      </w:pPr>
    </w:p>
    <w:p>
      <w:pPr>
        <w:pStyle w:val="Heading6"/>
        <w:spacing w:line="240" w:lineRule="auto" w:before="147"/>
        <w:ind w:right="0"/>
        <w:jc w:val="left"/>
        <w:rPr>
          <w:b w:val="0"/>
          <w:bCs w:val="0"/>
        </w:rPr>
      </w:pPr>
      <w:r>
        <w:rPr/>
        <w:t>（四）面临的风险和解决措施</w:t>
      </w:r>
      <w:r>
        <w:rPr>
          <w:b w:val="0"/>
          <w:bCs w:val="0"/>
        </w:rPr>
      </w:r>
    </w:p>
    <w:p>
      <w:pPr>
        <w:pStyle w:val="Heading7"/>
        <w:spacing w:line="304" w:lineRule="auto" w:before="90"/>
        <w:ind w:left="514" w:right="0"/>
        <w:jc w:val="left"/>
      </w:pPr>
      <w:r>
        <w:rPr>
          <w:rFonts w:ascii="Times New Roman" w:hAnsi="Times New Roman" w:cs="Times New Roman" w:eastAsia="Times New Roman" w:hint="default"/>
        </w:rPr>
        <w:t>1</w:t>
      </w:r>
      <w:r>
        <w:rPr/>
        <w:t>、市场竞争风险</w:t>
      </w:r>
      <w:r>
        <w:rPr>
          <w:w w:val="100"/>
        </w:rPr>
        <w:t> </w:t>
      </w:r>
      <w:r>
        <w:rPr>
          <w:spacing w:val="-1"/>
        </w:rPr>
        <w:t>移动互联网行业日新月异的发展吸引了越来越多的竞争者进入市场，市场竞争的不断加大，人口红利优势</w:t>
      </w:r>
    </w:p>
    <w:p>
      <w:pPr>
        <w:pStyle w:val="Heading7"/>
        <w:spacing w:line="288" w:lineRule="auto"/>
        <w:ind w:right="0"/>
        <w:jc w:val="left"/>
      </w:pPr>
      <w:r>
        <w:rPr>
          <w:spacing w:val="-1"/>
        </w:rPr>
        <w:t>逐渐减弱，客户需求更多元化，要求更高。在此背景下，如果公司不能强化和巩固行业的领先地位，将错失商</w:t>
      </w:r>
      <w:r>
        <w:rPr>
          <w:spacing w:val="-63"/>
        </w:rPr>
        <w:t> </w:t>
      </w:r>
      <w:r>
        <w:rPr>
          <w:spacing w:val="-63"/>
        </w:rPr>
      </w:r>
      <w:r>
        <w:rPr/>
        <w:t>业机会，公司的经营可能收到影响。</w:t>
      </w:r>
    </w:p>
    <w:p>
      <w:pPr>
        <w:pStyle w:val="Heading7"/>
        <w:spacing w:line="288" w:lineRule="auto" w:before="50"/>
        <w:ind w:right="1208" w:firstLine="360"/>
        <w:jc w:val="both"/>
      </w:pPr>
      <w:r>
        <w:rPr>
          <w:spacing w:val="-1"/>
        </w:rPr>
        <w:t>公司将不断提高自身的核心竞争力，保持持续创新能力和业务开拓能力，立足于客户需求，在提升品牌知</w:t>
      </w:r>
      <w:r>
        <w:rPr>
          <w:w w:val="100"/>
        </w:rPr>
        <w:t> </w:t>
      </w:r>
      <w:r>
        <w:rPr/>
        <w:t>名度的同时，借助旗下各子公司的协同效应，实现产业链上下游的整体完善。</w:t>
      </w:r>
    </w:p>
    <w:p>
      <w:pPr>
        <w:pStyle w:val="Heading7"/>
        <w:spacing w:line="304" w:lineRule="auto" w:before="50"/>
        <w:ind w:left="514" w:right="0"/>
        <w:jc w:val="left"/>
      </w:pPr>
      <w:r>
        <w:rPr>
          <w:rFonts w:ascii="Times New Roman" w:hAnsi="Times New Roman" w:cs="Times New Roman" w:eastAsia="Times New Roman" w:hint="default"/>
        </w:rPr>
        <w:t>2</w:t>
      </w:r>
      <w:r>
        <w:rPr/>
        <w:t>、人员管理与人才流失的风险</w:t>
      </w:r>
      <w:r>
        <w:rPr>
          <w:w w:val="100"/>
        </w:rPr>
        <w:t> </w:t>
      </w:r>
      <w:r>
        <w:rPr>
          <w:spacing w:val="-1"/>
        </w:rPr>
        <w:t>互联网行业属于人才密集型行业，其更新换代速度远超其他行业，对人才要求高，公司如果不能留住现有</w:t>
      </w:r>
    </w:p>
    <w:p>
      <w:pPr>
        <w:pStyle w:val="Heading7"/>
        <w:spacing w:line="288" w:lineRule="auto"/>
        <w:ind w:right="1118"/>
        <w:jc w:val="left"/>
      </w:pPr>
      <w:r>
        <w:rPr>
          <w:spacing w:val="-1"/>
        </w:rPr>
        <w:t>的核心顶尖人才以及根据市场的快速发展引进新的人才，公司的技术优势得不到良好的发挥，将面临竞争力降</w:t>
      </w:r>
      <w:r>
        <w:rPr>
          <w:spacing w:val="-63"/>
        </w:rPr>
        <w:t> </w:t>
      </w:r>
      <w:r>
        <w:rPr>
          <w:spacing w:val="-63"/>
        </w:rPr>
      </w:r>
      <w:r>
        <w:rPr/>
        <w:t>低的风险。</w:t>
      </w:r>
    </w:p>
    <w:p>
      <w:pPr>
        <w:pStyle w:val="Heading7"/>
        <w:spacing w:line="285" w:lineRule="auto" w:before="50"/>
        <w:ind w:right="1169" w:firstLine="360"/>
        <w:jc w:val="both"/>
      </w:pPr>
      <w:r>
        <w:rPr/>
        <w:t>公司将不断完善提升员工薪酬福利，优化获取分享与责任结果导向的绩效考核机制，根据不同业务板块、</w:t>
      </w:r>
      <w:r>
        <w:rPr>
          <w:w w:val="100"/>
        </w:rPr>
        <w:t> </w:t>
      </w:r>
      <w:r>
        <w:rPr>
          <w:spacing w:val="-1"/>
        </w:rPr>
        <w:t>不同发展阶段和不同人群，设计差异化的激励方案，让所有内外部优秀人才参与到价值创造和价值分配的过程</w:t>
      </w:r>
      <w:r>
        <w:rPr>
          <w:spacing w:val="-63"/>
        </w:rPr>
        <w:t> </w:t>
      </w:r>
      <w:r>
        <w:rPr>
          <w:spacing w:val="-63"/>
        </w:rPr>
      </w:r>
      <w:r>
        <w:rPr>
          <w:spacing w:val="-1"/>
        </w:rPr>
        <w:t>中，驱动组织和员工进行更大、更好的价值创造。另外，公司将通过对企业文化的深入宣导和贯彻实施，提高</w:t>
      </w:r>
      <w:r>
        <w:rPr>
          <w:spacing w:val="-63"/>
        </w:rPr>
        <w:t> </w:t>
      </w:r>
      <w:r>
        <w:rPr>
          <w:spacing w:val="-63"/>
        </w:rPr>
      </w:r>
      <w:r>
        <w:rPr/>
        <w:t>员工的文化素养和到的水准，形成凝聚力、向心力和约束力，提升企业形象，提高企业综合竞争力。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ind w:right="0"/>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7"/>
              <w:jc w:val="left"/>
              <w:rPr>
                <w:rFonts w:ascii="宋体" w:hAnsi="宋体" w:cs="宋体" w:eastAsia="宋体" w:hint="default"/>
                <w:sz w:val="18"/>
                <w:szCs w:val="18"/>
              </w:rPr>
            </w:pPr>
            <w:r>
              <w:rPr>
                <w:rFonts w:ascii="宋体" w:hAnsi="宋体" w:cs="宋体" w:eastAsia="宋体" w:hint="default"/>
                <w:spacing w:val="-8"/>
                <w:sz w:val="18"/>
                <w:szCs w:val="18"/>
              </w:rPr>
              <w:t>深交所互动易：《</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日投 资者活动关系记录表》</w:t>
            </w:r>
          </w:p>
          <w:p>
            <w:pPr>
              <w:pStyle w:val="TableParagraph"/>
              <w:spacing w:line="362" w:lineRule="auto" w:before="71"/>
              <w:ind w:left="23" w:right="78"/>
              <w:jc w:val="left"/>
              <w:rPr>
                <w:rFonts w:ascii="Times New Roman" w:hAnsi="Times New Roman" w:cs="Times New Roman" w:eastAsia="Times New Roman" w:hint="default"/>
                <w:sz w:val="18"/>
                <w:szCs w:val="18"/>
              </w:rPr>
            </w:pPr>
            <w:hyperlink r:id="rId20">
              <w:r>
                <w:rPr>
                  <w:rFonts w:ascii="Times New Roman"/>
                  <w:sz w:val="18"/>
                </w:rPr>
                <w:t>http://irm.cninfo.com.cn/ssessgs/S00067</w:t>
              </w:r>
            </w:hyperlink>
            <w:r>
              <w:rPr>
                <w:rFonts w:ascii="Times New Roman"/>
                <w:w w:val="99"/>
                <w:sz w:val="18"/>
              </w:rPr>
              <w:t> </w:t>
            </w:r>
            <w:r>
              <w:rPr>
                <w:rFonts w:ascii="Times New Roman"/>
                <w:sz w:val="18"/>
              </w:rPr>
              <w:t>6/index.html</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46" w:right="4124"/>
        <w:jc w:val="center"/>
        <w:rPr>
          <w:b w:val="0"/>
          <w:bCs w:val="0"/>
        </w:rPr>
      </w:pPr>
      <w:bookmarkStart w:name="_TOC_250007" w:id="64"/>
      <w:bookmarkStart w:name="第五节 重要事项" w:id="65"/>
      <w:r>
        <w:rPr>
          <w:b w:val="0"/>
          <w:bCs w:val="0"/>
        </w:rPr>
      </w:r>
      <w:r>
        <w:rPr/>
        <w:t>第五节</w:t>
      </w:r>
      <w:r>
        <w:rPr>
          <w:spacing w:val="-5"/>
        </w:rPr>
        <w:t> </w:t>
      </w:r>
      <w:r>
        <w:rPr/>
        <w:t>重要事项</w:t>
      </w:r>
      <w:bookmarkEnd w:id="6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188" w:firstLine="36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年度财务报告经瑞华会计师事务所（特殊普通合伙）审计确认</w:t>
      </w:r>
      <w:r>
        <w:rPr>
          <w:rFonts w:ascii="Times New Roman" w:hAnsi="Times New Roman" w:cs="Times New Roman" w:eastAsia="Times New Roman" w:hint="default"/>
        </w:rPr>
        <w:t>,</w:t>
      </w:r>
      <w:r>
        <w:rPr/>
        <w:t>公司合并报表实现归属于母公司所有者 的净利润为</w:t>
      </w:r>
      <w:r>
        <w:rPr>
          <w:rFonts w:ascii="Times New Roman" w:hAnsi="Times New Roman" w:cs="Times New Roman" w:eastAsia="Times New Roman" w:hint="default"/>
        </w:rPr>
        <w:t>316,113,821.03</w:t>
      </w:r>
      <w:r>
        <w:rPr/>
        <w:t>元，母公司报表实现净利润为</w:t>
      </w:r>
      <w:r>
        <w:rPr>
          <w:rFonts w:ascii="Times New Roman" w:hAnsi="Times New Roman" w:cs="Times New Roman" w:eastAsia="Times New Roman" w:hint="default"/>
        </w:rPr>
        <w:t>200,139,439.15</w:t>
      </w:r>
      <w:r>
        <w:rPr/>
        <w:t>元，母公司</w:t>
      </w:r>
      <w:r>
        <w:rPr>
          <w:rFonts w:ascii="Times New Roman" w:hAnsi="Times New Roman" w:cs="Times New Roman" w:eastAsia="Times New Roman" w:hint="default"/>
        </w:rPr>
        <w:t>2016</w:t>
      </w:r>
      <w:r>
        <w:rPr/>
        <w:t>年度弥补亏损后未分配利润为</w:t>
      </w:r>
    </w:p>
    <w:p>
      <w:pPr>
        <w:pStyle w:val="BodyText"/>
        <w:spacing w:line="300" w:lineRule="auto" w:before="13"/>
        <w:ind w:right="1182"/>
        <w:jc w:val="left"/>
      </w:pPr>
      <w:r>
        <w:rPr>
          <w:rFonts w:ascii="Times New Roman" w:hAnsi="Times New Roman" w:cs="Times New Roman" w:eastAsia="Times New Roman" w:hint="default"/>
        </w:rPr>
        <w:t>-213,080,135.63</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日，公司可分配利润为</w:t>
      </w:r>
      <w:r>
        <w:rPr>
          <w:rFonts w:ascii="Times New Roman" w:hAnsi="Times New Roman" w:cs="Times New Roman" w:eastAsia="Times New Roman" w:hint="default"/>
        </w:rPr>
        <w:t>-213,080,135.63</w:t>
      </w:r>
      <w:r>
        <w:rPr/>
        <w:t>元。公司董事会决定</w:t>
      </w:r>
      <w:r>
        <w:rPr>
          <w:rFonts w:ascii="Times New Roman" w:hAnsi="Times New Roman" w:cs="Times New Roman" w:eastAsia="Times New Roman" w:hint="default"/>
        </w:rPr>
        <w:t>2016</w:t>
      </w:r>
      <w:r>
        <w:rPr/>
        <w:t>年度不对公司股东进</w:t>
      </w:r>
      <w:r>
        <w:rPr>
          <w:w w:val="99"/>
        </w:rPr>
        <w:t> </w:t>
      </w:r>
      <w:r>
        <w:rPr/>
        <w:t>行利润分配，也不以资本公积金转增股本。</w:t>
      </w:r>
    </w:p>
    <w:p>
      <w:pPr>
        <w:pStyle w:val="BodyText"/>
        <w:spacing w:line="300" w:lineRule="auto" w:before="31"/>
        <w:ind w:right="1122"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年度财务报告经致同会计师事务所（特殊普通合伙）审计确认，公司合并报表实现归属于母公司所有者的 净利润为</w:t>
      </w:r>
      <w:r>
        <w:rPr>
          <w:rFonts w:ascii="Times New Roman" w:hAnsi="Times New Roman" w:cs="Times New Roman" w:eastAsia="Times New Roman" w:hint="default"/>
        </w:rPr>
        <w:t>527,325,402.70</w:t>
      </w:r>
      <w:r>
        <w:rPr/>
        <w:t>元，母公司报表实现净利润为</w:t>
      </w:r>
      <w:r>
        <w:rPr>
          <w:rFonts w:ascii="Times New Roman" w:hAnsi="Times New Roman" w:cs="Times New Roman" w:eastAsia="Times New Roman" w:hint="default"/>
        </w:rPr>
        <w:t>246,475,173.66</w:t>
      </w:r>
      <w:r>
        <w:rPr/>
        <w:t>元，母公司</w:t>
      </w:r>
      <w:r>
        <w:rPr>
          <w:rFonts w:ascii="Times New Roman" w:hAnsi="Times New Roman" w:cs="Times New Roman" w:eastAsia="Times New Roman" w:hint="default"/>
        </w:rPr>
        <w:t>2017</w:t>
      </w:r>
      <w:r>
        <w:rPr/>
        <w:t>年度弥补亏损后未分配利润为 </w:t>
      </w:r>
      <w:r>
        <w:rPr>
          <w:rFonts w:ascii="Times New Roman" w:hAnsi="Times New Roman" w:cs="Times New Roman" w:eastAsia="Times New Roman" w:hint="default"/>
        </w:rPr>
        <w:t>30,055,534.23</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日，公司可分配利润为</w:t>
      </w:r>
      <w:r>
        <w:rPr>
          <w:rFonts w:ascii="Times New Roman" w:hAnsi="Times New Roman" w:cs="Times New Roman" w:eastAsia="Times New Roman" w:hint="default"/>
        </w:rPr>
        <w:t>30,055,534.23</w:t>
      </w:r>
      <w:r>
        <w:rPr/>
        <w:t>元。公司</w:t>
      </w:r>
      <w:r>
        <w:rPr>
          <w:rFonts w:ascii="Times New Roman" w:hAnsi="Times New Roman" w:cs="Times New Roman" w:eastAsia="Times New Roman" w:hint="default"/>
        </w:rPr>
        <w:t>2017</w:t>
      </w:r>
      <w:r>
        <w:rPr/>
        <w:t>年度利润分配预案为：以目前公司总 </w:t>
      </w:r>
      <w:r>
        <w:rPr>
          <w:spacing w:val="-2"/>
        </w:rPr>
        <w:t>股本</w:t>
      </w:r>
      <w:r>
        <w:rPr>
          <w:rFonts w:ascii="Times New Roman" w:hAnsi="Times New Roman" w:cs="Times New Roman" w:eastAsia="Times New Roman" w:hint="default"/>
          <w:spacing w:val="-2"/>
        </w:rPr>
        <w:t>965,710,782</w:t>
      </w:r>
      <w:r>
        <w:rPr>
          <w:spacing w:val="-2"/>
        </w:rPr>
        <w:t>股为基数，向全体股东每</w:t>
      </w:r>
      <w:r>
        <w:rPr>
          <w:rFonts w:ascii="Times New Roman" w:hAnsi="Times New Roman" w:cs="Times New Roman" w:eastAsia="Times New Roman" w:hint="default"/>
          <w:spacing w:val="-2"/>
        </w:rPr>
        <w:t>10</w:t>
      </w:r>
      <w:r>
        <w:rPr>
          <w:spacing w:val="-2"/>
        </w:rPr>
        <w:t>股分配现金</w:t>
      </w:r>
      <w:r>
        <w:rPr>
          <w:rFonts w:ascii="Times New Roman" w:hAnsi="Times New Roman" w:cs="Times New Roman" w:eastAsia="Times New Roman" w:hint="default"/>
          <w:spacing w:val="-2"/>
        </w:rPr>
        <w:t>0.3</w:t>
      </w:r>
      <w:r>
        <w:rPr>
          <w:spacing w:val="-2"/>
        </w:rPr>
        <w:t>元（含税），共计分配现金</w:t>
      </w:r>
      <w:r>
        <w:rPr>
          <w:rFonts w:ascii="Times New Roman" w:hAnsi="Times New Roman" w:cs="Times New Roman" w:eastAsia="Times New Roman" w:hint="default"/>
          <w:spacing w:val="-2"/>
        </w:rPr>
        <w:t>28,971,323.46</w:t>
      </w:r>
      <w:r>
        <w:rPr>
          <w:spacing w:val="-2"/>
        </w:rPr>
        <w:t>元（含税）；</w:t>
      </w:r>
      <w:r>
        <w:rPr>
          <w:rFonts w:ascii="Times New Roman" w:hAnsi="Times New Roman" w:cs="Times New Roman" w:eastAsia="Times New Roman" w:hint="default"/>
          <w:spacing w:val="-2"/>
        </w:rPr>
        <w:t>2017</w:t>
      </w:r>
      <w:r>
        <w:rPr>
          <w:spacing w:val="-2"/>
        </w:rPr>
        <w:t>年度公</w:t>
      </w:r>
      <w:r>
        <w:rPr>
          <w:spacing w:val="-40"/>
        </w:rPr>
        <w:t> </w:t>
      </w:r>
      <w:r>
        <w:rPr>
          <w:spacing w:val="-40"/>
        </w:rPr>
      </w:r>
      <w:r>
        <w:rPr/>
        <w:t>司不以资本公积金转增股本，不送红股。</w:t>
      </w:r>
    </w:p>
    <w:p>
      <w:pPr>
        <w:pStyle w:val="Heading7"/>
        <w:spacing w:line="271" w:lineRule="auto" w:before="15"/>
        <w:ind w:right="1028" w:firstLine="481"/>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年度财务报告经致同会计师事务所（特殊普通合伙）审计确认，公司合并报表实现归属于母</w:t>
      </w:r>
      <w:r>
        <w:rPr>
          <w:w w:val="100"/>
        </w:rPr>
        <w:t> </w:t>
      </w:r>
      <w:r>
        <w:rPr>
          <w:spacing w:val="-2"/>
        </w:rPr>
        <w:t>公司所有者的净利润为</w:t>
      </w:r>
      <w:r>
        <w:rPr>
          <w:rFonts w:ascii="Times New Roman" w:hAnsi="Times New Roman" w:cs="Times New Roman" w:eastAsia="Times New Roman" w:hint="default"/>
          <w:spacing w:val="-2"/>
        </w:rPr>
        <w:t>713,430,009.15</w:t>
      </w:r>
      <w:r>
        <w:rPr>
          <w:spacing w:val="-2"/>
        </w:rPr>
        <w:t>元，母公司报表实现净利润为</w:t>
      </w:r>
      <w:r>
        <w:rPr>
          <w:rFonts w:ascii="Times New Roman" w:hAnsi="Times New Roman" w:cs="Times New Roman" w:eastAsia="Times New Roman" w:hint="default"/>
          <w:spacing w:val="-2"/>
        </w:rPr>
        <w:t>171,032,935.46</w:t>
      </w:r>
      <w:r>
        <w:rPr>
          <w:spacing w:val="-2"/>
        </w:rPr>
        <w:t>元，截至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w:t>
      </w:r>
      <w:r>
        <w:rPr>
          <w:spacing w:val="-38"/>
        </w:rPr>
        <w:t> </w:t>
      </w:r>
      <w:r>
        <w:rPr>
          <w:spacing w:val="-38"/>
        </w:rPr>
      </w:r>
      <w:r>
        <w:rPr/>
        <w:t>司可供分配的利润为</w:t>
      </w:r>
      <w:r>
        <w:rPr>
          <w:rFonts w:ascii="Times New Roman" w:hAnsi="Times New Roman" w:cs="Times New Roman" w:eastAsia="Times New Roman" w:hint="default"/>
        </w:rPr>
        <w:t>155,013,852.69</w:t>
      </w:r>
      <w:r>
        <w:rPr/>
        <w:t>元。公司拟定</w:t>
      </w:r>
      <w:r>
        <w:rPr>
          <w:rFonts w:ascii="Times New Roman" w:hAnsi="Times New Roman" w:cs="Times New Roman" w:eastAsia="Times New Roman" w:hint="default"/>
        </w:rPr>
        <w:t>2018</w:t>
      </w:r>
      <w:r>
        <w:rPr/>
        <w:t>年度利润分配预案为：以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w w:val="100"/>
        </w:rPr>
        <w:t> </w:t>
      </w:r>
      <w:r>
        <w:rPr>
          <w:rFonts w:ascii="Times New Roman" w:hAnsi="Times New Roman" w:cs="Times New Roman" w:eastAsia="Times New Roman" w:hint="default"/>
        </w:rPr>
        <w:t>965,710,782  </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spacing w:val="19"/>
        </w:rPr>
        <w:t> </w:t>
      </w:r>
      <w:r>
        <w:rPr>
          <w:rFonts w:ascii="Times New Roman" w:hAnsi="Times New Roman" w:cs="Times New Roman" w:eastAsia="Times New Roman" w:hint="default"/>
          <w:spacing w:val="-9"/>
        </w:rPr>
        <w:t>0.32</w:t>
      </w:r>
      <w:r>
        <w:rPr>
          <w:spacing w:val="-9"/>
        </w:rPr>
        <w:t>元（含税），共计派发现金</w:t>
      </w:r>
      <w:r>
        <w:rPr>
          <w:rFonts w:ascii="Times New Roman" w:hAnsi="Times New Roman" w:cs="Times New Roman" w:eastAsia="Times New Roman" w:hint="default"/>
          <w:spacing w:val="-9"/>
        </w:rPr>
        <w:t>30,902,745.02</w:t>
      </w:r>
      <w:r>
        <w:rPr>
          <w:spacing w:val="-9"/>
        </w:rPr>
        <w:t>元（含税）；</w:t>
      </w:r>
    </w:p>
    <w:p>
      <w:pPr>
        <w:pStyle w:val="Heading7"/>
        <w:spacing w:line="271" w:lineRule="auto" w:before="6"/>
        <w:ind w:right="0"/>
        <w:jc w:val="left"/>
      </w:pPr>
      <w:r>
        <w:rPr>
          <w:rFonts w:ascii="Times New Roman" w:hAnsi="Times New Roman" w:cs="Times New Roman" w:eastAsia="Times New Roman" w:hint="default"/>
          <w:spacing w:val="-1"/>
        </w:rPr>
        <w:t>2018</w:t>
      </w:r>
      <w:r>
        <w:rPr>
          <w:spacing w:val="-1"/>
        </w:rPr>
        <w:t>年度公司不以资本公积金转增股本，不送红股。若在分配方案实施前，公司总股本由于股权激励等原因发</w:t>
      </w:r>
      <w:r>
        <w:rPr>
          <w:spacing w:val="-61"/>
        </w:rPr>
        <w:t> </w:t>
      </w:r>
      <w:r>
        <w:rPr>
          <w:spacing w:val="-61"/>
        </w:rPr>
      </w:r>
      <w:r>
        <w:rPr/>
        <w:t>生变动的，将按照</w:t>
      </w:r>
      <w:r>
        <w:rPr>
          <w:rFonts w:ascii="Times New Roman" w:hAnsi="Times New Roman" w:cs="Times New Roman" w:eastAsia="Times New Roman" w:hint="default"/>
        </w:rPr>
        <w:t>“</w:t>
      </w:r>
      <w:r>
        <w:rPr/>
        <w:t>现金分红总额固定不变</w:t>
      </w:r>
      <w:r>
        <w:rPr>
          <w:rFonts w:ascii="Times New Roman" w:hAnsi="Times New Roman" w:cs="Times New Roman" w:eastAsia="Times New Roman" w:hint="default"/>
        </w:rPr>
        <w:t>”</w:t>
      </w:r>
      <w:r>
        <w:rPr/>
        <w:t>的原则调整分配比例。</w:t>
      </w:r>
    </w:p>
    <w:p>
      <w:pPr>
        <w:spacing w:line="240" w:lineRule="auto" w:before="4"/>
        <w:rPr>
          <w:rFonts w:ascii="宋体" w:hAnsi="宋体" w:cs="宋体" w:eastAsia="宋体" w:hint="default"/>
          <w:sz w:val="25"/>
          <w:szCs w:val="25"/>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6"/>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3" w:hanging="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30,902,745.02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713,430,009.15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30,902,745.02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28,971,323.46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527,325,402.70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28,971,323.46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316,113,821.03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预案" w:id="67"/>
      <w:bookmarkEnd w:id="67"/>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965,710,782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30,902,745.02</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30,902,745.02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155,013,852.69</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1" w:right="23"/>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965,710,782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0.32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元（含税），共计派发现</w:t>
            </w:r>
            <w:r>
              <w:rPr>
                <w:rFonts w:ascii="宋体" w:hAnsi="宋体" w:cs="宋体" w:eastAsia="宋体" w:hint="default"/>
                <w:sz w:val="18"/>
                <w:szCs w:val="18"/>
              </w:rPr>
              <w:t> 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30,902,745.02</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元（含税）；</w:t>
            </w:r>
            <w:r>
              <w:rPr>
                <w:rFonts w:ascii="Times New Roman" w:hAnsi="Times New Roman" w:cs="Times New Roman" w:eastAsia="Times New Roman" w:hint="default"/>
                <w:spacing w:val="-11"/>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年度公司不以资本公积金转增股本，不送红股。若在分配方案实施前，公司总股本由于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股权激励等原因发生变动的，将按照</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现金分红总额固定不变</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的原则调整分配比例。</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4"/>
        <w:gridCol w:w="1546"/>
        <w:gridCol w:w="694"/>
        <w:gridCol w:w="3640"/>
        <w:gridCol w:w="851"/>
        <w:gridCol w:w="709"/>
        <w:gridCol w:w="1302"/>
      </w:tblGrid>
      <w:tr>
        <w:trPr>
          <w:trHeight w:val="181" w:hRule="exact"/>
        </w:trPr>
        <w:tc>
          <w:tcPr>
            <w:tcW w:w="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50" w:right="71"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94" w:type="dxa"/>
            <w:vMerge/>
            <w:tcBorders>
              <w:left w:val="single" w:sz="4" w:space="0" w:color="000000"/>
              <w:right w:val="single" w:sz="4" w:space="0" w:color="000000"/>
            </w:tcBorders>
            <w:shd w:val="clear" w:color="auto" w:fill="D2D2D2"/>
          </w:tcPr>
          <w:p>
            <w:pPr/>
          </w:p>
        </w:tc>
        <w:tc>
          <w:tcPr>
            <w:tcW w:w="3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9" w:type="dxa"/>
            <w:vMerge/>
            <w:tcBorders>
              <w:left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81" w:hRule="exact"/>
        </w:trPr>
        <w:tc>
          <w:tcPr>
            <w:tcW w:w="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vMerge/>
            <w:tcBorders>
              <w:left w:val="single" w:sz="4" w:space="0" w:color="000000"/>
              <w:bottom w:val="single" w:sz="4" w:space="0" w:color="000000"/>
              <w:right w:val="single" w:sz="4" w:space="0" w:color="000000"/>
            </w:tcBorders>
            <w:shd w:val="clear" w:color="auto" w:fill="D2D2D2"/>
          </w:tcPr>
          <w:p>
            <w:pPr/>
          </w:p>
        </w:tc>
        <w:tc>
          <w:tcPr>
            <w:tcW w:w="3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88" w:hRule="exact"/>
        </w:trPr>
        <w:tc>
          <w:tcPr>
            <w:tcW w:w="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09" w:lineRule="auto"/>
              <w:ind w:left="15" w:right="71"/>
              <w:jc w:val="left"/>
              <w:rPr>
                <w:rFonts w:ascii="宋体" w:hAnsi="宋体" w:cs="宋体" w:eastAsia="宋体" w:hint="default"/>
                <w:sz w:val="18"/>
                <w:szCs w:val="18"/>
              </w:rPr>
            </w:pPr>
            <w:r>
              <w:rPr>
                <w:rFonts w:ascii="宋体" w:hAnsi="宋体" w:cs="宋体" w:eastAsia="宋体" w:hint="default"/>
                <w:sz w:val="18"/>
                <w:szCs w:val="18"/>
              </w:rPr>
              <w:t>上海今耀投资控股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上海易 晋网络科技有限公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深圳市隽川科 技有限公司</w:t>
            </w:r>
          </w:p>
        </w:tc>
        <w:tc>
          <w:tcPr>
            <w:tcW w:w="694" w:type="dxa"/>
            <w:vMerge w:val="restart"/>
            <w:tcBorders>
              <w:top w:val="single" w:sz="8"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猎鹰网络各交易对方通过本次交易取得的智 </w:t>
            </w:r>
            <w:r>
              <w:rPr>
                <w:rFonts w:ascii="宋体" w:hAnsi="宋体" w:cs="宋体" w:eastAsia="宋体" w:hint="default"/>
                <w:spacing w:val="-1"/>
                <w:sz w:val="18"/>
                <w:szCs w:val="18"/>
              </w:rPr>
              <w:t>度投资新增股份，自新增股份上市之日起三十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六个月内不得以任何形式转让；并承诺在上述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法定限售期满后履行以下分期解锁义务：</w:t>
            </w:r>
            <w:r>
              <w:rPr>
                <w:rFonts w:ascii="Times New Roman" w:hAnsi="Times New Roman" w:cs="Times New Roman" w:eastAsia="Times New Roman" w:hint="default"/>
                <w:sz w:val="18"/>
                <w:szCs w:val="18"/>
              </w:rPr>
              <w:t>I.</w:t>
            </w:r>
            <w:r>
              <w:rPr>
                <w:rFonts w:ascii="宋体" w:hAnsi="宋体" w:cs="宋体" w:eastAsia="宋体" w:hint="default"/>
                <w:sz w:val="18"/>
                <w:szCs w:val="18"/>
              </w:rPr>
              <w:t>自 新增股份上市之日起三十六个月届满后且标 的公司完成本公司相应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304" w:lineRule="auto" w:before="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的业绩承诺，在注册会计师出具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 </w:t>
            </w:r>
            <w:r>
              <w:rPr>
                <w:rFonts w:ascii="宋体" w:hAnsi="宋体" w:cs="宋体" w:eastAsia="宋体" w:hint="default"/>
                <w:spacing w:val="-1"/>
                <w:sz w:val="18"/>
                <w:szCs w:val="18"/>
              </w:rPr>
              <w:t>的资产盈利预测实现情况专项审核报告、减值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测试专项审核报告后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个工作日起，本公司 可解锁持有的全部股份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 偿、标的资产减值补偿的股份数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；前 述关于</w:t>
            </w:r>
            <w:r>
              <w:rPr>
                <w:rFonts w:ascii="Times New Roman" w:hAnsi="Times New Roman" w:cs="Times New Roman" w:eastAsia="Times New Roman" w:hint="default"/>
                <w:sz w:val="18"/>
                <w:szCs w:val="18"/>
              </w:rPr>
              <w:t>"</w:t>
            </w:r>
            <w:r>
              <w:rPr>
                <w:rFonts w:ascii="宋体" w:hAnsi="宋体" w:cs="宋体" w:eastAsia="宋体" w:hint="default"/>
                <w:sz w:val="18"/>
                <w:szCs w:val="18"/>
              </w:rPr>
              <w:t>标的公司完成其相应</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016" w:hRule="exact"/>
        </w:trPr>
        <w:tc>
          <w:tcPr>
            <w:tcW w:w="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71"/>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546" w:type="dxa"/>
            <w:vMerge/>
            <w:tcBorders>
              <w:left w:val="single" w:sz="10" w:space="0" w:color="D2D2D2"/>
              <w:right w:val="single" w:sz="4" w:space="0" w:color="000000"/>
            </w:tcBorders>
          </w:tcPr>
          <w:p>
            <w:pPr/>
          </w:p>
        </w:tc>
        <w:tc>
          <w:tcPr>
            <w:tcW w:w="694" w:type="dxa"/>
            <w:vMerge/>
            <w:tcBorders>
              <w:left w:val="single" w:sz="4" w:space="0" w:color="000000"/>
              <w:right w:val="single" w:sz="4" w:space="0" w:color="000000"/>
            </w:tcBorders>
          </w:tcPr>
          <w:p>
            <w:pPr/>
          </w:p>
        </w:tc>
        <w:tc>
          <w:tcPr>
            <w:tcW w:w="364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1390" w:hRule="exact"/>
        </w:trPr>
        <w:tc>
          <w:tcPr>
            <w:tcW w:w="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6" w:type="dxa"/>
            <w:vMerge/>
            <w:tcBorders>
              <w:left w:val="single" w:sz="10" w:space="0" w:color="D2D2D2"/>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364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7.179993pt;margin-top:231.019989pt;width:42.1pt;height:248.6pt;mso-position-horizontal-relative:page;mso-position-vertical-relative:page;z-index:-1264768" coordorigin="7944,4620" coordsize="842,4972">
            <v:shape style="position:absolute;left:7944;top:4620;width:842;height:4972" coordorigin="7944,4620" coordsize="842,4972" path="m7944,9592l8785,9592,8785,4620,7944,4620,7944,9592xe" filled="true" fillcolor="#ffffff" stroked="false">
              <v:path arrowok="t"/>
              <v:fill type="solid"/>
            </v:shape>
            <w10:wrap type="none"/>
          </v:group>
        </w:pict>
      </w:r>
      <w:r>
        <w:rPr/>
        <w:pict>
          <v:group style="position:absolute;margin-left:397.179993pt;margin-top:514.839966pt;width:42.1pt;height:248.6pt;mso-position-horizontal-relative:page;mso-position-vertical-relative:page;z-index:-1264744" coordorigin="7944,10297" coordsize="842,4972">
            <v:shape style="position:absolute;left:7944;top:10297;width:842;height:4972" coordorigin="7944,10297" coordsize="842,4972" path="m7944,15269l8785,15269,8785,10297,7944,10297,7944,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3171" w:hRule="exact"/>
        </w:trPr>
        <w:tc>
          <w:tcPr>
            <w:tcW w:w="926" w:type="dxa"/>
            <w:vMerge w:val="restart"/>
            <w:tcBorders>
              <w:top w:val="single" w:sz="4" w:space="0" w:color="000000"/>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年度的业绩承诺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包括了其实现了承诺的业绩 以及未实现承诺业绩但补偿义务人承担了补 偿责任的两种情形，并在第二种情形下，可解 锁的股份为股份补偿后业绩承诺人所持智度 投资股份总数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 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，以下类同；</w:t>
            </w: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自新增股份上市之日</w:t>
            </w:r>
            <w:r>
              <w:rPr>
                <w:rFonts w:ascii="宋体" w:hAnsi="宋体" w:cs="宋体" w:eastAsia="宋体" w:hint="default"/>
                <w:spacing w:val="-88"/>
                <w:sz w:val="18"/>
                <w:szCs w:val="18"/>
              </w:rPr>
              <w:t> </w:t>
            </w:r>
            <w:r>
              <w:rPr>
                <w:rFonts w:ascii="宋体" w:hAnsi="宋体" w:cs="宋体" w:eastAsia="宋体" w:hint="default"/>
                <w:sz w:val="18"/>
                <w:szCs w:val="18"/>
              </w:rPr>
              <w:t>起四十八个月届满后，本公司可解锁其持有的</w:t>
            </w:r>
            <w:r>
              <w:rPr>
                <w:rFonts w:ascii="宋体" w:hAnsi="宋体" w:cs="宋体" w:eastAsia="宋体" w:hint="default"/>
                <w:sz w:val="18"/>
                <w:szCs w:val="18"/>
              </w:rPr>
              <w:t> 全部</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III.</w:t>
            </w:r>
            <w:r>
              <w:rPr>
                <w:rFonts w:ascii="宋体" w:hAnsi="宋体" w:cs="宋体" w:eastAsia="宋体" w:hint="default"/>
                <w:spacing w:val="-2"/>
                <w:sz w:val="18"/>
                <w:szCs w:val="18"/>
              </w:rPr>
              <w:t>自新增股份上市之日起六十个月届满</w:t>
            </w:r>
            <w:r>
              <w:rPr>
                <w:rFonts w:ascii="宋体" w:hAnsi="宋体" w:cs="宋体" w:eastAsia="宋体" w:hint="default"/>
                <w:spacing w:val="-73"/>
                <w:sz w:val="18"/>
                <w:szCs w:val="18"/>
              </w:rPr>
              <w:t> </w:t>
            </w:r>
            <w:r>
              <w:rPr>
                <w:rFonts w:ascii="宋体" w:hAnsi="宋体" w:cs="宋体" w:eastAsia="宋体" w:hint="default"/>
                <w:sz w:val="18"/>
                <w:szCs w:val="18"/>
              </w:rPr>
              <w:t>后，本公司可解锁其他全部未解锁部分股份。</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92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拉萨经济技术开发 区智恒咨询有限公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刘伟</w:t>
            </w:r>
            <w:r>
              <w:rPr>
                <w:rFonts w:ascii="Times New Roman" w:hAnsi="Times New Roman" w:cs="Times New Roman" w:eastAsia="Times New Roman" w:hint="default"/>
                <w:sz w:val="18"/>
                <w:szCs w:val="18"/>
              </w:rPr>
              <w:t>;</w:t>
            </w:r>
            <w:r>
              <w:rPr>
                <w:rFonts w:ascii="宋体" w:hAnsi="宋体" w:cs="宋体" w:eastAsia="宋体" w:hint="default"/>
                <w:sz w:val="18"/>
                <w:szCs w:val="18"/>
              </w:rPr>
              <w:t>潘耀坚</w:t>
            </w:r>
            <w:r>
              <w:rPr>
                <w:rFonts w:ascii="Times New Roman" w:hAnsi="Times New Roman" w:cs="Times New Roman" w:eastAsia="Times New Roman" w:hint="default"/>
                <w:sz w:val="18"/>
                <w:szCs w:val="18"/>
              </w:rPr>
              <w:t>;</w:t>
            </w:r>
            <w:r>
              <w:rPr>
                <w:rFonts w:ascii="宋体" w:hAnsi="宋体" w:cs="宋体" w:eastAsia="宋体" w:hint="default"/>
                <w:sz w:val="18"/>
                <w:szCs w:val="18"/>
              </w:rPr>
              <w:t>上 海翌卓投资管理有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深圳市前 海信中鼎股权投资 合伙企业（有限合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昱烽晟泰投资 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 丽芬</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本人通过本次交易取得的智度投资 </w:t>
            </w:r>
            <w:r>
              <w:rPr>
                <w:rFonts w:ascii="宋体" w:hAnsi="宋体" w:cs="宋体" w:eastAsia="宋体" w:hint="default"/>
                <w:spacing w:val="-1"/>
                <w:sz w:val="18"/>
                <w:szCs w:val="18"/>
              </w:rPr>
              <w:t>新增股份，自新增股份上市之日起三十六个月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内不得以任何形式转让；并承诺在上述法定限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售期满后履行以下分期解锁义务：</w:t>
            </w:r>
            <w:r>
              <w:rPr>
                <w:rFonts w:ascii="Times New Roman" w:hAnsi="Times New Roman" w:cs="Times New Roman" w:eastAsia="Times New Roman" w:hint="default"/>
                <w:sz w:val="18"/>
                <w:szCs w:val="18"/>
              </w:rPr>
              <w:t>I.</w:t>
            </w:r>
            <w:r>
              <w:rPr>
                <w:rFonts w:ascii="宋体" w:hAnsi="宋体" w:cs="宋体" w:eastAsia="宋体" w:hint="default"/>
                <w:sz w:val="18"/>
                <w:szCs w:val="18"/>
              </w:rPr>
              <w:t>自新增股 份上市之日起三十六个月届满后且标的公司 完成本公司相应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年度的业绩</w:t>
            </w:r>
          </w:p>
          <w:p>
            <w:pPr>
              <w:pStyle w:val="TableParagraph"/>
              <w:spacing w:line="304" w:lineRule="auto" w:before="5"/>
              <w:ind w:left="22" w:right="5"/>
              <w:jc w:val="left"/>
              <w:rPr>
                <w:rFonts w:ascii="宋体" w:hAnsi="宋体" w:cs="宋体" w:eastAsia="宋体" w:hint="default"/>
                <w:sz w:val="18"/>
                <w:szCs w:val="18"/>
              </w:rPr>
            </w:pPr>
            <w:r>
              <w:rPr>
                <w:rFonts w:ascii="宋体" w:hAnsi="宋体" w:cs="宋体" w:eastAsia="宋体" w:hint="default"/>
                <w:sz w:val="18"/>
                <w:szCs w:val="18"/>
              </w:rPr>
              <w:t>承诺，在注册会计师出具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年度标的资产 盈利预测实现情况专项审核报告、减值测试专 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个工作日起，本公司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本人可 解锁持有的全部股份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 标的资产减值补偿的股份数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；前述关 于</w:t>
            </w:r>
            <w:r>
              <w:rPr>
                <w:rFonts w:ascii="Times New Roman" w:hAnsi="Times New Roman" w:cs="Times New Roman" w:eastAsia="Times New Roman" w:hint="default"/>
                <w:sz w:val="18"/>
                <w:szCs w:val="18"/>
              </w:rPr>
              <w:t>"</w:t>
            </w:r>
            <w:r>
              <w:rPr>
                <w:rFonts w:ascii="宋体" w:hAnsi="宋体" w:cs="宋体" w:eastAsia="宋体" w:hint="default"/>
                <w:sz w:val="18"/>
                <w:szCs w:val="18"/>
              </w:rPr>
              <w:t>标的公司完成其相应</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年度至</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 的业绩承诺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包括了其实现了承诺的业绩以及 未实现承诺业绩但补偿义务人承担了补偿责 任的两种情形，并在第二种情形下，可解锁的 股份为股份补偿后业绩承诺人所持智度投资 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，以下类同；</w:t>
            </w:r>
            <w:r>
              <w:rPr>
                <w:rFonts w:ascii="Times New Roman" w:hAnsi="Times New Roman" w:cs="Times New Roman" w:eastAsia="Times New Roman" w:hint="default"/>
                <w:sz w:val="18"/>
                <w:szCs w:val="18"/>
              </w:rPr>
              <w:t>II.</w:t>
            </w:r>
            <w:r>
              <w:rPr>
                <w:rFonts w:ascii="宋体" w:hAnsi="宋体" w:cs="宋体" w:eastAsia="宋体" w:hint="default"/>
                <w:sz w:val="18"/>
                <w:szCs w:val="18"/>
              </w:rPr>
              <w:t>自新增股份上市之日起四 </w:t>
            </w:r>
            <w:r>
              <w:rPr>
                <w:rFonts w:ascii="宋体" w:hAnsi="宋体" w:cs="宋体" w:eastAsia="宋体" w:hint="default"/>
                <w:spacing w:val="-4"/>
                <w:sz w:val="18"/>
                <w:szCs w:val="18"/>
              </w:rPr>
              <w:t>十八个月届满后，本公司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本人可解锁其持有的</w:t>
            </w:r>
            <w:r>
              <w:rPr>
                <w:rFonts w:ascii="宋体" w:hAnsi="宋体" w:cs="宋体" w:eastAsia="宋体" w:hint="default"/>
                <w:spacing w:val="-73"/>
                <w:sz w:val="18"/>
                <w:szCs w:val="18"/>
              </w:rPr>
              <w:t> </w:t>
            </w:r>
            <w:r>
              <w:rPr>
                <w:rFonts w:ascii="宋体" w:hAnsi="宋体" w:cs="宋体" w:eastAsia="宋体" w:hint="default"/>
                <w:sz w:val="18"/>
                <w:szCs w:val="18"/>
              </w:rPr>
              <w:t>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III.</w:t>
            </w:r>
            <w:r>
              <w:rPr>
                <w:rFonts w:ascii="宋体" w:hAnsi="宋体" w:cs="宋体" w:eastAsia="宋体" w:hint="default"/>
                <w:spacing w:val="-2"/>
                <w:sz w:val="18"/>
                <w:szCs w:val="18"/>
              </w:rPr>
              <w:t>自新增股份上市之日起六十个月届满</w:t>
            </w:r>
            <w:r>
              <w:rPr>
                <w:rFonts w:ascii="宋体" w:hAnsi="宋体" w:cs="宋体" w:eastAsia="宋体" w:hint="default"/>
                <w:spacing w:val="-73"/>
                <w:sz w:val="18"/>
                <w:szCs w:val="18"/>
              </w:rPr>
              <w:t> </w:t>
            </w:r>
            <w:r>
              <w:rPr>
                <w:rFonts w:ascii="宋体" w:hAnsi="宋体" w:cs="宋体" w:eastAsia="宋体" w:hint="default"/>
                <w:spacing w:val="-4"/>
                <w:sz w:val="18"/>
                <w:szCs w:val="18"/>
              </w:rPr>
              <w:t>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本人可解锁其他全部未解锁部分股</w:t>
            </w:r>
            <w:r>
              <w:rPr>
                <w:rFonts w:ascii="宋体" w:hAnsi="宋体" w:cs="宋体" w:eastAsia="宋体" w:hint="default"/>
                <w:spacing w:val="-73"/>
                <w:sz w:val="18"/>
                <w:szCs w:val="18"/>
              </w:rPr>
              <w:t> </w:t>
            </w: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、如截至本公司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本人取得本次发行的股 </w:t>
            </w:r>
            <w:r>
              <w:rPr>
                <w:rFonts w:ascii="宋体" w:hAnsi="宋体" w:cs="宋体" w:eastAsia="宋体" w:hint="default"/>
                <w:spacing w:val="-4"/>
                <w:sz w:val="18"/>
                <w:szCs w:val="18"/>
              </w:rPr>
              <w:t>份时，本公司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本人用于认购股份的猎鹰网络资</w:t>
            </w:r>
            <w:r>
              <w:rPr>
                <w:rFonts w:ascii="宋体" w:hAnsi="宋体" w:cs="宋体" w:eastAsia="宋体" w:hint="default"/>
                <w:spacing w:val="-73"/>
                <w:sz w:val="18"/>
                <w:szCs w:val="18"/>
              </w:rPr>
              <w:t> </w:t>
            </w:r>
            <w:r>
              <w:rPr>
                <w:rFonts w:ascii="宋体" w:hAnsi="宋体" w:cs="宋体" w:eastAsia="宋体" w:hint="default"/>
                <w:sz w:val="18"/>
                <w:szCs w:val="18"/>
              </w:rPr>
              <w:t>产持续拥有权益的时间已超过十二个月，则本</w:t>
            </w:r>
            <w:r>
              <w:rPr>
                <w:rFonts w:ascii="宋体" w:hAnsi="宋体" w:cs="宋体" w:eastAsia="宋体" w:hint="default"/>
                <w:sz w:val="18"/>
                <w:szCs w:val="18"/>
              </w:rPr>
              <w:t> </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本人相应取得的股份，调整为自新增股份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上市之日起十二个月内不得以任何形式转让。 相应在法定限售期满后履行以下分期解锁义 务：</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自新增股份上市之日起十二个月届满后 且标的公司完成其相应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的业绩承诺，在注册会计师出具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w:t>
            </w:r>
          </w:p>
          <w:p>
            <w:pPr>
              <w:pStyle w:val="TableParagraph"/>
              <w:spacing w:line="300" w:lineRule="auto" w:before="9"/>
              <w:ind w:left="22" w:right="-38"/>
              <w:jc w:val="left"/>
              <w:rPr>
                <w:rFonts w:ascii="宋体" w:hAnsi="宋体" w:cs="宋体" w:eastAsia="宋体" w:hint="default"/>
                <w:sz w:val="18"/>
                <w:szCs w:val="18"/>
              </w:rPr>
            </w:pPr>
            <w:r>
              <w:rPr>
                <w:rFonts w:ascii="宋体" w:hAnsi="宋体" w:cs="宋体" w:eastAsia="宋体" w:hint="default"/>
                <w:sz w:val="18"/>
                <w:szCs w:val="18"/>
              </w:rPr>
              <w:t>的资产盈利预测实现情况专项审核报告后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4"/>
                <w:sz w:val="18"/>
                <w:szCs w:val="18"/>
              </w:rPr>
              <w:t>个工作日起，本公司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本人可解锁其持有的全部</w:t>
            </w:r>
            <w:r>
              <w:rPr>
                <w:rFonts w:ascii="宋体" w:hAnsi="宋体" w:cs="宋体" w:eastAsia="宋体" w:hint="default"/>
                <w:spacing w:val="-73"/>
                <w:sz w:val="18"/>
                <w:szCs w:val="18"/>
              </w:rPr>
              <w:t> </w:t>
            </w:r>
            <w:r>
              <w:rPr>
                <w:rFonts w:ascii="宋体" w:hAnsi="宋体" w:cs="宋体" w:eastAsia="宋体" w:hint="default"/>
                <w:sz w:val="18"/>
                <w:szCs w:val="18"/>
              </w:rPr>
              <w:t>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059998pt;margin-top:72.47998pt;width:111.2pt;height:282.9pt;mso-position-horizontal-relative:page;mso-position-vertical-relative:page;z-index:-1264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年度的业绩承诺，</w:t>
                  </w:r>
                </w:p>
              </w:txbxContent>
            </v:textbox>
            <w10:wrap type="none"/>
          </v:shape>
        </w:pict>
      </w:r>
      <w:r>
        <w:rPr/>
        <w:pict>
          <v:shape style="position:absolute;margin-left:391.059998pt;margin-top:355.819977pt;width:48.2pt;height:148.25pt;mso-position-horizontal-relative:page;mso-position-vertical-relative:page;z-index:-1264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97.179993pt;margin-top:72.47998pt;width:42.1pt;height:431.6pt;mso-position-horizontal-relative:page;mso-position-vertical-relative:page;z-index:-1264672" coordorigin="7944,1450" coordsize="842,8632">
            <v:group style="position:absolute;left:7944;top:1450;width:842;height:5658" coordorigin="7944,1450" coordsize="842,5658">
              <v:shape style="position:absolute;left:7944;top:1450;width:842;height:5658" coordorigin="7944,1450" coordsize="842,5658" path="m7944,7107l8785,7107,8785,1450,7944,1450,7944,7107xe" filled="true" fillcolor="#ffffff" stroked="false">
                <v:path arrowok="t"/>
                <v:fill type="solid"/>
              </v:shape>
            </v:group>
            <v:group style="position:absolute;left:7944;top:7116;width:842;height:2965" coordorigin="7944,7116" coordsize="842,2965">
              <v:shape style="position:absolute;left:7944;top:7116;width:842;height:2965" coordorigin="7944,7116" coordsize="842,2965" path="m7944,10081l8785,10081,8785,7116,7944,7116,7944,1008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322" w:hRule="exact"/>
        </w:trPr>
        <w:tc>
          <w:tcPr>
            <w:tcW w:w="926" w:type="dxa"/>
            <w:vMerge w:val="restart"/>
            <w:tcBorders>
              <w:top w:val="single" w:sz="4" w:space="0" w:color="000000"/>
              <w:left w:val="single" w:sz="4" w:space="0" w:color="000000"/>
              <w:right w:val="single" w:sz="4" w:space="0" w:color="000000"/>
            </w:tcBorders>
            <w:shd w:val="clear" w:color="auto" w:fill="D2D2D2"/>
          </w:tcPr>
          <w:p>
            <w:pPr/>
          </w:p>
        </w:tc>
        <w:tc>
          <w:tcPr>
            <w:tcW w:w="154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自新增股份上市之日起二十四个月届满后</w:t>
            </w:r>
          </w:p>
        </w:tc>
        <w:tc>
          <w:tcPr>
            <w:tcW w:w="85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且标的公司完成其相应</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在注册会计师出具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年度标的资产盈利预</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测实现情况专项审核报告后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个工作日起，</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本人可解锁其持有的全部股份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III.</w:t>
            </w:r>
            <w:r>
              <w:rPr>
                <w:rFonts w:ascii="宋体" w:hAnsi="宋体" w:cs="宋体" w:eastAsia="宋体" w:hint="default"/>
                <w:spacing w:val="-5"/>
                <w:sz w:val="18"/>
                <w:szCs w:val="18"/>
              </w:rPr>
              <w:t>自新增股</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份上市之日起三十六个月届满后且标的公司</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年度的业绩承诺，在注册会计师</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年度标的资产盈利预测实现情况专</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项审核报告、减值测试专项审核报告后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工作日起，本公司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本人可解锁其持有的全部股</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w:t>
            </w:r>
            <w:r>
              <w:rPr>
                <w:rFonts w:ascii="宋体" w:hAnsi="宋体" w:cs="宋体" w:eastAsia="宋体" w:hint="default"/>
                <w:spacing w:val="-76"/>
                <w:sz w:val="18"/>
                <w:szCs w:val="18"/>
              </w:rPr>
              <w:t>、</w:t>
            </w:r>
            <w:r>
              <w:rPr>
                <w:rFonts w:ascii="宋体" w:hAnsi="宋体" w:cs="宋体" w:eastAsia="宋体" w:hint="default"/>
                <w:sz w:val="18"/>
                <w:szCs w:val="18"/>
              </w:rPr>
              <w:t>标的资产减值补偿</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IV.</w:t>
            </w:r>
            <w:r>
              <w:rPr>
                <w:rFonts w:ascii="宋体" w:hAnsi="宋体" w:cs="宋体" w:eastAsia="宋体" w:hint="default"/>
                <w:sz w:val="18"/>
                <w:szCs w:val="18"/>
              </w:rPr>
              <w:t>自新增股份上市之日起</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四十八个月届满后，本公司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本人可解锁其持有</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V.</w:t>
            </w:r>
            <w:r>
              <w:rPr>
                <w:rFonts w:ascii="宋体" w:hAnsi="宋体" w:cs="宋体" w:eastAsia="宋体" w:hint="default"/>
                <w:sz w:val="18"/>
                <w:szCs w:val="18"/>
              </w:rPr>
              <w:t>自新增股份上市之日起六十个月届</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3"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满后，本公司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本人可解锁其他全部未解锁部分</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5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r>
      <w:tr>
        <w:trPr>
          <w:trHeight w:val="362" w:hRule="exact"/>
        </w:trPr>
        <w:tc>
          <w:tcPr>
            <w:tcW w:w="926" w:type="dxa"/>
            <w:vMerge/>
            <w:tcBorders>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、本公司通过本次交易取得的智度投资新增</w:t>
            </w: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股份，自新增股份上市之日起三十六个月内不</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得以任何形式转让；如截至本公司取得本次发</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行的股份时，本公司用于认购股份的猎鹰网络</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资产持续拥有权益的时间已超过十二个月，则</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7" w:lineRule="auto"/>
              <w:ind w:left="22" w:right="71"/>
              <w:jc w:val="left"/>
              <w:rPr>
                <w:rFonts w:ascii="宋体" w:hAnsi="宋体" w:cs="宋体" w:eastAsia="宋体" w:hint="default"/>
                <w:sz w:val="18"/>
                <w:szCs w:val="18"/>
              </w:rPr>
            </w:pPr>
            <w:r>
              <w:rPr>
                <w:rFonts w:ascii="宋体" w:hAnsi="宋体" w:cs="宋体" w:eastAsia="宋体" w:hint="default"/>
                <w:sz w:val="18"/>
                <w:szCs w:val="18"/>
              </w:rPr>
              <w:t>深圳市锋行天下科 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市红煌科技有限公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深圳市来玩科 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市零零伍科技有限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深圳市前海 新合力投资管理有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深圳市永 兴正科技有限公司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本公司相应取得的股份，调整为自新增股份上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市之日起十二个月内不得以任何形式转让。</w:t>
            </w:r>
            <w:r>
              <w:rPr>
                <w:rFonts w:ascii="Times New Roman" w:hAnsi="Times New Roman" w:cs="Times New Roman" w:eastAsia="Times New Roman" w:hint="default"/>
                <w:sz w:val="18"/>
                <w:szCs w:val="18"/>
              </w:rPr>
              <w:t>2 </w:t>
            </w:r>
            <w:r>
              <w:rPr>
                <w:rFonts w:ascii="宋体" w:hAnsi="宋体" w:cs="宋体" w:eastAsia="宋体" w:hint="default"/>
                <w:sz w:val="18"/>
                <w:szCs w:val="18"/>
              </w:rPr>
              <w:t>本公司本应承担的分期锁定义务由上海易晋 </w:t>
            </w:r>
            <w:r>
              <w:rPr>
                <w:rFonts w:ascii="宋体" w:hAnsi="宋体" w:cs="宋体" w:eastAsia="宋体" w:hint="default"/>
                <w:spacing w:val="-1"/>
                <w:sz w:val="18"/>
                <w:szCs w:val="18"/>
              </w:rPr>
              <w:t>网络科技有限公司、上海今耀投资控股有限公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司、深圳市隽川科技有限公司共同承担。如上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海易晋网络科技有限公司、上海今耀投资控股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有限公司、深圳市隽川科技有限公司所持全部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可解锁股份足以全额承担本公司上述分期锁 </w:t>
            </w:r>
            <w:r>
              <w:rPr>
                <w:rFonts w:ascii="宋体" w:hAnsi="宋体" w:cs="宋体" w:eastAsia="宋体" w:hint="default"/>
                <w:spacing w:val="-1"/>
                <w:sz w:val="18"/>
                <w:szCs w:val="18"/>
              </w:rPr>
              <w:t>定义务的前提下，本公司的锁定期为自新增股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份上市之日起三十六个月。如上海易晋网络科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技有限公司、上海今耀投资控股有限公司、深</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圳市隽川科技有限公司承担补偿义务后所持</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有的全部股份不足以全额承担本公司的分期</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锁定义务，对于差额部分，由本公司按照其在</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标的资产中的相对持股比例自行承担相应的</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分期锁定义务。</w:t>
            </w: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26" w:type="dxa"/>
            <w:vMerge/>
            <w:tcBorders>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、本人通过本次交易取得的智度投资新增股</w:t>
            </w: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
        </w:tc>
      </w:tr>
      <w:tr>
        <w:trPr>
          <w:trHeight w:val="930"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5"/>
              <w:jc w:val="left"/>
              <w:rPr>
                <w:rFonts w:ascii="宋体" w:hAnsi="宋体" w:cs="宋体" w:eastAsia="宋体" w:hint="default"/>
                <w:sz w:val="18"/>
                <w:szCs w:val="18"/>
              </w:rPr>
            </w:pPr>
            <w:r>
              <w:rPr>
                <w:rFonts w:ascii="宋体" w:hAnsi="宋体" w:cs="宋体" w:eastAsia="宋体" w:hint="default"/>
                <w:sz w:val="18"/>
                <w:szCs w:val="18"/>
              </w:rPr>
              <w:t>份，自新增股份上市之日起十二个月内不转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、在上述锁定期的基础上，为保证本次 交易标的资产交易盈利预测补偿承诺的实现，</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8" w:hRule="exact"/>
        </w:trPr>
        <w:tc>
          <w:tcPr>
            <w:tcW w:w="92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本人同意自法定限售期届满后按照如下方式</w:t>
            </w: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5.109009pt;margin-top:72.47998pt;width:84.15pt;height:438.9pt;mso-position-horizontal-relative:page;mso-position-vertical-relative:page;z-index:-1264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firstLine="719"/>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4"/>
                    <w:ind w:left="0" w:right="0"/>
                    <w:jc w:val="left"/>
                  </w:pPr>
                  <w:r>
                    <w:rPr/>
                    <w:t>高管职务，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317" w:hRule="exact"/>
        </w:trPr>
        <w:tc>
          <w:tcPr>
            <w:tcW w:w="926" w:type="dxa"/>
            <w:vMerge w:val="restart"/>
            <w:tcBorders>
              <w:top w:val="single" w:sz="4" w:space="0" w:color="000000"/>
              <w:left w:val="single" w:sz="4" w:space="0" w:color="000000"/>
              <w:right w:val="single" w:sz="4" w:space="0" w:color="000000"/>
            </w:tcBorders>
            <w:shd w:val="clear" w:color="auto" w:fill="D2D2D2"/>
          </w:tcPr>
          <w:p>
            <w:pPr/>
          </w:p>
        </w:tc>
        <w:tc>
          <w:tcPr>
            <w:tcW w:w="154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分期解锁转让本次交易取得的智度投资股份：</w:t>
            </w:r>
          </w:p>
        </w:tc>
        <w:tc>
          <w:tcPr>
            <w:tcW w:w="851" w:type="dxa"/>
            <w:vMerge w:val="restart"/>
            <w:tcBorders>
              <w:top w:val="single" w:sz="4" w:space="0" w:color="000000"/>
              <w:left w:val="single" w:sz="4" w:space="0" w:color="000000"/>
              <w:right w:val="single" w:sz="4" w:space="0" w:color="000000"/>
            </w:tcBorders>
          </w:tcPr>
          <w:p>
            <w:pPr>
              <w:pStyle w:val="TableParagraph"/>
              <w:spacing w:line="877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5"/>
                <w:sz w:val="20"/>
                <w:szCs w:val="20"/>
              </w:rPr>
              <w:pict>
                <v:group style="width:42.1pt;height:438.9pt;mso-position-horizontal-relative:char;mso-position-vertical-relative:line" coordorigin="0,0" coordsize="842,8778">
                  <v:group style="position:absolute;left:0;top:0;width:842;height:8778" coordorigin="0,0" coordsize="842,8778">
                    <v:shape style="position:absolute;left:0;top:0;width:842;height:8778" coordorigin="0,0" coordsize="842,8778" path="m0,8778l842,8778,842,0,0,0,0,8778xe" filled="true" fillcolor="#ffffff" stroked="false">
                      <v:path arrowok="t"/>
                      <v:fill type="solid"/>
                    </v:shape>
                  </v:group>
                </v:group>
              </w:pict>
            </w:r>
            <w:r>
              <w:rPr>
                <w:rFonts w:ascii="Times New Roman" w:hAnsi="Times New Roman" w:cs="Times New Roman" w:eastAsia="Times New Roman" w:hint="default"/>
                <w:position w:val="-175"/>
                <w:sz w:val="20"/>
                <w:szCs w:val="20"/>
              </w:rPr>
            </w:r>
          </w:p>
        </w:tc>
        <w:tc>
          <w:tcPr>
            <w:tcW w:w="709" w:type="dxa"/>
            <w:vMerge w:val="restart"/>
            <w:tcBorders>
              <w:top w:val="single" w:sz="4" w:space="0" w:color="000000"/>
              <w:left w:val="single" w:sz="4" w:space="0" w:color="000000"/>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）自新增股份上市之日起十二个月届满且</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标的公司完成其相应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在注册会计师出具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年度标的资产</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盈利预测实现情况专项审核报告后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日起可转让或交易不超过其持有的全部股份</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需减去已用于业绩补偿的股份数</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的 </w:t>
            </w:r>
            <w:r>
              <w:rPr>
                <w:rFonts w:ascii="Times New Roman" w:hAnsi="Times New Roman" w:cs="Times New Roman" w:eastAsia="Times New Roman" w:hint="default"/>
                <w:w w:val="99"/>
                <w:sz w:val="18"/>
                <w:szCs w:val="18"/>
              </w:rPr>
              <w:t>5%</w:t>
            </w:r>
            <w:r>
              <w:rPr>
                <w:rFonts w:ascii="宋体" w:hAnsi="宋体" w:cs="宋体" w:eastAsia="宋体" w:hint="default"/>
                <w:spacing w:val="-106"/>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z w:val="18"/>
                <w:szCs w:val="18"/>
              </w:rPr>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自新增股份上市之日起二十四个月届满且标</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的公司履行了其至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年度的业绩承诺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注册会计师出具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年度标的资产盈利预测</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实现情况专项审核报告后 </w:t>
            </w: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个工作日起可</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转让或交易不超过其持有的全部股份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3"/>
                <w:sz w:val="18"/>
                <w:szCs w:val="18"/>
              </w:rPr>
              <w:t>）</w:t>
            </w:r>
            <w:r>
              <w:rPr>
                <w:rFonts w:ascii="宋体" w:hAnsi="宋体" w:cs="宋体" w:eastAsia="宋体" w:hint="default"/>
                <w:sz w:val="18"/>
                <w:szCs w:val="18"/>
              </w:rPr>
              <w:t>自新增</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股份上市之日起三十六个月届满且标的公司</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履行了其至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在注册会</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计师出具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年度标的资产盈利预测实现</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情况专项审核报告、减值测试专项审核报告后</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个工作日起可转让或交易不超过其持有的</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4</w:t>
            </w:r>
            <w:r>
              <w:rPr>
                <w:rFonts w:ascii="宋体" w:hAnsi="宋体" w:cs="宋体" w:eastAsia="宋体" w:hint="default"/>
                <w:w w:val="99"/>
                <w:sz w:val="18"/>
                <w:szCs w:val="18"/>
              </w:rPr>
              <w:t>）自新增股份上市之日起四十八个月</w:t>
            </w:r>
            <w:r>
              <w:rPr>
                <w:rFonts w:ascii="宋体" w:hAnsi="宋体" w:cs="宋体" w:eastAsia="宋体" w:hint="default"/>
                <w:sz w:val="18"/>
                <w:szCs w:val="18"/>
              </w:rPr>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届满，可转让或交易不超过其持有的全部股份</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）自新增股份上市之日起六十个月届满，</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可转让或交易其他全部未解锁部分股份。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本人在转让本次交易中取得的智度投资股份</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时，如担任智度投资的董事、监事、</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3"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其减持股份数量还应遵守《公司法》等法律法</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5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规的限制性规定。</w:t>
            </w:r>
          </w:p>
        </w:tc>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r>
      <w:tr>
        <w:trPr>
          <w:trHeight w:val="362" w:hRule="exact"/>
        </w:trPr>
        <w:tc>
          <w:tcPr>
            <w:tcW w:w="926" w:type="dxa"/>
            <w:vMerge/>
            <w:tcBorders>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、本企业通过本次交易取得的智度投资新增</w:t>
            </w: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股份，自新增股份上市之日起三十六个月内不</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、在上述锁定期的基础上，为保证本</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次交易标的资产交易盈利预测补偿承诺的实</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现，本企业同意自法定限售期届满后按照如下</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312" w:lineRule="auto" w:before="147"/>
              <w:ind w:left="22" w:right="20"/>
              <w:jc w:val="both"/>
              <w:rPr>
                <w:rFonts w:ascii="宋体" w:hAnsi="宋体" w:cs="宋体" w:eastAsia="宋体" w:hint="default"/>
                <w:sz w:val="18"/>
                <w:szCs w:val="18"/>
              </w:rPr>
            </w:pPr>
            <w:r>
              <w:rPr>
                <w:rFonts w:ascii="宋体" w:hAnsi="宋体" w:cs="宋体" w:eastAsia="宋体" w:hint="default"/>
                <w:sz w:val="18"/>
                <w:szCs w:val="18"/>
              </w:rPr>
              <w:t>北京智度德普股权 投资中心（有限合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上海亦复壹投 资管理合伙企业</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方式分期解锁本次交易取得的智度投资股份：</w:t>
            </w:r>
          </w:p>
          <w:p>
            <w:pPr>
              <w:pStyle w:val="TableParagraph"/>
              <w:spacing w:line="300"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）自新增股份上市之日起三十六个月届满 且标的公司完成其相应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309"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的业绩承诺，在注册会计师出具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 </w:t>
            </w:r>
            <w:r>
              <w:rPr>
                <w:rFonts w:ascii="宋体" w:hAnsi="宋体" w:cs="宋体" w:eastAsia="宋体" w:hint="default"/>
                <w:spacing w:val="-1"/>
                <w:sz w:val="18"/>
                <w:szCs w:val="18"/>
              </w:rPr>
              <w:t>的资产盈利预测实现情况专项审核报告、减值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测试专项审核报告后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个工作日起可转让或</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交易不超过其持有的全部股份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）自新增股份</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上市之日起四十八个月届满，可转让或交易不</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2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）自新增股份上市之</w:t>
            </w: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9723" w:hRule="exact"/>
        </w:trPr>
        <w:tc>
          <w:tcPr>
            <w:tcW w:w="926" w:type="dxa"/>
            <w:vMerge w:val="restart"/>
            <w:tcBorders>
              <w:top w:val="single" w:sz="4" w:space="0" w:color="000000"/>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pacing w:val="-1"/>
                <w:sz w:val="18"/>
                <w:szCs w:val="18"/>
              </w:rPr>
              <w:t>日起六十个月届满，可转让或交易其他全部未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解锁部分股份。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、如截至本企业取得本次发 </w:t>
            </w:r>
            <w:r>
              <w:rPr>
                <w:rFonts w:ascii="宋体" w:hAnsi="宋体" w:cs="宋体" w:eastAsia="宋体" w:hint="default"/>
                <w:spacing w:val="-1"/>
                <w:sz w:val="18"/>
                <w:szCs w:val="18"/>
              </w:rPr>
              <w:t>行的股份时，本企业用于认购股份的猎鹰网络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资产持续拥有权益的时间已超过十二个月，则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本企业相应取得的股份，调整为自新增股份上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市之日起十二个月内不得以任何形式转让。在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法定限售期届满后，将按照以下分期解锁方式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履行：（</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）自新增股份上市之日起十二个月届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满且标的公司完成其相应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度业绩承诺，在注册会计师出具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w:t>
            </w:r>
          </w:p>
          <w:p>
            <w:pPr>
              <w:pStyle w:val="TableParagraph"/>
              <w:spacing w:line="304" w:lineRule="auto" w:before="3"/>
              <w:ind w:left="22" w:right="20"/>
              <w:jc w:val="left"/>
              <w:rPr>
                <w:rFonts w:ascii="宋体" w:hAnsi="宋体" w:cs="宋体" w:eastAsia="宋体" w:hint="default"/>
                <w:sz w:val="18"/>
                <w:szCs w:val="18"/>
              </w:rPr>
            </w:pPr>
            <w:r>
              <w:rPr>
                <w:rFonts w:ascii="宋体" w:hAnsi="宋体" w:cs="宋体" w:eastAsia="宋体" w:hint="default"/>
                <w:sz w:val="18"/>
                <w:szCs w:val="18"/>
              </w:rPr>
              <w:t>的资产盈利预测实现情况专项审核报告后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个工作日起可转让或交易不超过其持有的全 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）自新增股份上市之日起二十四个月届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满且标的公司履行了其至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年度的业绩</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在注册会计师出具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年度标的资产盈</w:t>
            </w:r>
          </w:p>
          <w:p>
            <w:pPr>
              <w:pStyle w:val="TableParagraph"/>
              <w:spacing w:line="309" w:lineRule="auto" w:before="63"/>
              <w:ind w:left="22" w:right="185"/>
              <w:jc w:val="both"/>
              <w:rPr>
                <w:rFonts w:ascii="宋体" w:hAnsi="宋体" w:cs="宋体" w:eastAsia="宋体" w:hint="default"/>
                <w:sz w:val="18"/>
                <w:szCs w:val="18"/>
              </w:rPr>
            </w:pPr>
            <w:r>
              <w:rPr>
                <w:rFonts w:ascii="宋体" w:hAnsi="宋体" w:cs="宋体" w:eastAsia="宋体" w:hint="default"/>
                <w:sz w:val="18"/>
                <w:szCs w:val="18"/>
              </w:rPr>
              <w:t>利预测实现情况专项审核报告后 </w:t>
            </w: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 日起可转让或交易不超过其持有的全部股份 </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0" w:lineRule="auto" w:before="5"/>
              <w:ind w:left="22"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）自新增股份上市之日起三十六个月届满 且标的公司履行了其至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年度的业绩承</w:t>
            </w:r>
          </w:p>
          <w:p>
            <w:pPr>
              <w:pStyle w:val="TableParagraph"/>
              <w:spacing w:line="307"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在注册会计师出具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年度标的资产盈 </w:t>
            </w:r>
            <w:r>
              <w:rPr>
                <w:rFonts w:ascii="宋体" w:hAnsi="宋体" w:cs="宋体" w:eastAsia="宋体" w:hint="default"/>
                <w:spacing w:val="-1"/>
                <w:sz w:val="18"/>
                <w:szCs w:val="18"/>
              </w:rPr>
              <w:t>利预测实现情况专项审核报告、减值测试专项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审核报告后 </w:t>
            </w: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个工作日起可转让或交易不 超过其持有的全部股份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 偿的股份数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）自新增股份上市之</w:t>
            </w:r>
            <w:r>
              <w:rPr>
                <w:rFonts w:ascii="宋体" w:hAnsi="宋体" w:cs="宋体" w:eastAsia="宋体" w:hint="default"/>
                <w:sz w:val="18"/>
                <w:szCs w:val="18"/>
              </w:rPr>
              <w:t> </w:t>
            </w:r>
            <w:r>
              <w:rPr>
                <w:rFonts w:ascii="宋体" w:hAnsi="宋体" w:cs="宋体" w:eastAsia="宋体" w:hint="default"/>
                <w:spacing w:val="-1"/>
                <w:sz w:val="18"/>
                <w:szCs w:val="18"/>
              </w:rPr>
              <w:t>日起四十八个月届满，可转让或交易不超过其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持有的全部股份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需减去已用于业绩补偿的股 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）自新增股份上市之日起 </w:t>
            </w:r>
            <w:r>
              <w:rPr>
                <w:rFonts w:ascii="宋体" w:hAnsi="宋体" w:cs="宋体" w:eastAsia="宋体" w:hint="default"/>
                <w:spacing w:val="-1"/>
                <w:sz w:val="18"/>
                <w:szCs w:val="18"/>
              </w:rPr>
              <w:t>六十个月届满，可转让或交易其他全部未解锁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部分股份。</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92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2" w:lineRule="auto"/>
              <w:ind w:left="22" w:right="101"/>
              <w:jc w:val="left"/>
              <w:rPr>
                <w:rFonts w:ascii="宋体" w:hAnsi="宋体" w:cs="宋体" w:eastAsia="宋体" w:hint="default"/>
                <w:sz w:val="18"/>
                <w:szCs w:val="18"/>
              </w:rPr>
            </w:pPr>
            <w:r>
              <w:rPr>
                <w:rFonts w:ascii="宋体" w:hAnsi="宋体" w:cs="宋体" w:eastAsia="宋体" w:hint="default"/>
                <w:sz w:val="18"/>
                <w:szCs w:val="18"/>
              </w:rPr>
              <w:t>罗川</w:t>
            </w:r>
            <w:r>
              <w:rPr>
                <w:rFonts w:ascii="Times New Roman" w:hAnsi="Times New Roman" w:cs="Times New Roman" w:eastAsia="Times New Roman" w:hint="default"/>
                <w:sz w:val="18"/>
                <w:szCs w:val="18"/>
              </w:rPr>
              <w:t>;</w:t>
            </w:r>
            <w:r>
              <w:rPr>
                <w:rFonts w:ascii="宋体" w:hAnsi="宋体" w:cs="宋体" w:eastAsia="宋体" w:hint="default"/>
                <w:sz w:val="18"/>
                <w:szCs w:val="18"/>
              </w:rPr>
              <w:t>缪志坚</w:t>
            </w:r>
            <w:r>
              <w:rPr>
                <w:rFonts w:ascii="Times New Roman" w:hAnsi="Times New Roman" w:cs="Times New Roman" w:eastAsia="Times New Roman" w:hint="default"/>
                <w:sz w:val="18"/>
                <w:szCs w:val="18"/>
              </w:rPr>
              <w:t>;</w:t>
            </w:r>
            <w:r>
              <w:rPr>
                <w:rFonts w:ascii="宋体" w:hAnsi="宋体" w:cs="宋体" w:eastAsia="宋体" w:hint="default"/>
                <w:sz w:val="18"/>
                <w:szCs w:val="18"/>
              </w:rPr>
              <w:t>徐锋</w:t>
            </w:r>
            <w:r>
              <w:rPr>
                <w:rFonts w:ascii="Times New Roman" w:hAnsi="Times New Roman" w:cs="Times New Roman" w:eastAsia="Times New Roman" w:hint="default"/>
                <w:sz w:val="18"/>
                <w:szCs w:val="18"/>
              </w:rPr>
              <w:t>; </w:t>
            </w:r>
            <w:r>
              <w:rPr>
                <w:rFonts w:ascii="宋体" w:hAnsi="宋体" w:cs="宋体" w:eastAsia="宋体" w:hint="default"/>
                <w:sz w:val="18"/>
                <w:szCs w:val="18"/>
              </w:rPr>
              <w:t>袁聪</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一、如截至本人取得智度投资本次发行的股份 时，本人用于认购股份的资产持续拥有权益的 时间不足十二个月，则本人相应取得的股份， 自新增股份上市之日起三十六个月内不得以 任何形式转让；如截至本人取得智度投资本次 发行的股份时，本人用于认购股份的资产持续 拥有权益的时间已超过十二个月，则本人相应 取得的股份，自新增股份上市之日起十二个月 内不得以任何形式转让。二、在上述锁定期的 基础上，为保证本次交易标的资产交易盈利预 测补偿承诺的实现，本人同意自法定限售期届 满后按照如下方式分期解锁本次交易取得的 智度投资股份：</w:t>
            </w:r>
            <w:r>
              <w:rPr>
                <w:rFonts w:ascii="Times New Roman" w:hAnsi="Times New Roman" w:cs="Times New Roman" w:eastAsia="Times New Roman" w:hint="default"/>
                <w:sz w:val="18"/>
                <w:szCs w:val="18"/>
              </w:rPr>
              <w:t>1</w:t>
            </w:r>
            <w:r>
              <w:rPr>
                <w:rFonts w:ascii="宋体" w:hAnsi="宋体" w:cs="宋体" w:eastAsia="宋体" w:hint="default"/>
                <w:sz w:val="18"/>
                <w:szCs w:val="18"/>
              </w:rPr>
              <w:t>、法定锁定期为十二个月的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7.042999pt;margin-top:72.47998pt;width:192.25pt;height:392.1pt;mso-position-horizontal-relative:page;mso-position-vertical-relative:page;z-index:-1264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540" w:right="0" w:hanging="541"/>
                    <w:jc w:val="left"/>
                  </w:pPr>
                  <w:r>
                    <w:rPr/>
                    <w:t>自新增股份上市之日起十二个月届满，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540" w:right="0"/>
                    <w:jc w:val="left"/>
                  </w:pPr>
                  <w:r>
                    <w:rPr/>
                    <w:t>如本人取得本次发行的股份时，</w:t>
                  </w:r>
                </w:p>
              </w:txbxContent>
            </v:textbox>
            <w10:wrap type="none"/>
          </v:shape>
        </w:pict>
      </w:r>
      <w:r>
        <w:rPr/>
        <w:pict>
          <v:shape style="position:absolute;margin-left:274.062988pt;margin-top:631.839966pt;width:165.2pt;height:131.6pt;mso-position-horizontal-relative:page;mso-position-vertical-relative:page;z-index:-1264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法定锁定期为十二个月的部分，</w:t>
                  </w:r>
                </w:p>
              </w:txbxContent>
            </v:textbox>
            <w10:wrap type="none"/>
          </v:shape>
        </w:pict>
      </w:r>
      <w:r>
        <w:rPr/>
        <w:pict>
          <v:group style="position:absolute;margin-left:397.179993pt;margin-top:631.839966pt;width:42.1pt;height:131.6pt;mso-position-horizontal-relative:page;mso-position-vertical-relative:page;z-index:-1264528" coordorigin="7944,12637" coordsize="842,2632">
            <v:shape style="position:absolute;left:7944;top:12637;width:842;height:2632" coordorigin="7944,12637" coordsize="842,2632" path="m7944,15269l8785,15269,8785,12637,7944,12637,7944,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317" w:hRule="exact"/>
        </w:trPr>
        <w:tc>
          <w:tcPr>
            <w:tcW w:w="926" w:type="dxa"/>
            <w:vMerge w:val="restart"/>
            <w:tcBorders>
              <w:top w:val="single" w:sz="4" w:space="0" w:color="000000"/>
              <w:left w:val="single" w:sz="4" w:space="0" w:color="000000"/>
              <w:right w:val="single" w:sz="4" w:space="0" w:color="000000"/>
            </w:tcBorders>
            <w:shd w:val="clear" w:color="auto" w:fill="D2D2D2"/>
          </w:tcPr>
          <w:p>
            <w:pPr/>
          </w:p>
        </w:tc>
        <w:tc>
          <w:tcPr>
            <w:tcW w:w="154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部分，自法定限售期届满后按照以下方式解</w:t>
            </w:r>
          </w:p>
        </w:tc>
        <w:tc>
          <w:tcPr>
            <w:tcW w:w="851" w:type="dxa"/>
            <w:vMerge w:val="restart"/>
            <w:tcBorders>
              <w:top w:val="single" w:sz="4" w:space="0" w:color="000000"/>
              <w:left w:val="single" w:sz="4" w:space="0" w:color="000000"/>
              <w:right w:val="single" w:sz="4" w:space="0" w:color="000000"/>
            </w:tcBorders>
          </w:tcPr>
          <w:p>
            <w:pPr>
              <w:pStyle w:val="TableParagraph"/>
              <w:spacing w:line="784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42.1pt;height:392.1pt;mso-position-horizontal-relative:char;mso-position-vertical-relative:line" coordorigin="0,0" coordsize="842,7842">
                  <v:group style="position:absolute;left:0;top:0;width:842;height:7842" coordorigin="0,0" coordsize="842,7842">
                    <v:shape style="position:absolute;left:0;top:0;width:842;height:7842" coordorigin="0,0" coordsize="842,7842" path="m0,7842l842,7842,842,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709" w:type="dxa"/>
            <w:vMerge w:val="restart"/>
            <w:tcBorders>
              <w:top w:val="single" w:sz="4" w:space="0" w:color="000000"/>
              <w:left w:val="single" w:sz="4" w:space="0" w:color="000000"/>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w:t>
            </w:r>
            <w:r>
              <w:rPr>
                <w:rFonts w:ascii="宋体" w:hAnsi="宋体" w:cs="宋体" w:eastAsia="宋体" w:hint="default"/>
                <w:spacing w:val="-14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解锁法定锁定期限届满部分的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）自新</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增股份上市之日起二十四个月届满，解锁法定</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锁定期限届满部分的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）自新增股份上</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市之日起三十六个月届满，解锁法定锁定期限</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6"/>
                <w:sz w:val="18"/>
                <w:szCs w:val="18"/>
              </w:rPr>
              <w:t>）</w:t>
            </w:r>
            <w:r>
              <w:rPr>
                <w:rFonts w:ascii="宋体" w:hAnsi="宋体" w:cs="宋体" w:eastAsia="宋体" w:hint="default"/>
                <w:sz w:val="18"/>
                <w:szCs w:val="18"/>
              </w:rPr>
              <w:t>自新增股份上市之日起</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四十八个月届满，解锁法定锁定期限届满部分</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5"/>
                <w:sz w:val="18"/>
                <w:szCs w:val="18"/>
              </w:rPr>
              <w:t>）</w:t>
            </w:r>
            <w:r>
              <w:rPr>
                <w:rFonts w:ascii="宋体" w:hAnsi="宋体" w:cs="宋体" w:eastAsia="宋体" w:hint="default"/>
                <w:sz w:val="18"/>
                <w:szCs w:val="18"/>
              </w:rPr>
              <w:t>自新增股份上市之日起六十个月</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届满，解锁法定锁定期限届满部分的未解锁部</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w:t>
            </w:r>
            <w:r>
              <w:rPr>
                <w:rFonts w:ascii="Times New Roman" w:hAnsi="Times New Roman" w:cs="Times New Roman" w:eastAsia="Times New Roman" w:hint="default"/>
                <w:sz w:val="18"/>
                <w:szCs w:val="18"/>
              </w:rPr>
              <w:t>2</w:t>
            </w:r>
            <w:r>
              <w:rPr>
                <w:rFonts w:ascii="宋体" w:hAnsi="宋体" w:cs="宋体" w:eastAsia="宋体" w:hint="default"/>
                <w:sz w:val="18"/>
                <w:szCs w:val="18"/>
              </w:rPr>
              <w:t>、锁定期为三十六个月的部分，自法定</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限售期届满后按照以下方式解锁</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
                <w:sz w:val="18"/>
                <w:szCs w:val="18"/>
              </w:rPr>
              <w:t>）</w:t>
            </w:r>
            <w:r>
              <w:rPr>
                <w:rFonts w:ascii="宋体" w:hAnsi="宋体" w:cs="宋体" w:eastAsia="宋体" w:hint="default"/>
                <w:spacing w:val="1"/>
                <w:sz w:val="18"/>
                <w:szCs w:val="18"/>
              </w:rPr>
              <w:t>自</w:t>
            </w:r>
            <w:r>
              <w:rPr>
                <w:rFonts w:ascii="宋体" w:hAnsi="宋体" w:cs="宋体" w:eastAsia="宋体" w:hint="default"/>
                <w:sz w:val="18"/>
                <w:szCs w:val="18"/>
              </w:rPr>
              <w:t>新增</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股份上市之日起三十六个月届满，解锁法定锁</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定期限届满部分的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6"/>
                <w:sz w:val="18"/>
                <w:szCs w:val="18"/>
              </w:rPr>
              <w:t>）</w:t>
            </w:r>
            <w:r>
              <w:rPr>
                <w:rFonts w:ascii="宋体" w:hAnsi="宋体" w:cs="宋体" w:eastAsia="宋体" w:hint="default"/>
                <w:sz w:val="18"/>
                <w:szCs w:val="18"/>
              </w:rPr>
              <w:t>自新增股份上市</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之日起四十八个月届满，解锁法定锁定期限届</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6"/>
                <w:sz w:val="18"/>
                <w:szCs w:val="18"/>
              </w:rPr>
              <w:t>）</w:t>
            </w:r>
            <w:r>
              <w:rPr>
                <w:rFonts w:ascii="宋体" w:hAnsi="宋体" w:cs="宋体" w:eastAsia="宋体" w:hint="default"/>
                <w:sz w:val="18"/>
                <w:szCs w:val="18"/>
              </w:rPr>
              <w:t>自新增股份上市之日起六</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十个月届满，解锁法定锁定期限届满部分的未</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解锁部分。三、</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用于认购股份的资产持续拥有权益的时间已</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个月，则可参照限售期为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个月的安排</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相应调整法定限售期和分期解锁期。四、本人</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在转让本次交易中取得的智度投资股份时，如</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担任智度投资的董事、监事、高管职务，其减</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13"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持股份数量还应遵守《公司法》等法律法规的</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r>
      <w:tr>
        <w:trPr>
          <w:trHeight w:val="357" w:hRule="exact"/>
        </w:trPr>
        <w:tc>
          <w:tcPr>
            <w:tcW w:w="926" w:type="dxa"/>
            <w:vMerge/>
            <w:tcBorders>
              <w:left w:val="single" w:sz="4" w:space="0" w:color="000000"/>
              <w:right w:val="single" w:sz="4" w:space="0" w:color="000000"/>
            </w:tcBorders>
            <w:shd w:val="clear" w:color="auto" w:fill="D2D2D2"/>
          </w:tcPr>
          <w:p>
            <w:pPr/>
          </w:p>
        </w:tc>
        <w:tc>
          <w:tcPr>
            <w:tcW w:w="154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限制性规定。</w:t>
            </w:r>
          </w:p>
        </w:tc>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r>
      <w:tr>
        <w:trPr>
          <w:trHeight w:val="357" w:hRule="exact"/>
        </w:trPr>
        <w:tc>
          <w:tcPr>
            <w:tcW w:w="926" w:type="dxa"/>
            <w:vMerge/>
            <w:tcBorders>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一、如截至本企业取得智度投资本次发行的股</w:t>
            </w: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份时，本企业用于认购股份的资产持续拥有权</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益的时间不足十二个月，则本企业相应取得的</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股份，自新增股份上市之日起三十六个月内不</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得以任何形式转让；如截至本企业取得智度投</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资本次发行的股份时，本企业用于认购股份的</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资产持续拥有权益的时间已超过十二个月，则</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本企业相应取得的股份，自新增股份上市之日</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1"/>
              <w:jc w:val="both"/>
              <w:rPr>
                <w:rFonts w:ascii="宋体" w:hAnsi="宋体" w:cs="宋体" w:eastAsia="宋体" w:hint="default"/>
                <w:sz w:val="18"/>
                <w:szCs w:val="18"/>
              </w:rPr>
            </w:pPr>
            <w:r>
              <w:rPr>
                <w:rFonts w:ascii="宋体" w:hAnsi="宋体" w:cs="宋体" w:eastAsia="宋体" w:hint="default"/>
                <w:sz w:val="18"/>
                <w:szCs w:val="18"/>
              </w:rPr>
              <w:t>北京盈聚思成投资 管理中心（有限合 伙）</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both"/>
              <w:rPr>
                <w:rFonts w:ascii="宋体" w:hAnsi="宋体" w:cs="宋体" w:eastAsia="宋体" w:hint="default"/>
                <w:sz w:val="18"/>
                <w:szCs w:val="18"/>
              </w:rPr>
            </w:pPr>
            <w:r>
              <w:rPr>
                <w:rFonts w:ascii="宋体" w:hAnsi="宋体" w:cs="宋体" w:eastAsia="宋体" w:hint="default"/>
                <w:spacing w:val="-1"/>
                <w:sz w:val="18"/>
                <w:szCs w:val="18"/>
              </w:rPr>
              <w:t>起十二个月内不得以任何形式转让。二、在上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述锁定期的基础上，为保证本次交易标的资产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交易盈利预测补偿承诺的实现，本企业同意自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法定限售期届满后按照如下方式分期解锁本</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次交易取得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自法定限售期届满后按照以下方式解锁（</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自新增股份上市之日起十二个月届满，分别解</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锁法定锁定期限届满部分的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）自新增</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股份上市之日起二十四个月届满，解锁法定锁</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26" w:type="dxa"/>
            <w:vMerge/>
            <w:tcBorders>
              <w:left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定期限届满部分的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）自新增股份上市</w:t>
            </w:r>
          </w:p>
        </w:tc>
        <w:tc>
          <w:tcPr>
            <w:tcW w:w="85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2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之日起三十六个月届满，解锁法定锁定期限届</w:t>
            </w: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6.320007pt;margin-top:565.119995pt;width:179.25pt;height:31.2pt;mso-position-horizontal-relative:page;mso-position-vertical-relative:page;z-index:-1264504" coordorigin="4326,11302" coordsize="3585,624">
            <v:group style="position:absolute;left:4326;top:11302;width:3585;height:312" coordorigin="4326,11302" coordsize="3585,312">
              <v:shape style="position:absolute;left:4326;top:11302;width:3585;height:312" coordorigin="4326,11302" coordsize="3585,312" path="m4326,11614l7911,11614,7911,11302,4326,11302,4326,11614xe" filled="true" fillcolor="#ffffff" stroked="false">
                <v:path arrowok="t"/>
                <v:fill type="solid"/>
              </v:shape>
            </v:group>
            <v:group style="position:absolute;left:4326;top:11614;width:3585;height:312" coordorigin="4326,11614" coordsize="3585,312">
              <v:shape style="position:absolute;left:4326;top:11614;width:3585;height:312" coordorigin="4326,11614" coordsize="3585,312" path="m4326,11926l7911,11926,7911,11614,4326,11614,4326,119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4731" w:hRule="exact"/>
        </w:trPr>
        <w:tc>
          <w:tcPr>
            <w:tcW w:w="926" w:type="dxa"/>
            <w:vMerge w:val="restart"/>
            <w:tcBorders>
              <w:top w:val="single" w:sz="4" w:space="0" w:color="000000"/>
              <w:left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满部分的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）自新增股份上市之日起四</w:t>
            </w:r>
            <w:r>
              <w:rPr>
                <w:rFonts w:ascii="宋体" w:hAnsi="宋体" w:cs="宋体" w:eastAsia="宋体" w:hint="default"/>
                <w:sz w:val="18"/>
                <w:szCs w:val="18"/>
              </w:rPr>
              <w:t> </w:t>
            </w:r>
            <w:r>
              <w:rPr>
                <w:rFonts w:ascii="宋体" w:hAnsi="宋体" w:cs="宋体" w:eastAsia="宋体" w:hint="default"/>
                <w:spacing w:val="-1"/>
                <w:sz w:val="18"/>
                <w:szCs w:val="18"/>
              </w:rPr>
              <w:t>十八个月届满，解锁法定锁定期限届满部分的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）自新增股份上市之日起六十个月届</w:t>
            </w:r>
            <w:r>
              <w:rPr>
                <w:rFonts w:ascii="宋体" w:hAnsi="宋体" w:cs="宋体" w:eastAsia="宋体" w:hint="default"/>
                <w:spacing w:val="-70"/>
                <w:sz w:val="18"/>
                <w:szCs w:val="18"/>
              </w:rPr>
              <w:t> </w:t>
            </w:r>
            <w:r>
              <w:rPr>
                <w:rFonts w:ascii="宋体" w:hAnsi="宋体" w:cs="宋体" w:eastAsia="宋体" w:hint="default"/>
                <w:sz w:val="18"/>
                <w:szCs w:val="18"/>
              </w:rPr>
              <w:t>满，解锁法定锁定期限届满部分的未解锁部 分。</w:t>
            </w:r>
            <w:r>
              <w:rPr>
                <w:rFonts w:ascii="Times New Roman" w:hAnsi="Times New Roman" w:cs="Times New Roman" w:eastAsia="Times New Roman" w:hint="default"/>
                <w:sz w:val="18"/>
                <w:szCs w:val="18"/>
              </w:rPr>
              <w:t>2</w:t>
            </w:r>
            <w:r>
              <w:rPr>
                <w:rFonts w:ascii="宋体" w:hAnsi="宋体" w:cs="宋体" w:eastAsia="宋体" w:hint="default"/>
                <w:sz w:val="18"/>
                <w:szCs w:val="18"/>
              </w:rPr>
              <w:t>、锁定期为三十六个月的部分，自法定 </w:t>
            </w:r>
            <w:r>
              <w:rPr>
                <w:rFonts w:ascii="宋体" w:hAnsi="宋体" w:cs="宋体" w:eastAsia="宋体" w:hint="default"/>
                <w:spacing w:val="-6"/>
                <w:sz w:val="18"/>
                <w:szCs w:val="18"/>
              </w:rPr>
              <w:t>限售期届满后按照以下方式解锁：（</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）自新增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股份上市之日起三十六个月届满，解锁法定锁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定期限届满部分的</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）自新增股份上市</w:t>
            </w:r>
            <w:r>
              <w:rPr>
                <w:rFonts w:ascii="宋体" w:hAnsi="宋体" w:cs="宋体" w:eastAsia="宋体" w:hint="default"/>
                <w:sz w:val="18"/>
                <w:szCs w:val="18"/>
              </w:rPr>
              <w:t> </w:t>
            </w:r>
            <w:r>
              <w:rPr>
                <w:rFonts w:ascii="宋体" w:hAnsi="宋体" w:cs="宋体" w:eastAsia="宋体" w:hint="default"/>
                <w:spacing w:val="-1"/>
                <w:sz w:val="18"/>
                <w:szCs w:val="18"/>
              </w:rPr>
              <w:t>之日起四十八个月届满，解锁法定锁定期限届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满部分的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）自新增股份上市之日起六</w:t>
            </w:r>
            <w:r>
              <w:rPr>
                <w:rFonts w:ascii="宋体" w:hAnsi="宋体" w:cs="宋体" w:eastAsia="宋体" w:hint="default"/>
                <w:sz w:val="18"/>
                <w:szCs w:val="18"/>
              </w:rPr>
              <w:t> </w:t>
            </w:r>
            <w:r>
              <w:rPr>
                <w:rFonts w:ascii="宋体" w:hAnsi="宋体" w:cs="宋体" w:eastAsia="宋体" w:hint="default"/>
                <w:spacing w:val="-1"/>
                <w:sz w:val="18"/>
                <w:szCs w:val="18"/>
              </w:rPr>
              <w:t>十个月届满，解锁法定锁定期限届满部三、如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其取得本次发行的股份时，用于认购股份的资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产持续拥有权益的时间已满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个月，则可参</w:t>
            </w:r>
          </w:p>
          <w:p>
            <w:pPr>
              <w:pStyle w:val="TableParagraph"/>
              <w:spacing w:line="302" w:lineRule="auto" w:before="5"/>
              <w:ind w:left="22" w:right="95"/>
              <w:jc w:val="left"/>
              <w:rPr>
                <w:rFonts w:ascii="宋体" w:hAnsi="宋体" w:cs="宋体" w:eastAsia="宋体" w:hint="default"/>
                <w:sz w:val="18"/>
                <w:szCs w:val="18"/>
              </w:rPr>
            </w:pPr>
            <w:r>
              <w:rPr>
                <w:rFonts w:ascii="宋体" w:hAnsi="宋体" w:cs="宋体" w:eastAsia="宋体" w:hint="default"/>
                <w:sz w:val="18"/>
                <w:szCs w:val="18"/>
              </w:rPr>
              <w:t>照限售期为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个月的安排相应调整法定限售 期及分期解锁期。</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92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2" w:lineRule="auto"/>
              <w:ind w:left="22" w:right="20"/>
              <w:jc w:val="both"/>
              <w:rPr>
                <w:rFonts w:ascii="宋体" w:hAnsi="宋体" w:cs="宋体" w:eastAsia="宋体" w:hint="default"/>
                <w:sz w:val="18"/>
                <w:szCs w:val="18"/>
              </w:rPr>
            </w:pPr>
            <w:r>
              <w:rPr>
                <w:rFonts w:ascii="宋体" w:hAnsi="宋体" w:cs="宋体" w:eastAsia="宋体" w:hint="default"/>
                <w:sz w:val="18"/>
                <w:szCs w:val="18"/>
              </w:rPr>
              <w:t>北京智度德普股权 投资中心（有限合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智度集团有限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本次认购的智度投资非公开发行之股份自本 次发行结束之日起，三十六个月内不进行转 让；本次认购的智度投资新股自限售期届满后 </w:t>
            </w:r>
            <w:r>
              <w:rPr>
                <w:rFonts w:ascii="宋体" w:hAnsi="宋体" w:cs="宋体" w:eastAsia="宋体" w:hint="default"/>
                <w:spacing w:val="-6"/>
                <w:sz w:val="18"/>
                <w:szCs w:val="18"/>
              </w:rPr>
              <w:t>按照以下方式解锁：（</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）自本次股份发行结束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之日起三十六个月届满，解锁限售期届满部分</w:t>
            </w:r>
            <w:r>
              <w:rPr>
                <w:rFonts w:ascii="宋体" w:hAnsi="宋体" w:cs="宋体" w:eastAsia="宋体" w:hint="default"/>
                <w:sz w:val="18"/>
                <w:szCs w:val="18"/>
              </w:rPr>
              <w:t> 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）自股份发行结束之日起四十八个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月届满，解锁限售期限届满部分的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自股份发行结束之日起六十个月届满，解锁限</w:t>
            </w:r>
            <w:r>
              <w:rPr>
                <w:rFonts w:ascii="宋体" w:hAnsi="宋体" w:cs="宋体" w:eastAsia="宋体" w:hint="default"/>
                <w:sz w:val="18"/>
                <w:szCs w:val="18"/>
              </w:rPr>
              <w:t> 售期限届满部分的未解锁部分。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6291" w:hRule="exact"/>
        </w:trPr>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1"/>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6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21"/>
                <w:sz w:val="18"/>
                <w:szCs w:val="18"/>
              </w:rPr>
              <w:t>易、资金</w:t>
            </w:r>
            <w:r>
              <w:rPr>
                <w:rFonts w:ascii="宋体" w:hAnsi="宋体" w:cs="宋体" w:eastAsia="宋体" w:hint="default"/>
                <w:sz w:val="18"/>
                <w:szCs w:val="18"/>
              </w:rPr>
              <w:t> 占用方 面的承 诺</w:t>
            </w:r>
          </w:p>
        </w:tc>
        <w:tc>
          <w:tcPr>
            <w:tcW w:w="3640"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、截止本公告披露日，本企业及本企业控制 的福建智度科技有限公司现时与智度股份不 存在同业竞争的情况。</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、如果未来本企业控 制的福建智度科技有限公司拥有的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业务 与智度股份构成同业竞争，智度股份可根据公 司自身的业务需求，对该业务享有优先购买 </w:t>
            </w:r>
            <w:r>
              <w:rPr>
                <w:rFonts w:ascii="宋体" w:hAnsi="宋体" w:cs="宋体" w:eastAsia="宋体" w:hint="default"/>
                <w:spacing w:val="-6"/>
                <w:sz w:val="18"/>
                <w:szCs w:val="18"/>
              </w:rPr>
              <w:t>权。具体安排如下：（</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）智度股份拥有收购福</w:t>
            </w:r>
          </w:p>
          <w:p>
            <w:pPr>
              <w:pStyle w:val="TableParagraph"/>
              <w:spacing w:line="193" w:lineRule="exact" w:before="5"/>
              <w:ind w:left="11" w:right="0"/>
              <w:jc w:val="left"/>
              <w:rPr>
                <w:rFonts w:ascii="宋体" w:hAnsi="宋体" w:cs="宋体" w:eastAsia="宋体" w:hint="default"/>
                <w:sz w:val="18"/>
                <w:szCs w:val="18"/>
              </w:rPr>
            </w:pPr>
            <w:r>
              <w:rPr>
                <w:rFonts w:ascii="宋体" w:hAnsi="宋体" w:cs="宋体" w:eastAsia="宋体" w:hint="default"/>
                <w:sz w:val="18"/>
                <w:szCs w:val="18"/>
              </w:rPr>
              <w:t>建智度及其附属公司拥有的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业务的权</w:t>
            </w:r>
          </w:p>
          <w:p>
            <w:pPr>
              <w:pStyle w:val="TableParagraph"/>
              <w:spacing w:line="149"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利。鉴于竞业禁止的要求，为保护上市公司中</w:t>
            </w:r>
          </w:p>
          <w:p>
            <w:pPr>
              <w:pStyle w:val="TableParagraph"/>
              <w:spacing w:line="307" w:lineRule="auto" w:before="76"/>
              <w:ind w:left="11" w:right="20"/>
              <w:jc w:val="left"/>
              <w:rPr>
                <w:rFonts w:ascii="宋体" w:hAnsi="宋体" w:cs="宋体" w:eastAsia="宋体" w:hint="default"/>
                <w:sz w:val="18"/>
                <w:szCs w:val="18"/>
              </w:rPr>
            </w:pPr>
            <w:r>
              <w:rPr>
                <w:rFonts w:ascii="宋体" w:hAnsi="宋体" w:cs="宋体" w:eastAsia="宋体" w:hint="default"/>
                <w:sz w:val="18"/>
                <w:szCs w:val="18"/>
              </w:rPr>
              <w:t>小投资者的合法权益，智度股份有权要求收购 福建智度及其附属公司拥有的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业务，智</w:t>
            </w:r>
            <w:r>
              <w:rPr>
                <w:rFonts w:ascii="宋体" w:hAnsi="宋体" w:cs="宋体" w:eastAsia="宋体" w:hint="default"/>
                <w:sz w:val="18"/>
                <w:szCs w:val="18"/>
              </w:rPr>
              <w:t> 度集团将同意或促使智度股份的该等收购。届 时，智度股份根据自身业务需求，若不实施收 购，自放弃收购之日起，智度集团同意在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个月以内将实际拥有的（含直接或间接）福建 智度及其附属公司拥有的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业务予以出让 </w:t>
            </w:r>
            <w:r>
              <w:rPr>
                <w:rFonts w:ascii="宋体" w:hAnsi="宋体" w:cs="宋体" w:eastAsia="宋体" w:hint="default"/>
                <w:spacing w:val="-6"/>
                <w:sz w:val="18"/>
                <w:szCs w:val="18"/>
              </w:rPr>
              <w:t>或以其他方式进行处置。（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）智度股份收购福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建智度及其附属公司拥有的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业务的条 </w:t>
            </w:r>
            <w:r>
              <w:rPr>
                <w:rFonts w:ascii="宋体" w:hAnsi="宋体" w:cs="宋体" w:eastAsia="宋体" w:hint="default"/>
                <w:spacing w:val="-4"/>
                <w:sz w:val="18"/>
                <w:szCs w:val="18"/>
              </w:rPr>
              <w:t>件。智度集团同意，在以下条件全部满足后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个月内，智度股份有权启动收购福建智度及其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26"/>
        <w:gridCol w:w="1546"/>
        <w:gridCol w:w="694"/>
        <w:gridCol w:w="3640"/>
        <w:gridCol w:w="851"/>
        <w:gridCol w:w="709"/>
        <w:gridCol w:w="1302"/>
      </w:tblGrid>
      <w:tr>
        <w:trPr>
          <w:trHeight w:val="6291" w:hRule="exact"/>
        </w:trPr>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附属公司拥有的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业务的相关程序：①福</w:t>
            </w:r>
            <w:r>
              <w:rPr>
                <w:rFonts w:ascii="宋体" w:hAnsi="宋体" w:cs="宋体" w:eastAsia="宋体" w:hint="default"/>
                <w:sz w:val="18"/>
                <w:szCs w:val="18"/>
              </w:rPr>
              <w:t> 建智度收购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业务的所有交割手续完成；</w:t>
            </w:r>
          </w:p>
          <w:p>
            <w:pPr>
              <w:pStyle w:val="TableParagraph"/>
              <w:spacing w:line="309" w:lineRule="auto" w:before="13"/>
              <w:ind w:left="22" w:right="-3"/>
              <w:jc w:val="left"/>
              <w:rPr>
                <w:rFonts w:ascii="宋体" w:hAnsi="宋体" w:cs="宋体" w:eastAsia="宋体" w:hint="default"/>
                <w:sz w:val="18"/>
                <w:szCs w:val="18"/>
              </w:rPr>
            </w:pPr>
            <w:r>
              <w:rPr>
                <w:rFonts w:ascii="宋体" w:hAnsi="宋体" w:cs="宋体" w:eastAsia="宋体" w:hint="default"/>
                <w:sz w:val="18"/>
                <w:szCs w:val="18"/>
              </w:rPr>
              <w:t>②福建智度收购</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业务后的运营状况得到 显著改善并实现盈利；③福建智度及其附属公 司拥有的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业务不存在不符合中国证监会 及交易所规定的重大不合规情形，收购福建智 度及其附属公司拥有的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业务也不违反中 国证券监督管理委员会及深圳证券交易所的 </w:t>
            </w:r>
            <w:r>
              <w:rPr>
                <w:rFonts w:ascii="宋体" w:hAnsi="宋体" w:cs="宋体" w:eastAsia="宋体" w:hint="default"/>
                <w:spacing w:val="-6"/>
                <w:sz w:val="18"/>
                <w:szCs w:val="18"/>
              </w:rPr>
              <w:t>相关规定。（</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）智度股份收购福建智度及其附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属公司拥有的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业务的方式。双方协商， 在作价合理的基础之上，智度集团将全力配合 智度股份以现金购买或发行股份购买资产等 中国证券监督管理委员会、深圳证券交易所认 可且批准的收购方式进行上述业务的收购。</w:t>
            </w:r>
          </w:p>
          <w:p>
            <w:pPr>
              <w:pStyle w:val="TableParagraph"/>
              <w:spacing w:line="312" w:lineRule="auto" w:before="24"/>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）智度股份收购福建智度及其附属公司拥 有的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业务定价原则。由智度股份聘请具 有证券业务资格的资产评估机构依照相关法 </w:t>
            </w:r>
            <w:r>
              <w:rPr>
                <w:rFonts w:ascii="宋体" w:hAnsi="宋体" w:cs="宋体" w:eastAsia="宋体" w:hint="default"/>
                <w:spacing w:val="-1"/>
                <w:sz w:val="18"/>
                <w:szCs w:val="18"/>
              </w:rPr>
              <w:t>律法规的规定，对交易资产进行整体评估，最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终交易价格以交易资产截至评估基准日的评 估值为参考，经交易各方协商确定。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 期未履行 </w:t>
            </w:r>
            <w:r>
              <w:rPr>
                <w:rFonts w:ascii="宋体" w:hAnsi="宋体" w:cs="宋体" w:eastAsia="宋体" w:hint="default"/>
                <w:spacing w:val="-7"/>
                <w:sz w:val="18"/>
                <w:szCs w:val="18"/>
              </w:rPr>
              <w:t>完毕的，应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当详细说 明未完成 履行的具 体原因及 下一步的 工作计划</w:t>
            </w:r>
          </w:p>
        </w:tc>
        <w:tc>
          <w:tcPr>
            <w:tcW w:w="87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40" w:lineRule="auto" w:before="85"/>
        <w:ind w:right="0"/>
        <w:jc w:val="left"/>
      </w:pPr>
      <w:r>
        <w:rPr/>
        <w:t>（</w:t>
      </w:r>
      <w:r>
        <w:rPr>
          <w:rFonts w:ascii="宋体" w:hAnsi="宋体" w:cs="宋体" w:eastAsia="宋体" w:hint="default"/>
        </w:rPr>
        <w:t>1</w:t>
      </w:r>
      <w:r>
        <w:rPr/>
        <w:t>）重要会计政策变更</w:t>
      </w:r>
    </w:p>
    <w:p>
      <w:pPr>
        <w:pStyle w:val="Heading7"/>
        <w:spacing w:line="285" w:lineRule="auto" w:before="50"/>
        <w:ind w:right="0"/>
        <w:jc w:val="left"/>
      </w:pPr>
      <w:r>
        <w:rPr>
          <w:spacing w:val="-1"/>
        </w:rPr>
        <w:t>①根据财政部《关于修订印发</w:t>
      </w:r>
      <w:r>
        <w:rPr>
          <w:rFonts w:ascii="宋体" w:hAnsi="宋体" w:cs="宋体" w:eastAsia="宋体" w:hint="default"/>
          <w:spacing w:val="-1"/>
        </w:rPr>
        <w:t>2018</w:t>
      </w:r>
      <w:r>
        <w:rPr>
          <w:spacing w:val="-1"/>
        </w:rPr>
        <w:t>年度一般企业财务报表格式的通知》（财会</w:t>
      </w:r>
      <w:r>
        <w:rPr>
          <w:rFonts w:ascii="宋体" w:hAnsi="宋体" w:cs="宋体" w:eastAsia="宋体" w:hint="default"/>
          <w:spacing w:val="-1"/>
        </w:rPr>
        <w:t>[2018]15</w:t>
      </w:r>
      <w:r>
        <w:rPr>
          <w:spacing w:val="-1"/>
        </w:rPr>
        <w:t>号），经董事会第八届</w:t>
      </w:r>
      <w:r>
        <w:rPr>
          <w:spacing w:val="-56"/>
        </w:rPr>
        <w:t> </w:t>
      </w:r>
      <w:r>
        <w:rPr>
          <w:spacing w:val="-56"/>
        </w:rPr>
      </w:r>
      <w:r>
        <w:rPr/>
        <w:t>第六次会议决议通过，本公司对财务报表格式进行了以下修订：</w:t>
      </w:r>
    </w:p>
    <w:p>
      <w:pPr>
        <w:pStyle w:val="Heading7"/>
        <w:spacing w:line="285" w:lineRule="auto" w:before="12"/>
        <w:ind w:right="3552"/>
        <w:jc w:val="left"/>
      </w:pPr>
      <w:r>
        <w:rPr>
          <w:rFonts w:ascii="宋体" w:hAnsi="宋体" w:cs="宋体" w:eastAsia="宋体" w:hint="default"/>
        </w:rPr>
        <w:t>A</w:t>
      </w:r>
      <w:r>
        <w:rPr/>
        <w:t>、资产负债表</w:t>
      </w:r>
      <w:r>
        <w:rPr>
          <w:w w:val="100"/>
        </w:rPr>
        <w:t> </w:t>
      </w:r>
      <w:r>
        <w:rPr/>
        <w:t>将原“应收票据”及“应收账款”行项目整合为“应收票据及应收账款”；</w:t>
      </w:r>
      <w:r>
        <w:rPr>
          <w:w w:val="100"/>
        </w:rPr>
        <w:t> </w:t>
      </w:r>
      <w:r>
        <w:rPr/>
        <w:t>将原“应收利息”及“应收股利”行项目归并至“其他应收款”；</w:t>
      </w:r>
      <w:r>
        <w:rPr>
          <w:w w:val="100"/>
        </w:rPr>
        <w:t> </w:t>
      </w:r>
      <w:r>
        <w:rPr/>
        <w:t>将原“固定资产清理”行项目归并至“固定资产”；</w:t>
      </w:r>
      <w:r>
        <w:rPr>
          <w:w w:val="100"/>
        </w:rPr>
        <w:t> </w:t>
      </w:r>
      <w:r>
        <w:rPr/>
        <w:t>将原“工程物资”行项目归并至“在建工程”；</w:t>
      </w:r>
      <w:r>
        <w:rPr>
          <w:w w:val="100"/>
        </w:rPr>
        <w:t> </w:t>
      </w:r>
      <w:r>
        <w:rPr>
          <w:spacing w:val="-1"/>
        </w:rPr>
        <w:t>将原“应付票据”及“应付账款”行项目整合为“应付票据及应付账款”项目；</w:t>
      </w:r>
      <w:r>
        <w:rPr>
          <w:spacing w:val="-73"/>
        </w:rPr>
        <w:t> </w:t>
      </w:r>
      <w:r>
        <w:rPr>
          <w:spacing w:val="-73"/>
        </w:rPr>
      </w:r>
      <w:r>
        <w:rPr/>
        <w:t>将原“应付利息”及“应付股利”行项目归并至“其他应付款”；</w:t>
      </w:r>
      <w:r>
        <w:rPr>
          <w:w w:val="100"/>
        </w:rPr>
        <w:t> </w:t>
      </w:r>
      <w:r>
        <w:rPr/>
        <w:t>将原“专项应付款”行项目归并至“长期应付款”。</w:t>
      </w:r>
    </w:p>
    <w:p>
      <w:pPr>
        <w:pStyle w:val="Heading7"/>
        <w:spacing w:line="285" w:lineRule="auto" w:before="12"/>
        <w:ind w:right="6792"/>
        <w:jc w:val="left"/>
      </w:pPr>
      <w:r>
        <w:rPr>
          <w:rFonts w:ascii="宋体" w:hAnsi="宋体" w:cs="宋体" w:eastAsia="宋体" w:hint="default"/>
        </w:rPr>
        <w:t>B</w:t>
      </w:r>
      <w:r>
        <w:rPr/>
        <w:t>、利润表</w:t>
      </w:r>
      <w:r>
        <w:rPr>
          <w:w w:val="100"/>
        </w:rPr>
        <w:t> </w:t>
      </w:r>
      <w:r>
        <w:rPr>
          <w:spacing w:val="-1"/>
        </w:rPr>
        <w:t>从原“管理费用”中分拆出“研发费用”；</w:t>
      </w:r>
    </w:p>
    <w:p>
      <w:pPr>
        <w:pStyle w:val="Heading7"/>
        <w:spacing w:line="285" w:lineRule="auto" w:before="12"/>
        <w:ind w:right="2525"/>
        <w:jc w:val="left"/>
      </w:pPr>
      <w:r>
        <w:rPr>
          <w:spacing w:val="-1"/>
        </w:rPr>
        <w:t>在“财务费用”行项目下分别列示“利息费用”和“利息收入”明细项目；</w:t>
      </w:r>
      <w:r>
        <w:rPr>
          <w:spacing w:val="-73"/>
        </w:rPr>
        <w:t> </w:t>
      </w:r>
      <w:r>
        <w:rPr>
          <w:spacing w:val="-73"/>
        </w:rPr>
      </w:r>
      <w:r>
        <w:rPr>
          <w:rFonts w:ascii="宋体" w:hAnsi="宋体" w:cs="宋体" w:eastAsia="宋体" w:hint="default"/>
        </w:rPr>
        <w:t>C</w:t>
      </w:r>
      <w:r>
        <w:rPr/>
        <w:t>、股东权益变动表</w:t>
      </w:r>
    </w:p>
    <w:p>
      <w:pPr>
        <w:pStyle w:val="Heading7"/>
        <w:spacing w:line="285" w:lineRule="auto" w:before="12"/>
        <w:ind w:right="0"/>
        <w:jc w:val="left"/>
      </w:pPr>
      <w:r>
        <w:rPr>
          <w:spacing w:val="-4"/>
        </w:rPr>
        <w:t>在“股东权益内部结转”行项目下，将原“结转重新计量设定受益计划净负债或净资产所产生的变动”改为“设</w:t>
      </w:r>
      <w:r>
        <w:rPr>
          <w:spacing w:val="-79"/>
        </w:rPr>
        <w:t> </w:t>
      </w:r>
      <w:r>
        <w:rPr>
          <w:spacing w:val="-79"/>
        </w:rPr>
      </w:r>
      <w:r>
        <w:rPr/>
        <w:t>定受益计划变动额结转留存收益”。</w:t>
      </w:r>
    </w:p>
    <w:p>
      <w:pPr>
        <w:pStyle w:val="Heading7"/>
        <w:spacing w:line="285" w:lineRule="auto" w:before="12"/>
        <w:ind w:right="0"/>
        <w:jc w:val="left"/>
      </w:pPr>
      <w:r>
        <w:rPr/>
        <w:t>本公司对可比期间的比较数据按照财会</w:t>
      </w:r>
      <w:r>
        <w:rPr>
          <w:rFonts w:ascii="宋体" w:hAnsi="宋体" w:cs="宋体" w:eastAsia="宋体" w:hint="default"/>
        </w:rPr>
        <w:t>[2018]15</w:t>
      </w:r>
      <w:r>
        <w:rPr/>
        <w:t>号文进行调整。</w:t>
      </w:r>
      <w:r>
        <w:rPr>
          <w:w w:val="100"/>
        </w:rPr>
        <w:t> </w:t>
      </w:r>
      <w:r>
        <w:rPr>
          <w:spacing w:val="-1"/>
        </w:rPr>
        <w:t>财务报表格式的修订对本公司的资产总额、负债总额、净利润、其他综合收益等无影响。</w:t>
      </w:r>
    </w:p>
    <w:p>
      <w:pPr>
        <w:pStyle w:val="Heading7"/>
        <w:spacing w:line="285" w:lineRule="auto" w:before="12"/>
        <w:ind w:right="0"/>
        <w:jc w:val="left"/>
      </w:pPr>
      <w:r>
        <w:rPr>
          <w:spacing w:val="-2"/>
        </w:rPr>
        <w:t>②根据财政部《关于</w:t>
      </w:r>
      <w:r>
        <w:rPr>
          <w:rFonts w:ascii="宋体" w:hAnsi="宋体" w:cs="宋体" w:eastAsia="宋体" w:hint="default"/>
          <w:spacing w:val="-2"/>
        </w:rPr>
        <w:t>2018</w:t>
      </w:r>
      <w:r>
        <w:rPr>
          <w:spacing w:val="-2"/>
        </w:rPr>
        <w:t>年度一般企业财务报表格式有关问题的解读》，本公司作为个人所得税的扣缴义务人，</w:t>
      </w:r>
      <w:r>
        <w:rPr>
          <w:spacing w:val="-72"/>
        </w:rPr>
        <w:t> </w:t>
      </w:r>
      <w:r>
        <w:rPr>
          <w:spacing w:val="-72"/>
        </w:rPr>
      </w:r>
      <w:r>
        <w:rPr/>
        <w:t>根据《中华人民共和国个人所得税法》收到的扣缴税款手续费在“其他收益”中填列，对可比期间的比较数据</w:t>
      </w:r>
      <w:r>
        <w:rPr>
          <w:w w:val="100"/>
        </w:rPr>
        <w:t> </w:t>
      </w:r>
      <w:r>
        <w:rPr/>
        <w:t>进行调整。本公司可比期间未发生相关事项，调整金额为零。</w:t>
      </w:r>
      <w:r>
        <w:rPr>
          <w:w w:val="100"/>
        </w:rPr>
        <w:t> </w:t>
      </w:r>
      <w:r>
        <w:rPr/>
        <w:t>本公司实际收到的政府补助，无论是与资产相关还是与收益相关，在编制现金流量表时均作为经营活动产生的</w:t>
      </w:r>
      <w:r>
        <w:rPr>
          <w:w w:val="100"/>
        </w:rPr>
        <w:t> </w:t>
      </w:r>
      <w:r>
        <w:rPr/>
        <w:t>现金流量列报，对可比期间的比较数据进行调整。本公司可比期间未发生相关事项，调整金额为零。</w:t>
      </w:r>
    </w:p>
    <w:p>
      <w:pPr>
        <w:pStyle w:val="Heading7"/>
        <w:spacing w:line="285" w:lineRule="auto" w:before="12"/>
        <w:ind w:right="6792"/>
        <w:jc w:val="left"/>
      </w:pPr>
      <w:r>
        <w:rPr/>
        <w:t>（</w:t>
      </w:r>
      <w:r>
        <w:rPr>
          <w:rFonts w:ascii="宋体" w:hAnsi="宋体" w:cs="宋体" w:eastAsia="宋体" w:hint="default"/>
        </w:rPr>
        <w:t>2</w:t>
      </w:r>
      <w:r>
        <w:rPr/>
        <w:t>）重要会计估计变更</w:t>
      </w:r>
      <w:r>
        <w:rPr>
          <w:w w:val="100"/>
        </w:rPr>
        <w:t> </w:t>
      </w:r>
      <w:r>
        <w:rPr>
          <w:spacing w:val="-1"/>
        </w:rPr>
        <w:t>本公司本年度无重要会计估计变更。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40" w:lineRule="auto" w:before="85"/>
        <w:ind w:right="0"/>
        <w:jc w:val="left"/>
      </w:pPr>
      <w:r>
        <w:rPr>
          <w:rFonts w:ascii="宋体" w:hAnsi="宋体" w:cs="宋体" w:eastAsia="宋体" w:hint="default"/>
        </w:rPr>
        <w:t>1</w:t>
      </w:r>
      <w:r>
        <w:rPr/>
        <w:t>、新设子公司导致的合并范围变动情况</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7"/>
        <w:spacing w:line="240" w:lineRule="auto" w:before="38"/>
        <w:ind w:right="0"/>
        <w:jc w:val="left"/>
      </w:pPr>
      <w:r>
        <w:rPr/>
        <w:t>（</w:t>
      </w:r>
      <w:r>
        <w:rPr>
          <w:rFonts w:ascii="宋体" w:hAnsi="宋体" w:cs="宋体" w:eastAsia="宋体" w:hint="default"/>
        </w:rPr>
        <w:t>1</w:t>
      </w:r>
      <w:r>
        <w:rPr/>
        <w:t>）本公司设立全资子公司西藏智度保险经纪有限公司、喀什智优公司。</w:t>
      </w:r>
    </w:p>
    <w:p>
      <w:pPr>
        <w:pStyle w:val="Heading7"/>
        <w:spacing w:line="240" w:lineRule="auto" w:before="50"/>
        <w:ind w:right="0"/>
        <w:jc w:val="left"/>
      </w:pPr>
      <w:r>
        <w:rPr/>
        <w:t>（</w:t>
      </w:r>
      <w:r>
        <w:rPr>
          <w:rFonts w:ascii="宋体" w:hAnsi="宋体" w:cs="宋体" w:eastAsia="宋体" w:hint="default"/>
        </w:rPr>
        <w:t>2</w:t>
      </w:r>
      <w:r>
        <w:rPr/>
        <w:t>）上海亦复信息公司设立全资子公司深圳亦复广告有限公司。</w:t>
      </w:r>
    </w:p>
    <w:p>
      <w:pPr>
        <w:pStyle w:val="Heading7"/>
        <w:spacing w:line="240" w:lineRule="auto" w:before="50"/>
        <w:ind w:right="0"/>
        <w:jc w:val="left"/>
      </w:pPr>
      <w:r>
        <w:rPr/>
        <w:t>（</w:t>
      </w:r>
      <w:r>
        <w:rPr>
          <w:rFonts w:ascii="宋体" w:hAnsi="宋体" w:cs="宋体" w:eastAsia="宋体" w:hint="default"/>
        </w:rPr>
        <w:t>3</w:t>
      </w:r>
      <w:r>
        <w:rPr/>
        <w:t>）深圳范特西公司设立全资子公司深圳市行走科技有限公司。</w:t>
      </w:r>
    </w:p>
    <w:p>
      <w:pPr>
        <w:pStyle w:val="Heading7"/>
        <w:spacing w:line="285" w:lineRule="auto" w:before="50"/>
        <w:ind w:right="0"/>
        <w:jc w:val="left"/>
      </w:pPr>
      <w:r>
        <w:rPr>
          <w:spacing w:val="-1"/>
        </w:rPr>
        <w:t>（</w:t>
      </w:r>
      <w:r>
        <w:rPr>
          <w:rFonts w:ascii="宋体" w:hAnsi="宋体" w:cs="宋体" w:eastAsia="宋体" w:hint="default"/>
          <w:spacing w:val="-1"/>
        </w:rPr>
        <w:t>4</w:t>
      </w:r>
      <w:r>
        <w:rPr>
          <w:spacing w:val="-1"/>
        </w:rPr>
        <w:t>）北京掌汇天下公司设立全资子公司喀什飞鸟网络科技有限公司（以下简称“喀什飞鸟公司”）。</w:t>
      </w:r>
      <w:r>
        <w:rPr>
          <w:spacing w:val="-65"/>
        </w:rPr>
        <w:t> </w:t>
      </w:r>
      <w:r>
        <w:rPr>
          <w:spacing w:val="-65"/>
        </w:rPr>
      </w:r>
      <w:r>
        <w:rPr>
          <w:rFonts w:ascii="宋体" w:hAnsi="宋体" w:cs="宋体" w:eastAsia="宋体" w:hint="default"/>
        </w:rPr>
        <w:t>2</w:t>
      </w:r>
      <w:r>
        <w:rPr/>
        <w:t>、子公司注销导致合并范围的变动</w:t>
      </w:r>
    </w:p>
    <w:p>
      <w:pPr>
        <w:pStyle w:val="Heading7"/>
        <w:spacing w:line="240" w:lineRule="auto" w:before="12"/>
        <w:ind w:right="0"/>
        <w:jc w:val="left"/>
      </w:pPr>
      <w:r>
        <w:rPr>
          <w:rFonts w:ascii="宋体" w:hAnsi="宋体" w:cs="宋体" w:eastAsia="宋体" w:hint="default"/>
        </w:rPr>
        <w:t>Polarity Technologies Ltd.</w:t>
      </w:r>
      <w:r>
        <w:rPr/>
        <w:t>注销全资子公司</w:t>
      </w:r>
      <w:r>
        <w:rPr>
          <w:rFonts w:ascii="宋体" w:hAnsi="宋体" w:cs="宋体" w:eastAsia="宋体" w:hint="default"/>
        </w:rPr>
        <w:t>Polarity Internet Technologies</w:t>
      </w:r>
      <w:r>
        <w:rPr>
          <w:rFonts w:ascii="宋体" w:hAnsi="宋体" w:cs="宋体" w:eastAsia="宋体" w:hint="default"/>
          <w:spacing w:val="-9"/>
        </w:rPr>
        <w:t> </w:t>
      </w:r>
      <w:r>
        <w:rPr>
          <w:rFonts w:ascii="宋体" w:hAnsi="宋体" w:cs="宋体" w:eastAsia="宋体" w:hint="default"/>
        </w:rPr>
        <w:t>SRL</w:t>
      </w: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right="0"/>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倪军 董阳阳</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公司第八届董事会第十三次会议和</w:t>
      </w:r>
      <w:r>
        <w:rPr>
          <w:rFonts w:ascii="Times New Roman" w:hAnsi="Times New Roman" w:cs="Times New Roman" w:eastAsia="Times New Roman" w:hint="default"/>
          <w:spacing w:val="-2"/>
        </w:rPr>
        <w:t>2019</w:t>
      </w:r>
      <w:r>
        <w:rPr>
          <w:spacing w:val="-2"/>
        </w:rPr>
        <w:t>年第二次临时股东大会审议通过了《关于续聘</w:t>
      </w:r>
      <w:r>
        <w:rPr>
          <w:rFonts w:ascii="Times New Roman" w:hAnsi="Times New Roman" w:cs="Times New Roman" w:eastAsia="Times New Roman" w:hint="default"/>
          <w:spacing w:val="-2"/>
        </w:rPr>
        <w:t>2018</w:t>
      </w:r>
      <w:r>
        <w:rPr>
          <w:spacing w:val="-2"/>
        </w:rPr>
        <w:t>年度审计机构的议案》，同意</w:t>
      </w:r>
    </w:p>
    <w:p>
      <w:pPr>
        <w:pStyle w:val="BodyText"/>
        <w:spacing w:line="230" w:lineRule="exact"/>
        <w:ind w:right="0"/>
        <w:jc w:val="left"/>
      </w:pPr>
      <w:r>
        <w:rPr/>
        <w:t>续聘致同会计师事务所（特殊普通合伙）为公司</w:t>
      </w:r>
      <w:r>
        <w:rPr>
          <w:rFonts w:ascii="Times New Roman" w:hAnsi="Times New Roman" w:cs="Times New Roman" w:eastAsia="Times New Roman" w:hint="default"/>
        </w:rPr>
        <w:t>2018</w:t>
      </w:r>
      <w:r>
        <w:rPr/>
        <w:t>年度财务审计机构和内部控制审计机构，聘期一年，财务审计费用为人</w:t>
      </w:r>
    </w:p>
    <w:p>
      <w:pPr>
        <w:pStyle w:val="BodyText"/>
        <w:spacing w:line="240" w:lineRule="auto" w:before="63"/>
        <w:ind w:right="0"/>
        <w:jc w:val="left"/>
      </w:pPr>
      <w:r>
        <w:rPr/>
        <w:t>民币</w:t>
      </w:r>
      <w:r>
        <w:rPr>
          <w:rFonts w:ascii="Times New Roman" w:hAnsi="Times New Roman" w:cs="Times New Roman" w:eastAsia="Times New Roman" w:hint="default"/>
        </w:rPr>
        <w:t>290</w:t>
      </w:r>
      <w:r>
        <w:rPr/>
        <w:t>万元（含税），内部控制审计费用为人民币</w:t>
      </w:r>
      <w:r>
        <w:rPr>
          <w:rFonts w:ascii="Times New Roman" w:hAnsi="Times New Roman" w:cs="Times New Roman" w:eastAsia="Times New Roman" w:hint="default"/>
        </w:rPr>
        <w:t>45</w:t>
      </w:r>
      <w:r>
        <w:rPr/>
        <w:t>万元（含税）。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429pt;margin-top:479.319977pt;width:52.7pt;height:287.6pt;mso-position-horizontal-relative:page;mso-position-vertical-relative:page;z-index:-1264408" coordorigin="8580,9586" coordsize="1054,5752">
            <v:shape style="position:absolute;left:8580;top:9586;width:1054;height:5752" coordorigin="8580,9586" coordsize="1054,5752" path="m8580,15338l9634,15338,9634,9586,8580,9586,8580,15338xe" filled="true" fillcolor="#ffffff" stroked="false">
              <v:path arrowok="t"/>
              <v:fill type="solid"/>
            </v:shape>
            <w10:wrap type="none"/>
          </v:group>
        </w:pict>
      </w:r>
    </w:p>
    <w:p>
      <w:pPr>
        <w:pStyle w:val="Heading2"/>
        <w:spacing w:line="240" w:lineRule="auto" w:before="26"/>
        <w:ind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shape style="position:absolute;margin-left:128.779999pt;margin-top:53.251694pt;width:59.25pt;height:295.4pt;mso-position-horizontal-relative:page;mso-position-vertical-relative:paragraph;z-index:-12644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21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快乐屋（郑州）服 饰有限公司与智度 科技股份前身思达 高科签订了《房地 </w:t>
            </w:r>
            <w:r>
              <w:rPr>
                <w:rFonts w:ascii="宋体" w:hAnsi="宋体" w:cs="宋体" w:eastAsia="宋体" w:hint="default"/>
                <w:spacing w:val="-13"/>
                <w:sz w:val="18"/>
                <w:szCs w:val="18"/>
              </w:rPr>
              <w:t>产买卖契约》，思达</w:t>
            </w:r>
            <w:r>
              <w:rPr>
                <w:rFonts w:ascii="宋体" w:hAnsi="宋体" w:cs="宋体" w:eastAsia="宋体" w:hint="default"/>
                <w:sz w:val="18"/>
                <w:szCs w:val="18"/>
              </w:rPr>
              <w:t> 高科将约定房地产 转让给快乐屋。思 达高科已将土地上 房产过户给快乐 屋，但是由于政府 及政策原因土地一 直无法变更过户。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 快乐屋（郑州）服 饰有限公司向郑州 市仲裁委员会申请 仲裁，郑州市仲裁 委员会于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日作出（</w:t>
            </w:r>
            <w:r>
              <w:rPr>
                <w:rFonts w:ascii="Times New Roman" w:hAnsi="Times New Roman" w:cs="Times New Roman" w:eastAsia="Times New Roman" w:hint="default"/>
                <w:spacing w:val="-4"/>
                <w:sz w:val="18"/>
                <w:szCs w:val="18"/>
              </w:rPr>
              <w:t>2013</w:t>
            </w:r>
          </w:p>
          <w:p>
            <w:pPr>
              <w:pStyle w:val="TableParagraph"/>
              <w:spacing w:line="314" w:lineRule="auto" w:before="63"/>
              <w:ind w:left="22" w:right="56"/>
              <w:jc w:val="left"/>
              <w:rPr>
                <w:rFonts w:ascii="宋体" w:hAnsi="宋体" w:cs="宋体" w:eastAsia="宋体" w:hint="default"/>
                <w:sz w:val="18"/>
                <w:szCs w:val="18"/>
              </w:rPr>
            </w:pPr>
            <w:r>
              <w:rPr>
                <w:rFonts w:ascii="宋体" w:hAnsi="宋体" w:cs="宋体" w:eastAsia="宋体" w:hint="default"/>
                <w:sz w:val="18"/>
                <w:szCs w:val="18"/>
              </w:rPr>
              <w:t>郑仲裁字第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仲裁裁决书，裁决 思达高科协助快乐 屋公司将郑国用 </w:t>
            </w:r>
            <w:r>
              <w:rPr>
                <w:rFonts w:ascii="Times New Roman" w:hAnsi="Times New Roman" w:cs="Times New Roman" w:eastAsia="Times New Roman" w:hint="default"/>
                <w:sz w:val="18"/>
                <w:szCs w:val="18"/>
              </w:rPr>
              <w:t>[1996]</w:t>
            </w: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6" w:lineRule="auto" w:before="1"/>
              <w:ind w:left="22" w:right="87"/>
              <w:jc w:val="left"/>
              <w:rPr>
                <w:rFonts w:ascii="宋体" w:hAnsi="宋体" w:cs="宋体" w:eastAsia="宋体" w:hint="default"/>
                <w:sz w:val="18"/>
                <w:szCs w:val="18"/>
              </w:rPr>
            </w:pPr>
            <w:r>
              <w:rPr>
                <w:rFonts w:ascii="宋体" w:hAnsi="宋体" w:cs="宋体" w:eastAsia="宋体" w:hint="default"/>
                <w:sz w:val="18"/>
                <w:szCs w:val="18"/>
              </w:rPr>
              <w:t>国有土地使用权证 下土地变更过户登 记至快乐屋公司名 下。后由于郑州国 土局及政策等原 因，土地仍无法过 户，后快乐屋到郑 州中院申请强制执 行，郑州中院要求 思达高科协助快乐 屋过户。虽然思达 高科技、智度科技 股份已经积极采取 种种措施协助快乐 屋办理土地过户，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5908" w:lineRule="exact"/>
              <w:ind w:right="-49"/>
              <w:jc w:val="left"/>
              <w:rPr>
                <w:rFonts w:ascii="宋体" w:hAnsi="宋体" w:cs="宋体" w:eastAsia="宋体" w:hint="default"/>
                <w:sz w:val="20"/>
                <w:szCs w:val="20"/>
              </w:rPr>
            </w:pPr>
            <w:r>
              <w:rPr>
                <w:rFonts w:ascii="宋体" w:hAnsi="宋体" w:cs="宋体" w:eastAsia="宋体" w:hint="default"/>
                <w:position w:val="-117"/>
                <w:sz w:val="20"/>
                <w:szCs w:val="20"/>
              </w:rPr>
              <w:pict>
                <v:group style="width:53.05pt;height:295.4pt;mso-position-horizontal-relative:char;mso-position-vertical-relative:line" coordorigin="0,0" coordsize="1061,5908">
                  <v:group style="position:absolute;left:0;top:0;width:1061;height:5908" coordorigin="0,0" coordsize="1061,5908">
                    <v:shape style="position:absolute;left:0;top:0;width:1061;height:5908" coordorigin="0,0" coordsize="1061,5908" path="m0,5908l1061,5908,1061,0,0,0,0,5908xe" filled="true" fillcolor="#ffffff" stroked="false">
                      <v:path arrowok="t"/>
                      <v:fill type="solid"/>
                    </v:shape>
                  </v:group>
                </v:group>
              </w:pict>
            </w:r>
            <w:r>
              <w:rPr>
                <w:rFonts w:ascii="宋体" w:hAnsi="宋体" w:cs="宋体" w:eastAsia="宋体" w:hint="default"/>
                <w:position w:val="-117"/>
                <w:sz w:val="20"/>
                <w:szCs w:val="20"/>
              </w:rPr>
            </w:r>
          </w:p>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已裁决。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智度科技股份 一直在配合执 </w:t>
            </w:r>
            <w:r>
              <w:rPr>
                <w:rFonts w:ascii="宋体" w:hAnsi="宋体" w:cs="宋体" w:eastAsia="宋体" w:hint="default"/>
                <w:spacing w:val="-10"/>
                <w:sz w:val="18"/>
                <w:szCs w:val="18"/>
              </w:rPr>
              <w:t>行，但由于郑州</w:t>
            </w:r>
            <w:r>
              <w:rPr>
                <w:rFonts w:ascii="宋体" w:hAnsi="宋体" w:cs="宋体" w:eastAsia="宋体" w:hint="default"/>
                <w:sz w:val="18"/>
                <w:szCs w:val="18"/>
              </w:rPr>
              <w:t> 土地部门政策 调整等历史原 </w:t>
            </w:r>
            <w:r>
              <w:rPr>
                <w:rFonts w:ascii="宋体" w:hAnsi="宋体" w:cs="宋体" w:eastAsia="宋体" w:hint="default"/>
                <w:spacing w:val="-10"/>
                <w:sz w:val="18"/>
                <w:szCs w:val="18"/>
              </w:rPr>
              <w:t>因，导致至今未</w:t>
            </w:r>
            <w:r>
              <w:rPr>
                <w:rFonts w:ascii="宋体" w:hAnsi="宋体" w:cs="宋体" w:eastAsia="宋体" w:hint="default"/>
                <w:sz w:val="18"/>
                <w:szCs w:val="18"/>
              </w:rPr>
              <w:t> 能将土地过户 到快乐屋名下。 智度科技股份 曾多次与快乐 屋到郑州土地 部门及不动产 登记中心咨询、 申请办理过户， 但均未能成功 </w:t>
            </w:r>
            <w:r>
              <w:rPr>
                <w:rFonts w:ascii="宋体" w:hAnsi="宋体" w:cs="宋体" w:eastAsia="宋体" w:hint="default"/>
                <w:spacing w:val="-10"/>
                <w:sz w:val="18"/>
                <w:szCs w:val="18"/>
              </w:rPr>
              <w:t>办理。目前各方</w:t>
            </w:r>
            <w:r>
              <w:rPr>
                <w:rFonts w:ascii="宋体" w:hAnsi="宋体" w:cs="宋体" w:eastAsia="宋体" w:hint="default"/>
                <w:sz w:val="18"/>
                <w:szCs w:val="18"/>
              </w:rPr>
              <w:t> 仍在协商处理 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5752" w:lineRule="exact"/>
              <w:ind w:right="-50"/>
              <w:jc w:val="left"/>
              <w:rPr>
                <w:rFonts w:ascii="宋体" w:hAnsi="宋体" w:cs="宋体" w:eastAsia="宋体" w:hint="default"/>
                <w:sz w:val="20"/>
                <w:szCs w:val="20"/>
              </w:rPr>
            </w:pPr>
            <w:r>
              <w:rPr>
                <w:rFonts w:ascii="宋体" w:hAnsi="宋体" w:cs="宋体" w:eastAsia="宋体" w:hint="default"/>
                <w:position w:val="-114"/>
                <w:sz w:val="20"/>
                <w:szCs w:val="20"/>
              </w:rPr>
              <w:pict>
                <v:group style="width:52.7pt;height:287.6pt;mso-position-horizontal-relative:char;mso-position-vertical-relative:line" coordorigin="0,0" coordsize="1054,5752">
                  <v:group style="position:absolute;left:0;top:0;width:1054;height:5752" coordorigin="0,0" coordsize="1054,5752">
                    <v:shape style="position:absolute;left:0;top:0;width:1054;height:5752" coordorigin="0,0" coordsize="1054,5752" path="m0,5752l1054,5752,1054,0,0,0,0,5752xe" filled="true" fillcolor="#ffffff" stroked="false">
                      <v:path arrowok="t"/>
                      <v:fill type="solid"/>
                    </v:shape>
                  </v:group>
                </v:group>
              </w:pict>
            </w:r>
            <w:r>
              <w:rPr>
                <w:rFonts w:ascii="宋体" w:hAnsi="宋体" w:cs="宋体" w:eastAsia="宋体" w:hint="default"/>
                <w:position w:val="-114"/>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bl>
    <w:p>
      <w:pPr>
        <w:spacing w:after="0" w:line="30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但至今仍无法成功 办理过户。</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中信国安盟固利电 源技术有限公司起 诉思达高科（被告 四）等被告案（被 告一：黄永宏；被 告二：曲绍强；被 告三：河南思奇科 技投资有限公司； 被告五：深圳联创 立信会计师事务 </w:t>
            </w:r>
            <w:r>
              <w:rPr>
                <w:rFonts w:ascii="宋体" w:hAnsi="宋体" w:cs="宋体" w:eastAsia="宋体" w:hint="default"/>
                <w:spacing w:val="-13"/>
                <w:sz w:val="18"/>
                <w:szCs w:val="18"/>
              </w:rPr>
              <w:t>所）。原告与第三人</w:t>
            </w:r>
            <w:r>
              <w:rPr>
                <w:rFonts w:ascii="宋体" w:hAnsi="宋体" w:cs="宋体" w:eastAsia="宋体" w:hint="default"/>
                <w:sz w:val="18"/>
                <w:szCs w:val="18"/>
              </w:rPr>
              <w:t> 货款债务纠纷，法 院判令第三人向原 告支付货款及违约 金。第三人未履行 生效判决，原告申 请强制执行，但第 三人无可供执行的 财产导致执行程序 终结。因此，原告 起诉第三人的股东 及历任股东。</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月思达高科收 到深圳市福田区人 民法院民事诉状、</w:t>
            </w:r>
          </w:p>
          <w:p>
            <w:pPr>
              <w:pStyle w:val="TableParagraph"/>
              <w:spacing w:line="300"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）深福法民 二初字第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7433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号传 票等诉讼材料。</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二审已出 </w:t>
            </w:r>
            <w:r>
              <w:rPr>
                <w:rFonts w:ascii="宋体" w:hAnsi="宋体" w:cs="宋体" w:eastAsia="宋体" w:hint="default"/>
                <w:spacing w:val="-4"/>
                <w:sz w:val="18"/>
                <w:szCs w:val="18"/>
              </w:rPr>
              <w:t>判决，智度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胜诉。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35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河南天视达通信技 术有限公司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314"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月向河南省郑州 市中级人民法院提 起诉讼，以思达高 科抽逃对河南天视 达通信技术有限公 司的出资款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元为由，要求思达 高科返还出资额 </w:t>
            </w:r>
            <w:r>
              <w:rPr>
                <w:rFonts w:ascii="Times New Roman" w:hAnsi="Times New Roman" w:cs="Times New Roman" w:eastAsia="Times New Roman" w:hint="default"/>
                <w:sz w:val="18"/>
                <w:szCs w:val="18"/>
              </w:rPr>
              <w:t>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二审已出 </w:t>
            </w:r>
            <w:r>
              <w:rPr>
                <w:rFonts w:ascii="宋体" w:hAnsi="宋体" w:cs="宋体" w:eastAsia="宋体" w:hint="default"/>
                <w:spacing w:val="-4"/>
                <w:sz w:val="18"/>
                <w:szCs w:val="18"/>
              </w:rPr>
              <w:t>判决，智度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胜诉。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黄雄与智度科技股 份有限公司劳动纠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一审已出 </w:t>
            </w:r>
            <w:r>
              <w:rPr>
                <w:rFonts w:ascii="宋体" w:hAnsi="宋体" w:cs="宋体" w:eastAsia="宋体" w:hint="default"/>
                <w:spacing w:val="-4"/>
                <w:sz w:val="18"/>
                <w:szCs w:val="18"/>
              </w:rPr>
              <w:t>判决，智度</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34.960007pt;margin-top:696.369995pt;width:51.9pt;height:20.8pt;mso-position-horizontal-relative:page;mso-position-vertical-relative:page;z-index:-1264384" coordorigin="2699,13927" coordsize="1038,416">
            <v:group style="position:absolute;left:2711;top:13939;width:2;height:393" coordorigin="2711,13939" coordsize="2,393">
              <v:shape style="position:absolute;left:2711;top:13939;width:2;height:393" coordorigin="2711,13939" coordsize="0,393" path="m2711,13939l2711,14332e" filled="false" stroked="true" strokeweight="1.140pt" strokecolor="#ffffff">
                <v:path arrowok="t"/>
              </v:shape>
            </v:group>
            <v:group style="position:absolute;left:2722;top:13939;width:1016;height:393" coordorigin="2722,13939" coordsize="1016,393">
              <v:shape style="position:absolute;left:2722;top:13939;width:1016;height:393" coordorigin="2722,13939" coordsize="1016,393" path="m2722,14332l3737,14332,3737,13939,2722,13939,2722,143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395"/>
        <w:gridCol w:w="677"/>
        <w:gridCol w:w="1248"/>
        <w:gridCol w:w="938"/>
        <w:gridCol w:w="1374"/>
        <w:gridCol w:w="1248"/>
        <w:gridCol w:w="1064"/>
        <w:gridCol w:w="1063"/>
      </w:tblGrid>
      <w:tr>
        <w:trPr>
          <w:trHeight w:val="19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both"/>
              <w:rPr>
                <w:rFonts w:ascii="宋体" w:hAnsi="宋体" w:cs="宋体" w:eastAsia="宋体" w:hint="default"/>
                <w:sz w:val="18"/>
                <w:szCs w:val="18"/>
              </w:rPr>
            </w:pPr>
            <w:r>
              <w:rPr>
                <w:rFonts w:ascii="宋体" w:hAnsi="宋体" w:cs="宋体" w:eastAsia="宋体" w:hint="default"/>
                <w:sz w:val="18"/>
                <w:szCs w:val="18"/>
              </w:rPr>
              <w:t>纷，黄雄不服劳动 仲裁裁决，提起诉 讼。</w:t>
            </w:r>
          </w:p>
        </w:tc>
        <w:tc>
          <w:tcPr>
            <w:tcW w:w="1072" w:type="dxa"/>
            <w:gridSpan w:val="2"/>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胜诉。黄雄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不服一审 判决，上 </w:t>
            </w:r>
            <w:r>
              <w:rPr>
                <w:rFonts w:ascii="宋体" w:hAnsi="宋体" w:cs="宋体" w:eastAsia="宋体" w:hint="default"/>
                <w:spacing w:val="-4"/>
                <w:sz w:val="18"/>
                <w:szCs w:val="18"/>
              </w:rPr>
              <w:t>诉。二审已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出判决，智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度胜诉。</w:t>
            </w: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腾讯科技（深圳） 有限公司、深圳市 腾讯计算机系统有 限公司起诉掌汇天 下</w:t>
            </w:r>
            <w:r>
              <w:rPr>
                <w:rFonts w:ascii="宋体" w:hAnsi="宋体" w:cs="宋体" w:eastAsia="宋体" w:hint="default"/>
                <w:spacing w:val="-26"/>
                <w:sz w:val="18"/>
                <w:szCs w:val="18"/>
              </w:rPr>
              <w:t> </w:t>
            </w:r>
            <w:r>
              <w:rPr>
                <w:rFonts w:ascii="宋体" w:hAnsi="宋体" w:cs="宋体" w:eastAsia="宋体" w:hint="default"/>
                <w:sz w:val="18"/>
                <w:szCs w:val="18"/>
              </w:rPr>
              <w:t>《天天炫舞》游</w:t>
            </w:r>
            <w:r>
              <w:rPr>
                <w:rFonts w:ascii="宋体" w:hAnsi="宋体" w:cs="宋体" w:eastAsia="宋体" w:hint="default"/>
                <w:sz w:val="18"/>
                <w:szCs w:val="18"/>
              </w:rPr>
              <w:t> 戏商标权侵权纠纷</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原告撤诉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北京康智乐思网络 科技有限公司公司 起诉厦门美柚科技 有限公司侵犯</w:t>
            </w:r>
            <w:r>
              <w:rPr>
                <w:rFonts w:ascii="Times New Roman" w:hAnsi="Times New Roman" w:cs="Times New Roman" w:eastAsia="Times New Roman" w:hint="default"/>
                <w:sz w:val="18"/>
                <w:szCs w:val="18"/>
              </w:rPr>
              <w:t>"</w:t>
            </w:r>
            <w:r>
              <w:rPr>
                <w:rFonts w:ascii="宋体" w:hAnsi="宋体" w:cs="宋体" w:eastAsia="宋体" w:hint="default"/>
                <w:sz w:val="18"/>
                <w:szCs w:val="18"/>
              </w:rPr>
              <w:t>美 柚</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著作权侵 权纠纷，掌汇天下 为连带被告，掌汇 天下已实际删除了 涉案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，尽到了 平台应尽义务，应 使用避风港原则免 责。</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5"/>
              <w:jc w:val="left"/>
              <w:rPr>
                <w:rFonts w:ascii="宋体" w:hAnsi="宋体" w:cs="宋体" w:eastAsia="宋体" w:hint="default"/>
                <w:sz w:val="18"/>
                <w:szCs w:val="18"/>
              </w:rPr>
            </w:pPr>
            <w:r>
              <w:rPr>
                <w:rFonts w:ascii="宋体" w:hAnsi="宋体" w:cs="宋体" w:eastAsia="宋体" w:hint="default"/>
                <w:spacing w:val="-4"/>
                <w:sz w:val="18"/>
                <w:szCs w:val="18"/>
              </w:rPr>
              <w:t>已开庭，一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审掌汇胜 </w:t>
            </w:r>
            <w:r>
              <w:rPr>
                <w:rFonts w:ascii="宋体" w:hAnsi="宋体" w:cs="宋体" w:eastAsia="宋体" w:hint="default"/>
                <w:spacing w:val="-4"/>
                <w:sz w:val="18"/>
                <w:szCs w:val="18"/>
              </w:rPr>
              <w:t>诉。美柚科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技上诉，二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审未开庭。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北京康智乐思网络 科技有限公司公司 起诉上海禹容网络 科技有限公司侵犯 </w:t>
            </w:r>
            <w:r>
              <w:rPr>
                <w:rFonts w:ascii="Times New Roman" w:hAnsi="Times New Roman" w:cs="Times New Roman" w:eastAsia="Times New Roman" w:hint="default"/>
                <w:sz w:val="18"/>
                <w:szCs w:val="18"/>
              </w:rPr>
              <w:t>"</w:t>
            </w:r>
            <w:r>
              <w:rPr>
                <w:rFonts w:ascii="宋体" w:hAnsi="宋体" w:cs="宋体" w:eastAsia="宋体" w:hint="default"/>
                <w:sz w:val="18"/>
                <w:szCs w:val="18"/>
              </w:rPr>
              <w:t>大姨吗</w:t>
            </w:r>
            <w:r>
              <w:rPr>
                <w:rFonts w:ascii="Times New Roman" w:hAnsi="Times New Roman" w:cs="Times New Roman" w:eastAsia="Times New Roman" w:hint="default"/>
                <w:sz w:val="18"/>
                <w:szCs w:val="18"/>
              </w:rPr>
              <w:t>"</w:t>
            </w:r>
            <w:r>
              <w:rPr>
                <w:rFonts w:ascii="宋体" w:hAnsi="宋体" w:cs="宋体" w:eastAsia="宋体" w:hint="default"/>
                <w:sz w:val="18"/>
                <w:szCs w:val="18"/>
              </w:rPr>
              <w:t>商标权侵 权纠纷，掌汇天下 为连带被告，掌汇 天下已实际删除了 涉案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，尽到了 平台应尽义务，应 使用避风港原则免 责。</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483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二审已出 </w:t>
            </w:r>
            <w:r>
              <w:rPr>
                <w:rFonts w:ascii="宋体" w:hAnsi="宋体" w:cs="宋体" w:eastAsia="宋体" w:hint="default"/>
                <w:spacing w:val="-4"/>
                <w:sz w:val="18"/>
                <w:szCs w:val="18"/>
              </w:rPr>
              <w:t>判决，掌汇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胜诉。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22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北京萝卜特科技有 限公司起诉北京联 想调频科技有限公 </w:t>
            </w:r>
            <w:r>
              <w:rPr>
                <w:rFonts w:ascii="宋体" w:hAnsi="宋体" w:cs="宋体" w:eastAsia="宋体" w:hint="default"/>
                <w:spacing w:val="-4"/>
                <w:sz w:val="18"/>
                <w:szCs w:val="18"/>
              </w:rPr>
              <w:t>司侵犯《超级酒保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游戏著作权侵权纠 纷，掌汇天下被追 加为第三人。</w:t>
            </w:r>
          </w:p>
        </w:tc>
        <w:tc>
          <w:tcPr>
            <w:tcW w:w="3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6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6.57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
              <w:jc w:val="left"/>
              <w:rPr>
                <w:rFonts w:ascii="宋体" w:hAnsi="宋体" w:cs="宋体" w:eastAsia="宋体" w:hint="default"/>
                <w:sz w:val="18"/>
                <w:szCs w:val="18"/>
              </w:rPr>
            </w:pPr>
            <w:r>
              <w:rPr>
                <w:rFonts w:ascii="宋体" w:hAnsi="宋体" w:cs="宋体" w:eastAsia="宋体" w:hint="default"/>
                <w:sz w:val="18"/>
                <w:szCs w:val="18"/>
              </w:rPr>
              <w:t>一审判决 联想与掌 汇承担共 </w:t>
            </w:r>
            <w:r>
              <w:rPr>
                <w:rFonts w:ascii="宋体" w:hAnsi="宋体" w:cs="宋体" w:eastAsia="宋体" w:hint="default"/>
                <w:spacing w:val="-4"/>
                <w:sz w:val="18"/>
                <w:szCs w:val="18"/>
              </w:rPr>
              <w:t>同责任，掌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汇已上诉， 二审期间 联想调频</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bl>
    <w:p>
      <w:pPr>
        <w:spacing w:after="0" w:line="30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34.960007pt;margin-top:305.149994pt;width:51.9pt;height:20.8pt;mso-position-horizontal-relative:page;mso-position-vertical-relative:page;z-index:-1264360" coordorigin="2699,6103" coordsize="1038,416">
            <v:group style="position:absolute;left:2711;top:6114;width:2;height:393" coordorigin="2711,6114" coordsize="2,393">
              <v:shape style="position:absolute;left:2711;top:6114;width:2;height:393" coordorigin="2711,6114" coordsize="0,393" path="m2711,6114l2711,6507e" filled="false" stroked="true" strokeweight="1.140pt" strokecolor="#ffffff">
                <v:path arrowok="t"/>
              </v:shape>
            </v:group>
            <v:group style="position:absolute;left:2722;top:6114;width:1016;height:393" coordorigin="2722,6114" coordsize="1016,393">
              <v:shape style="position:absolute;left:2722;top:6114;width:1016;height:393" coordorigin="2722,6114" coordsize="1016,393" path="m2722,6507l3737,6507,3737,6114,2722,6114,2722,6507xe" filled="true" fillcolor="#ffffff" stroked="false">
                <v:path arrowok="t"/>
                <v:fill type="solid"/>
              </v:shape>
            </v:group>
            <w10:wrap type="none"/>
          </v:group>
        </w:pict>
      </w:r>
      <w:r>
        <w:rPr/>
        <w:pict>
          <v:group style="position:absolute;margin-left:134.960007pt;margin-top:403.249969pt;width:51.9pt;height:20.8pt;mso-position-horizontal-relative:page;mso-position-vertical-relative:page;z-index:-1264336" coordorigin="2699,8065" coordsize="1038,416">
            <v:group style="position:absolute;left:2711;top:8076;width:2;height:393" coordorigin="2711,8076" coordsize="2,393">
              <v:shape style="position:absolute;left:2711;top:8076;width:2;height:393" coordorigin="2711,8076" coordsize="0,393" path="m2711,8076l2711,8469e" filled="false" stroked="true" strokeweight="1.140pt" strokecolor="#ffffff">
                <v:path arrowok="t"/>
              </v:shape>
            </v:group>
            <v:group style="position:absolute;left:2722;top:8076;width:1016;height:393" coordorigin="2722,8076" coordsize="1016,393">
              <v:shape style="position:absolute;left:2722;top:8076;width:1016;height:393" coordorigin="2722,8076" coordsize="1016,393" path="m2722,8469l3737,8469,3737,8076,2722,8076,2722,846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395"/>
        <w:gridCol w:w="677"/>
        <w:gridCol w:w="1248"/>
        <w:gridCol w:w="938"/>
        <w:gridCol w:w="1374"/>
        <w:gridCol w:w="1248"/>
        <w:gridCol w:w="1064"/>
        <w:gridCol w:w="1063"/>
      </w:tblGrid>
      <w:tr>
        <w:trPr>
          <w:trHeight w:val="192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gridSpan w:val="2"/>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与萝卜特 达成和解， 萝卜特撤 回对掌汇 的一审起 诉。</w:t>
            </w: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北京萝卜特科技有 限公司起诉掌汇天 下侵犯《植物总动 </w:t>
            </w:r>
            <w:r>
              <w:rPr>
                <w:rFonts w:ascii="宋体" w:hAnsi="宋体" w:cs="宋体" w:eastAsia="宋体" w:hint="default"/>
                <w:spacing w:val="-13"/>
                <w:sz w:val="18"/>
                <w:szCs w:val="18"/>
              </w:rPr>
              <w:t>员》、游戏著作权侵</w:t>
            </w:r>
            <w:r>
              <w:rPr>
                <w:rFonts w:ascii="宋体" w:hAnsi="宋体" w:cs="宋体" w:eastAsia="宋体" w:hint="default"/>
                <w:sz w:val="18"/>
                <w:szCs w:val="18"/>
              </w:rPr>
              <w:t> 权纠纷</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北京萝卜特科技有 限公司起诉掌汇天 </w:t>
            </w:r>
            <w:r>
              <w:rPr>
                <w:rFonts w:ascii="宋体" w:hAnsi="宋体" w:cs="宋体" w:eastAsia="宋体" w:hint="default"/>
                <w:spacing w:val="-4"/>
                <w:sz w:val="18"/>
                <w:szCs w:val="18"/>
              </w:rPr>
              <w:t>下侵犯《傲视长空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游戏著作权侵权纠 纷</w:t>
            </w:r>
          </w:p>
        </w:tc>
        <w:tc>
          <w:tcPr>
            <w:tcW w:w="3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6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北京萝卜特科技有 限公司起诉掌汇天 </w:t>
            </w:r>
            <w:r>
              <w:rPr>
                <w:rFonts w:ascii="宋体" w:hAnsi="宋体" w:cs="宋体" w:eastAsia="宋体" w:hint="default"/>
                <w:spacing w:val="-4"/>
                <w:sz w:val="18"/>
                <w:szCs w:val="18"/>
              </w:rPr>
              <w:t>下侵犯《超级酒保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游戏著作权侵权纠 纷</w:t>
            </w:r>
          </w:p>
        </w:tc>
        <w:tc>
          <w:tcPr>
            <w:tcW w:w="3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6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北京中文在线数字 出版集团股份有限 公司起诉掌汇天下 电子书著作权侵权 纠纷</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北京拾全影源影像 有限公司起诉掌汇 天下图片侵权纠 纷，掌汇天下已申 请追加图片上传者 为第三人</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4"/>
                <w:sz w:val="18"/>
                <w:szCs w:val="18"/>
              </w:rPr>
              <w:t>已和解（掌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汇不承担 赔偿责任）</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02" w:lineRule="auto" w:before="31"/>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 》</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领猎网络科技（上 海）有限公司诉广 州市智度互联网小 额贷款有限公司</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执行和解</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为促进公司建立、健全有效的激励约束机制，充分调动公司管理层及核心技术人员和业务人员的积极性，有效地将股东</w:t>
      </w:r>
    </w:p>
    <w:p>
      <w:pPr>
        <w:pStyle w:val="BodyText"/>
        <w:spacing w:line="316" w:lineRule="auto" w:before="2"/>
        <w:ind w:right="0"/>
        <w:jc w:val="left"/>
      </w:pPr>
      <w:r>
        <w:rPr>
          <w:spacing w:val="-2"/>
        </w:rPr>
        <w:t>利益、公司利益和员工个人利益紧密结合，使各方共同关注公司的可持续发展，确保公司发展战略和经营目标的实现，公司</w:t>
      </w:r>
      <w:r>
        <w:rPr>
          <w:spacing w:val="-66"/>
        </w:rPr>
        <w:t> </w:t>
      </w:r>
      <w:r>
        <w:rPr>
          <w:spacing w:val="-66"/>
        </w:rPr>
      </w:r>
      <w:r>
        <w:rPr/>
        <w:t>决定实施限制性股票激励计划和股票期权激励计划。</w:t>
      </w:r>
    </w:p>
    <w:p>
      <w:pPr>
        <w:pStyle w:val="BodyText"/>
        <w:spacing w:line="240" w:lineRule="auto" w:before="19"/>
        <w:ind w:left="514" w:right="0"/>
        <w:jc w:val="left"/>
      </w:pPr>
      <w:r>
        <w:rPr/>
        <w:t>一、限制性股票激励计划</w:t>
      </w:r>
    </w:p>
    <w:p>
      <w:pPr>
        <w:pStyle w:val="BodyText"/>
        <w:spacing w:line="240" w:lineRule="auto" w:before="76"/>
        <w:ind w:left="514" w:right="0"/>
        <w:jc w:val="left"/>
      </w:pPr>
      <w:r>
        <w:rPr/>
        <w:t>（一）、激励计划概述</w:t>
      </w:r>
    </w:p>
    <w:p>
      <w:pPr>
        <w:pStyle w:val="BodyText"/>
        <w:spacing w:line="316" w:lineRule="auto" w:before="76"/>
        <w:ind w:right="1117" w:firstLine="360"/>
        <w:jc w:val="left"/>
      </w:pP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21 </w:t>
      </w:r>
      <w:r>
        <w:rPr>
          <w:spacing w:val="-5"/>
        </w:rPr>
        <w:t>日，公司召开 </w:t>
      </w:r>
      <w:r>
        <w:rPr>
          <w:rFonts w:ascii="宋体" w:hAnsi="宋体" w:cs="宋体" w:eastAsia="宋体" w:hint="default"/>
        </w:rPr>
        <w:t>2018 </w:t>
      </w:r>
      <w:r>
        <w:rPr/>
        <w:t>年第五次临时股东大会，审议通过了《关于</w:t>
      </w:r>
      <w:r>
        <w:rPr>
          <w:rFonts w:ascii="宋体" w:hAnsi="宋体" w:cs="宋体" w:eastAsia="宋体" w:hint="default"/>
        </w:rPr>
        <w:t>&lt;</w:t>
      </w:r>
      <w:r>
        <w:rPr/>
        <w:t>智度科技股份有限公司 </w:t>
      </w:r>
      <w:r>
        <w:rPr>
          <w:rFonts w:ascii="宋体" w:hAnsi="宋体" w:cs="宋体" w:eastAsia="宋体" w:hint="default"/>
        </w:rPr>
        <w:t>2018</w:t>
      </w:r>
      <w:r>
        <w:rPr>
          <w:rFonts w:ascii="宋体" w:hAnsi="宋体" w:cs="宋体" w:eastAsia="宋体" w:hint="default"/>
          <w:spacing w:val="-50"/>
        </w:rPr>
        <w:t> </w:t>
      </w:r>
      <w:r>
        <w:rPr/>
        <w:t>年度 限制性股票激励计划（草案）</w:t>
      </w:r>
      <w:r>
        <w:rPr>
          <w:rFonts w:ascii="宋体" w:hAnsi="宋体" w:cs="宋体" w:eastAsia="宋体" w:hint="default"/>
        </w:rPr>
        <w:t>&gt;</w:t>
      </w:r>
      <w:r>
        <w:rPr/>
        <w:t>及其摘要的议案》，其主要内容如下：</w:t>
      </w:r>
    </w:p>
    <w:p>
      <w:pPr>
        <w:pStyle w:val="BodyText"/>
        <w:spacing w:line="240" w:lineRule="auto" w:before="19"/>
        <w:ind w:left="514" w:right="0"/>
        <w:jc w:val="left"/>
      </w:pPr>
      <w:r>
        <w:rPr>
          <w:rFonts w:ascii="宋体" w:hAnsi="宋体" w:cs="宋体" w:eastAsia="宋体" w:hint="default"/>
        </w:rPr>
        <w:t>1</w:t>
      </w:r>
      <w:r>
        <w:rPr/>
        <w:t>、本激励计划拟授予给激励对象的激励工具为限制性股票；</w:t>
      </w:r>
    </w:p>
    <w:p>
      <w:pPr>
        <w:pStyle w:val="BodyText"/>
        <w:spacing w:line="240" w:lineRule="auto" w:before="76"/>
        <w:ind w:left="514" w:right="0"/>
        <w:jc w:val="left"/>
      </w:pPr>
      <w:r>
        <w:rPr>
          <w:rFonts w:ascii="宋体" w:hAnsi="宋体" w:cs="宋体" w:eastAsia="宋体" w:hint="default"/>
        </w:rPr>
        <w:t>2</w:t>
      </w:r>
      <w:r>
        <w:rPr/>
        <w:t>、本激励计划所涉标的股票来源为公司向激励对象定向发行的人民币 </w:t>
      </w:r>
      <w:r>
        <w:rPr>
          <w:rFonts w:ascii="宋体" w:hAnsi="宋体" w:cs="宋体" w:eastAsia="宋体" w:hint="default"/>
        </w:rPr>
        <w:t>A</w:t>
      </w:r>
      <w:r>
        <w:rPr/>
        <w:t>股普通股股票；</w:t>
      </w:r>
    </w:p>
    <w:p>
      <w:pPr>
        <w:pStyle w:val="BodyText"/>
        <w:spacing w:line="319" w:lineRule="auto" w:before="76"/>
        <w:ind w:right="1122" w:firstLine="360"/>
        <w:jc w:val="left"/>
      </w:pPr>
      <w:r>
        <w:rPr>
          <w:rFonts w:ascii="宋体" w:hAnsi="宋体" w:cs="宋体" w:eastAsia="宋体" w:hint="default"/>
        </w:rPr>
        <w:t>3</w:t>
      </w:r>
      <w:r>
        <w:rPr/>
        <w:t>、本激励计划涉及的激励对象共计 </w:t>
      </w:r>
      <w:r>
        <w:rPr>
          <w:rFonts w:ascii="宋体" w:hAnsi="宋体" w:cs="宋体" w:eastAsia="宋体" w:hint="default"/>
        </w:rPr>
        <w:t>42 </w:t>
      </w:r>
      <w:r>
        <w:rPr/>
        <w:t>人，包括公司董事、高管、中层管理人员及核心业务（技术）骨干人员，具体 分配如下表：</w:t>
      </w:r>
    </w:p>
    <w:tbl>
      <w:tblPr>
        <w:tblW w:w="0" w:type="auto"/>
        <w:jc w:val="left"/>
        <w:tblInd w:w="146" w:type="dxa"/>
        <w:tblLayout w:type="fixed"/>
        <w:tblCellMar>
          <w:top w:w="0" w:type="dxa"/>
          <w:left w:w="0" w:type="dxa"/>
          <w:bottom w:w="0" w:type="dxa"/>
          <w:right w:w="0" w:type="dxa"/>
        </w:tblCellMar>
        <w:tblLook w:val="01E0"/>
      </w:tblPr>
      <w:tblGrid>
        <w:gridCol w:w="1136"/>
        <w:gridCol w:w="1985"/>
        <w:gridCol w:w="1702"/>
        <w:gridCol w:w="2409"/>
        <w:gridCol w:w="1843"/>
      </w:tblGrid>
      <w:tr>
        <w:trPr>
          <w:trHeight w:val="661" w:hRule="exact"/>
        </w:trPr>
        <w:tc>
          <w:tcPr>
            <w:tcW w:w="113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c>
          <w:tcPr>
            <w:tcW w:w="1702"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1"/>
              <w:ind w:left="478" w:right="27" w:hanging="452"/>
              <w:jc w:val="left"/>
              <w:rPr>
                <w:rFonts w:ascii="宋体" w:hAnsi="宋体" w:cs="宋体" w:eastAsia="宋体" w:hint="default"/>
                <w:sz w:val="18"/>
                <w:szCs w:val="18"/>
              </w:rPr>
            </w:pPr>
            <w:r>
              <w:rPr>
                <w:rFonts w:ascii="宋体" w:hAnsi="宋体" w:cs="宋体" w:eastAsia="宋体" w:hint="default"/>
                <w:b/>
                <w:bCs/>
                <w:sz w:val="18"/>
                <w:szCs w:val="18"/>
              </w:rPr>
              <w:t>获授的限制性股票数</w:t>
            </w:r>
            <w:r>
              <w:rPr>
                <w:rFonts w:ascii="宋体" w:hAnsi="宋体" w:cs="宋体" w:eastAsia="宋体" w:hint="default"/>
                <w:b/>
                <w:bCs/>
                <w:w w:val="99"/>
                <w:sz w:val="18"/>
                <w:szCs w:val="18"/>
              </w:rPr>
              <w:t> </w:t>
            </w:r>
            <w:r>
              <w:rPr>
                <w:rFonts w:ascii="宋体" w:hAnsi="宋体" w:cs="宋体" w:eastAsia="宋体" w:hint="default"/>
                <w:b/>
                <w:bCs/>
                <w:sz w:val="18"/>
                <w:szCs w:val="18"/>
              </w:rPr>
              <w:t>量（股）</w:t>
            </w:r>
            <w:r>
              <w:rPr>
                <w:rFonts w:ascii="宋体" w:hAnsi="宋体" w:cs="宋体" w:eastAsia="宋体" w:hint="default"/>
                <w:sz w:val="18"/>
                <w:szCs w:val="18"/>
              </w:rPr>
            </w:r>
          </w:p>
        </w:tc>
        <w:tc>
          <w:tcPr>
            <w:tcW w:w="2409"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1"/>
              <w:ind w:left="832" w:right="20" w:hanging="813"/>
              <w:jc w:val="left"/>
              <w:rPr>
                <w:rFonts w:ascii="宋体" w:hAnsi="宋体" w:cs="宋体" w:eastAsia="宋体" w:hint="default"/>
                <w:sz w:val="18"/>
                <w:szCs w:val="18"/>
              </w:rPr>
            </w:pPr>
            <w:r>
              <w:rPr>
                <w:rFonts w:ascii="宋体" w:hAnsi="宋体" w:cs="宋体" w:eastAsia="宋体" w:hint="default"/>
                <w:b/>
                <w:bCs/>
                <w:sz w:val="18"/>
                <w:szCs w:val="18"/>
              </w:rPr>
              <w:t>占本计划拟授予限制性股票总</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sz w:val="18"/>
                <w:szCs w:val="18"/>
              </w:rPr>
            </w:r>
          </w:p>
        </w:tc>
        <w:tc>
          <w:tcPr>
            <w:tcW w:w="1843"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1"/>
              <w:ind w:left="730" w:right="8" w:hanging="723"/>
              <w:jc w:val="left"/>
              <w:rPr>
                <w:rFonts w:ascii="宋体" w:hAnsi="宋体" w:cs="宋体" w:eastAsia="宋体" w:hint="default"/>
                <w:sz w:val="18"/>
                <w:szCs w:val="18"/>
              </w:rPr>
            </w:pPr>
            <w:r>
              <w:rPr>
                <w:rFonts w:ascii="宋体" w:hAnsi="宋体" w:cs="宋体" w:eastAsia="宋体" w:hint="default"/>
                <w:b/>
                <w:bCs/>
                <w:sz w:val="18"/>
                <w:szCs w:val="18"/>
              </w:rPr>
              <w:t>占本计划公告日总股本</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7"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赵立仁</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4,500,000</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869"/>
              <w:jc w:val="right"/>
              <w:rPr>
                <w:rFonts w:ascii="Times New Roman" w:hAnsi="Times New Roman" w:cs="Times New Roman" w:eastAsia="Times New Roman" w:hint="default"/>
                <w:sz w:val="18"/>
                <w:szCs w:val="18"/>
              </w:rPr>
            </w:pPr>
            <w:r>
              <w:rPr>
                <w:rFonts w:ascii="Times New Roman"/>
                <w:sz w:val="18"/>
              </w:rPr>
              <w:t>8.2889%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89" w:right="0"/>
              <w:jc w:val="left"/>
              <w:rPr>
                <w:rFonts w:ascii="Times New Roman" w:hAnsi="Times New Roman" w:cs="Times New Roman" w:eastAsia="Times New Roman" w:hint="default"/>
                <w:sz w:val="18"/>
                <w:szCs w:val="18"/>
              </w:rPr>
            </w:pPr>
            <w:r>
              <w:rPr>
                <w:rFonts w:ascii="Times New Roman"/>
                <w:sz w:val="18"/>
              </w:rPr>
              <w:t>0.4660%</w:t>
            </w:r>
          </w:p>
        </w:tc>
      </w:tr>
      <w:tr>
        <w:trPr>
          <w:trHeight w:val="347"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4,250,000</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869"/>
              <w:jc w:val="right"/>
              <w:rPr>
                <w:rFonts w:ascii="Times New Roman" w:hAnsi="Times New Roman" w:cs="Times New Roman" w:eastAsia="Times New Roman" w:hint="default"/>
                <w:sz w:val="18"/>
                <w:szCs w:val="18"/>
              </w:rPr>
            </w:pPr>
            <w:r>
              <w:rPr>
                <w:rFonts w:ascii="Times New Roman"/>
                <w:sz w:val="18"/>
              </w:rPr>
              <w:t>7.8284%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89" w:right="0"/>
              <w:jc w:val="left"/>
              <w:rPr>
                <w:rFonts w:ascii="Times New Roman" w:hAnsi="Times New Roman" w:cs="Times New Roman" w:eastAsia="Times New Roman" w:hint="default"/>
                <w:sz w:val="18"/>
                <w:szCs w:val="18"/>
              </w:rPr>
            </w:pPr>
            <w:r>
              <w:rPr>
                <w:rFonts w:ascii="Times New Roman"/>
                <w:sz w:val="18"/>
              </w:rPr>
              <w:t>0.4401%</w:t>
            </w:r>
          </w:p>
        </w:tc>
      </w:tr>
      <w:tr>
        <w:trPr>
          <w:trHeight w:val="348"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汤政</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3,418,537</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869"/>
              <w:jc w:val="right"/>
              <w:rPr>
                <w:rFonts w:ascii="Times New Roman" w:hAnsi="Times New Roman" w:cs="Times New Roman" w:eastAsia="Times New Roman" w:hint="default"/>
                <w:sz w:val="18"/>
                <w:szCs w:val="18"/>
              </w:rPr>
            </w:pPr>
            <w:r>
              <w:rPr>
                <w:rFonts w:ascii="Times New Roman"/>
                <w:sz w:val="18"/>
              </w:rPr>
              <w:t>6.2969%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89" w:right="0"/>
              <w:jc w:val="left"/>
              <w:rPr>
                <w:rFonts w:ascii="Times New Roman" w:hAnsi="Times New Roman" w:cs="Times New Roman" w:eastAsia="Times New Roman" w:hint="default"/>
                <w:sz w:val="18"/>
                <w:szCs w:val="18"/>
              </w:rPr>
            </w:pPr>
            <w:r>
              <w:rPr>
                <w:rFonts w:ascii="Times New Roman"/>
                <w:sz w:val="18"/>
              </w:rPr>
              <w:t>0.3540%</w:t>
            </w:r>
          </w:p>
        </w:tc>
      </w:tr>
      <w:tr>
        <w:trPr>
          <w:trHeight w:val="347"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李凌霄</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2,200,000</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869"/>
              <w:jc w:val="right"/>
              <w:rPr>
                <w:rFonts w:ascii="Times New Roman" w:hAnsi="Times New Roman" w:cs="Times New Roman" w:eastAsia="Times New Roman" w:hint="default"/>
                <w:sz w:val="18"/>
                <w:szCs w:val="18"/>
              </w:rPr>
            </w:pPr>
            <w:r>
              <w:rPr>
                <w:rFonts w:ascii="Times New Roman"/>
                <w:sz w:val="18"/>
              </w:rPr>
              <w:t>4.0524%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589" w:right="0"/>
              <w:jc w:val="left"/>
              <w:rPr>
                <w:rFonts w:ascii="Times New Roman" w:hAnsi="Times New Roman" w:cs="Times New Roman" w:eastAsia="Times New Roman" w:hint="default"/>
                <w:sz w:val="18"/>
                <w:szCs w:val="18"/>
              </w:rPr>
            </w:pPr>
            <w:r>
              <w:rPr>
                <w:rFonts w:ascii="Times New Roman"/>
                <w:sz w:val="18"/>
              </w:rPr>
              <w:t>0.2278%</w:t>
            </w:r>
          </w:p>
        </w:tc>
      </w:tr>
      <w:tr>
        <w:trPr>
          <w:trHeight w:val="347"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刘韡</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2,150,000</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869"/>
              <w:jc w:val="right"/>
              <w:rPr>
                <w:rFonts w:ascii="Times New Roman" w:hAnsi="Times New Roman" w:cs="Times New Roman" w:eastAsia="Times New Roman" w:hint="default"/>
                <w:sz w:val="18"/>
                <w:szCs w:val="18"/>
              </w:rPr>
            </w:pPr>
            <w:r>
              <w:rPr>
                <w:rFonts w:ascii="Times New Roman"/>
                <w:sz w:val="18"/>
              </w:rPr>
              <w:t>3.9603%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89" w:right="0"/>
              <w:jc w:val="left"/>
              <w:rPr>
                <w:rFonts w:ascii="Times New Roman" w:hAnsi="Times New Roman" w:cs="Times New Roman" w:eastAsia="Times New Roman" w:hint="default"/>
                <w:sz w:val="18"/>
                <w:szCs w:val="18"/>
              </w:rPr>
            </w:pPr>
            <w:r>
              <w:rPr>
                <w:rFonts w:ascii="Times New Roman"/>
                <w:sz w:val="18"/>
              </w:rPr>
              <w:t>0.2226%</w:t>
            </w:r>
          </w:p>
        </w:tc>
      </w:tr>
      <w:tr>
        <w:trPr>
          <w:trHeight w:val="659" w:hRule="exact"/>
        </w:trPr>
        <w:tc>
          <w:tcPr>
            <w:tcW w:w="3120" w:type="dxa"/>
            <w:gridSpan w:val="2"/>
            <w:tcBorders>
              <w:top w:val="single" w:sz="8" w:space="0" w:color="000000"/>
              <w:left w:val="single" w:sz="6" w:space="0" w:color="000000"/>
              <w:bottom w:val="single" w:sz="8" w:space="0" w:color="000000"/>
              <w:right w:val="single" w:sz="8" w:space="0" w:color="000000"/>
            </w:tcBorders>
          </w:tcPr>
          <w:p>
            <w:pPr>
              <w:pStyle w:val="TableParagraph"/>
              <w:spacing w:line="316" w:lineRule="auto" w:before="16"/>
              <w:ind w:left="919" w:right="15" w:hanging="903"/>
              <w:jc w:val="left"/>
              <w:rPr>
                <w:rFonts w:ascii="宋体" w:hAnsi="宋体" w:cs="宋体" w:eastAsia="宋体" w:hint="default"/>
                <w:sz w:val="18"/>
                <w:szCs w:val="18"/>
              </w:rPr>
            </w:pPr>
            <w:r>
              <w:rPr>
                <w:rFonts w:ascii="宋体" w:hAnsi="宋体" w:cs="宋体" w:eastAsia="宋体" w:hint="default"/>
                <w:b/>
                <w:bCs/>
                <w:sz w:val="18"/>
                <w:szCs w:val="18"/>
              </w:rPr>
              <w:t>中层管理人员及核心业务（技术）骨干</w:t>
            </w:r>
            <w:r>
              <w:rPr>
                <w:rFonts w:ascii="宋体" w:hAnsi="宋体" w:cs="宋体" w:eastAsia="宋体" w:hint="default"/>
                <w:b/>
                <w:bCs/>
                <w:w w:val="99"/>
                <w:sz w:val="18"/>
                <w:szCs w:val="18"/>
              </w:rPr>
              <w:t> </w:t>
            </w:r>
            <w:r>
              <w:rPr>
                <w:rFonts w:ascii="宋体" w:hAnsi="宋体" w:cs="宋体" w:eastAsia="宋体" w:hint="default"/>
                <w:b/>
                <w:bCs/>
                <w:sz w:val="18"/>
                <w:szCs w:val="18"/>
              </w:rPr>
              <w:t>人员（共</w:t>
            </w:r>
            <w:r>
              <w:rPr>
                <w:rFonts w:ascii="Times New Roman" w:hAnsi="Times New Roman" w:cs="Times New Roman" w:eastAsia="Times New Roman" w:hint="default"/>
                <w:b/>
                <w:bCs/>
                <w:sz w:val="18"/>
                <w:szCs w:val="18"/>
              </w:rPr>
              <w:t>37</w:t>
            </w:r>
            <w:r>
              <w:rPr>
                <w:rFonts w:ascii="宋体" w:hAnsi="宋体" w:cs="宋体" w:eastAsia="宋体" w:hint="default"/>
                <w:b/>
                <w:bCs/>
                <w:sz w:val="18"/>
                <w:szCs w:val="18"/>
              </w:rPr>
              <w:t>人）</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37,770,756</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825"/>
              <w:jc w:val="right"/>
              <w:rPr>
                <w:rFonts w:ascii="Times New Roman" w:hAnsi="Times New Roman" w:cs="Times New Roman" w:eastAsia="Times New Roman" w:hint="default"/>
                <w:sz w:val="18"/>
                <w:szCs w:val="18"/>
              </w:rPr>
            </w:pPr>
            <w:r>
              <w:rPr>
                <w:rFonts w:ascii="Times New Roman"/>
                <w:sz w:val="18"/>
              </w:rPr>
              <w:t>69.5731%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89" w:right="0"/>
              <w:jc w:val="left"/>
              <w:rPr>
                <w:rFonts w:ascii="Times New Roman" w:hAnsi="Times New Roman" w:cs="Times New Roman" w:eastAsia="Times New Roman" w:hint="default"/>
                <w:sz w:val="18"/>
                <w:szCs w:val="18"/>
              </w:rPr>
            </w:pPr>
            <w:r>
              <w:rPr>
                <w:rFonts w:ascii="Times New Roman"/>
                <w:sz w:val="18"/>
              </w:rPr>
              <w:t>3.9112%</w:t>
            </w:r>
          </w:p>
        </w:tc>
      </w:tr>
      <w:tr>
        <w:trPr>
          <w:trHeight w:val="348" w:hRule="exact"/>
        </w:trPr>
        <w:tc>
          <w:tcPr>
            <w:tcW w:w="3120"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54,289,293</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779"/>
              <w:jc w:val="right"/>
              <w:rPr>
                <w:rFonts w:ascii="Times New Roman" w:hAnsi="Times New Roman" w:cs="Times New Roman" w:eastAsia="Times New Roman" w:hint="default"/>
                <w:sz w:val="18"/>
                <w:szCs w:val="18"/>
              </w:rPr>
            </w:pPr>
            <w:r>
              <w:rPr>
                <w:rFonts w:ascii="Times New Roman"/>
                <w:sz w:val="18"/>
              </w:rPr>
              <w:t>100.0000%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89" w:right="0"/>
              <w:jc w:val="left"/>
              <w:rPr>
                <w:rFonts w:ascii="Times New Roman" w:hAnsi="Times New Roman" w:cs="Times New Roman" w:eastAsia="Times New Roman" w:hint="default"/>
                <w:sz w:val="18"/>
                <w:szCs w:val="18"/>
              </w:rPr>
            </w:pPr>
            <w:r>
              <w:rPr>
                <w:rFonts w:ascii="Times New Roman"/>
                <w:sz w:val="18"/>
              </w:rPr>
              <w:t>5.6217%</w:t>
            </w:r>
          </w:p>
        </w:tc>
      </w:tr>
    </w:tbl>
    <w:p>
      <w:pPr>
        <w:spacing w:line="240" w:lineRule="auto" w:before="10"/>
        <w:rPr>
          <w:rFonts w:ascii="宋体" w:hAnsi="宋体" w:cs="宋体" w:eastAsia="宋体" w:hint="default"/>
          <w:sz w:val="21"/>
          <w:szCs w:val="21"/>
        </w:rPr>
      </w:pPr>
    </w:p>
    <w:p>
      <w:pPr>
        <w:pStyle w:val="BodyText"/>
        <w:spacing w:line="316" w:lineRule="auto" w:before="44"/>
        <w:ind w:right="1027" w:firstLine="360"/>
        <w:jc w:val="left"/>
      </w:pPr>
      <w:r>
        <w:rPr>
          <w:rFonts w:ascii="宋体" w:hAnsi="宋体" w:cs="宋体" w:eastAsia="宋体" w:hint="default"/>
          <w:spacing w:val="-3"/>
        </w:rPr>
        <w:t>4</w:t>
      </w:r>
      <w:r>
        <w:rPr>
          <w:spacing w:val="-3"/>
        </w:rPr>
        <w:t>、限制性股票的授予数量：本激励计划拟授予激励对象限制性股票</w:t>
      </w:r>
      <w:r>
        <w:rPr>
          <w:rFonts w:ascii="宋体" w:hAnsi="宋体" w:cs="宋体" w:eastAsia="宋体" w:hint="default"/>
          <w:spacing w:val="-3"/>
        </w:rPr>
        <w:t>54,289,293</w:t>
      </w:r>
      <w:r>
        <w:rPr>
          <w:rFonts w:ascii="宋体" w:hAnsi="宋体" w:cs="宋体" w:eastAsia="宋体" w:hint="default"/>
          <w:spacing w:val="12"/>
        </w:rPr>
        <w:t> </w:t>
      </w:r>
      <w:r>
        <w:rPr>
          <w:spacing w:val="-13"/>
        </w:rPr>
        <w:t>股，标的股票数量占《激励计划（草案）》</w:t>
      </w:r>
      <w:r>
        <w:rPr/>
        <w:t> 签署时公司股本总额</w:t>
      </w:r>
      <w:r>
        <w:rPr>
          <w:rFonts w:ascii="宋体" w:hAnsi="宋体" w:cs="宋体" w:eastAsia="宋体" w:hint="default"/>
        </w:rPr>
        <w:t>965,710,782 </w:t>
      </w:r>
      <w:r>
        <w:rPr/>
        <w:t>股的 </w:t>
      </w:r>
      <w:r>
        <w:rPr>
          <w:rFonts w:ascii="宋体" w:hAnsi="宋体" w:cs="宋体" w:eastAsia="宋体" w:hint="default"/>
        </w:rPr>
        <w:t>5.6217%</w:t>
      </w:r>
      <w:r>
        <w:rPr/>
        <w:t>。</w:t>
      </w:r>
    </w:p>
    <w:p>
      <w:pPr>
        <w:pStyle w:val="BodyText"/>
        <w:spacing w:line="240" w:lineRule="auto" w:before="19"/>
        <w:ind w:left="514" w:right="0"/>
        <w:jc w:val="left"/>
      </w:pPr>
      <w:r>
        <w:rPr>
          <w:rFonts w:ascii="宋体" w:hAnsi="宋体" w:cs="宋体" w:eastAsia="宋体" w:hint="default"/>
        </w:rPr>
        <w:t>5</w:t>
      </w:r>
      <w:r>
        <w:rPr/>
        <w:t>、授予价格：公司授予激励对象限制性股票的价格为 </w:t>
      </w:r>
      <w:r>
        <w:rPr>
          <w:rFonts w:ascii="宋体" w:hAnsi="宋体" w:cs="宋体" w:eastAsia="宋体" w:hint="default"/>
        </w:rPr>
        <w:t>5.39 </w:t>
      </w:r>
      <w:r>
        <w:rPr/>
        <w:t>元</w:t>
      </w:r>
      <w:r>
        <w:rPr>
          <w:rFonts w:ascii="宋体" w:hAnsi="宋体" w:cs="宋体" w:eastAsia="宋体" w:hint="default"/>
        </w:rPr>
        <w:t>/</w:t>
      </w:r>
      <w:r>
        <w:rPr/>
        <w:t>股。</w:t>
      </w:r>
    </w:p>
    <w:p>
      <w:pPr>
        <w:pStyle w:val="BodyText"/>
        <w:spacing w:line="316" w:lineRule="auto" w:before="76"/>
        <w:ind w:left="514" w:right="1118"/>
        <w:jc w:val="left"/>
      </w:pPr>
      <w:r>
        <w:rPr>
          <w:rFonts w:ascii="宋体" w:hAnsi="宋体" w:cs="宋体" w:eastAsia="宋体" w:hint="default"/>
        </w:rPr>
        <w:t>6</w:t>
      </w:r>
      <w:r>
        <w:rPr/>
        <w:t>、解锁安排： </w:t>
      </w:r>
      <w:r>
        <w:rPr>
          <w:spacing w:val="-2"/>
        </w:rPr>
        <w:t>本激励计划有效期为自限制性股票授予之日起至激励对象获授的所有限制性股票解除限售或回购注销完毕之日止，不超</w:t>
      </w:r>
    </w:p>
    <w:p>
      <w:pPr>
        <w:pStyle w:val="BodyText"/>
        <w:spacing w:line="240" w:lineRule="auto" w:before="19"/>
        <w:ind w:right="0"/>
        <w:jc w:val="left"/>
      </w:pPr>
      <w:r>
        <w:rPr/>
        <w:t>过 </w:t>
      </w:r>
      <w:r>
        <w:rPr>
          <w:rFonts w:ascii="宋体" w:hAnsi="宋体" w:cs="宋体" w:eastAsia="宋体" w:hint="default"/>
        </w:rPr>
        <w:t>60 </w:t>
      </w:r>
      <w:r>
        <w:rPr/>
        <w:t>个月。</w:t>
      </w:r>
    </w:p>
    <w:p>
      <w:pPr>
        <w:pStyle w:val="BodyText"/>
        <w:spacing w:line="240" w:lineRule="auto" w:before="76"/>
        <w:ind w:left="514" w:right="0"/>
        <w:jc w:val="left"/>
      </w:pPr>
      <w:r>
        <w:rPr/>
        <w:t>授予的限制性股票自授予日起</w:t>
      </w:r>
      <w:r>
        <w:rPr>
          <w:rFonts w:ascii="宋体" w:hAnsi="宋体" w:cs="宋体" w:eastAsia="宋体" w:hint="default"/>
        </w:rPr>
        <w:t>12</w:t>
      </w:r>
      <w:r>
        <w:rPr/>
        <w:t>个月后，满足解锁条件的，激励对象可以分三期解锁。具体解锁安排如下表所示：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98"/>
        <w:gridCol w:w="4395"/>
        <w:gridCol w:w="1937"/>
      </w:tblGrid>
      <w:tr>
        <w:trPr>
          <w:trHeight w:val="355" w:hRule="exact"/>
        </w:trPr>
        <w:tc>
          <w:tcPr>
            <w:tcW w:w="19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439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b/>
                <w:bCs/>
                <w:sz w:val="18"/>
                <w:szCs w:val="18"/>
              </w:rPr>
              <w:t>解除限售时间</w:t>
            </w:r>
            <w:r>
              <w:rPr>
                <w:rFonts w:ascii="宋体" w:hAnsi="宋体" w:cs="宋体" w:eastAsia="宋体" w:hint="default"/>
                <w:sz w:val="18"/>
                <w:szCs w:val="18"/>
              </w:rPr>
            </w:r>
          </w:p>
        </w:tc>
        <w:tc>
          <w:tcPr>
            <w:tcW w:w="193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b/>
                <w:bCs/>
                <w:sz w:val="18"/>
                <w:szCs w:val="18"/>
              </w:rPr>
              <w:t>解除限售比例</w:t>
            </w:r>
            <w:r>
              <w:rPr>
                <w:rFonts w:ascii="宋体" w:hAnsi="宋体" w:cs="宋体" w:eastAsia="宋体" w:hint="default"/>
                <w:sz w:val="18"/>
                <w:szCs w:val="18"/>
              </w:rPr>
            </w:r>
          </w:p>
        </w:tc>
      </w:tr>
      <w:tr>
        <w:trPr>
          <w:trHeight w:val="352" w:hRule="exact"/>
        </w:trPr>
        <w:tc>
          <w:tcPr>
            <w:tcW w:w="199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43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 w:right="47"/>
              <w:jc w:val="center"/>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w:t>
            </w:r>
          </w:p>
        </w:tc>
        <w:tc>
          <w:tcPr>
            <w:tcW w:w="19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8"/>
        <w:gridCol w:w="4395"/>
        <w:gridCol w:w="1937"/>
      </w:tblGrid>
      <w:tr>
        <w:trPr>
          <w:trHeight w:val="355" w:hRule="exact"/>
        </w:trPr>
        <w:tc>
          <w:tcPr>
            <w:tcW w:w="1998" w:type="dxa"/>
            <w:tcBorders>
              <w:top w:val="single" w:sz="6" w:space="0" w:color="000000"/>
              <w:left w:val="single" w:sz="6" w:space="0" w:color="000000"/>
              <w:bottom w:val="single" w:sz="12" w:space="0" w:color="000000"/>
              <w:right w:val="single" w:sz="12" w:space="0" w:color="000000"/>
            </w:tcBorders>
          </w:tcPr>
          <w:p>
            <w:pPr/>
          </w:p>
        </w:tc>
        <w:tc>
          <w:tcPr>
            <w:tcW w:w="439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937" w:type="dxa"/>
            <w:tcBorders>
              <w:top w:val="single" w:sz="6" w:space="0" w:color="000000"/>
              <w:left w:val="single" w:sz="12" w:space="0" w:color="000000"/>
              <w:bottom w:val="single" w:sz="12" w:space="0" w:color="000000"/>
              <w:right w:val="single" w:sz="12" w:space="0" w:color="000000"/>
            </w:tcBorders>
          </w:tcPr>
          <w:p>
            <w:pPr/>
          </w:p>
        </w:tc>
      </w:tr>
      <w:tr>
        <w:trPr>
          <w:trHeight w:val="664" w:hRule="exact"/>
        </w:trPr>
        <w:tc>
          <w:tcPr>
            <w:tcW w:w="199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4395"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47"/>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 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9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199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4395"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47"/>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 登记完成之日起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9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10"/>
        <w:ind w:left="514" w:right="0"/>
        <w:jc w:val="left"/>
      </w:pPr>
      <w:r>
        <w:rPr>
          <w:rFonts w:ascii="宋体" w:hAnsi="宋体" w:cs="宋体" w:eastAsia="宋体" w:hint="default"/>
        </w:rPr>
        <w:t>7</w:t>
      </w:r>
      <w:r>
        <w:rPr/>
        <w:t>、激励对象申请限制性股票解除限售的业绩考核指标为：</w:t>
      </w:r>
    </w:p>
    <w:p>
      <w:pPr>
        <w:pStyle w:val="BodyText"/>
        <w:spacing w:line="316" w:lineRule="auto" w:before="76"/>
        <w:ind w:left="514" w:right="6792"/>
        <w:jc w:val="left"/>
      </w:pPr>
      <w:r>
        <w:rPr/>
        <w:t>（</w:t>
      </w:r>
      <w:r>
        <w:rPr>
          <w:rFonts w:ascii="宋体" w:hAnsi="宋体" w:cs="宋体" w:eastAsia="宋体" w:hint="default"/>
        </w:rPr>
        <w:t>1</w:t>
      </w:r>
      <w:r>
        <w:rPr/>
        <w:t>）公司业绩考核指标 限制性股票各年度绩效考核目标如下表所示：</w:t>
      </w:r>
    </w:p>
    <w:tbl>
      <w:tblPr>
        <w:tblW w:w="0" w:type="auto"/>
        <w:jc w:val="left"/>
        <w:tblInd w:w="288" w:type="dxa"/>
        <w:tblLayout w:type="fixed"/>
        <w:tblCellMar>
          <w:top w:w="0" w:type="dxa"/>
          <w:left w:w="0" w:type="dxa"/>
          <w:bottom w:w="0" w:type="dxa"/>
          <w:right w:w="0" w:type="dxa"/>
        </w:tblCellMar>
        <w:tblLook w:val="01E0"/>
      </w:tblPr>
      <w:tblGrid>
        <w:gridCol w:w="1902"/>
        <w:gridCol w:w="6180"/>
      </w:tblGrid>
      <w:tr>
        <w:trPr>
          <w:trHeight w:val="355" w:hRule="exact"/>
        </w:trPr>
        <w:tc>
          <w:tcPr>
            <w:tcW w:w="19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403"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18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2537"/>
              <w:jc w:val="right"/>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52" w:hRule="exact"/>
        </w:trPr>
        <w:tc>
          <w:tcPr>
            <w:tcW w:w="190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第一次解除限售</w:t>
            </w:r>
          </w:p>
        </w:tc>
        <w:tc>
          <w:tcPr>
            <w:tcW w:w="6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 w:right="2506"/>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7.8</w:t>
            </w:r>
            <w:r>
              <w:rPr>
                <w:rFonts w:ascii="宋体" w:hAnsi="宋体" w:cs="宋体" w:eastAsia="宋体" w:hint="default"/>
                <w:spacing w:val="-1"/>
                <w:sz w:val="18"/>
                <w:szCs w:val="18"/>
              </w:rPr>
              <w:t>亿；</w:t>
            </w:r>
          </w:p>
        </w:tc>
      </w:tr>
      <w:tr>
        <w:trPr>
          <w:trHeight w:val="353" w:hRule="exact"/>
        </w:trPr>
        <w:tc>
          <w:tcPr>
            <w:tcW w:w="190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第二次解除限售</w:t>
            </w:r>
          </w:p>
        </w:tc>
        <w:tc>
          <w:tcPr>
            <w:tcW w:w="6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 w:right="2506"/>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8.6</w:t>
            </w:r>
            <w:r>
              <w:rPr>
                <w:rFonts w:ascii="宋体" w:hAnsi="宋体" w:cs="宋体" w:eastAsia="宋体" w:hint="default"/>
                <w:spacing w:val="-1"/>
                <w:sz w:val="18"/>
                <w:szCs w:val="18"/>
              </w:rPr>
              <w:t>亿；</w:t>
            </w:r>
          </w:p>
        </w:tc>
      </w:tr>
      <w:tr>
        <w:trPr>
          <w:trHeight w:val="352" w:hRule="exact"/>
        </w:trPr>
        <w:tc>
          <w:tcPr>
            <w:tcW w:w="190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第三次解除限售</w:t>
            </w:r>
          </w:p>
        </w:tc>
        <w:tc>
          <w:tcPr>
            <w:tcW w:w="6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 w:right="2506"/>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2021</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9.5</w:t>
            </w:r>
            <w:r>
              <w:rPr>
                <w:rFonts w:ascii="宋体" w:hAnsi="宋体" w:cs="宋体" w:eastAsia="宋体" w:hint="default"/>
                <w:spacing w:val="-1"/>
                <w:sz w:val="18"/>
                <w:szCs w:val="18"/>
              </w:rPr>
              <w:t>亿。</w:t>
            </w:r>
          </w:p>
        </w:tc>
      </w:tr>
    </w:tbl>
    <w:p>
      <w:pPr>
        <w:spacing w:line="240" w:lineRule="auto" w:before="10"/>
        <w:rPr>
          <w:rFonts w:ascii="宋体" w:hAnsi="宋体" w:cs="宋体" w:eastAsia="宋体" w:hint="default"/>
          <w:sz w:val="5"/>
          <w:szCs w:val="5"/>
        </w:rPr>
      </w:pPr>
    </w:p>
    <w:p>
      <w:pPr>
        <w:pStyle w:val="BodyText"/>
        <w:spacing w:line="427" w:lineRule="auto" w:before="44"/>
        <w:ind w:left="634" w:right="0" w:hanging="120"/>
        <w:jc w:val="left"/>
      </w:pPr>
      <w:r>
        <w:rPr/>
        <w:t>注：以上</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是指经审计的归属于上市公司股东的净利润（扣除股权激励费用的影响）。 根据业绩完成情况，按照以下规定分别确定该年解锁比例： </w:t>
      </w:r>
      <w:r>
        <w:rPr>
          <w:rFonts w:ascii="Times New Roman" w:hAnsi="Times New Roman" w:cs="Times New Roman" w:eastAsia="Times New Roman" w:hint="default"/>
        </w:rPr>
        <w:t>A</w:t>
      </w:r>
      <w:r>
        <w:rPr/>
        <w:t>、考核年度公司层面业绩考核目标达到或超过</w:t>
      </w:r>
      <w:r>
        <w:rPr>
          <w:rFonts w:ascii="Times New Roman" w:hAnsi="Times New Roman" w:cs="Times New Roman" w:eastAsia="Times New Roman" w:hint="default"/>
        </w:rPr>
        <w:t>100%</w:t>
      </w:r>
      <w:r>
        <w:rPr/>
        <w:t>，则当年待解锁股票部分的实际解锁比例为</w:t>
      </w:r>
      <w:r>
        <w:rPr>
          <w:rFonts w:ascii="Times New Roman" w:hAnsi="Times New Roman" w:cs="Times New Roman" w:eastAsia="Times New Roman" w:hint="default"/>
        </w:rPr>
        <w:t>100%</w:t>
      </w:r>
      <w:r>
        <w:rPr/>
        <w:t>；</w:t>
      </w:r>
    </w:p>
    <w:p>
      <w:pPr>
        <w:pStyle w:val="BodyText"/>
        <w:spacing w:line="300" w:lineRule="auto" w:before="27"/>
        <w:ind w:right="1132" w:firstLine="480"/>
        <w:jc w:val="both"/>
      </w:pPr>
      <w:r>
        <w:rPr>
          <w:rFonts w:ascii="Times New Roman" w:hAnsi="Times New Roman" w:cs="Times New Roman" w:eastAsia="Times New Roman" w:hint="default"/>
        </w:rPr>
        <w:t>B</w:t>
      </w:r>
      <w:r>
        <w:rPr/>
        <w:t>、考核年度公司层面业绩考核目标实现</w:t>
      </w:r>
      <w:r>
        <w:rPr>
          <w:rFonts w:ascii="Times New Roman" w:hAnsi="Times New Roman" w:cs="Times New Roman" w:eastAsia="Times New Roman" w:hint="default"/>
        </w:rPr>
        <w:t>85%</w:t>
      </w:r>
      <w:r>
        <w:rPr/>
        <w:t>（含</w:t>
      </w:r>
      <w:r>
        <w:rPr>
          <w:rFonts w:ascii="Times New Roman" w:hAnsi="Times New Roman" w:cs="Times New Roman" w:eastAsia="Times New Roman" w:hint="default"/>
        </w:rPr>
        <w:t>85%</w:t>
      </w:r>
      <w:r>
        <w:rPr/>
        <w:t>）</w:t>
      </w:r>
      <w:r>
        <w:rPr>
          <w:rFonts w:ascii="Times New Roman" w:hAnsi="Times New Roman" w:cs="Times New Roman" w:eastAsia="Times New Roman" w:hint="default"/>
        </w:rPr>
        <w:t>~100%</w:t>
      </w:r>
      <w:r>
        <w:rPr/>
        <w:t>（不含</w:t>
      </w:r>
      <w:r>
        <w:rPr>
          <w:rFonts w:ascii="Times New Roman" w:hAnsi="Times New Roman" w:cs="Times New Roman" w:eastAsia="Times New Roman" w:hint="default"/>
        </w:rPr>
        <w:t>100%</w:t>
      </w:r>
      <w:r>
        <w:rPr/>
        <w:t>），则当年待解锁股票部分的实际解锁比 例为</w:t>
      </w:r>
      <w:r>
        <w:rPr>
          <w:rFonts w:ascii="Times New Roman" w:hAnsi="Times New Roman" w:cs="Times New Roman" w:eastAsia="Times New Roman" w:hint="default"/>
        </w:rPr>
        <w:t>80%</w:t>
      </w:r>
      <w:r>
        <w:rPr/>
        <w:t>；</w:t>
      </w:r>
    </w:p>
    <w:p>
      <w:pPr>
        <w:pStyle w:val="BodyText"/>
        <w:spacing w:line="300" w:lineRule="auto" w:before="133"/>
        <w:ind w:right="1132" w:firstLine="480"/>
        <w:jc w:val="both"/>
      </w:pPr>
      <w:r>
        <w:rPr>
          <w:rFonts w:ascii="Times New Roman" w:hAnsi="Times New Roman" w:cs="Times New Roman" w:eastAsia="Times New Roman" w:hint="default"/>
        </w:rPr>
        <w:t>C</w:t>
      </w:r>
      <w:r>
        <w:rPr/>
        <w:t>、考核年度公司层面业绩考核目标实现</w:t>
      </w:r>
      <w:r>
        <w:rPr>
          <w:rFonts w:ascii="Times New Roman" w:hAnsi="Times New Roman" w:cs="Times New Roman" w:eastAsia="Times New Roman" w:hint="default"/>
        </w:rPr>
        <w:t>75%</w:t>
      </w:r>
      <w:r>
        <w:rPr/>
        <w:t>（含</w:t>
      </w:r>
      <w:r>
        <w:rPr>
          <w:rFonts w:ascii="Times New Roman" w:hAnsi="Times New Roman" w:cs="Times New Roman" w:eastAsia="Times New Roman" w:hint="default"/>
        </w:rPr>
        <w:t>75%</w:t>
      </w:r>
      <w:r>
        <w:rPr/>
        <w:t>）</w:t>
      </w:r>
      <w:r>
        <w:rPr>
          <w:rFonts w:ascii="Times New Roman" w:hAnsi="Times New Roman" w:cs="Times New Roman" w:eastAsia="Times New Roman" w:hint="default"/>
        </w:rPr>
        <w:t>~85%</w:t>
      </w:r>
      <w:r>
        <w:rPr/>
        <w:t>（不含</w:t>
      </w:r>
      <w:r>
        <w:rPr>
          <w:rFonts w:ascii="Times New Roman" w:hAnsi="Times New Roman" w:cs="Times New Roman" w:eastAsia="Times New Roman" w:hint="default"/>
        </w:rPr>
        <w:t>85%</w:t>
      </w:r>
      <w:r>
        <w:rPr/>
        <w:t>），则当年待解锁股票部分的实际解锁比例 为</w:t>
      </w:r>
      <w:r>
        <w:rPr>
          <w:rFonts w:ascii="Times New Roman" w:hAnsi="Times New Roman" w:cs="Times New Roman" w:eastAsia="Times New Roman" w:hint="default"/>
        </w:rPr>
        <w:t>70%</w:t>
      </w:r>
      <w:r>
        <w:rPr/>
        <w:t>；</w:t>
      </w:r>
    </w:p>
    <w:p>
      <w:pPr>
        <w:pStyle w:val="BodyText"/>
        <w:spacing w:line="240" w:lineRule="auto" w:before="133"/>
        <w:ind w:left="634" w:right="0"/>
        <w:jc w:val="left"/>
      </w:pPr>
      <w:r>
        <w:rPr>
          <w:rFonts w:ascii="Times New Roman" w:hAnsi="Times New Roman" w:cs="Times New Roman" w:eastAsia="Times New Roman" w:hint="default"/>
        </w:rPr>
        <w:t>D</w:t>
      </w:r>
      <w:r>
        <w:rPr/>
        <w:t>、其余任何情形下，当期的限制性股票均不可解除限售。</w:t>
      </w:r>
    </w:p>
    <w:p>
      <w:pPr>
        <w:spacing w:line="240" w:lineRule="auto" w:before="13"/>
        <w:rPr>
          <w:rFonts w:ascii="宋体" w:hAnsi="宋体" w:cs="宋体" w:eastAsia="宋体" w:hint="default"/>
          <w:sz w:val="13"/>
          <w:szCs w:val="13"/>
        </w:rPr>
      </w:pPr>
    </w:p>
    <w:p>
      <w:pPr>
        <w:pStyle w:val="BodyText"/>
        <w:spacing w:line="300" w:lineRule="auto"/>
        <w:ind w:left="634" w:right="1112"/>
        <w:jc w:val="left"/>
      </w:pPr>
      <w:r>
        <w:rPr/>
        <w:t>（</w:t>
      </w:r>
      <w:r>
        <w:rPr>
          <w:rFonts w:ascii="Times New Roman" w:hAnsi="Times New Roman" w:cs="Times New Roman" w:eastAsia="Times New Roman" w:hint="default"/>
        </w:rPr>
        <w:t>2</w:t>
      </w:r>
      <w:r>
        <w:rPr/>
        <w:t>）个人考核条件 根据《智度科技股份有限公司</w:t>
      </w:r>
      <w:r>
        <w:rPr>
          <w:rFonts w:ascii="Times New Roman" w:hAnsi="Times New Roman" w:cs="Times New Roman" w:eastAsia="Times New Roman" w:hint="default"/>
        </w:rPr>
        <w:t>2018</w:t>
      </w:r>
      <w:r>
        <w:rPr/>
        <w:t>年度限制性股票激励计划实施考核管理办法》（以下简称</w:t>
      </w:r>
      <w:r>
        <w:rPr>
          <w:rFonts w:ascii="Times New Roman" w:hAnsi="Times New Roman" w:cs="Times New Roman" w:eastAsia="Times New Roman" w:hint="default"/>
        </w:rPr>
        <w:t>“</w:t>
      </w:r>
      <w:r>
        <w:rPr/>
        <w:t>《考核管理办法》</w:t>
      </w:r>
      <w:r>
        <w:rPr>
          <w:rFonts w:ascii="Times New Roman" w:hAnsi="Times New Roman" w:cs="Times New Roman" w:eastAsia="Times New Roman" w:hint="default"/>
        </w:rPr>
        <w:t>”</w:t>
      </w:r>
      <w:r>
        <w:rPr/>
        <w:t>），</w:t>
      </w:r>
    </w:p>
    <w:p>
      <w:pPr>
        <w:pStyle w:val="BodyText"/>
        <w:spacing w:line="316" w:lineRule="auto" w:before="13"/>
        <w:ind w:right="1130"/>
        <w:jc w:val="both"/>
      </w:pPr>
      <w:r>
        <w:rPr>
          <w:spacing w:val="-2"/>
        </w:rPr>
        <w:t>目前对个人绩效考核结果共有优秀、良好、合格、较差四档。考核结果为优秀、良好及合格的激励对象即通过考核，考核结</w:t>
      </w:r>
      <w:r>
        <w:rPr>
          <w:spacing w:val="-67"/>
        </w:rPr>
        <w:t> </w:t>
      </w:r>
      <w:r>
        <w:rPr>
          <w:spacing w:val="-67"/>
        </w:rPr>
      </w:r>
      <w:r>
        <w:rPr>
          <w:spacing w:val="-2"/>
        </w:rPr>
        <w:t>果为较差的激励对象即未通过考核。公司业绩目标达成且激励对象通过个人考核，激励对象可按照本计划规定的比例解除限</w:t>
      </w:r>
      <w:r>
        <w:rPr>
          <w:spacing w:val="-64"/>
        </w:rPr>
        <w:t> </w:t>
      </w:r>
      <w:r>
        <w:rPr>
          <w:spacing w:val="-64"/>
        </w:rPr>
      </w:r>
      <w:r>
        <w:rPr>
          <w:spacing w:val="-2"/>
        </w:rPr>
        <w:t>售，任一条件未达成，激励对象均不得解除限售，其当期对应的限制性股票由公司统一回购注销。本激励计划具体考核内容</w:t>
      </w:r>
      <w:r>
        <w:rPr>
          <w:spacing w:val="-66"/>
        </w:rPr>
        <w:t> </w:t>
      </w:r>
      <w:r>
        <w:rPr>
          <w:spacing w:val="-66"/>
        </w:rPr>
      </w:r>
      <w:r>
        <w:rPr/>
        <w:t>依据《考核管理办法》执行。</w:t>
      </w:r>
    </w:p>
    <w:p>
      <w:pPr>
        <w:pStyle w:val="BodyText"/>
        <w:spacing w:line="240" w:lineRule="auto" w:before="119"/>
        <w:ind w:left="634" w:right="0"/>
        <w:jc w:val="left"/>
      </w:pPr>
      <w:r>
        <w:rPr/>
        <w:t>（二）、已履行的决策程序和批准情况</w:t>
      </w:r>
    </w:p>
    <w:p>
      <w:pPr>
        <w:spacing w:line="240" w:lineRule="auto" w:before="6"/>
        <w:rPr>
          <w:rFonts w:ascii="宋体" w:hAnsi="宋体" w:cs="宋体" w:eastAsia="宋体" w:hint="default"/>
          <w:sz w:val="13"/>
          <w:szCs w:val="13"/>
        </w:rPr>
      </w:pPr>
    </w:p>
    <w:p>
      <w:pPr>
        <w:pStyle w:val="BodyText"/>
        <w:spacing w:line="300" w:lineRule="auto"/>
        <w:ind w:right="1130" w:firstLine="48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日，公司第八届董事会第八次会议、第八届监事会第六次会议审议通过了《关于</w:t>
      </w:r>
      <w:r>
        <w:rPr>
          <w:rFonts w:ascii="Times New Roman" w:hAnsi="Times New Roman" w:cs="Times New Roman" w:eastAsia="Times New Roman" w:hint="default"/>
          <w:spacing w:val="-1"/>
        </w:rPr>
        <w:t>&lt;</w:t>
      </w:r>
      <w:r>
        <w:rPr>
          <w:spacing w:val="-1"/>
        </w:rPr>
        <w:t>智度科技股份有限</w:t>
      </w:r>
      <w:r>
        <w:rPr/>
        <w:t> 公司</w:t>
      </w:r>
      <w:r>
        <w:rPr>
          <w:rFonts w:ascii="Times New Roman" w:hAnsi="Times New Roman" w:cs="Times New Roman" w:eastAsia="Times New Roman" w:hint="default"/>
        </w:rPr>
        <w:t>2018</w:t>
      </w:r>
      <w:r>
        <w:rPr/>
        <w:t>年度限制性股票激励计划（草案）</w:t>
      </w:r>
      <w:r>
        <w:rPr>
          <w:rFonts w:ascii="Times New Roman" w:hAnsi="Times New Roman" w:cs="Times New Roman" w:eastAsia="Times New Roman" w:hint="default"/>
        </w:rPr>
        <w:t>&gt;</w:t>
      </w:r>
      <w:r>
        <w:rPr/>
        <w:t>及其摘要的议案》等相关议案。公司独立董事已对本激励计划相关事项发表了 同意的独立意见。</w:t>
      </w:r>
    </w:p>
    <w:p>
      <w:pPr>
        <w:pStyle w:val="BodyText"/>
        <w:spacing w:line="314" w:lineRule="auto" w:before="130"/>
        <w:ind w:right="1130" w:firstLine="480"/>
        <w:jc w:val="both"/>
      </w:pPr>
      <w:r>
        <w:rPr>
          <w:rFonts w:ascii="Times New Roman" w:hAnsi="Times New Roman" w:cs="Times New Roman" w:eastAsia="Times New Roman" w:hint="default"/>
        </w:rPr>
        <w:t>2</w:t>
      </w:r>
      <w:r>
        <w:rPr/>
        <w:t>、公司于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日至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日通过巨潮资讯网和公司网站公示了《智度科技股份有限公司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年度</w:t>
      </w:r>
      <w:r>
        <w:rPr>
          <w:spacing w:val="1"/>
        </w:rPr>
        <w:t> </w:t>
      </w:r>
      <w:r>
        <w:rPr>
          <w:spacing w:val="-2"/>
        </w:rPr>
        <w:t>限制性股票激励计划激励对象名单》，在公示期限内，公司未收到员工对本次拟激励对象名单提出的否定性反馈意见。公示</w:t>
      </w:r>
      <w:r>
        <w:rPr>
          <w:spacing w:val="-66"/>
        </w:rPr>
        <w:t> </w:t>
      </w:r>
      <w:r>
        <w:rPr>
          <w:spacing w:val="-66"/>
        </w:rPr>
      </w:r>
      <w:r>
        <w:rPr>
          <w:spacing w:val="-2"/>
        </w:rPr>
        <w:t>期满后，公司召开了第八届监事会第七次会议，公司监事会对本激励计划激励对象名单进行了核查，并对公示情况进行了说</w:t>
      </w:r>
      <w:r>
        <w:rPr>
          <w:spacing w:val="-66"/>
        </w:rPr>
        <w:t> </w:t>
      </w:r>
      <w:r>
        <w:rPr>
          <w:spacing w:val="-66"/>
        </w:rPr>
      </w:r>
      <w:r>
        <w:rPr>
          <w:spacing w:val="-2"/>
        </w:rPr>
        <w:t>明，监事会认为，本次列入激励计划的激励对象均符合相关法律、法规及规范性文件所规定的条件，其作为本激励计划的激</w:t>
      </w:r>
      <w:r>
        <w:rPr>
          <w:spacing w:val="-66"/>
        </w:rPr>
        <w:t> </w:t>
      </w:r>
      <w:r>
        <w:rPr>
          <w:spacing w:val="-66"/>
        </w:rPr>
      </w:r>
      <w:r>
        <w:rPr/>
        <w:t>励对象合法、有效。</w:t>
      </w:r>
    </w:p>
    <w:p>
      <w:pPr>
        <w:pStyle w:val="BodyText"/>
        <w:spacing w:line="240" w:lineRule="auto" w:before="120"/>
        <w:ind w:left="63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日，公司召开 </w:t>
      </w:r>
      <w:r>
        <w:rPr>
          <w:rFonts w:ascii="Times New Roman" w:hAnsi="Times New Roman" w:cs="Times New Roman" w:eastAsia="Times New Roman" w:hint="default"/>
        </w:rPr>
        <w:t>2018</w:t>
      </w:r>
      <w:r>
        <w:rPr/>
        <w:t>年第五次临时股东大会，审议通过了《关于</w:t>
      </w:r>
      <w:r>
        <w:rPr>
          <w:rFonts w:ascii="Times New Roman" w:hAnsi="Times New Roman" w:cs="Times New Roman" w:eastAsia="Times New Roman" w:hint="default"/>
        </w:rPr>
        <w:t>&lt;</w:t>
      </w:r>
      <w:r>
        <w:rPr/>
        <w:t>公司</w:t>
      </w:r>
      <w:r>
        <w:rPr>
          <w:spacing w:val="-37"/>
        </w:rPr>
        <w:t> </w:t>
      </w:r>
      <w:r>
        <w:rPr>
          <w:rFonts w:ascii="Times New Roman" w:hAnsi="Times New Roman" w:cs="Times New Roman" w:eastAsia="Times New Roman" w:hint="default"/>
        </w:rPr>
        <w:t>2018</w:t>
      </w:r>
      <w:r>
        <w:rPr/>
        <w:t>年度限制性股票激励计划</w:t>
      </w:r>
    </w:p>
    <w:p>
      <w:pPr>
        <w:pStyle w:val="BodyText"/>
        <w:spacing w:line="302" w:lineRule="auto" w:before="63"/>
        <w:ind w:right="1132"/>
        <w:jc w:val="both"/>
      </w:pPr>
      <w:r>
        <w:rPr/>
        <w:t>（草案）</w:t>
      </w:r>
      <w:r>
        <w:rPr>
          <w:rFonts w:ascii="Times New Roman" w:hAnsi="Times New Roman" w:cs="Times New Roman" w:eastAsia="Times New Roman" w:hint="default"/>
        </w:rPr>
        <w:t>&gt;</w:t>
      </w:r>
      <w:r>
        <w:rPr/>
        <w:t>及其摘要的议案》等相关议案。公司对内幕信息知情人及激励对象在本激励计划草案公告前</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个月内买卖本公司 股票的情况进行自查，未发现相关内幕信息知情人存在利用与本激励计划相关的内幕信息进行股票买卖的行为。</w:t>
      </w:r>
    </w:p>
    <w:p>
      <w:pPr>
        <w:pStyle w:val="BodyText"/>
        <w:spacing w:line="240" w:lineRule="auto" w:before="128"/>
        <w:ind w:left="63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21</w:t>
      </w:r>
      <w:r>
        <w:rPr/>
        <w:t>日，公司召开第八届董事会第十次会议、第八届监事会第九次会议，审议通过了《关于向</w:t>
      </w:r>
      <w:r>
        <w:rPr>
          <w:spacing w:val="-70"/>
        </w:rPr>
        <w:t> </w:t>
      </w:r>
      <w:r>
        <w:rPr>
          <w:rFonts w:ascii="Times New Roman" w:hAnsi="Times New Roman" w:cs="Times New Roman" w:eastAsia="Times New Roman" w:hint="default"/>
        </w:rPr>
        <w:t>2018</w:t>
      </w:r>
      <w:r>
        <w:rPr/>
        <w:t>年度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限制性股票激励计划的激励对象授予限制性股票的议案》，确定本次限制性股票的授予日为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21</w:t>
      </w:r>
      <w:r>
        <w:rPr/>
        <w:t>日，同意公司 向</w:t>
      </w:r>
      <w:r>
        <w:rPr>
          <w:rFonts w:ascii="Times New Roman" w:hAnsi="Times New Roman" w:cs="Times New Roman" w:eastAsia="Times New Roman" w:hint="default"/>
        </w:rPr>
        <w:t>42</w:t>
      </w:r>
      <w:r>
        <w:rPr/>
        <w:t>名激励对象授予</w:t>
      </w:r>
      <w:r>
        <w:rPr>
          <w:rFonts w:ascii="Times New Roman" w:hAnsi="Times New Roman" w:cs="Times New Roman" w:eastAsia="Times New Roman" w:hint="default"/>
        </w:rPr>
        <w:t>54,289,293</w:t>
      </w:r>
      <w:r>
        <w:rPr/>
        <w:t>股限制性股票，授予价格为</w:t>
      </w:r>
      <w:r>
        <w:rPr>
          <w:rFonts w:ascii="Times New Roman" w:hAnsi="Times New Roman" w:cs="Times New Roman" w:eastAsia="Times New Roman" w:hint="default"/>
        </w:rPr>
        <w:t>5.39</w:t>
      </w:r>
      <w:r>
        <w:rPr/>
        <w:t>元</w:t>
      </w:r>
      <w:r>
        <w:rPr>
          <w:rFonts w:ascii="Times New Roman" w:hAnsi="Times New Roman" w:cs="Times New Roman" w:eastAsia="Times New Roman" w:hint="default"/>
        </w:rPr>
        <w:t>/</w:t>
      </w:r>
      <w:r>
        <w:rPr/>
        <w:t>股。独立董事已对上述议案发表了同意的独立意见，公司 监事会对授予日的激励对象名单再次进行了核实。</w:t>
      </w:r>
    </w:p>
    <w:p>
      <w:pPr>
        <w:pStyle w:val="BodyText"/>
        <w:spacing w:line="240" w:lineRule="auto" w:before="130"/>
        <w:ind w:left="634" w:right="0"/>
        <w:jc w:val="left"/>
      </w:pPr>
      <w:r>
        <w:rPr/>
        <w:t>二、股票期权激励计划</w:t>
      </w:r>
    </w:p>
    <w:p>
      <w:pPr>
        <w:pStyle w:val="BodyText"/>
        <w:spacing w:line="240" w:lineRule="auto" w:before="77"/>
        <w:ind w:left="634" w:right="0"/>
        <w:jc w:val="left"/>
      </w:pPr>
      <w:r>
        <w:rPr/>
        <w:t>（一）、《激励计划（草案）》简述</w:t>
      </w:r>
    </w:p>
    <w:p>
      <w:pPr>
        <w:pStyle w:val="BodyText"/>
        <w:spacing w:line="300" w:lineRule="auto" w:before="76"/>
        <w:ind w:right="1113"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日，公司召开</w:t>
      </w:r>
      <w:r>
        <w:rPr>
          <w:spacing w:val="-33"/>
        </w:rPr>
        <w:t> </w:t>
      </w:r>
      <w:r>
        <w:rPr>
          <w:rFonts w:ascii="Times New Roman" w:hAnsi="Times New Roman" w:cs="Times New Roman" w:eastAsia="Times New Roman" w:hint="default"/>
        </w:rPr>
        <w:t>2018</w:t>
      </w:r>
      <w:r>
        <w:rPr/>
        <w:t>年第五次临时股东大会，审议通过了《关于</w:t>
      </w:r>
      <w:r>
        <w:rPr>
          <w:rFonts w:ascii="Times New Roman" w:hAnsi="Times New Roman" w:cs="Times New Roman" w:eastAsia="Times New Roman" w:hint="default"/>
        </w:rPr>
        <w:t>&lt;</w:t>
      </w:r>
      <w:r>
        <w:rPr/>
        <w:t>智度科技股份有限公司</w:t>
      </w:r>
      <w:r>
        <w:rPr>
          <w:rFonts w:ascii="Times New Roman" w:hAnsi="Times New Roman" w:cs="Times New Roman" w:eastAsia="Times New Roman" w:hint="default"/>
        </w:rPr>
        <w:t>2018</w:t>
      </w:r>
      <w:r>
        <w:rPr/>
        <w:t>年度股票期 权激励计划（草案）</w:t>
      </w:r>
      <w:r>
        <w:rPr>
          <w:rFonts w:ascii="Times New Roman" w:hAnsi="Times New Roman" w:cs="Times New Roman" w:eastAsia="Times New Roman" w:hint="default"/>
        </w:rPr>
        <w:t>&gt;</w:t>
      </w:r>
      <w:r>
        <w:rPr/>
        <w:t>及其摘要的议案》，其主要内容如下：</w:t>
      </w:r>
    </w:p>
    <w:p>
      <w:pPr>
        <w:pStyle w:val="BodyText"/>
        <w:spacing w:line="240" w:lineRule="auto" w:before="13"/>
        <w:ind w:left="634" w:right="0"/>
        <w:jc w:val="left"/>
      </w:pPr>
      <w:r>
        <w:rPr>
          <w:rFonts w:ascii="Times New Roman" w:hAnsi="Times New Roman" w:cs="Times New Roman" w:eastAsia="Times New Roman" w:hint="default"/>
        </w:rPr>
        <w:t>1</w:t>
      </w:r>
      <w:r>
        <w:rPr/>
        <w:t>、本激励计划拟授予给激励对象的激励工具为股票期权；</w:t>
      </w:r>
    </w:p>
    <w:p>
      <w:pPr>
        <w:pStyle w:val="BodyText"/>
        <w:spacing w:line="240" w:lineRule="auto" w:before="63"/>
        <w:ind w:left="634" w:right="0"/>
        <w:jc w:val="left"/>
      </w:pPr>
      <w:r>
        <w:rPr>
          <w:rFonts w:ascii="Times New Roman" w:hAnsi="Times New Roman" w:cs="Times New Roman" w:eastAsia="Times New Roman" w:hint="default"/>
        </w:rPr>
        <w:t>2</w:t>
      </w:r>
      <w:r>
        <w:rPr/>
        <w:t>、本激励计划所涉标的股票来源为公司向激励对象定向发行的人民币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股普通股股票；</w:t>
      </w:r>
    </w:p>
    <w:p>
      <w:pPr>
        <w:pStyle w:val="BodyText"/>
        <w:spacing w:line="240" w:lineRule="auto" w:before="63"/>
        <w:ind w:left="634" w:right="0"/>
        <w:jc w:val="left"/>
      </w:pPr>
      <w:r>
        <w:rPr>
          <w:rFonts w:ascii="Times New Roman" w:hAnsi="Times New Roman" w:cs="Times New Roman" w:eastAsia="Times New Roman" w:hint="default"/>
        </w:rPr>
        <w:t>3</w:t>
      </w:r>
      <w:r>
        <w:rPr/>
        <w:t>、本激励计划涉及的激励对象共计</w:t>
      </w:r>
      <w:r>
        <w:rPr>
          <w:rFonts w:ascii="Times New Roman" w:hAnsi="Times New Roman" w:cs="Times New Roman" w:eastAsia="Times New Roman" w:hint="default"/>
        </w:rPr>
        <w:t>3</w:t>
      </w:r>
      <w:r>
        <w:rPr/>
        <w:t>人，均为公司外籍其他管理人员及核心业务人员，具体分配如下表：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270"/>
        <w:gridCol w:w="1559"/>
        <w:gridCol w:w="1702"/>
        <w:gridCol w:w="1985"/>
        <w:gridCol w:w="1559"/>
      </w:tblGrid>
      <w:tr>
        <w:trPr>
          <w:trHeight w:val="661" w:hRule="exact"/>
        </w:trPr>
        <w:tc>
          <w:tcPr>
            <w:tcW w:w="2270"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559"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c>
          <w:tcPr>
            <w:tcW w:w="17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获授的股票期权数量</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（万份）</w:t>
            </w:r>
            <w:r>
              <w:rPr>
                <w:rFonts w:ascii="宋体" w:hAnsi="宋体" w:cs="宋体" w:eastAsia="宋体" w:hint="default"/>
                <w:sz w:val="18"/>
                <w:szCs w:val="18"/>
              </w:rPr>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1"/>
              <w:ind w:left="440" w:right="79" w:hanging="362"/>
              <w:jc w:val="left"/>
              <w:rPr>
                <w:rFonts w:ascii="宋体" w:hAnsi="宋体" w:cs="宋体" w:eastAsia="宋体" w:hint="default"/>
                <w:sz w:val="18"/>
                <w:szCs w:val="18"/>
              </w:rPr>
            </w:pPr>
            <w:r>
              <w:rPr>
                <w:rFonts w:ascii="宋体" w:hAnsi="宋体" w:cs="宋体" w:eastAsia="宋体" w:hint="default"/>
                <w:b/>
                <w:bCs/>
                <w:sz w:val="18"/>
                <w:szCs w:val="18"/>
              </w:rPr>
              <w:t>占本计划拟授予股票期</w:t>
            </w:r>
            <w:r>
              <w:rPr>
                <w:rFonts w:ascii="宋体" w:hAnsi="宋体" w:cs="宋体" w:eastAsia="宋体" w:hint="default"/>
                <w:b/>
                <w:bCs/>
                <w:w w:val="99"/>
                <w:sz w:val="18"/>
                <w:szCs w:val="18"/>
              </w:rPr>
              <w:t> </w:t>
            </w:r>
            <w:r>
              <w:rPr>
                <w:rFonts w:ascii="宋体" w:hAnsi="宋体" w:cs="宋体" w:eastAsia="宋体" w:hint="default"/>
                <w:b/>
                <w:bCs/>
                <w:sz w:val="18"/>
                <w:szCs w:val="18"/>
              </w:rPr>
              <w:t>权总数的比例</w:t>
            </w:r>
            <w:r>
              <w:rPr>
                <w:rFonts w:ascii="宋体" w:hAnsi="宋体" w:cs="宋体" w:eastAsia="宋体" w:hint="default"/>
                <w:sz w:val="18"/>
                <w:szCs w:val="18"/>
              </w:rPr>
            </w:r>
          </w:p>
        </w:tc>
        <w:tc>
          <w:tcPr>
            <w:tcW w:w="1559"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1"/>
              <w:ind w:left="408" w:right="46" w:hanging="362"/>
              <w:jc w:val="left"/>
              <w:rPr>
                <w:rFonts w:ascii="宋体" w:hAnsi="宋体" w:cs="宋体" w:eastAsia="宋体" w:hint="default"/>
                <w:sz w:val="18"/>
                <w:szCs w:val="18"/>
              </w:rPr>
            </w:pPr>
            <w:r>
              <w:rPr>
                <w:rFonts w:ascii="宋体" w:hAnsi="宋体" w:cs="宋体" w:eastAsia="宋体" w:hint="default"/>
                <w:b/>
                <w:bCs/>
                <w:sz w:val="18"/>
                <w:szCs w:val="18"/>
              </w:rPr>
              <w:t>占本计划公告日总</w:t>
            </w:r>
            <w:r>
              <w:rPr>
                <w:rFonts w:ascii="宋体" w:hAnsi="宋体" w:cs="宋体" w:eastAsia="宋体" w:hint="default"/>
                <w:b/>
                <w:bCs/>
                <w:w w:val="99"/>
                <w:sz w:val="18"/>
                <w:szCs w:val="18"/>
              </w:rPr>
              <w:t> </w:t>
            </w:r>
            <w:r>
              <w:rPr>
                <w:rFonts w:ascii="宋体" w:hAnsi="宋体" w:cs="宋体" w:eastAsia="宋体" w:hint="default"/>
                <w:b/>
                <w:bCs/>
                <w:sz w:val="18"/>
                <w:szCs w:val="18"/>
              </w:rPr>
              <w:t>股本比例</w:t>
            </w:r>
            <w:r>
              <w:rPr>
                <w:rFonts w:ascii="宋体" w:hAnsi="宋体" w:cs="宋体" w:eastAsia="宋体" w:hint="default"/>
                <w:sz w:val="18"/>
                <w:szCs w:val="18"/>
              </w:rPr>
            </w:r>
          </w:p>
        </w:tc>
      </w:tr>
      <w:tr>
        <w:trPr>
          <w:trHeight w:val="660" w:hRule="exact"/>
        </w:trPr>
        <w:tc>
          <w:tcPr>
            <w:tcW w:w="227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b/>
                <w:sz w:val="18"/>
              </w:rPr>
              <w:t>Ryan</w:t>
            </w:r>
            <w:r>
              <w:rPr>
                <w:rFonts w:ascii="Times New Roman"/>
                <w:b/>
                <w:spacing w:val="-2"/>
                <w:sz w:val="18"/>
              </w:rPr>
              <w:t> </w:t>
            </w:r>
            <w:r>
              <w:rPr>
                <w:rFonts w:ascii="Times New Roman"/>
                <w:b/>
                <w:sz w:val="18"/>
              </w:rPr>
              <w:t>Stephens</w:t>
            </w:r>
            <w:r>
              <w:rPr>
                <w:rFonts w:ascii="Times New Roman"/>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6"/>
              <w:ind w:left="-1" w:right="0"/>
              <w:jc w:val="left"/>
              <w:rPr>
                <w:rFonts w:ascii="宋体" w:hAnsi="宋体" w:cs="宋体" w:eastAsia="宋体" w:hint="default"/>
                <w:sz w:val="18"/>
                <w:szCs w:val="18"/>
              </w:rPr>
            </w:pPr>
            <w:r>
              <w:rPr>
                <w:rFonts w:ascii="宋体" w:hAnsi="宋体" w:cs="宋体" w:eastAsia="宋体" w:hint="default"/>
                <w:b/>
                <w:bCs/>
                <w:spacing w:val="11"/>
                <w:sz w:val="18"/>
                <w:szCs w:val="18"/>
              </w:rPr>
              <w:t>外籍其他管理人员</w:t>
            </w:r>
            <w:r>
              <w:rPr>
                <w:rFonts w:ascii="宋体" w:hAnsi="宋体" w:cs="宋体" w:eastAsia="宋体" w:hint="default"/>
                <w:b/>
                <w:bCs/>
                <w:w w:val="99"/>
                <w:sz w:val="18"/>
                <w:szCs w:val="18"/>
              </w:rPr>
              <w:t> </w:t>
            </w:r>
            <w:r>
              <w:rPr>
                <w:rFonts w:ascii="宋体" w:hAnsi="宋体" w:cs="宋体" w:eastAsia="宋体" w:hint="default"/>
                <w:b/>
                <w:bCs/>
                <w:sz w:val="18"/>
                <w:szCs w:val="18"/>
              </w:rPr>
              <w:t>及核心业务人员</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1,100</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33.33%</w:t>
            </w:r>
            <w:r>
              <w:rPr>
                <w:rFonts w:ascii="Times New Roman"/>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1.14%</w:t>
            </w:r>
            <w:r>
              <w:rPr>
                <w:rFonts w:ascii="Times New Roman"/>
                <w:sz w:val="18"/>
              </w:rPr>
            </w:r>
          </w:p>
        </w:tc>
      </w:tr>
      <w:tr>
        <w:trPr>
          <w:trHeight w:val="659" w:hRule="exact"/>
        </w:trPr>
        <w:tc>
          <w:tcPr>
            <w:tcW w:w="227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Justin</w:t>
            </w:r>
            <w:r>
              <w:rPr>
                <w:rFonts w:ascii="Times New Roman"/>
                <w:b/>
                <w:spacing w:val="-2"/>
                <w:sz w:val="18"/>
              </w:rPr>
              <w:t> </w:t>
            </w:r>
            <w:r>
              <w:rPr>
                <w:rFonts w:ascii="Times New Roman"/>
                <w:b/>
                <w:sz w:val="18"/>
              </w:rPr>
              <w:t>Lee</w:t>
            </w:r>
            <w:r>
              <w:rPr>
                <w:rFonts w:ascii="Times New Roman"/>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136" w:right="46" w:hanging="90"/>
              <w:jc w:val="left"/>
              <w:rPr>
                <w:rFonts w:ascii="宋体" w:hAnsi="宋体" w:cs="宋体" w:eastAsia="宋体" w:hint="default"/>
                <w:sz w:val="18"/>
                <w:szCs w:val="18"/>
              </w:rPr>
            </w:pPr>
            <w:r>
              <w:rPr>
                <w:rFonts w:ascii="宋体" w:hAnsi="宋体" w:cs="宋体" w:eastAsia="宋体" w:hint="default"/>
                <w:b/>
                <w:bCs/>
                <w:sz w:val="18"/>
                <w:szCs w:val="18"/>
              </w:rPr>
              <w:t>外籍其他管理人员</w:t>
            </w:r>
            <w:r>
              <w:rPr>
                <w:rFonts w:ascii="宋体" w:hAnsi="宋体" w:cs="宋体" w:eastAsia="宋体" w:hint="default"/>
                <w:b/>
                <w:bCs/>
                <w:w w:val="99"/>
                <w:sz w:val="18"/>
                <w:szCs w:val="18"/>
              </w:rPr>
              <w:t> </w:t>
            </w:r>
            <w:r>
              <w:rPr>
                <w:rFonts w:ascii="宋体" w:hAnsi="宋体" w:cs="宋体" w:eastAsia="宋体" w:hint="default"/>
                <w:b/>
                <w:bCs/>
                <w:sz w:val="18"/>
                <w:szCs w:val="18"/>
              </w:rPr>
              <w:t>及核心业务人员</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1,100</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33.33%</w:t>
            </w:r>
            <w:r>
              <w:rPr>
                <w:rFonts w:ascii="Times New Roman"/>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1.14%</w:t>
            </w:r>
            <w:r>
              <w:rPr>
                <w:rFonts w:ascii="Times New Roman"/>
                <w:sz w:val="18"/>
              </w:rPr>
            </w:r>
          </w:p>
        </w:tc>
      </w:tr>
      <w:tr>
        <w:trPr>
          <w:trHeight w:val="660" w:hRule="exact"/>
        </w:trPr>
        <w:tc>
          <w:tcPr>
            <w:tcW w:w="227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b/>
                <w:sz w:val="18"/>
              </w:rPr>
              <w:t>Cody James</w:t>
            </w:r>
            <w:r>
              <w:rPr>
                <w:rFonts w:ascii="Times New Roman"/>
                <w:b/>
                <w:spacing w:val="-4"/>
                <w:sz w:val="18"/>
              </w:rPr>
              <w:t> </w:t>
            </w:r>
            <w:r>
              <w:rPr>
                <w:rFonts w:ascii="Times New Roman"/>
                <w:b/>
                <w:sz w:val="18"/>
              </w:rPr>
              <w:t>Mahaffey</w:t>
            </w:r>
            <w:r>
              <w:rPr>
                <w:rFonts w:ascii="Times New Roman"/>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6"/>
              <w:ind w:left="136" w:right="46" w:hanging="90"/>
              <w:jc w:val="left"/>
              <w:rPr>
                <w:rFonts w:ascii="宋体" w:hAnsi="宋体" w:cs="宋体" w:eastAsia="宋体" w:hint="default"/>
                <w:sz w:val="18"/>
                <w:szCs w:val="18"/>
              </w:rPr>
            </w:pPr>
            <w:r>
              <w:rPr>
                <w:rFonts w:ascii="宋体" w:hAnsi="宋体" w:cs="宋体" w:eastAsia="宋体" w:hint="default"/>
                <w:b/>
                <w:bCs/>
                <w:sz w:val="18"/>
                <w:szCs w:val="18"/>
              </w:rPr>
              <w:t>外籍其他管理人员</w:t>
            </w:r>
            <w:r>
              <w:rPr>
                <w:rFonts w:ascii="宋体" w:hAnsi="宋体" w:cs="宋体" w:eastAsia="宋体" w:hint="default"/>
                <w:b/>
                <w:bCs/>
                <w:w w:val="99"/>
                <w:sz w:val="18"/>
                <w:szCs w:val="18"/>
              </w:rPr>
              <w:t> </w:t>
            </w:r>
            <w:r>
              <w:rPr>
                <w:rFonts w:ascii="宋体" w:hAnsi="宋体" w:cs="宋体" w:eastAsia="宋体" w:hint="default"/>
                <w:b/>
                <w:bCs/>
                <w:sz w:val="18"/>
                <w:szCs w:val="18"/>
              </w:rPr>
              <w:t>及核心业务人员</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1,100</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33.33%</w:t>
            </w:r>
            <w:r>
              <w:rPr>
                <w:rFonts w:ascii="Times New Roman"/>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1.14%</w:t>
            </w:r>
            <w:r>
              <w:rPr>
                <w:rFonts w:ascii="Times New Roman"/>
                <w:sz w:val="18"/>
              </w:rPr>
            </w:r>
          </w:p>
        </w:tc>
      </w:tr>
    </w:tbl>
    <w:p>
      <w:pPr>
        <w:pStyle w:val="BodyText"/>
        <w:spacing w:line="300" w:lineRule="auto" w:before="10"/>
        <w:ind w:right="0" w:firstLine="480"/>
        <w:jc w:val="left"/>
      </w:pPr>
      <w:r>
        <w:rPr>
          <w:rFonts w:ascii="Times New Roman" w:hAnsi="Times New Roman" w:cs="Times New Roman" w:eastAsia="Times New Roman" w:hint="default"/>
          <w:spacing w:val="-1"/>
        </w:rPr>
        <w:t>4</w:t>
      </w:r>
      <w:r>
        <w:rPr>
          <w:spacing w:val="-1"/>
        </w:rPr>
        <w:t>、股票期权的授予数量：本激励计划拟授予激励对象</w:t>
      </w:r>
      <w:r>
        <w:rPr>
          <w:rFonts w:ascii="Times New Roman" w:hAnsi="Times New Roman" w:cs="Times New Roman" w:eastAsia="Times New Roman" w:hint="default"/>
          <w:spacing w:val="-1"/>
        </w:rPr>
        <w:t>3,300</w:t>
      </w:r>
      <w:r>
        <w:rPr>
          <w:spacing w:val="-1"/>
        </w:rPr>
        <w:t>万份股票期权，涉及的标的股票种类为人民币</w:t>
      </w:r>
      <w:r>
        <w:rPr>
          <w:rFonts w:ascii="Times New Roman" w:hAnsi="Times New Roman" w:cs="Times New Roman" w:eastAsia="Times New Roman" w:hint="default"/>
          <w:spacing w:val="-1"/>
        </w:rPr>
        <w:t>A</w:t>
      </w:r>
      <w:r>
        <w:rPr>
          <w:spacing w:val="-1"/>
        </w:rPr>
        <w:t>股普通股，</w:t>
      </w:r>
      <w:r>
        <w:rPr/>
        <w:t> 约占《激励计划（草案）》公告时公司股本总额的</w:t>
      </w:r>
      <w:r>
        <w:rPr>
          <w:rFonts w:ascii="Times New Roman" w:hAnsi="Times New Roman" w:cs="Times New Roman" w:eastAsia="Times New Roman" w:hint="default"/>
        </w:rPr>
        <w:t>3.4172%</w:t>
      </w:r>
      <w:r>
        <w:rPr/>
        <w:t>。</w:t>
      </w:r>
    </w:p>
    <w:p>
      <w:pPr>
        <w:pStyle w:val="BodyText"/>
        <w:spacing w:line="300" w:lineRule="auto" w:before="13"/>
        <w:ind w:right="0" w:firstLine="480"/>
        <w:jc w:val="left"/>
      </w:pPr>
      <w:r>
        <w:rPr>
          <w:rFonts w:ascii="Times New Roman" w:hAnsi="Times New Roman" w:cs="Times New Roman" w:eastAsia="Times New Roman" w:hint="default"/>
          <w:spacing w:val="-1"/>
        </w:rPr>
        <w:t>5</w:t>
      </w:r>
      <w:r>
        <w:rPr>
          <w:spacing w:val="-1"/>
        </w:rPr>
        <w:t>、授予价格：公司授予激励对象股票期权的行权价格为</w:t>
      </w:r>
      <w:r>
        <w:rPr>
          <w:rFonts w:ascii="Times New Roman" w:hAnsi="Times New Roman" w:cs="Times New Roman" w:eastAsia="Times New Roman" w:hint="default"/>
          <w:spacing w:val="-1"/>
        </w:rPr>
        <w:t>10.75</w:t>
      </w:r>
      <w:r>
        <w:rPr>
          <w:spacing w:val="-1"/>
        </w:rPr>
        <w:t>元</w:t>
      </w:r>
      <w:r>
        <w:rPr>
          <w:rFonts w:ascii="Times New Roman" w:hAnsi="Times New Roman" w:cs="Times New Roman" w:eastAsia="Times New Roman" w:hint="default"/>
          <w:spacing w:val="-1"/>
        </w:rPr>
        <w:t>/</w:t>
      </w:r>
      <w:r>
        <w:rPr>
          <w:spacing w:val="-1"/>
        </w:rPr>
        <w:t>股，即满足行权条件和生效条件后，激励对象获授的</w:t>
      </w:r>
      <w:r>
        <w:rPr/>
        <w:t> 每份股票期权可在行权期内以</w:t>
      </w:r>
      <w:r>
        <w:rPr>
          <w:rFonts w:ascii="Times New Roman" w:hAnsi="Times New Roman" w:cs="Times New Roman" w:eastAsia="Times New Roman" w:hint="default"/>
        </w:rPr>
        <w:t>10.75</w:t>
      </w:r>
      <w:r>
        <w:rPr/>
        <w:t>元的价格认购</w:t>
      </w:r>
      <w:r>
        <w:rPr>
          <w:rFonts w:ascii="Times New Roman" w:hAnsi="Times New Roman" w:cs="Times New Roman" w:eastAsia="Times New Roman" w:hint="default"/>
        </w:rPr>
        <w:t>1</w:t>
      </w:r>
      <w:r>
        <w:rPr/>
        <w:t>股公司股票。</w:t>
      </w:r>
    </w:p>
    <w:p>
      <w:pPr>
        <w:pStyle w:val="BodyText"/>
        <w:spacing w:line="300" w:lineRule="auto" w:before="13"/>
        <w:ind w:left="634" w:right="7572"/>
        <w:jc w:val="left"/>
      </w:pPr>
      <w:r>
        <w:rPr>
          <w:rFonts w:ascii="Times New Roman" w:hAnsi="Times New Roman" w:cs="Times New Roman" w:eastAsia="Times New Roman" w:hint="default"/>
        </w:rPr>
        <w:t>6</w:t>
      </w:r>
      <w:r>
        <w:rPr/>
        <w:t>、行权安排： 本次股票期权行权计划安排如下：</w:t>
      </w:r>
    </w:p>
    <w:tbl>
      <w:tblPr>
        <w:tblW w:w="0" w:type="auto"/>
        <w:jc w:val="left"/>
        <w:tblInd w:w="146" w:type="dxa"/>
        <w:tblLayout w:type="fixed"/>
        <w:tblCellMar>
          <w:top w:w="0" w:type="dxa"/>
          <w:left w:w="0" w:type="dxa"/>
          <w:bottom w:w="0" w:type="dxa"/>
          <w:right w:w="0" w:type="dxa"/>
        </w:tblCellMar>
        <w:tblLook w:val="01E0"/>
      </w:tblPr>
      <w:tblGrid>
        <w:gridCol w:w="1578"/>
        <w:gridCol w:w="3472"/>
        <w:gridCol w:w="3473"/>
      </w:tblGrid>
      <w:tr>
        <w:trPr>
          <w:trHeight w:val="355" w:hRule="exact"/>
        </w:trPr>
        <w:tc>
          <w:tcPr>
            <w:tcW w:w="15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500"/>
              <w:jc w:val="right"/>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347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34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b/>
                <w:bCs/>
                <w:sz w:val="18"/>
                <w:szCs w:val="18"/>
              </w:rPr>
              <w:t>可行权总量占获授期权总量比例</w:t>
            </w:r>
            <w:r>
              <w:rPr>
                <w:rFonts w:ascii="宋体" w:hAnsi="宋体" w:cs="宋体" w:eastAsia="宋体" w:hint="default"/>
                <w:sz w:val="18"/>
                <w:szCs w:val="18"/>
              </w:rPr>
            </w:r>
          </w:p>
        </w:tc>
      </w:tr>
      <w:tr>
        <w:trPr>
          <w:trHeight w:val="976" w:hRule="exact"/>
        </w:trPr>
        <w:tc>
          <w:tcPr>
            <w:tcW w:w="157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471"/>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3472"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3"/>
              <w:jc w:val="both"/>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w:t>
            </w:r>
            <w:r>
              <w:rPr>
                <w:rFonts w:ascii="宋体" w:hAnsi="宋体" w:cs="宋体" w:eastAsia="宋体" w:hint="default"/>
                <w:spacing w:val="-72"/>
                <w:sz w:val="18"/>
                <w:szCs w:val="18"/>
              </w:rPr>
              <w:t> </w:t>
            </w:r>
            <w:r>
              <w:rPr>
                <w:rFonts w:ascii="宋体" w:hAnsi="宋体" w:cs="宋体" w:eastAsia="宋体" w:hint="default"/>
                <w:sz w:val="18"/>
                <w:szCs w:val="18"/>
              </w:rPr>
              <w:t>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w:t>
            </w:r>
            <w:r>
              <w:rPr>
                <w:rFonts w:ascii="宋体" w:hAnsi="宋体" w:cs="宋体" w:eastAsia="宋体" w:hint="default"/>
                <w:spacing w:val="-72"/>
                <w:sz w:val="18"/>
                <w:szCs w:val="18"/>
              </w:rPr>
              <w:t> </w:t>
            </w:r>
            <w:r>
              <w:rPr>
                <w:rFonts w:ascii="宋体" w:hAnsi="宋体" w:cs="宋体" w:eastAsia="宋体" w:hint="default"/>
                <w:sz w:val="18"/>
                <w:szCs w:val="18"/>
              </w:rPr>
              <w:t>日止。</w:t>
            </w:r>
          </w:p>
        </w:tc>
        <w:tc>
          <w:tcPr>
            <w:tcW w:w="3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33.33%</w:t>
            </w:r>
          </w:p>
        </w:tc>
      </w:tr>
      <w:tr>
        <w:trPr>
          <w:trHeight w:val="976" w:hRule="exact"/>
        </w:trPr>
        <w:tc>
          <w:tcPr>
            <w:tcW w:w="157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471"/>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3472"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3"/>
              <w:jc w:val="both"/>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w:t>
            </w:r>
            <w:r>
              <w:rPr>
                <w:rFonts w:ascii="宋体" w:hAnsi="宋体" w:cs="宋体" w:eastAsia="宋体" w:hint="default"/>
                <w:spacing w:val="-72"/>
                <w:sz w:val="18"/>
                <w:szCs w:val="18"/>
              </w:rPr>
              <w:t> </w:t>
            </w:r>
            <w:r>
              <w:rPr>
                <w:rFonts w:ascii="宋体" w:hAnsi="宋体" w:cs="宋体" w:eastAsia="宋体" w:hint="default"/>
                <w:sz w:val="18"/>
                <w:szCs w:val="18"/>
              </w:rPr>
              <w:t>首次授予日起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个月内的最后一个交易日当</w:t>
            </w:r>
            <w:r>
              <w:rPr>
                <w:rFonts w:ascii="宋体" w:hAnsi="宋体" w:cs="宋体" w:eastAsia="宋体" w:hint="default"/>
                <w:spacing w:val="-72"/>
                <w:sz w:val="18"/>
                <w:szCs w:val="18"/>
              </w:rPr>
              <w:t> </w:t>
            </w:r>
            <w:r>
              <w:rPr>
                <w:rFonts w:ascii="宋体" w:hAnsi="宋体" w:cs="宋体" w:eastAsia="宋体" w:hint="default"/>
                <w:sz w:val="18"/>
                <w:szCs w:val="18"/>
              </w:rPr>
              <w:t>日止。</w:t>
            </w:r>
          </w:p>
        </w:tc>
        <w:tc>
          <w:tcPr>
            <w:tcW w:w="3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33.33%</w:t>
            </w:r>
          </w:p>
        </w:tc>
      </w:tr>
      <w:tr>
        <w:trPr>
          <w:trHeight w:val="977" w:hRule="exact"/>
        </w:trPr>
        <w:tc>
          <w:tcPr>
            <w:tcW w:w="157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471"/>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3472"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3"/>
              <w:jc w:val="both"/>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个月后的首个交易日起至</w:t>
            </w:r>
            <w:r>
              <w:rPr>
                <w:rFonts w:ascii="宋体" w:hAnsi="宋体" w:cs="宋体" w:eastAsia="宋体" w:hint="default"/>
                <w:spacing w:val="-72"/>
                <w:sz w:val="18"/>
                <w:szCs w:val="18"/>
              </w:rPr>
              <w:t> </w:t>
            </w:r>
            <w:r>
              <w:rPr>
                <w:rFonts w:ascii="宋体" w:hAnsi="宋体" w:cs="宋体" w:eastAsia="宋体" w:hint="default"/>
                <w:sz w:val="18"/>
                <w:szCs w:val="18"/>
              </w:rPr>
              <w:t>首次授予日起</w:t>
            </w:r>
            <w:r>
              <w:rPr>
                <w:rFonts w:ascii="Times New Roman" w:hAnsi="Times New Roman" w:cs="Times New Roman" w:eastAsia="Times New Roman" w:hint="default"/>
                <w:sz w:val="18"/>
                <w:szCs w:val="18"/>
              </w:rPr>
              <w:t>84</w:t>
            </w:r>
            <w:r>
              <w:rPr>
                <w:rFonts w:ascii="宋体" w:hAnsi="宋体" w:cs="宋体" w:eastAsia="宋体" w:hint="default"/>
                <w:sz w:val="18"/>
                <w:szCs w:val="18"/>
              </w:rPr>
              <w:t>个月内的最后一个交易日当</w:t>
            </w:r>
            <w:r>
              <w:rPr>
                <w:rFonts w:ascii="宋体" w:hAnsi="宋体" w:cs="宋体" w:eastAsia="宋体" w:hint="default"/>
                <w:spacing w:val="-72"/>
                <w:sz w:val="18"/>
                <w:szCs w:val="18"/>
              </w:rPr>
              <w:t> </w:t>
            </w:r>
            <w:r>
              <w:rPr>
                <w:rFonts w:ascii="宋体" w:hAnsi="宋体" w:cs="宋体" w:eastAsia="宋体" w:hint="default"/>
                <w:sz w:val="18"/>
                <w:szCs w:val="18"/>
              </w:rPr>
              <w:t>日止。</w:t>
            </w:r>
          </w:p>
        </w:tc>
        <w:tc>
          <w:tcPr>
            <w:tcW w:w="3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33.34%</w:t>
            </w:r>
          </w:p>
        </w:tc>
      </w:tr>
    </w:tbl>
    <w:p>
      <w:pPr>
        <w:pStyle w:val="BodyText"/>
        <w:spacing w:line="240" w:lineRule="auto" w:before="31"/>
        <w:ind w:left="634" w:right="0"/>
        <w:jc w:val="left"/>
      </w:pPr>
      <w:r>
        <w:rPr>
          <w:rFonts w:ascii="Times New Roman" w:hAnsi="Times New Roman" w:cs="Times New Roman" w:eastAsia="Times New Roman" w:hint="default"/>
        </w:rPr>
        <w:t>7</w:t>
      </w:r>
      <w:r>
        <w:rPr/>
        <w:t>、激励对象申请股票期权行权的业绩考核指标为：</w:t>
      </w:r>
    </w:p>
    <w:p>
      <w:pPr>
        <w:pStyle w:val="BodyText"/>
        <w:spacing w:line="240" w:lineRule="auto" w:before="63"/>
        <w:ind w:left="634" w:right="0"/>
        <w:jc w:val="left"/>
      </w:pPr>
      <w:r>
        <w:rPr/>
        <w:t>（</w:t>
      </w:r>
      <w:r>
        <w:rPr>
          <w:rFonts w:ascii="Times New Roman" w:hAnsi="Times New Roman" w:cs="Times New Roman" w:eastAsia="Times New Roman" w:hint="default"/>
        </w:rPr>
        <w:t>1</w:t>
      </w:r>
      <w:r>
        <w:rPr/>
        <w:t>）公司业绩考核条件</w:t>
      </w:r>
    </w:p>
    <w:p>
      <w:pPr>
        <w:pStyle w:val="BodyText"/>
        <w:spacing w:line="300" w:lineRule="auto" w:before="63"/>
        <w:ind w:right="1120" w:firstLine="480"/>
        <w:jc w:val="left"/>
      </w:pPr>
      <w:r>
        <w:rPr/>
        <w:t>本激励计划在</w:t>
      </w:r>
      <w:r>
        <w:rPr>
          <w:spacing w:val="2"/>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-2021</w:t>
      </w:r>
      <w:r>
        <w:rPr/>
        <w:t>年会计年度中，分年度对公司的业绩指标进行考核，以达到公司业绩考核目标作为激励对 象当期的行权条件之一。股票期权各年度绩效考核目标如下表所示：</w:t>
      </w:r>
    </w:p>
    <w:tbl>
      <w:tblPr>
        <w:tblW w:w="0" w:type="auto"/>
        <w:jc w:val="left"/>
        <w:tblInd w:w="288" w:type="dxa"/>
        <w:tblLayout w:type="fixed"/>
        <w:tblCellMar>
          <w:top w:w="0" w:type="dxa"/>
          <w:left w:w="0" w:type="dxa"/>
          <w:bottom w:w="0" w:type="dxa"/>
          <w:right w:w="0" w:type="dxa"/>
        </w:tblCellMar>
        <w:tblLook w:val="01E0"/>
      </w:tblPr>
      <w:tblGrid>
        <w:gridCol w:w="1902"/>
        <w:gridCol w:w="6180"/>
      </w:tblGrid>
      <w:tr>
        <w:trPr>
          <w:trHeight w:val="355" w:hRule="exact"/>
        </w:trPr>
        <w:tc>
          <w:tcPr>
            <w:tcW w:w="19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sz w:val="18"/>
                <w:szCs w:val="18"/>
              </w:rPr>
              <w:t>行权安排</w:t>
            </w:r>
          </w:p>
        </w:tc>
        <w:tc>
          <w:tcPr>
            <w:tcW w:w="618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2537"/>
              <w:jc w:val="right"/>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52" w:hRule="exact"/>
        </w:trPr>
        <w:tc>
          <w:tcPr>
            <w:tcW w:w="190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6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 w:right="2506"/>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7.8</w:t>
            </w:r>
            <w:r>
              <w:rPr>
                <w:rFonts w:ascii="宋体" w:hAnsi="宋体" w:cs="宋体" w:eastAsia="宋体" w:hint="default"/>
                <w:spacing w:val="-1"/>
                <w:sz w:val="18"/>
                <w:szCs w:val="18"/>
              </w:rPr>
              <w:t>亿；</w:t>
            </w:r>
          </w:p>
        </w:tc>
      </w:tr>
      <w:tr>
        <w:trPr>
          <w:trHeight w:val="353" w:hRule="exact"/>
        </w:trPr>
        <w:tc>
          <w:tcPr>
            <w:tcW w:w="190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6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 w:right="2506"/>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8.6</w:t>
            </w:r>
            <w:r>
              <w:rPr>
                <w:rFonts w:ascii="宋体" w:hAnsi="宋体" w:cs="宋体" w:eastAsia="宋体" w:hint="default"/>
                <w:spacing w:val="-1"/>
                <w:sz w:val="18"/>
                <w:szCs w:val="18"/>
              </w:rPr>
              <w:t>亿；</w:t>
            </w:r>
          </w:p>
        </w:tc>
      </w:tr>
      <w:tr>
        <w:trPr>
          <w:trHeight w:val="352" w:hRule="exact"/>
        </w:trPr>
        <w:tc>
          <w:tcPr>
            <w:tcW w:w="190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6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 w:right="2506"/>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2021</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9.5</w:t>
            </w:r>
            <w:r>
              <w:rPr>
                <w:rFonts w:ascii="宋体" w:hAnsi="宋体" w:cs="宋体" w:eastAsia="宋体" w:hint="default"/>
                <w:spacing w:val="-1"/>
                <w:sz w:val="18"/>
                <w:szCs w:val="18"/>
              </w:rPr>
              <w:t>亿。</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96" w:lineRule="auto" w:before="44"/>
        <w:ind w:left="634" w:right="0" w:hanging="263"/>
        <w:jc w:val="left"/>
      </w:pPr>
      <w:r>
        <w:rPr/>
        <w:t>注：以上</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是指经审计的归属于上市公司股东的净利润（扣除股权激励费用的影响）。 根据业绩完成情况，按照以下规定分别确定该期行权比例：</w:t>
      </w:r>
    </w:p>
    <w:p>
      <w:pPr>
        <w:pStyle w:val="BodyText"/>
        <w:spacing w:line="209" w:lineRule="exact"/>
        <w:ind w:left="634" w:right="0"/>
        <w:jc w:val="left"/>
      </w:pPr>
      <w:r>
        <w:rPr>
          <w:rFonts w:ascii="Times New Roman" w:hAnsi="Times New Roman" w:cs="Times New Roman" w:eastAsia="Times New Roman" w:hint="default"/>
        </w:rPr>
        <w:t>A</w:t>
      </w:r>
      <w:r>
        <w:rPr/>
        <w:t>、考核年度公司层面业绩考核目标达到或超过</w:t>
      </w:r>
      <w:r>
        <w:rPr>
          <w:rFonts w:ascii="Times New Roman" w:hAnsi="Times New Roman" w:cs="Times New Roman" w:eastAsia="Times New Roman" w:hint="default"/>
        </w:rPr>
        <w:t>100%</w:t>
      </w:r>
      <w:r>
        <w:rPr/>
        <w:t>，则当期待行权部分的实际行权比例为</w:t>
      </w:r>
      <w:r>
        <w:rPr>
          <w:rFonts w:ascii="Times New Roman" w:hAnsi="Times New Roman" w:cs="Times New Roman" w:eastAsia="Times New Roman" w:hint="default"/>
        </w:rPr>
        <w:t>100%</w:t>
      </w:r>
      <w:r>
        <w:rPr/>
        <w:t>；</w:t>
      </w:r>
    </w:p>
    <w:p>
      <w:pPr>
        <w:pStyle w:val="BodyText"/>
        <w:spacing w:line="300" w:lineRule="auto" w:before="63"/>
        <w:ind w:right="1132" w:firstLine="480"/>
        <w:jc w:val="both"/>
      </w:pPr>
      <w:r>
        <w:rPr>
          <w:rFonts w:ascii="Times New Roman" w:hAnsi="Times New Roman" w:cs="Times New Roman" w:eastAsia="Times New Roman" w:hint="default"/>
        </w:rPr>
        <w:t>B</w:t>
      </w:r>
      <w:r>
        <w:rPr/>
        <w:t>、考核年度公司层面业绩考核目标实现</w:t>
      </w:r>
      <w:r>
        <w:rPr>
          <w:rFonts w:ascii="Times New Roman" w:hAnsi="Times New Roman" w:cs="Times New Roman" w:eastAsia="Times New Roman" w:hint="default"/>
        </w:rPr>
        <w:t>85%</w:t>
      </w:r>
      <w:r>
        <w:rPr/>
        <w:t>（含</w:t>
      </w:r>
      <w:r>
        <w:rPr>
          <w:rFonts w:ascii="Times New Roman" w:hAnsi="Times New Roman" w:cs="Times New Roman" w:eastAsia="Times New Roman" w:hint="default"/>
        </w:rPr>
        <w:t>85%</w:t>
      </w:r>
      <w:r>
        <w:rPr/>
        <w:t>）</w:t>
      </w:r>
      <w:r>
        <w:rPr>
          <w:rFonts w:ascii="Times New Roman" w:hAnsi="Times New Roman" w:cs="Times New Roman" w:eastAsia="Times New Roman" w:hint="default"/>
        </w:rPr>
        <w:t>~100%</w:t>
      </w:r>
      <w:r>
        <w:rPr/>
        <w:t>（不含</w:t>
      </w:r>
      <w:r>
        <w:rPr>
          <w:rFonts w:ascii="Times New Roman" w:hAnsi="Times New Roman" w:cs="Times New Roman" w:eastAsia="Times New Roman" w:hint="default"/>
        </w:rPr>
        <w:t>100%</w:t>
      </w:r>
      <w:r>
        <w:rPr/>
        <w:t>），则当期待行权部分的实际行权比例为 </w:t>
      </w:r>
      <w:r>
        <w:rPr>
          <w:rFonts w:ascii="Times New Roman" w:hAnsi="Times New Roman" w:cs="Times New Roman" w:eastAsia="Times New Roman" w:hint="default"/>
        </w:rPr>
        <w:t>80%</w:t>
      </w:r>
      <w:r>
        <w:rPr/>
        <w:t>；</w:t>
      </w:r>
    </w:p>
    <w:p>
      <w:pPr>
        <w:pStyle w:val="BodyText"/>
        <w:spacing w:line="300" w:lineRule="auto" w:before="13"/>
        <w:ind w:left="634" w:right="0"/>
        <w:jc w:val="left"/>
      </w:pPr>
      <w:r>
        <w:rPr>
          <w:rFonts w:ascii="Times New Roman" w:hAnsi="Times New Roman" w:cs="Times New Roman" w:eastAsia="Times New Roman" w:hint="default"/>
          <w:spacing w:val="-4"/>
        </w:rPr>
        <w:t>C</w:t>
      </w:r>
      <w:r>
        <w:rPr>
          <w:spacing w:val="-4"/>
        </w:rPr>
        <w:t>、考核年度公司层面业绩考核目标实现</w:t>
      </w:r>
      <w:r>
        <w:rPr>
          <w:rFonts w:ascii="Times New Roman" w:hAnsi="Times New Roman" w:cs="Times New Roman" w:eastAsia="Times New Roman" w:hint="default"/>
          <w:spacing w:val="-4"/>
        </w:rPr>
        <w:t>75%</w:t>
      </w:r>
      <w:r>
        <w:rPr>
          <w:spacing w:val="-4"/>
        </w:rPr>
        <w:t>（含</w:t>
      </w:r>
      <w:r>
        <w:rPr>
          <w:rFonts w:ascii="Times New Roman" w:hAnsi="Times New Roman" w:cs="Times New Roman" w:eastAsia="Times New Roman" w:hint="default"/>
          <w:spacing w:val="-4"/>
        </w:rPr>
        <w:t>75%</w:t>
      </w:r>
      <w:r>
        <w:rPr>
          <w:spacing w:val="-4"/>
        </w:rPr>
        <w:t>）</w:t>
      </w:r>
      <w:r>
        <w:rPr>
          <w:rFonts w:ascii="Times New Roman" w:hAnsi="Times New Roman" w:cs="Times New Roman" w:eastAsia="Times New Roman" w:hint="default"/>
          <w:spacing w:val="-4"/>
        </w:rPr>
        <w:t>~85%</w:t>
      </w:r>
      <w:r>
        <w:rPr>
          <w:spacing w:val="-4"/>
        </w:rPr>
        <w:t>（不含</w:t>
      </w:r>
      <w:r>
        <w:rPr>
          <w:rFonts w:ascii="Times New Roman" w:hAnsi="Times New Roman" w:cs="Times New Roman" w:eastAsia="Times New Roman" w:hint="default"/>
          <w:spacing w:val="-4"/>
        </w:rPr>
        <w:t>85%</w:t>
      </w:r>
      <w:r>
        <w:rPr>
          <w:spacing w:val="-4"/>
        </w:rPr>
        <w:t>），则当期待行权部分的实际行权比例为</w:t>
      </w:r>
      <w:r>
        <w:rPr>
          <w:rFonts w:ascii="Times New Roman" w:hAnsi="Times New Roman" w:cs="Times New Roman" w:eastAsia="Times New Roman" w:hint="default"/>
          <w:spacing w:val="-4"/>
        </w:rPr>
        <w:t>70%</w:t>
      </w:r>
      <w:r>
        <w:rPr>
          <w:spacing w:val="-4"/>
        </w:rPr>
        <w:t>；</w:t>
      </w:r>
      <w:r>
        <w:rPr>
          <w:spacing w:val="-40"/>
        </w:rPr>
        <w:t> </w:t>
      </w:r>
      <w:r>
        <w:rPr>
          <w:rFonts w:ascii="Times New Roman" w:hAnsi="Times New Roman" w:cs="Times New Roman" w:eastAsia="Times New Roman" w:hint="default"/>
        </w:rPr>
        <w:t>D</w:t>
      </w:r>
      <w:r>
        <w:rPr/>
        <w:t>、其余任何情形下，当期的股票期权均不可行权；</w:t>
      </w:r>
    </w:p>
    <w:p>
      <w:pPr>
        <w:pStyle w:val="BodyText"/>
        <w:spacing w:line="240" w:lineRule="auto" w:before="13"/>
        <w:ind w:left="634" w:right="0"/>
        <w:jc w:val="left"/>
      </w:pPr>
      <w:r>
        <w:rPr/>
        <w:t>不得行权的股票期权，由公司统一注销。</w:t>
      </w:r>
    </w:p>
    <w:p>
      <w:pPr>
        <w:pStyle w:val="BodyText"/>
        <w:spacing w:line="300" w:lineRule="auto" w:before="76"/>
        <w:ind w:left="634" w:right="0"/>
        <w:jc w:val="left"/>
      </w:pPr>
      <w:r>
        <w:rPr/>
        <w:t>（</w:t>
      </w:r>
      <w:r>
        <w:rPr>
          <w:rFonts w:ascii="Times New Roman" w:hAnsi="Times New Roman" w:cs="Times New Roman" w:eastAsia="Times New Roman" w:hint="default"/>
        </w:rPr>
        <w:t>2</w:t>
      </w:r>
      <w:r>
        <w:rPr/>
        <w:t>）个人考核条件 </w:t>
      </w:r>
      <w:r>
        <w:rPr>
          <w:spacing w:val="-1"/>
        </w:rPr>
        <w:t>根据本公司《考核办法》，目前对个人绩效考核结果共有优秀、良好、合格、较差四档。考核结果为优秀、良好及合</w:t>
      </w:r>
    </w:p>
    <w:p>
      <w:pPr>
        <w:pStyle w:val="BodyText"/>
        <w:spacing w:line="316" w:lineRule="auto" w:before="31"/>
        <w:ind w:left="634" w:right="1092" w:hanging="480"/>
        <w:jc w:val="left"/>
      </w:pPr>
      <w:r>
        <w:rPr/>
        <w:t>格的激励对象即通过考核，考核结果为较差的激励对象即未通过考核。 公司业绩目标达成且公司业绩目标达成的当年度激励对象通过个人考核，则激励对象可行权，以上任一条件未达成，</w:t>
      </w:r>
    </w:p>
    <w:p>
      <w:pPr>
        <w:pStyle w:val="BodyText"/>
        <w:spacing w:line="240" w:lineRule="auto" w:before="19"/>
        <w:ind w:right="0"/>
        <w:jc w:val="left"/>
      </w:pPr>
      <w:r>
        <w:rPr/>
        <w:t>则激励对象不得行权，不得行权部分的股票期权由公司注销。</w:t>
      </w:r>
    </w:p>
    <w:p>
      <w:pPr>
        <w:pStyle w:val="BodyText"/>
        <w:spacing w:line="240" w:lineRule="auto" w:before="76"/>
        <w:ind w:left="634" w:right="0"/>
        <w:jc w:val="left"/>
      </w:pPr>
      <w:r>
        <w:rPr/>
        <w:t>（二）、已履行的决策程序和批准情况</w:t>
      </w:r>
    </w:p>
    <w:p>
      <w:pPr>
        <w:pStyle w:val="BodyText"/>
        <w:spacing w:line="300" w:lineRule="auto" w:before="76"/>
        <w:ind w:right="1130"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日，公司第八届董事会第九次会议、第八届监事会第七次会议审议通过了《关于</w:t>
      </w:r>
      <w:r>
        <w:rPr>
          <w:rFonts w:ascii="Times New Roman" w:hAnsi="Times New Roman" w:cs="Times New Roman" w:eastAsia="Times New Roman" w:hint="default"/>
        </w:rPr>
        <w:t>&lt;</w:t>
      </w:r>
      <w:r>
        <w:rPr/>
        <w:t>智度科技股份有限 公司</w:t>
      </w:r>
      <w:r>
        <w:rPr>
          <w:rFonts w:ascii="Times New Roman" w:hAnsi="Times New Roman" w:cs="Times New Roman" w:eastAsia="Times New Roman" w:hint="default"/>
        </w:rPr>
        <w:t>2018</w:t>
      </w:r>
      <w:r>
        <w:rPr/>
        <w:t>年度股票期权激励计划（草案）</w:t>
      </w:r>
      <w:r>
        <w:rPr>
          <w:rFonts w:ascii="Times New Roman" w:hAnsi="Times New Roman" w:cs="Times New Roman" w:eastAsia="Times New Roman" w:hint="default"/>
        </w:rPr>
        <w:t>&gt;</w:t>
      </w:r>
      <w:r>
        <w:rPr/>
        <w:t>及其摘要的议案》等相关议案。公司独立董事已对本激励计划相关事项发表了同 意的独立意见。</w:t>
      </w:r>
    </w:p>
    <w:p>
      <w:pPr>
        <w:pStyle w:val="BodyText"/>
        <w:spacing w:line="312" w:lineRule="auto" w:before="31"/>
        <w:ind w:right="1130" w:firstLine="480"/>
        <w:jc w:val="both"/>
      </w:pPr>
      <w:r>
        <w:rPr>
          <w:rFonts w:ascii="Times New Roman" w:hAnsi="Times New Roman" w:cs="Times New Roman" w:eastAsia="Times New Roman" w:hint="default"/>
          <w:spacing w:val="-6"/>
        </w:rPr>
        <w:t>2</w:t>
      </w:r>
      <w:r>
        <w:rPr>
          <w:spacing w:val="-6"/>
        </w:rPr>
        <w:t>、公司于</w:t>
      </w:r>
      <w:r>
        <w:rPr>
          <w:spacing w:val="-2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日至</w:t>
      </w:r>
      <w:r>
        <w:rPr>
          <w:spacing w:val="-2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日通过巨潮资讯网和公司网站公示了《智度科技股份有限公司</w:t>
      </w:r>
      <w:r>
        <w:rPr>
          <w:spacing w:val="-28"/>
        </w:rPr>
        <w:t> </w:t>
      </w:r>
      <w:r>
        <w:rPr>
          <w:rFonts w:ascii="Times New Roman" w:hAnsi="Times New Roman" w:cs="Times New Roman" w:eastAsia="Times New Roman" w:hint="default"/>
        </w:rPr>
        <w:t>2018</w:t>
      </w:r>
      <w:r>
        <w:rPr/>
        <w:t>年度股 </w:t>
      </w:r>
      <w:r>
        <w:rPr>
          <w:spacing w:val="-2"/>
        </w:rPr>
        <w:t>票期权激励计划激励对象名单》，在公示期限内，公司未收到员工对本次拟激励对象名单提出的否定性反馈意见。公示期满</w:t>
      </w:r>
      <w:r>
        <w:rPr>
          <w:spacing w:val="-66"/>
        </w:rPr>
        <w:t> </w:t>
      </w:r>
      <w:r>
        <w:rPr>
          <w:spacing w:val="-66"/>
        </w:rPr>
      </w:r>
      <w:r>
        <w:rPr>
          <w:spacing w:val="-2"/>
        </w:rPr>
        <w:t>后，公司监事会对本激励计划激励对象名单进行了核查，并对公示情况进行了说明，监事会认为，本次列入激励计划的激励</w:t>
      </w:r>
      <w:r>
        <w:rPr>
          <w:spacing w:val="-66"/>
        </w:rPr>
        <w:t> </w:t>
      </w:r>
      <w:r>
        <w:rPr>
          <w:spacing w:val="-66"/>
        </w:rPr>
      </w:r>
      <w:r>
        <w:rPr/>
        <w:t>对象均符合相关法律、法规及规范性文件所规定的条件，其作为本激励计划的激励对象合法、有效。</w:t>
      </w:r>
    </w:p>
    <w:p>
      <w:pPr>
        <w:pStyle w:val="BodyText"/>
        <w:spacing w:line="300" w:lineRule="auto" w:before="22"/>
        <w:ind w:right="1132" w:firstLine="480"/>
        <w:jc w:val="both"/>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21</w:t>
      </w:r>
      <w:r>
        <w:rPr>
          <w:spacing w:val="-4"/>
        </w:rPr>
        <w:t>日，公司召开 </w:t>
      </w:r>
      <w:r>
        <w:rPr>
          <w:rFonts w:ascii="Times New Roman" w:hAnsi="Times New Roman" w:cs="Times New Roman" w:eastAsia="Times New Roman" w:hint="default"/>
          <w:spacing w:val="-3"/>
        </w:rPr>
        <w:t>2018</w:t>
      </w:r>
      <w:r>
        <w:rPr>
          <w:spacing w:val="-3"/>
        </w:rPr>
        <w:t>年第五次临时股东大会，审议通过了《关于</w:t>
      </w:r>
      <w:r>
        <w:rPr>
          <w:rFonts w:ascii="Times New Roman" w:hAnsi="Times New Roman" w:cs="Times New Roman" w:eastAsia="Times New Roman" w:hint="default"/>
          <w:spacing w:val="-3"/>
        </w:rPr>
        <w:t>&lt;</w:t>
      </w:r>
      <w:r>
        <w:rPr>
          <w:spacing w:val="-3"/>
        </w:rPr>
        <w:t>公司</w:t>
      </w:r>
      <w:r>
        <w:rPr>
          <w:spacing w:val="-15"/>
        </w:rPr>
        <w:t> </w:t>
      </w:r>
      <w:r>
        <w:rPr>
          <w:rFonts w:ascii="Times New Roman" w:hAnsi="Times New Roman" w:cs="Times New Roman" w:eastAsia="Times New Roman" w:hint="default"/>
          <w:spacing w:val="-3"/>
        </w:rPr>
        <w:t>2018</w:t>
      </w:r>
      <w:r>
        <w:rPr>
          <w:spacing w:val="-3"/>
        </w:rPr>
        <w:t>年度股票期权激励计划（草</w:t>
      </w:r>
      <w:r>
        <w:rPr/>
        <w:t> 案）</w:t>
      </w:r>
      <w:r>
        <w:rPr>
          <w:rFonts w:ascii="Times New Roman" w:hAnsi="Times New Roman" w:cs="Times New Roman" w:eastAsia="Times New Roman" w:hint="default"/>
        </w:rPr>
        <w:t>&gt;</w:t>
      </w:r>
      <w:r>
        <w:rPr/>
        <w:t>及其摘要的议案》等相关议案。公司对内幕信息知情人及激励对象《激励计划（草案）》公告前</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个月内买卖本公司 股票的情况进行自查，未发现相关内幕信息知情人存在利用与本激励计划相关的内幕信息进行股票买卖的行为。</w:t>
      </w:r>
    </w:p>
    <w:p>
      <w:pPr>
        <w:pStyle w:val="BodyText"/>
        <w:spacing w:line="300" w:lineRule="auto" w:before="31"/>
        <w:ind w:right="1130"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21</w:t>
      </w:r>
      <w:r>
        <w:rPr/>
        <w:t>日，公司召开第八届董事会第十次会议、第八届监事会第九次会议，审议通过了《关于向</w:t>
      </w:r>
      <w:r>
        <w:rPr>
          <w:spacing w:val="-65"/>
        </w:rPr>
        <w:t> </w:t>
      </w:r>
      <w:r>
        <w:rPr>
          <w:rFonts w:ascii="Times New Roman" w:hAnsi="Times New Roman" w:cs="Times New Roman" w:eastAsia="Times New Roman" w:hint="default"/>
        </w:rPr>
        <w:t>2018</w:t>
      </w:r>
      <w:r>
        <w:rPr/>
        <w:t>年度</w:t>
      </w:r>
      <w:r>
        <w:rPr>
          <w:spacing w:val="1"/>
        </w:rPr>
        <w:t> </w:t>
      </w:r>
      <w:r>
        <w:rPr/>
        <w:t>股票期权激励计划的激励对象授予股票期权的议案》，确定本次股票期权的授予日为</w:t>
      </w:r>
      <w:r>
        <w:rPr>
          <w:spacing w:val="-27"/>
        </w:rPr>
        <w:t> </w:t>
      </w:r>
      <w:r>
        <w:rPr>
          <w:rFonts w:ascii="Times New Roman" w:hAnsi="Times New Roman" w:cs="Times New Roman" w:eastAsia="Times New Roman" w:hint="default"/>
        </w:rPr>
        <w:t>2018</w:t>
      </w:r>
      <w:r>
        <w:rPr/>
        <w:t>年</w:t>
      </w:r>
      <w:r>
        <w:rPr>
          <w:spacing w:val="-2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21</w:t>
      </w:r>
      <w:r>
        <w:rPr/>
        <w:t>日，同意公司向</w:t>
      </w:r>
      <w:r>
        <w:rPr>
          <w:rFonts w:ascii="Times New Roman" w:hAnsi="Times New Roman" w:cs="Times New Roman" w:eastAsia="Times New Roman" w:hint="default"/>
        </w:rPr>
        <w:t>3</w:t>
      </w:r>
      <w:r>
        <w:rPr/>
        <w:t>名激 励对象授予</w:t>
      </w:r>
      <w:r>
        <w:rPr>
          <w:rFonts w:ascii="Times New Roman" w:hAnsi="Times New Roman" w:cs="Times New Roman" w:eastAsia="Times New Roman" w:hint="default"/>
        </w:rPr>
        <w:t>3300</w:t>
      </w:r>
      <w:r>
        <w:rPr/>
        <w:t>万份股票期权，授予股票期权的行权价格为</w:t>
      </w:r>
      <w:r>
        <w:rPr>
          <w:rFonts w:ascii="Times New Roman" w:hAnsi="Times New Roman" w:cs="Times New Roman" w:eastAsia="Times New Roman" w:hint="default"/>
        </w:rPr>
        <w:t>10.75</w:t>
      </w:r>
      <w:r>
        <w:rPr/>
        <w:t>元</w:t>
      </w:r>
      <w:r>
        <w:rPr>
          <w:rFonts w:ascii="Times New Roman" w:hAnsi="Times New Roman" w:cs="Times New Roman" w:eastAsia="Times New Roman" w:hint="default"/>
        </w:rPr>
        <w:t>/</w:t>
      </w:r>
      <w:r>
        <w:rPr/>
        <w:t>股。独立董事已对上述议案发表了同意的独立意见，公 司监事会对授予日的激励对象名单再次进行了核实。</w:t>
      </w:r>
    </w:p>
    <w:p>
      <w:pPr>
        <w:pStyle w:val="BodyText"/>
        <w:spacing w:line="240" w:lineRule="auto" w:before="31"/>
        <w:ind w:left="634" w:right="0"/>
        <w:jc w:val="left"/>
      </w:pPr>
      <w:r>
        <w:rPr/>
        <w:t>截至本报告披露日，公司已经完成了上述股权激励计划的授予登记。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福建风灵 创景科技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both"/>
              <w:rPr>
                <w:rFonts w:ascii="宋体" w:hAnsi="宋体" w:cs="宋体" w:eastAsia="宋体" w:hint="default"/>
                <w:sz w:val="18"/>
                <w:szCs w:val="18"/>
              </w:rPr>
            </w:pPr>
            <w:r>
              <w:rPr>
                <w:rFonts w:ascii="宋体" w:hAnsi="宋体" w:cs="宋体" w:eastAsia="宋体" w:hint="default"/>
                <w:sz w:val="18"/>
                <w:szCs w:val="18"/>
              </w:rPr>
              <w:t>本公司 关键管 理人员</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0"/>
              <w:jc w:val="both"/>
              <w:rPr>
                <w:rFonts w:ascii="宋体" w:hAnsi="宋体" w:cs="宋体" w:eastAsia="宋体" w:hint="default"/>
                <w:sz w:val="18"/>
                <w:szCs w:val="18"/>
              </w:rPr>
            </w:pPr>
            <w:r>
              <w:rPr>
                <w:rFonts w:ascii="宋体" w:hAnsi="宋体" w:cs="宋体" w:eastAsia="宋体" w:hint="default"/>
                <w:sz w:val="18"/>
                <w:szCs w:val="18"/>
              </w:rPr>
              <w:t>价格以 一般商 业条款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46.23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46.23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46.23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 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任职的 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0"/>
              <w:jc w:val="left"/>
              <w:rPr>
                <w:rFonts w:ascii="宋体" w:hAnsi="宋体" w:cs="宋体" w:eastAsia="宋体" w:hint="default"/>
                <w:sz w:val="18"/>
                <w:szCs w:val="18"/>
              </w:rPr>
            </w:pPr>
            <w:r>
              <w:rPr>
                <w:rFonts w:ascii="宋体" w:hAnsi="宋体" w:cs="宋体" w:eastAsia="宋体" w:hint="default"/>
                <w:sz w:val="18"/>
                <w:szCs w:val="18"/>
              </w:rPr>
              <w:t>作为定 价基础</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福建智度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both"/>
              <w:rPr>
                <w:rFonts w:ascii="宋体" w:hAnsi="宋体" w:cs="宋体" w:eastAsia="宋体" w:hint="default"/>
                <w:sz w:val="18"/>
                <w:szCs w:val="18"/>
              </w:rPr>
            </w:pPr>
            <w:r>
              <w:rPr>
                <w:rFonts w:ascii="宋体" w:hAnsi="宋体" w:cs="宋体" w:eastAsia="宋体" w:hint="default"/>
                <w:sz w:val="18"/>
                <w:szCs w:val="18"/>
              </w:rPr>
              <w:t>同一实 际控制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媒介采 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福建风灵 创景科技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本公司 关键管 理人员 任职的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27.88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 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智度集团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102"/>
              <w:jc w:val="left"/>
              <w:rPr>
                <w:rFonts w:ascii="宋体" w:hAnsi="宋体" w:cs="宋体" w:eastAsia="宋体" w:hint="default"/>
                <w:sz w:val="18"/>
                <w:szCs w:val="18"/>
              </w:rPr>
            </w:pPr>
            <w:r>
              <w:rPr>
                <w:rFonts w:ascii="宋体" w:hAnsi="宋体" w:cs="宋体" w:eastAsia="宋体" w:hint="default"/>
                <w:sz w:val="18"/>
                <w:szCs w:val="18"/>
              </w:rPr>
              <w:t>持股超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的主要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房屋租 赁费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710.58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710.58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深圳智度 德信股权 投资管理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both"/>
              <w:rPr>
                <w:rFonts w:ascii="宋体" w:hAnsi="宋体" w:cs="宋体" w:eastAsia="宋体" w:hint="default"/>
                <w:sz w:val="18"/>
                <w:szCs w:val="18"/>
              </w:rPr>
            </w:pPr>
            <w:r>
              <w:rPr>
                <w:rFonts w:ascii="宋体" w:hAnsi="宋体" w:cs="宋体" w:eastAsia="宋体" w:hint="default"/>
                <w:sz w:val="18"/>
                <w:szCs w:val="18"/>
              </w:rPr>
              <w:t>同一实 际控制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房屋租 赁费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30.58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 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818.63</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818.63</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0"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公司与上述关联方日常关联交易的实际发生额小于预计金额，主要系公司根据客户需 要选取相适应的广告投放渠道，在实际执行过程中因客户实际需求的变化，公司适时 的调整了相关媒体资源的选取，上述差异属于正常经营行为，对公司日常经营及业绩 不会产生重大影响。</w:t>
            </w:r>
          </w:p>
        </w:tc>
      </w:tr>
      <w:tr>
        <w:trPr>
          <w:trHeight w:val="1016"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vMerge/>
            <w:tcBorders>
              <w:left w:val="single" w:sz="9" w:space="0" w:color="D2D2D2"/>
              <w:right w:val="single" w:sz="4" w:space="0" w:color="000000"/>
            </w:tcBorders>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0" w:type="dxa"/>
            <w:gridSpan w:val="10"/>
            <w:vMerge/>
            <w:tcBorders>
              <w:left w:val="single" w:sz="9" w:space="0" w:color="D2D2D2"/>
              <w:bottom w:val="single" w:sz="4" w:space="0" w:color="000000"/>
              <w:right w:val="single" w:sz="4" w:space="0" w:color="000000"/>
            </w:tcBorders>
          </w:tcPr>
          <w:p>
            <w:pP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1650"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2"/>
              <w:jc w:val="both"/>
              <w:rPr>
                <w:rFonts w:ascii="宋体" w:hAnsi="宋体" w:cs="宋体" w:eastAsia="宋体" w:hint="default"/>
                <w:sz w:val="18"/>
                <w:szCs w:val="18"/>
              </w:rPr>
            </w:pPr>
            <w:r>
              <w:rPr>
                <w:rFonts w:ascii="宋体" w:hAnsi="宋体" w:cs="宋体" w:eastAsia="宋体" w:hint="default"/>
                <w:sz w:val="18"/>
                <w:szCs w:val="18"/>
              </w:rPr>
              <w:t>深圳智度德 信股权投资 管理有限公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8"/>
              <w:jc w:val="left"/>
              <w:rPr>
                <w:rFonts w:ascii="宋体" w:hAnsi="宋体" w:cs="宋体" w:eastAsia="宋体" w:hint="default"/>
                <w:sz w:val="18"/>
                <w:szCs w:val="18"/>
              </w:rPr>
            </w:pPr>
            <w:r>
              <w:rPr>
                <w:rFonts w:ascii="宋体" w:hAnsi="宋体" w:cs="宋体" w:eastAsia="宋体" w:hint="default"/>
                <w:sz w:val="18"/>
                <w:szCs w:val="18"/>
              </w:rPr>
              <w:t>同一实际控 制人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深圳智度惠 信新兴产业 股权投资基 金合伙企业</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61,220.22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4" w:right="0"/>
              <w:jc w:val="left"/>
              <w:rPr>
                <w:rFonts w:ascii="Times New Roman" w:hAnsi="Times New Roman" w:cs="Times New Roman" w:eastAsia="Times New Roman" w:hint="default"/>
                <w:sz w:val="18"/>
                <w:szCs w:val="18"/>
              </w:rPr>
            </w:pPr>
            <w:r>
              <w:rPr>
                <w:rFonts w:ascii="Times New Roman"/>
                <w:sz w:val="18"/>
              </w:rPr>
              <w:t>61,206.63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-233.77</w:t>
            </w:r>
          </w:p>
        </w:tc>
      </w:tr>
      <w:tr>
        <w:trPr>
          <w:trHeight w:val="1338"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日，本公司召开的第八届董事会第三次会议审议通过了《关于拟认购产业投资基 </w:t>
            </w:r>
            <w:r>
              <w:rPr>
                <w:rFonts w:ascii="宋体" w:hAnsi="宋体" w:cs="宋体" w:eastAsia="宋体" w:hint="default"/>
                <w:spacing w:val="-3"/>
                <w:sz w:val="18"/>
                <w:szCs w:val="18"/>
              </w:rPr>
              <w:t>金份额的议案》，同意本公司以自有资金认购深圳智度德信股权投资管理有限公司发起设立的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惠信基金的基金份额。惠信基金总规模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亿元，本公司首次认缴出资额为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亿元，截止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日，本公司实际出资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218.300003pt;margin-top:-111.166328pt;width:60.7pt;height:31.25pt;mso-position-horizontal-relative:page;mso-position-vertical-relative:paragraph;z-index:-1264312" coordorigin="4366,-2223" coordsize="1214,625">
            <v:shape style="position:absolute;left:4366;top:-2223;width:1214;height:625" coordorigin="4366,-2223" coordsize="1214,625" path="m4366,-1599l5580,-1599,5580,-2223,4366,-2223,4366,-1599xe" filled="true" fillcolor="#ffffff" stroked="false">
              <v:path arrowok="t"/>
              <v:fill type="solid"/>
            </v:shape>
            <w10:wrap type="none"/>
          </v:group>
        </w:pict>
      </w: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8"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0"/>
              <w:jc w:val="both"/>
              <w:rPr>
                <w:rFonts w:ascii="宋体" w:hAnsi="宋体" w:cs="宋体" w:eastAsia="宋体" w:hint="default"/>
                <w:sz w:val="18"/>
                <w:szCs w:val="18"/>
              </w:rPr>
            </w:pPr>
            <w:r>
              <w:rPr>
                <w:rFonts w:ascii="宋体" w:hAnsi="宋体" w:cs="宋体" w:eastAsia="宋体" w:hint="default"/>
                <w:sz w:val="18"/>
                <w:szCs w:val="18"/>
              </w:rPr>
              <w:t>深圳市隽 川科技有 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子公司关 键管理人 员控制的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1.13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未对公司经营产生影响。</w:t>
            </w:r>
          </w:p>
        </w:tc>
      </w:tr>
    </w:tbl>
    <w:p>
      <w:pPr>
        <w:pStyle w:val="BodyText"/>
        <w:spacing w:line="240" w:lineRule="auto" w:before="51"/>
        <w:ind w:right="0"/>
        <w:jc w:val="left"/>
      </w:pPr>
      <w:r>
        <w:rPr/>
        <w:t>应付关联方债务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4"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Rodrigo</w:t>
            </w:r>
            <w:r>
              <w:rPr>
                <w:rFonts w:ascii="Times New Roman"/>
                <w:spacing w:val="-2"/>
                <w:sz w:val="18"/>
              </w:rPr>
              <w:t> </w:t>
            </w:r>
            <w:r>
              <w:rPr>
                <w:rFonts w:ascii="Times New Roman"/>
                <w:sz w:val="18"/>
              </w:rPr>
              <w:t>Sales</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子公司的关 键管理人员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2,129.04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MichaelLevit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原子公司的 关键管理人 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1,058.54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22.88</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RyanStephens</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子公司的关 键管理人员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关键管理人 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2,800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2,818.32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tabs>
          <w:tab w:pos="8111" w:val="left" w:leader="none"/>
        </w:tabs>
        <w:spacing w:line="240" w:lineRule="auto" w:before="26"/>
        <w:ind w:right="0"/>
        <w:jc w:val="left"/>
      </w:pPr>
      <w:r>
        <w:rPr/>
        <w:t>（</w:t>
      </w:r>
      <w:r>
        <w:rPr>
          <w:rFonts w:ascii="Times New Roman" w:hAnsi="Times New Roman" w:cs="Times New Roman" w:eastAsia="Times New Roman" w:hint="default"/>
        </w:rPr>
        <w:t>1</w:t>
      </w:r>
      <w:r>
        <w:rPr/>
        <w:t>）应收关联方款项</w:t>
        <w:tab/>
        <w:t>单位：元</w:t>
      </w:r>
    </w:p>
    <w:p>
      <w:pPr>
        <w:spacing w:line="240" w:lineRule="auto" w:before="7"/>
        <w:rPr>
          <w:rFonts w:ascii="宋体" w:hAnsi="宋体" w:cs="宋体" w:eastAsia="宋体" w:hint="default"/>
          <w:sz w:val="22"/>
          <w:szCs w:val="22"/>
        </w:rPr>
      </w:pPr>
    </w:p>
    <w:tbl>
      <w:tblPr>
        <w:tblW w:w="0" w:type="auto"/>
        <w:jc w:val="left"/>
        <w:tblInd w:w="139" w:type="dxa"/>
        <w:tblLayout w:type="fixed"/>
        <w:tblCellMar>
          <w:top w:w="0" w:type="dxa"/>
          <w:left w:w="0" w:type="dxa"/>
          <w:bottom w:w="0" w:type="dxa"/>
          <w:right w:w="0" w:type="dxa"/>
        </w:tblCellMar>
        <w:tblLook w:val="01E0"/>
      </w:tblPr>
      <w:tblGrid>
        <w:gridCol w:w="1197"/>
        <w:gridCol w:w="2906"/>
        <w:gridCol w:w="1443"/>
        <w:gridCol w:w="954"/>
        <w:gridCol w:w="1077"/>
        <w:gridCol w:w="961"/>
      </w:tblGrid>
      <w:tr>
        <w:trPr>
          <w:trHeight w:val="594"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1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906"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443" w:type="dxa"/>
            <w:tcBorders>
              <w:top w:val="nil" w:sz="6" w:space="0" w:color="auto"/>
              <w:left w:val="nil" w:sz="6" w:space="0" w:color="auto"/>
              <w:bottom w:val="single" w:sz="8" w:space="0" w:color="000000"/>
              <w:right w:val="nil" w:sz="6" w:space="0" w:color="auto"/>
            </w:tcBorders>
          </w:tcPr>
          <w:p>
            <w:pPr>
              <w:pStyle w:val="TableParagraph"/>
              <w:spacing w:line="210" w:lineRule="exact"/>
              <w:ind w:left="824" w:right="-16"/>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954" w:type="dxa"/>
            <w:tcBorders>
              <w:top w:val="nil" w:sz="6" w:space="0" w:color="auto"/>
              <w:left w:val="nil" w:sz="6" w:space="0" w:color="auto"/>
              <w:bottom w:val="single" w:sz="8" w:space="0" w:color="000000"/>
              <w:right w:val="nil" w:sz="6" w:space="0" w:color="auto"/>
            </w:tcBorders>
          </w:tcPr>
          <w:p>
            <w:pPr/>
          </w:p>
        </w:tc>
        <w:tc>
          <w:tcPr>
            <w:tcW w:w="2039" w:type="dxa"/>
            <w:gridSpan w:val="2"/>
            <w:tcBorders>
              <w:top w:val="nil" w:sz="6" w:space="0" w:color="auto"/>
              <w:left w:val="nil" w:sz="6" w:space="0" w:color="auto"/>
              <w:bottom w:val="single" w:sz="8" w:space="0" w:color="000000"/>
              <w:right w:val="nil" w:sz="6" w:space="0" w:color="auto"/>
            </w:tcBorders>
          </w:tcPr>
          <w:p>
            <w:pPr>
              <w:pStyle w:val="TableParagraph"/>
              <w:spacing w:line="210"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2" w:hRule="exact"/>
        </w:trPr>
        <w:tc>
          <w:tcPr>
            <w:tcW w:w="1197" w:type="dxa"/>
            <w:tcBorders>
              <w:top w:val="nil" w:sz="6" w:space="0" w:color="auto"/>
              <w:left w:val="nil" w:sz="6" w:space="0" w:color="auto"/>
              <w:bottom w:val="single" w:sz="8" w:space="0" w:color="000000"/>
              <w:right w:val="nil" w:sz="6" w:space="0" w:color="auto"/>
            </w:tcBorders>
          </w:tcPr>
          <w:p>
            <w:pPr/>
          </w:p>
        </w:tc>
        <w:tc>
          <w:tcPr>
            <w:tcW w:w="2906" w:type="dxa"/>
            <w:tcBorders>
              <w:top w:val="nil" w:sz="6" w:space="0" w:color="auto"/>
              <w:left w:val="nil" w:sz="6" w:space="0" w:color="auto"/>
              <w:bottom w:val="single" w:sz="8" w:space="0" w:color="000000"/>
              <w:right w:val="nil" w:sz="6" w:space="0" w:color="auto"/>
            </w:tcBorders>
          </w:tcPr>
          <w:p>
            <w:pPr/>
          </w:p>
        </w:tc>
        <w:tc>
          <w:tcPr>
            <w:tcW w:w="1443"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6" w:right="122"/>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6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2" w:hRule="exact"/>
        </w:trPr>
        <w:tc>
          <w:tcPr>
            <w:tcW w:w="11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06"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福建风灵创景科技有限公司</w:t>
            </w:r>
          </w:p>
        </w:tc>
        <w:tc>
          <w:tcPr>
            <w:tcW w:w="144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left="634" w:right="0"/>
              <w:jc w:val="left"/>
              <w:rPr>
                <w:rFonts w:ascii="Times New Roman" w:hAnsi="Times New Roman" w:cs="Times New Roman" w:eastAsia="Times New Roman" w:hint="default"/>
                <w:sz w:val="21"/>
                <w:szCs w:val="21"/>
              </w:rPr>
            </w:pPr>
            <w:r>
              <w:rPr>
                <w:rFonts w:ascii="Times New Roman"/>
                <w:sz w:val="21"/>
              </w:rPr>
              <w:t>439.50</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22"/>
              <w:jc w:val="right"/>
              <w:rPr>
                <w:rFonts w:ascii="Times New Roman" w:hAnsi="Times New Roman" w:cs="Times New Roman" w:eastAsia="Times New Roman" w:hint="default"/>
                <w:sz w:val="21"/>
                <w:szCs w:val="21"/>
              </w:rPr>
            </w:pPr>
            <w:r>
              <w:rPr>
                <w:rFonts w:ascii="Times New Roman"/>
                <w:sz w:val="21"/>
              </w:rPr>
              <w:t>219.75</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z w:val="21"/>
              </w:rPr>
              <w:t>21,882.42</w:t>
            </w:r>
          </w:p>
        </w:tc>
        <w:tc>
          <w:tcPr>
            <w:tcW w:w="9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654" w:hRule="exact"/>
        </w:trPr>
        <w:tc>
          <w:tcPr>
            <w:tcW w:w="11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06"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深圳智度德信股权投资管理有</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4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left="267" w:right="0"/>
              <w:jc w:val="left"/>
              <w:rPr>
                <w:rFonts w:ascii="Times New Roman" w:hAnsi="Times New Roman" w:cs="Times New Roman" w:eastAsia="Times New Roman" w:hint="default"/>
                <w:sz w:val="21"/>
                <w:szCs w:val="21"/>
              </w:rPr>
            </w:pPr>
            <w:r>
              <w:rPr>
                <w:rFonts w:ascii="Times New Roman"/>
                <w:sz w:val="21"/>
              </w:rPr>
              <w:t>322,113.78</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21"/>
                <w:szCs w:val="21"/>
              </w:rPr>
            </w:pPr>
            <w:r>
              <w:rPr>
                <w:rFonts w:ascii="Times New Roman"/>
                <w:spacing w:val="-1"/>
                <w:sz w:val="21"/>
              </w:rPr>
              <w:t>7,821.74</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9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2" w:hRule="exact"/>
        </w:trPr>
        <w:tc>
          <w:tcPr>
            <w:tcW w:w="11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06"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深圳市隽川科技有限公司</w:t>
            </w:r>
          </w:p>
        </w:tc>
        <w:tc>
          <w:tcPr>
            <w:tcW w:w="144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227"/>
              <w:jc w:val="right"/>
              <w:rPr>
                <w:rFonts w:ascii="Times New Roman" w:hAnsi="Times New Roman" w:cs="Times New Roman" w:eastAsia="Times New Roman" w:hint="default"/>
                <w:sz w:val="24"/>
                <w:szCs w:val="24"/>
              </w:rPr>
            </w:pPr>
            <w:r>
              <w:rPr>
                <w:rFonts w:ascii="Times New Roman"/>
                <w:sz w:val="24"/>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22"/>
              <w:jc w:val="right"/>
              <w:rPr>
                <w:rFonts w:ascii="Times New Roman" w:hAnsi="Times New Roman" w:cs="Times New Roman" w:eastAsia="Times New Roman" w:hint="default"/>
                <w:sz w:val="24"/>
                <w:szCs w:val="24"/>
              </w:rPr>
            </w:pPr>
            <w:r>
              <w:rPr>
                <w:rFonts w:ascii="Times New Roman"/>
                <w:sz w:val="24"/>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z w:val="21"/>
              </w:rPr>
              <w:t>11,314.17</w:t>
            </w:r>
          </w:p>
        </w:tc>
        <w:tc>
          <w:tcPr>
            <w:tcW w:w="9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565.71</w:t>
            </w:r>
          </w:p>
        </w:tc>
      </w:tr>
    </w:tbl>
    <w:p>
      <w:pPr>
        <w:pStyle w:val="Heading3"/>
        <w:tabs>
          <w:tab w:pos="7917" w:val="left" w:leader="none"/>
        </w:tabs>
        <w:spacing w:line="240" w:lineRule="auto"/>
        <w:ind w:right="0"/>
        <w:jc w:val="left"/>
      </w:pPr>
      <w:r>
        <w:rPr/>
        <w:t>（</w:t>
      </w:r>
      <w:r>
        <w:rPr>
          <w:rFonts w:ascii="Times New Roman" w:hAnsi="Times New Roman" w:cs="Times New Roman" w:eastAsia="Times New Roman" w:hint="default"/>
        </w:rPr>
        <w:t>2</w:t>
      </w:r>
      <w:r>
        <w:rPr/>
        <w:t>）应付关联方款项</w:t>
        <w:tab/>
        <w:t>单位：元</w:t>
      </w:r>
    </w:p>
    <w:p>
      <w:pPr>
        <w:spacing w:line="240" w:lineRule="auto" w:before="8"/>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1693"/>
        <w:gridCol w:w="2996"/>
        <w:gridCol w:w="2153"/>
        <w:gridCol w:w="1682"/>
      </w:tblGrid>
      <w:tr>
        <w:trPr>
          <w:trHeight w:val="281" w:hRule="exact"/>
        </w:trPr>
        <w:tc>
          <w:tcPr>
            <w:tcW w:w="1693" w:type="dxa"/>
            <w:tcBorders>
              <w:top w:val="nil" w:sz="6" w:space="0" w:color="auto"/>
              <w:left w:val="nil" w:sz="6" w:space="0" w:color="auto"/>
              <w:bottom w:val="single" w:sz="8" w:space="0" w:color="000000"/>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996" w:type="dxa"/>
            <w:tcBorders>
              <w:top w:val="nil" w:sz="6" w:space="0" w:color="auto"/>
              <w:left w:val="nil" w:sz="6" w:space="0" w:color="auto"/>
              <w:bottom w:val="single" w:sz="8" w:space="0" w:color="000000"/>
              <w:right w:val="nil" w:sz="6" w:space="0" w:color="auto"/>
            </w:tcBorders>
          </w:tcPr>
          <w:p>
            <w:pPr>
              <w:pStyle w:val="TableParagraph"/>
              <w:spacing w:line="210" w:lineRule="exact"/>
              <w:ind w:left="-6"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153" w:type="dxa"/>
            <w:tcBorders>
              <w:top w:val="nil" w:sz="6" w:space="0" w:color="auto"/>
              <w:left w:val="nil" w:sz="6" w:space="0" w:color="auto"/>
              <w:bottom w:val="single" w:sz="8" w:space="0" w:color="000000"/>
              <w:right w:val="nil" w:sz="6" w:space="0" w:color="auto"/>
            </w:tcBorders>
          </w:tcPr>
          <w:p>
            <w:pPr>
              <w:pStyle w:val="TableParagraph"/>
              <w:spacing w:line="210" w:lineRule="exact"/>
              <w:ind w:right="35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82" w:type="dxa"/>
            <w:tcBorders>
              <w:top w:val="nil" w:sz="6" w:space="0" w:color="auto"/>
              <w:left w:val="nil" w:sz="6" w:space="0" w:color="auto"/>
              <w:bottom w:val="single" w:sz="8" w:space="0" w:color="000000"/>
              <w:right w:val="nil" w:sz="6" w:space="0" w:color="auto"/>
            </w:tcBorders>
          </w:tcPr>
          <w:p>
            <w:pPr>
              <w:pStyle w:val="TableParagraph"/>
              <w:spacing w:line="210" w:lineRule="exact"/>
              <w:ind w:right="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福建风灵创景科技有限公司</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58"/>
              <w:jc w:val="right"/>
              <w:rPr>
                <w:rFonts w:ascii="Times New Roman" w:hAnsi="Times New Roman" w:cs="Times New Roman" w:eastAsia="Times New Roman" w:hint="default"/>
                <w:sz w:val="21"/>
                <w:szCs w:val="21"/>
              </w:rPr>
            </w:pPr>
            <w:r>
              <w:rPr>
                <w:rFonts w:ascii="Times New Roman"/>
                <w:sz w:val="21"/>
              </w:rPr>
              <w:t>96,241.69</w:t>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z w:val="21"/>
              </w:rPr>
              <w:t>64,091.49</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福建智度科技有限公司</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58"/>
              <w:jc w:val="right"/>
              <w:rPr>
                <w:rFonts w:ascii="Times New Roman" w:hAnsi="Times New Roman" w:cs="Times New Roman" w:eastAsia="Times New Roman" w:hint="default"/>
                <w:sz w:val="21"/>
                <w:szCs w:val="21"/>
              </w:rPr>
            </w:pPr>
            <w:r>
              <w:rPr>
                <w:rFonts w:ascii="Times New Roman"/>
                <w:sz w:val="21"/>
              </w:rPr>
              <w:t>65,370.00</w:t>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z w:val="21"/>
              </w:rPr>
              <w:t>29,780.00</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福建风灵创景科技有限公司</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58"/>
              <w:jc w:val="right"/>
              <w:rPr>
                <w:rFonts w:ascii="Times New Roman" w:hAnsi="Times New Roman" w:cs="Times New Roman" w:eastAsia="Times New Roman" w:hint="default"/>
                <w:sz w:val="21"/>
                <w:szCs w:val="21"/>
              </w:rPr>
            </w:pPr>
            <w:r>
              <w:rPr>
                <w:rFonts w:ascii="Times New Roman"/>
                <w:sz w:val="21"/>
              </w:rPr>
              <w:t>15,549.22</w:t>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z w:val="21"/>
              </w:rPr>
              <w:t>11,118.26</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 w:right="0"/>
              <w:jc w:val="left"/>
              <w:rPr>
                <w:rFonts w:ascii="Times New Roman" w:hAnsi="Times New Roman" w:cs="Times New Roman" w:eastAsia="Times New Roman" w:hint="default"/>
                <w:sz w:val="21"/>
                <w:szCs w:val="21"/>
              </w:rPr>
            </w:pPr>
            <w:r>
              <w:rPr>
                <w:rFonts w:ascii="Times New Roman"/>
                <w:sz w:val="21"/>
              </w:rPr>
              <w:t>Rodrigo</w:t>
            </w:r>
            <w:r>
              <w:rPr>
                <w:rFonts w:ascii="Times New Roman"/>
                <w:spacing w:val="-1"/>
                <w:sz w:val="21"/>
              </w:rPr>
              <w:t> </w:t>
            </w:r>
            <w:r>
              <w:rPr>
                <w:rFonts w:ascii="Times New Roman"/>
                <w:sz w:val="21"/>
              </w:rPr>
              <w:t>Sales</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6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z w:val="21"/>
              </w:rPr>
              <w:t>20,840,014.12</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 w:right="0"/>
              <w:jc w:val="left"/>
              <w:rPr>
                <w:rFonts w:ascii="Times New Roman" w:hAnsi="Times New Roman" w:cs="Times New Roman" w:eastAsia="Times New Roman" w:hint="default"/>
                <w:sz w:val="21"/>
                <w:szCs w:val="21"/>
              </w:rPr>
            </w:pPr>
            <w:r>
              <w:rPr>
                <w:rFonts w:ascii="Times New Roman"/>
                <w:sz w:val="21"/>
              </w:rPr>
              <w:t>Michael</w:t>
            </w:r>
            <w:r>
              <w:rPr>
                <w:rFonts w:ascii="Times New Roman"/>
                <w:spacing w:val="-4"/>
                <w:sz w:val="21"/>
              </w:rPr>
              <w:t> </w:t>
            </w:r>
            <w:r>
              <w:rPr>
                <w:rFonts w:ascii="Times New Roman"/>
                <w:sz w:val="21"/>
              </w:rPr>
              <w:t>Levit</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6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z w:val="21"/>
              </w:rPr>
              <w:t>10,585,404.00</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 w:right="0"/>
              <w:jc w:val="left"/>
              <w:rPr>
                <w:rFonts w:ascii="Times New Roman" w:hAnsi="Times New Roman" w:cs="Times New Roman" w:eastAsia="Times New Roman" w:hint="default"/>
                <w:sz w:val="21"/>
                <w:szCs w:val="21"/>
              </w:rPr>
            </w:pPr>
            <w:r>
              <w:rPr>
                <w:rFonts w:ascii="Times New Roman"/>
                <w:sz w:val="21"/>
              </w:rPr>
              <w:t>Ryan</w:t>
            </w:r>
            <w:r>
              <w:rPr>
                <w:rFonts w:ascii="Times New Roman"/>
                <w:spacing w:val="-2"/>
                <w:sz w:val="21"/>
              </w:rPr>
              <w:t> </w:t>
            </w:r>
            <w:r>
              <w:rPr>
                <w:rFonts w:ascii="Times New Roman"/>
                <w:sz w:val="21"/>
              </w:rPr>
              <w:t>Stephens</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6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9"/>
              <w:jc w:val="right"/>
              <w:rPr>
                <w:rFonts w:ascii="Times New Roman" w:hAnsi="Times New Roman" w:cs="Times New Roman" w:eastAsia="Times New Roman" w:hint="default"/>
                <w:sz w:val="21"/>
                <w:szCs w:val="21"/>
              </w:rPr>
            </w:pPr>
            <w:r>
              <w:rPr>
                <w:rFonts w:ascii="Times New Roman"/>
                <w:spacing w:val="-1"/>
                <w:sz w:val="21"/>
              </w:rPr>
              <w:t>1,653,969.38</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计宏铭</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6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pacing w:val="-1"/>
                <w:sz w:val="21"/>
              </w:rPr>
              <w:t>115,364.38</w:t>
            </w:r>
          </w:p>
        </w:tc>
      </w:tr>
      <w:tr>
        <w:trPr>
          <w:trHeight w:val="342"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77" w:lineRule="exact"/>
              <w:ind w:left="-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Rodrigo</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Sales</w:t>
            </w:r>
            <w:r>
              <w:rPr>
                <w:rFonts w:ascii="宋体" w:hAnsi="宋体" w:cs="宋体" w:eastAsia="宋体" w:hint="default"/>
                <w:sz w:val="21"/>
                <w:szCs w:val="21"/>
              </w:rPr>
              <w:t>等原股东</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6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7"/>
              <w:jc w:val="right"/>
              <w:rPr>
                <w:rFonts w:ascii="Times New Roman" w:hAnsi="Times New Roman" w:cs="Times New Roman" w:eastAsia="Times New Roman" w:hint="default"/>
                <w:sz w:val="21"/>
                <w:szCs w:val="21"/>
              </w:rPr>
            </w:pPr>
            <w:r>
              <w:rPr>
                <w:rFonts w:ascii="Times New Roman"/>
                <w:spacing w:val="-1"/>
                <w:sz w:val="21"/>
              </w:rPr>
              <w:t>299,191,739.44</w:t>
            </w:r>
          </w:p>
        </w:tc>
      </w:tr>
      <w:tr>
        <w:trPr>
          <w:trHeight w:val="656" w:hRule="exact"/>
        </w:trPr>
        <w:tc>
          <w:tcPr>
            <w:tcW w:w="169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6"/>
              <w:jc w:val="left"/>
              <w:rPr>
                <w:rFonts w:ascii="宋体" w:hAnsi="宋体" w:cs="宋体" w:eastAsia="宋体" w:hint="default"/>
                <w:sz w:val="21"/>
                <w:szCs w:val="21"/>
              </w:rPr>
            </w:pPr>
            <w:r>
              <w:rPr>
                <w:rFonts w:ascii="宋体" w:hAnsi="宋体" w:cs="宋体" w:eastAsia="宋体" w:hint="default"/>
                <w:spacing w:val="26"/>
                <w:sz w:val="21"/>
                <w:szCs w:val="21"/>
              </w:rPr>
              <w:t>一年内到期的长</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期应付款</w:t>
            </w:r>
          </w:p>
        </w:tc>
        <w:tc>
          <w:tcPr>
            <w:tcW w:w="2996" w:type="dxa"/>
            <w:tcBorders>
              <w:top w:val="single" w:sz="8" w:space="0" w:color="000000"/>
              <w:left w:val="nil" w:sz="6" w:space="0" w:color="auto"/>
              <w:bottom w:val="single" w:sz="8" w:space="0" w:color="000000"/>
              <w:right w:val="nil" w:sz="6" w:space="0" w:color="auto"/>
            </w:tcBorders>
          </w:tcPr>
          <w:p>
            <w:pPr>
              <w:pStyle w:val="TableParagraph"/>
              <w:spacing w:line="277" w:lineRule="exact"/>
              <w:ind w:left="-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Rodrigo</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Sales</w:t>
            </w:r>
            <w:r>
              <w:rPr>
                <w:rFonts w:ascii="宋体" w:hAnsi="宋体" w:cs="宋体" w:eastAsia="宋体" w:hint="default"/>
                <w:sz w:val="21"/>
                <w:szCs w:val="21"/>
              </w:rPr>
              <w:t>等原股东</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57"/>
              <w:jc w:val="right"/>
              <w:rPr>
                <w:rFonts w:ascii="Times New Roman" w:hAnsi="Times New Roman" w:cs="Times New Roman" w:eastAsia="Times New Roman" w:hint="default"/>
                <w:sz w:val="21"/>
                <w:szCs w:val="21"/>
              </w:rPr>
            </w:pPr>
            <w:r>
              <w:rPr>
                <w:rFonts w:ascii="Times New Roman"/>
                <w:spacing w:val="-1"/>
                <w:sz w:val="21"/>
              </w:rPr>
              <w:t>314,256,182.26</w:t>
            </w:r>
          </w:p>
        </w:tc>
        <w:tc>
          <w:tcPr>
            <w:tcW w:w="168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7"/>
              <w:jc w:val="right"/>
              <w:rPr>
                <w:rFonts w:ascii="Times New Roman" w:hAnsi="Times New Roman" w:cs="Times New Roman" w:eastAsia="Times New Roman" w:hint="default"/>
                <w:sz w:val="21"/>
                <w:szCs w:val="21"/>
              </w:rPr>
            </w:pPr>
            <w:r>
              <w:rPr>
                <w:rFonts w:ascii="Times New Roman"/>
                <w:spacing w:val="-1"/>
                <w:sz w:val="21"/>
              </w:rPr>
              <w:t>254,604,253.55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before="44"/>
        <w:ind w:right="0"/>
        <w:jc w:val="left"/>
      </w:pPr>
      <w:r>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both"/>
              <w:rPr>
                <w:rFonts w:ascii="宋体" w:hAnsi="宋体" w:cs="宋体" w:eastAsia="宋体" w:hint="default"/>
                <w:sz w:val="18"/>
                <w:szCs w:val="18"/>
              </w:rPr>
            </w:pPr>
            <w:r>
              <w:rPr>
                <w:rFonts w:ascii="宋体" w:hAnsi="宋体" w:cs="宋体" w:eastAsia="宋体" w:hint="default"/>
                <w:spacing w:val="9"/>
                <w:sz w:val="18"/>
                <w:szCs w:val="18"/>
              </w:rPr>
              <w:t>智度科技股份有限公司关于拥有公司实际 控制权的股东为公司申请银行授信提供关 </w:t>
            </w:r>
            <w:r>
              <w:rPr>
                <w:rFonts w:ascii="宋体" w:hAnsi="宋体" w:cs="宋体" w:eastAsia="宋体" w:hint="default"/>
                <w:sz w:val="18"/>
                <w:szCs w:val="18"/>
              </w:rPr>
              <w:t>联担保的公告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2">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9"/>
                <w:sz w:val="18"/>
                <w:szCs w:val="18"/>
              </w:rPr>
              <w:t>智度科技股份有限公司关于参与设立产业 </w:t>
            </w:r>
            <w:r>
              <w:rPr>
                <w:rFonts w:ascii="宋体" w:hAnsi="宋体" w:cs="宋体" w:eastAsia="宋体" w:hint="default"/>
                <w:sz w:val="18"/>
                <w:szCs w:val="18"/>
              </w:rPr>
              <w:t>投资基金的关联交易公告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2">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9"/>
                <w:sz w:val="18"/>
                <w:szCs w:val="18"/>
              </w:rPr>
              <w:t>智度科技股份有限公司关于接受关联方无 </w:t>
            </w:r>
            <w:r>
              <w:rPr>
                <w:rFonts w:ascii="宋体" w:hAnsi="宋体" w:cs="宋体" w:eastAsia="宋体" w:hint="default"/>
                <w:sz w:val="18"/>
                <w:szCs w:val="18"/>
              </w:rPr>
              <w:t>偿借款的关联交易公告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2">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39"/>
        <w:ind w:left="0" w:right="1131"/>
        <w:jc w:val="right"/>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日召开第七届董事会第二十四次会议和第七届监事会第十八次会议，审议通过了《关于与关联方签署</w:t>
      </w:r>
    </w:p>
    <w:p>
      <w:pPr>
        <w:pStyle w:val="BodyText"/>
        <w:spacing w:line="300" w:lineRule="auto" w:before="63"/>
        <w:ind w:right="1184"/>
        <w:jc w:val="both"/>
      </w:pP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rPr>
        <w:t>&gt;</w:t>
      </w:r>
      <w:r>
        <w:rPr/>
        <w:t>的议案》，同意公司及子公司北京掌汇天下科技有限公司和上海智度亦复信息技术有限公司的全资子公司 上海佑迎广告有限公司向智度集团租赁其位于北京市西城区西绒线胡同</w:t>
      </w:r>
      <w:r>
        <w:rPr>
          <w:rFonts w:ascii="Times New Roman" w:hAnsi="Times New Roman" w:cs="Times New Roman" w:eastAsia="Times New Roman" w:hint="default"/>
        </w:rPr>
        <w:t>51</w:t>
      </w:r>
      <w:r>
        <w:rPr/>
        <w:t>号内的房屋用于办公，总面积共</w:t>
      </w:r>
      <w:r>
        <w:rPr>
          <w:rFonts w:ascii="Times New Roman" w:hAnsi="Times New Roman" w:cs="Times New Roman" w:eastAsia="Times New Roman" w:hint="default"/>
        </w:rPr>
        <w:t>3329.80</w:t>
      </w:r>
      <w:r>
        <w:rPr/>
        <w:t>平方米， 租赁期为</w:t>
      </w:r>
      <w:r>
        <w:rPr>
          <w:rFonts w:ascii="Times New Roman" w:hAnsi="Times New Roman" w:cs="Times New Roman" w:eastAsia="Times New Roman" w:hint="default"/>
        </w:rPr>
        <w:t>3</w:t>
      </w:r>
      <w:r>
        <w:rPr/>
        <w:t>年，三年租金总计为人民币</w:t>
      </w:r>
      <w:r>
        <w:rPr>
          <w:rFonts w:ascii="Times New Roman" w:hAnsi="Times New Roman" w:cs="Times New Roman" w:eastAsia="Times New Roman" w:hint="default"/>
        </w:rPr>
        <w:t>24,783,918.00</w:t>
      </w:r>
      <w:r>
        <w:rPr/>
        <w:t>元。</w:t>
      </w:r>
    </w:p>
    <w:p>
      <w:pPr>
        <w:pStyle w:val="BodyText"/>
        <w:spacing w:line="240" w:lineRule="auto" w:before="53"/>
        <w:ind w:right="0"/>
        <w:jc w:val="both"/>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78"/>
              <w:jc w:val="left"/>
              <w:rPr>
                <w:rFonts w:ascii="Times New Roman" w:hAnsi="Times New Roman" w:cs="Times New Roman" w:eastAsia="Times New Roman" w:hint="default"/>
                <w:sz w:val="18"/>
                <w:szCs w:val="18"/>
              </w:rPr>
            </w:pPr>
            <w:r>
              <w:rPr>
                <w:rFonts w:ascii="Times New Roman"/>
                <w:sz w:val="18"/>
              </w:rPr>
              <w:t>Eightpoint Technologies</w:t>
            </w:r>
            <w:r>
              <w:rPr>
                <w:rFonts w:ascii="Times New Roman"/>
                <w:spacing w:val="-16"/>
                <w:sz w:val="18"/>
              </w:rPr>
              <w:t> </w:t>
            </w:r>
            <w:r>
              <w:rPr>
                <w:rFonts w:ascii="Times New Roman"/>
                <w:sz w:val="18"/>
              </w:rPr>
              <w:t>Ltd.</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19,903.28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19,903.28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5"/>
        <w:gridCol w:w="1054"/>
        <w:gridCol w:w="1040"/>
        <w:gridCol w:w="1049"/>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西藏亦复广告有限公 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15,000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上海菲索广告有限公 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50,903.28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43,903.28</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50,903.28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43,903.28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深圳范特西</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上海菲索广告有限公 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14,680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14,680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66,903.28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58,583.28</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66,903.28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58,583.28</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暂时闲置的募集资金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60,563.05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60,563.05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6" w:right="0"/>
              <w:jc w:val="center"/>
              <w:rPr>
                <w:rFonts w:ascii="Times New Roman" w:hAnsi="Times New Roman" w:cs="Times New Roman" w:eastAsia="Times New Roman" w:hint="default"/>
                <w:sz w:val="18"/>
                <w:szCs w:val="18"/>
              </w:rPr>
            </w:pPr>
            <w:r>
              <w:rPr>
                <w:rFonts w:ascii="Times New Roman"/>
                <w:sz w:val="18"/>
              </w:rPr>
              <w:t>60,500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
              <w:jc w:val="left"/>
              <w:rPr>
                <w:rFonts w:ascii="宋体" w:hAnsi="宋体" w:cs="宋体" w:eastAsia="宋体" w:hint="default"/>
                <w:sz w:val="18"/>
                <w:szCs w:val="18"/>
              </w:rPr>
            </w:pPr>
            <w:r>
              <w:rPr>
                <w:rFonts w:ascii="宋体" w:hAnsi="宋体" w:cs="宋体" w:eastAsia="宋体" w:hint="default"/>
                <w:sz w:val="18"/>
                <w:szCs w:val="18"/>
              </w:rPr>
              <w:t>主要 投资 于银 行间 市场 央票、 国债 金融 </w:t>
            </w:r>
            <w:r>
              <w:rPr>
                <w:rFonts w:ascii="宋体" w:hAnsi="宋体" w:cs="宋体" w:eastAsia="宋体" w:hint="default"/>
                <w:spacing w:val="-12"/>
                <w:sz w:val="18"/>
                <w:szCs w:val="18"/>
              </w:rPr>
              <w:t>债、企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保证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3" w:right="0"/>
              <w:jc w:val="left"/>
              <w:rPr>
                <w:rFonts w:ascii="Times New Roman" w:hAnsi="Times New Roman" w:cs="Times New Roman" w:eastAsia="Times New Roman" w:hint="default"/>
                <w:sz w:val="18"/>
                <w:szCs w:val="18"/>
              </w:rPr>
            </w:pPr>
            <w:r>
              <w:rPr>
                <w:rFonts w:ascii="Times New Roman"/>
                <w:sz w:val="18"/>
              </w:rPr>
              <w:t>688.19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688.19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43"/>
              <w:jc w:val="both"/>
              <w:rPr>
                <w:rFonts w:ascii="宋体" w:hAnsi="宋体" w:cs="宋体" w:eastAsia="宋体" w:hint="default"/>
                <w:sz w:val="18"/>
                <w:szCs w:val="18"/>
              </w:rPr>
            </w:pPr>
            <w:r>
              <w:rPr>
                <w:rFonts w:ascii="宋体" w:hAnsi="宋体" w:cs="宋体" w:eastAsia="宋体" w:hint="default"/>
                <w:sz w:val="18"/>
                <w:szCs w:val="18"/>
              </w:rPr>
              <w:t>深交 所巨 潮资 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3"/>
              <w:ind w:left="23" w:right="-31"/>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w:t>
            </w:r>
          </w:p>
          <w:p>
            <w:pPr>
              <w:pStyle w:val="TableParagraph"/>
              <w:spacing w:line="213" w:lineRule="exact"/>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after="0" w:line="213" w:lineRule="exact"/>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业债、 短融、 中期 票据、 同业 拆借、 同业 存款、 债券 或票 据回 购等， 同时 银行 通过 主动 性管</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《关 于理 财产 品到 期赎 回及 继续 使用 部分 闲置 募集 资金 购买 理财 产品 的公 告》</w:t>
            </w: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60,500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688.19</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9"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102"/>
      <w:bookmarkEnd w:id="102"/>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38" w:right="1118"/>
        <w:jc w:val="left"/>
      </w:pPr>
      <w:r>
        <w:rPr/>
        <w:t>（</w:t>
      </w:r>
      <w:r>
        <w:rPr>
          <w:rFonts w:ascii="Times New Roman" w:hAnsi="Times New Roman" w:cs="Times New Roman" w:eastAsia="Times New Roman" w:hint="default"/>
        </w:rPr>
        <w:t>1</w:t>
      </w:r>
      <w:r>
        <w:rPr/>
        <w:t>）股东回报 </w:t>
      </w:r>
      <w:r>
        <w:rPr>
          <w:spacing w:val="-1"/>
        </w:rPr>
        <w:t>公司建立了稳定的利润分配政策，且明确规定优先采取现金分红的利润分配政策，积极回报广大投资者，与投资者共同</w:t>
      </w:r>
    </w:p>
    <w:p>
      <w:pPr>
        <w:pStyle w:val="BodyText"/>
        <w:spacing w:line="240" w:lineRule="auto" w:before="31"/>
        <w:ind w:right="0"/>
        <w:jc w:val="left"/>
      </w:pPr>
      <w:r>
        <w:rPr/>
        <w:t>分享企业发展成果。</w:t>
      </w:r>
      <w:r>
        <w:rPr>
          <w:rFonts w:ascii="Times New Roman" w:hAnsi="Times New Roman" w:cs="Times New Roman" w:eastAsia="Times New Roman" w:hint="default"/>
        </w:rPr>
        <w:t>2018</w:t>
      </w:r>
      <w:r>
        <w:rPr/>
        <w:t>年，公司结合经营情况及未来发展战略和经营计划，拟定</w:t>
      </w:r>
      <w:r>
        <w:rPr>
          <w:rFonts w:ascii="Times New Roman" w:hAnsi="Times New Roman" w:cs="Times New Roman" w:eastAsia="Times New Roman" w:hint="default"/>
        </w:rPr>
        <w:t>2018</w:t>
      </w:r>
      <w:r>
        <w:rPr/>
        <w:t>年度利润分配预案为：</w:t>
      </w:r>
    </w:p>
    <w:p>
      <w:pPr>
        <w:pStyle w:val="BodyText"/>
        <w:spacing w:line="300" w:lineRule="auto" w:before="63"/>
        <w:ind w:left="438" w:right="1118"/>
        <w:jc w:val="left"/>
      </w:pPr>
      <w:r>
        <w:rPr/>
        <w:t>（</w:t>
      </w:r>
      <w:r>
        <w:rPr>
          <w:rFonts w:ascii="Times New Roman" w:hAnsi="Times New Roman" w:cs="Times New Roman" w:eastAsia="Times New Roman" w:hint="default"/>
        </w:rPr>
        <w:t>2</w:t>
      </w:r>
      <w:r>
        <w:rPr/>
        <w:t>）诚信合规 </w:t>
      </w:r>
      <w:r>
        <w:rPr>
          <w:spacing w:val="-1"/>
        </w:rPr>
        <w:t>公司自成立以来，始终遵守各监管部门的法律法规，合规经营，诚信守誉。作为上市企业，公司严格按照证监会、深交</w:t>
      </w:r>
    </w:p>
    <w:p>
      <w:pPr>
        <w:pStyle w:val="BodyText"/>
        <w:spacing w:line="316" w:lineRule="auto" w:before="31"/>
        <w:ind w:right="0"/>
        <w:jc w:val="left"/>
      </w:pPr>
      <w:r>
        <w:rPr>
          <w:spacing w:val="-4"/>
        </w:rPr>
        <w:t>所的要求，及时履行信息披露义务，树立了良好的公众形象。公司在已经建立且运行有效的内部控制和风险防范体系基础上，</w:t>
      </w:r>
      <w:r>
        <w:rPr>
          <w:spacing w:val="-44"/>
        </w:rPr>
        <w:t> </w:t>
      </w:r>
      <w:r>
        <w:rPr>
          <w:spacing w:val="-44"/>
        </w:rPr>
      </w:r>
      <w:r>
        <w:rPr/>
        <w:t>不断完善公司内控基础、优化信息沟通、强化内部监督，进一步确保了公司经营管理的诚信合规。</w:t>
      </w:r>
    </w:p>
    <w:p>
      <w:pPr>
        <w:pStyle w:val="BodyText"/>
        <w:spacing w:line="240" w:lineRule="auto" w:before="19"/>
        <w:ind w:left="438" w:right="0"/>
        <w:jc w:val="left"/>
      </w:pPr>
      <w:r>
        <w:rPr/>
        <w:t>（</w:t>
      </w:r>
      <w:r>
        <w:rPr>
          <w:rFonts w:ascii="Times New Roman" w:hAnsi="Times New Roman" w:cs="Times New Roman" w:eastAsia="Times New Roman" w:hint="default"/>
        </w:rPr>
        <w:t>3</w:t>
      </w:r>
      <w:r>
        <w:rPr/>
        <w:t>）投资者关系管理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284"/>
        <w:jc w:val="both"/>
      </w:pPr>
      <w:r>
        <w:rPr>
          <w:spacing w:val="-2"/>
        </w:rPr>
        <w:t>公司不断加强投资者关系管理，提高为广大投资者服务的水平。通过深圳证券交易所</w:t>
      </w:r>
      <w:r>
        <w:rPr>
          <w:rFonts w:ascii="Times New Roman" w:hAnsi="Times New Roman" w:cs="Times New Roman" w:eastAsia="Times New Roman" w:hint="default"/>
          <w:spacing w:val="-2"/>
        </w:rPr>
        <w:t>“</w:t>
      </w:r>
      <w:r>
        <w:rPr>
          <w:spacing w:val="-2"/>
        </w:rPr>
        <w:t>互动易</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网上集体接待日活</w:t>
      </w:r>
      <w:r>
        <w:rPr/>
        <w:t> 动</w:t>
      </w:r>
      <w:r>
        <w:rPr>
          <w:rFonts w:ascii="Times New Roman" w:hAnsi="Times New Roman" w:cs="Times New Roman" w:eastAsia="Times New Roman" w:hint="default"/>
        </w:rPr>
        <w:t>”</w:t>
      </w:r>
      <w:r>
        <w:rPr/>
        <w:t>、现场交流及电话、电子邮件等方式，公司与各类投资者进行了坦诚的沟通与深入的交流。</w:t>
      </w:r>
      <w:r>
        <w:rPr>
          <w:rFonts w:ascii="Times New Roman" w:hAnsi="Times New Roman" w:cs="Times New Roman" w:eastAsia="Times New Roman" w:hint="default"/>
        </w:rPr>
        <w:t>2018</w:t>
      </w:r>
      <w:r>
        <w:rPr/>
        <w:t>年全年，公司在互动易</w:t>
      </w:r>
      <w:r>
        <w:rPr>
          <w:spacing w:val="-74"/>
        </w:rPr>
        <w:t> </w:t>
      </w:r>
      <w:r>
        <w:rPr>
          <w:spacing w:val="-74"/>
        </w:rPr>
      </w:r>
      <w:r>
        <w:rPr>
          <w:spacing w:val="-1"/>
        </w:rPr>
        <w:t>平台收到投资者提问上千条，回复率</w:t>
      </w:r>
      <w:r>
        <w:rPr>
          <w:rFonts w:ascii="Times New Roman" w:hAnsi="Times New Roman" w:cs="Times New Roman" w:eastAsia="Times New Roman" w:hint="default"/>
          <w:spacing w:val="-1"/>
        </w:rPr>
        <w:t>100%</w:t>
      </w:r>
      <w:r>
        <w:rPr>
          <w:spacing w:val="-1"/>
        </w:rPr>
        <w:t>，且多次位居</w:t>
      </w:r>
      <w:r>
        <w:rPr>
          <w:rFonts w:ascii="Times New Roman" w:hAnsi="Times New Roman" w:cs="Times New Roman" w:eastAsia="Times New Roman" w:hint="default"/>
          <w:spacing w:val="-1"/>
        </w:rPr>
        <w:t>“</w:t>
      </w:r>
      <w:r>
        <w:rPr>
          <w:spacing w:val="-1"/>
        </w:rPr>
        <w:t>回复投资者最多的前十名上市公司</w:t>
      </w:r>
      <w:r>
        <w:rPr>
          <w:rFonts w:ascii="Times New Roman" w:hAnsi="Times New Roman" w:cs="Times New Roman" w:eastAsia="Times New Roman" w:hint="default"/>
          <w:spacing w:val="-1"/>
        </w:rPr>
        <w:t>”</w:t>
      </w:r>
      <w:r>
        <w:rPr>
          <w:spacing w:val="-1"/>
        </w:rPr>
        <w:t>前列；接待投资者电话咨询</w:t>
      </w:r>
      <w:r>
        <w:rPr>
          <w:rFonts w:ascii="Times New Roman" w:hAnsi="Times New Roman" w:cs="Times New Roman" w:eastAsia="Times New Roman" w:hint="default"/>
          <w:spacing w:val="-1"/>
        </w:rPr>
        <w:t>300</w:t>
      </w:r>
      <w:r>
        <w:rPr>
          <w:rFonts w:ascii="Times New Roman" w:hAnsi="Times New Roman" w:cs="Times New Roman" w:eastAsia="Times New Roman" w:hint="default"/>
          <w:spacing w:val="-20"/>
        </w:rPr>
        <w:t> </w:t>
      </w:r>
      <w:r>
        <w:rPr/>
        <w:t>多人次</w:t>
      </w:r>
      <w:r>
        <w:rPr>
          <w:rFonts w:ascii="Times New Roman" w:hAnsi="Times New Roman" w:cs="Times New Roman" w:eastAsia="Times New Roman" w:hint="default"/>
        </w:rPr>
        <w:t>,</w:t>
      </w:r>
      <w:r>
        <w:rPr/>
        <w:t>电子邮件咨询上百人次。公司认真听取投资者的意见和建议，并及时反馈给公司管理层和董事会，最大程度地让投</w:t>
      </w:r>
      <w:r>
        <w:rPr>
          <w:spacing w:val="-47"/>
        </w:rPr>
        <w:t> </w:t>
      </w:r>
      <w:r>
        <w:rPr>
          <w:spacing w:val="-47"/>
        </w:rPr>
      </w:r>
      <w:r>
        <w:rPr/>
        <w:t>资者参与和影响上市公司的治理，推动、促进上市公司提高治理水平，加强投资者保护。</w:t>
      </w:r>
    </w:p>
    <w:p>
      <w:pPr>
        <w:pStyle w:val="BodyText"/>
        <w:spacing w:line="300" w:lineRule="auto" w:before="31"/>
        <w:ind w:left="438" w:right="1118"/>
        <w:jc w:val="left"/>
      </w:pPr>
      <w:r>
        <w:rPr/>
        <w:t>（</w:t>
      </w:r>
      <w:r>
        <w:rPr>
          <w:rFonts w:ascii="Times New Roman" w:hAnsi="Times New Roman" w:cs="Times New Roman" w:eastAsia="Times New Roman" w:hint="default"/>
        </w:rPr>
        <w:t>4</w:t>
      </w:r>
      <w:r>
        <w:rPr/>
        <w:t>）信息披露 </w:t>
      </w:r>
      <w:r>
        <w:rPr>
          <w:spacing w:val="-1"/>
        </w:rPr>
        <w:t>公司始终坚持信息披露的真实准确完整和及时性，将信息披露工作制度化、专业化，并贯彻实施。公司制定了《信息披</w:t>
      </w:r>
    </w:p>
    <w:p>
      <w:pPr>
        <w:pStyle w:val="BodyText"/>
        <w:spacing w:line="314" w:lineRule="auto" w:before="31"/>
        <w:ind w:right="1129"/>
        <w:jc w:val="both"/>
      </w:pPr>
      <w:r>
        <w:rPr>
          <w:spacing w:val="-2"/>
        </w:rPr>
        <w:t>露事务管理制度》、《重大信息内部报告制度》、《年报信息披露重大差错责任追究制度》等一系列制度，确保公司信息披</w:t>
      </w:r>
      <w:r>
        <w:rPr>
          <w:spacing w:val="-67"/>
        </w:rPr>
        <w:t> </w:t>
      </w:r>
      <w:r>
        <w:rPr>
          <w:spacing w:val="-67"/>
        </w:rPr>
      </w:r>
      <w:r>
        <w:rPr>
          <w:spacing w:val="-2"/>
        </w:rPr>
        <w:t>露工作有章可循。公司设置专门部门和人员负责公司的信息披露工作以及官网的维护。公司严格按照监管部门规定和公司制</w:t>
      </w:r>
      <w:r>
        <w:rPr>
          <w:spacing w:val="-64"/>
        </w:rPr>
        <w:t> </w:t>
      </w:r>
      <w:r>
        <w:rPr>
          <w:spacing w:val="-64"/>
        </w:rPr>
      </w:r>
      <w:r>
        <w:rPr/>
        <w:t>度进行信息披露，</w:t>
      </w:r>
      <w:r>
        <w:rPr>
          <w:rFonts w:ascii="Times New Roman" w:hAnsi="Times New Roman" w:cs="Times New Roman" w:eastAsia="Times New Roman" w:hint="default"/>
        </w:rPr>
        <w:t>2018</w:t>
      </w:r>
      <w:r>
        <w:rPr/>
        <w:t>年度就发布公告</w:t>
      </w:r>
      <w:r>
        <w:rPr>
          <w:rFonts w:ascii="Times New Roman" w:hAnsi="Times New Roman" w:cs="Times New Roman" w:eastAsia="Times New Roman" w:hint="default"/>
        </w:rPr>
        <w:t>180</w:t>
      </w:r>
      <w:r>
        <w:rPr/>
        <w:t>余份，独立董事发表独立意见</w:t>
      </w:r>
      <w:r>
        <w:rPr>
          <w:rFonts w:ascii="Times New Roman" w:hAnsi="Times New Roman" w:cs="Times New Roman" w:eastAsia="Times New Roman" w:hint="default"/>
        </w:rPr>
        <w:t>10</w:t>
      </w:r>
      <w:r>
        <w:rPr/>
        <w:t>多次，独立财务顾问发表专项核查意见</w:t>
      </w:r>
      <w:r>
        <w:rPr>
          <w:rFonts w:ascii="Times New Roman" w:hAnsi="Times New Roman" w:cs="Times New Roman" w:eastAsia="Times New Roman" w:hint="default"/>
        </w:rPr>
        <w:t>10</w:t>
      </w:r>
      <w:r>
        <w:rPr/>
        <w:t>多次，</w:t>
      </w:r>
      <w:r>
        <w:rPr>
          <w:spacing w:val="-83"/>
        </w:rPr>
        <w:t> </w:t>
      </w:r>
      <w:r>
        <w:rPr>
          <w:spacing w:val="-2"/>
        </w:rPr>
        <w:t>内容涉及定期报告，关联交易，对外担保，委托理财，对外投资等各方面，充分保证了投资者对公司重大事项和经营情况的</w:t>
      </w:r>
      <w:r>
        <w:rPr>
          <w:spacing w:val="-66"/>
        </w:rPr>
        <w:t> </w:t>
      </w:r>
      <w:r>
        <w:rPr>
          <w:spacing w:val="-66"/>
        </w:rPr>
      </w:r>
      <w:r>
        <w:rPr/>
        <w:t>知情权，为投资者提供了充分的投资依据，树立了投资信心。</w:t>
      </w:r>
    </w:p>
    <w:p>
      <w:pPr>
        <w:pStyle w:val="BodyText"/>
        <w:spacing w:line="300" w:lineRule="auto" w:before="20"/>
        <w:ind w:left="438" w:right="1118"/>
        <w:jc w:val="left"/>
      </w:pPr>
      <w:r>
        <w:rPr/>
        <w:t>（</w:t>
      </w:r>
      <w:r>
        <w:rPr>
          <w:rFonts w:ascii="Times New Roman" w:hAnsi="Times New Roman" w:cs="Times New Roman" w:eastAsia="Times New Roman" w:hint="default"/>
        </w:rPr>
        <w:t>5</w:t>
      </w:r>
      <w:r>
        <w:rPr/>
        <w:t>）经营业绩 </w:t>
      </w:r>
      <w:r>
        <w:rPr>
          <w:spacing w:val="-1"/>
        </w:rPr>
        <w:t>公司是一家致力于互联网搜索、大数据、</w:t>
      </w:r>
      <w:r>
        <w:rPr>
          <w:rFonts w:ascii="Times New Roman" w:hAnsi="Times New Roman" w:cs="Times New Roman" w:eastAsia="Times New Roman" w:hint="default"/>
          <w:spacing w:val="-1"/>
        </w:rPr>
        <w:t>AI</w:t>
      </w:r>
      <w:r>
        <w:rPr>
          <w:spacing w:val="-1"/>
        </w:rPr>
        <w:t>等技术领域，开发并提供大量基于互联网的产品与服务，已成为全球领先的</w:t>
      </w:r>
    </w:p>
    <w:p>
      <w:pPr>
        <w:pStyle w:val="BodyText"/>
        <w:spacing w:line="309" w:lineRule="auto" w:before="13"/>
        <w:ind w:right="1049"/>
        <w:jc w:val="both"/>
      </w:pPr>
      <w:r>
        <w:rPr>
          <w:spacing w:val="-2"/>
        </w:rPr>
        <w:t>第三方互联网搜索入口公司。报告期内，公司经营环境稳定，经营计划有序开展，公司对资产、业务进行了有效整合，近两</w:t>
      </w:r>
      <w:r>
        <w:rPr>
          <w:spacing w:val="-67"/>
        </w:rPr>
        <w:t> </w:t>
      </w:r>
      <w:r>
        <w:rPr>
          <w:spacing w:val="-67"/>
        </w:rPr>
      </w:r>
      <w:r>
        <w:rPr/>
        <w:t>年，公司互联网相关行业实现了营业收入及利润的大幅增长。</w:t>
      </w:r>
      <w:r>
        <w:rPr>
          <w:rFonts w:ascii="Times New Roman" w:hAnsi="Times New Roman" w:cs="Times New Roman" w:eastAsia="Times New Roman" w:hint="default"/>
        </w:rPr>
        <w:t>2018</w:t>
      </w:r>
      <w:r>
        <w:rPr/>
        <w:t>年度，公司实现主营业务收入</w:t>
      </w:r>
      <w:r>
        <w:rPr>
          <w:rFonts w:ascii="Times New Roman" w:hAnsi="Times New Roman" w:cs="Times New Roman" w:eastAsia="Times New Roman" w:hint="default"/>
        </w:rPr>
        <w:t>765956.80</w:t>
      </w:r>
      <w:r>
        <w:rPr/>
        <w:t>万元，同比增长</w:t>
      </w:r>
      <w:r>
        <w:rPr>
          <w:spacing w:val="-50"/>
        </w:rPr>
        <w:t> </w:t>
      </w:r>
      <w:r>
        <w:rPr>
          <w:spacing w:val="-50"/>
        </w:rPr>
      </w:r>
      <w:r>
        <w:rPr>
          <w:rFonts w:ascii="Times New Roman" w:hAnsi="Times New Roman" w:cs="Times New Roman" w:eastAsia="Times New Roman" w:hint="default"/>
          <w:spacing w:val="-2"/>
        </w:rPr>
        <w:t>20.17%</w:t>
      </w:r>
      <w:r>
        <w:rPr>
          <w:spacing w:val="-2"/>
        </w:rPr>
        <w:t>，实现归属于上市公司股东的净利润</w:t>
      </w:r>
      <w:r>
        <w:rPr>
          <w:rFonts w:ascii="Times New Roman" w:hAnsi="Times New Roman" w:cs="Times New Roman" w:eastAsia="Times New Roman" w:hint="default"/>
          <w:spacing w:val="-2"/>
        </w:rPr>
        <w:t>71343.00</w:t>
      </w:r>
      <w:r>
        <w:rPr>
          <w:spacing w:val="-2"/>
        </w:rPr>
        <w:t>万元，同比增长</w:t>
      </w:r>
      <w:r>
        <w:rPr>
          <w:rFonts w:ascii="Times New Roman" w:hAnsi="Times New Roman" w:cs="Times New Roman" w:eastAsia="Times New Roman" w:hint="default"/>
          <w:spacing w:val="-2"/>
        </w:rPr>
        <w:t>35.29%</w:t>
      </w:r>
      <w:r>
        <w:rPr>
          <w:spacing w:val="-2"/>
        </w:rPr>
        <w:t>。公司不断深化产融结合的战略，坚持内生发展</w:t>
      </w:r>
      <w:r>
        <w:rPr>
          <w:spacing w:val="-34"/>
        </w:rPr>
        <w:t> </w:t>
      </w:r>
      <w:r>
        <w:rPr>
          <w:spacing w:val="-34"/>
        </w:rPr>
      </w:r>
      <w:r>
        <w:rPr>
          <w:spacing w:val="-2"/>
        </w:rPr>
        <w:t>与外延扩张同步推进。在各项业务进展顺利的基础上，考虑到与产业链上下游客户的良好合作关系，公司通过布局互联网小</w:t>
      </w:r>
      <w:r>
        <w:rPr>
          <w:spacing w:val="-66"/>
        </w:rPr>
        <w:t> </w:t>
      </w:r>
      <w:r>
        <w:rPr>
          <w:spacing w:val="-66"/>
        </w:rPr>
      </w:r>
      <w:r>
        <w:rPr/>
        <w:t>额贷款公司、保理公司、保险经纪公司等方式涉足金融领域，助力公司全产业链的优化整合，实现公司的快速可持续发展。</w:t>
      </w:r>
    </w:p>
    <w:p>
      <w:pPr>
        <w:pStyle w:val="BodyText"/>
        <w:spacing w:line="300" w:lineRule="auto" w:before="24"/>
        <w:ind w:left="438" w:right="1118"/>
        <w:jc w:val="left"/>
      </w:pPr>
      <w:r>
        <w:rPr/>
        <w:t>（</w:t>
      </w:r>
      <w:r>
        <w:rPr>
          <w:rFonts w:ascii="Times New Roman" w:hAnsi="Times New Roman" w:cs="Times New Roman" w:eastAsia="Times New Roman" w:hint="default"/>
        </w:rPr>
        <w:t>6</w:t>
      </w:r>
      <w:r>
        <w:rPr/>
        <w:t>）公司治理 </w:t>
      </w:r>
      <w:r>
        <w:rPr>
          <w:spacing w:val="-1"/>
        </w:rPr>
        <w:t>根据国家法律法规的要求和公司经营发展的需要，公司制定了《公司章程》、《股东大会议事规则》等一系列规章制度</w:t>
      </w:r>
    </w:p>
    <w:p>
      <w:pPr>
        <w:pStyle w:val="BodyText"/>
        <w:spacing w:line="319" w:lineRule="auto" w:before="31"/>
        <w:ind w:right="1130"/>
        <w:jc w:val="both"/>
      </w:pPr>
      <w:r>
        <w:rPr>
          <w:spacing w:val="-2"/>
        </w:rPr>
        <w:t>并且贯彻实施，涉及公司股东大会、董事会、监事会和经营管理层的运作等各方面，形成了科学有效、权责明确、相互制衡</w:t>
      </w:r>
      <w:r>
        <w:rPr>
          <w:spacing w:val="-68"/>
        </w:rPr>
        <w:t> </w:t>
      </w:r>
      <w:r>
        <w:rPr>
          <w:spacing w:val="-68"/>
        </w:rPr>
      </w:r>
      <w:r>
        <w:rPr/>
        <w:t>协调的治理结构。公司股东大会、</w:t>
      </w:r>
      <w:r>
        <w:rPr>
          <w:spacing w:val="-19"/>
        </w:rPr>
        <w:t> </w:t>
      </w:r>
      <w:r>
        <w:rPr/>
        <w:t>董事会、监事会和经理层各司其职，确保了公司的规范运作。</w:t>
      </w:r>
    </w:p>
    <w:p>
      <w:pPr>
        <w:pStyle w:val="BodyText"/>
        <w:spacing w:line="316" w:lineRule="auto" w:before="17"/>
        <w:ind w:right="1133" w:firstLine="284"/>
        <w:jc w:val="both"/>
      </w:pPr>
      <w:r>
        <w:rPr>
          <w:spacing w:val="-1"/>
        </w:rPr>
        <w:t>公司持续加强内控评价和风险管理工作，公司董事会每年均对公司内部控制进行自我评价并披露相关报告，同时聘请审</w:t>
      </w:r>
      <w:r>
        <w:rPr/>
        <w:t> 计机构对公司内控进行审计，针对提出的问题，公司后期进行认真研究和整改。</w:t>
      </w:r>
    </w:p>
    <w:p>
      <w:pPr>
        <w:pStyle w:val="BodyText"/>
        <w:spacing w:line="316" w:lineRule="auto" w:before="19"/>
        <w:ind w:right="1133" w:firstLine="284"/>
        <w:jc w:val="both"/>
      </w:pPr>
      <w:r>
        <w:rPr>
          <w:spacing w:val="-1"/>
        </w:rPr>
        <w:t>关于公司募集资金的管理和使用，公司制订了专门的募集资金管理办法，严格按照监管部门的规定和公司制度对募集资</w:t>
      </w:r>
      <w:r>
        <w:rPr/>
        <w:t> 金进行管理和使用。</w:t>
      </w:r>
    </w:p>
    <w:p>
      <w:pPr>
        <w:pStyle w:val="BodyText"/>
        <w:spacing w:line="300" w:lineRule="auto" w:before="19"/>
        <w:ind w:left="438" w:right="1118"/>
        <w:jc w:val="left"/>
      </w:pPr>
      <w:r>
        <w:rPr/>
        <w:t>（</w:t>
      </w:r>
      <w:r>
        <w:rPr>
          <w:rFonts w:ascii="Times New Roman" w:hAnsi="Times New Roman" w:cs="Times New Roman" w:eastAsia="Times New Roman" w:hint="default"/>
        </w:rPr>
        <w:t>7</w:t>
      </w:r>
      <w:r>
        <w:rPr/>
        <w:t>）社会责任 </w:t>
      </w:r>
      <w:r>
        <w:rPr>
          <w:spacing w:val="-1"/>
        </w:rPr>
        <w:t>公司将企业社会责任切实融入公司的发展战略和经营管理中去，积极承担对投资者、公司员工及社会等各利益相关方的</w:t>
      </w:r>
    </w:p>
    <w:p>
      <w:pPr>
        <w:pStyle w:val="BodyText"/>
        <w:spacing w:line="316" w:lineRule="auto" w:before="31"/>
        <w:ind w:right="0"/>
        <w:jc w:val="left"/>
      </w:pPr>
      <w:r>
        <w:rPr>
          <w:spacing w:val="-4"/>
        </w:rPr>
        <w:t>责任。公司稳健发展、潜心耕耘，不断提升公司综合竞争力和盈利能力，努力为股东创造更大价值。公司严格遵守社会公德、</w:t>
      </w:r>
      <w:r>
        <w:rPr>
          <w:spacing w:val="-44"/>
        </w:rPr>
        <w:t> </w:t>
      </w:r>
      <w:r>
        <w:rPr>
          <w:spacing w:val="-44"/>
        </w:rPr>
      </w:r>
      <w:r>
        <w:rPr>
          <w:spacing w:val="-2"/>
        </w:rPr>
        <w:t>商业道德，接受政府和社会公众的监督，在经营规模不断壮大的同时，认真落实科学发展观，推动经济、社会、环境的可持</w:t>
      </w:r>
      <w:r>
        <w:rPr>
          <w:spacing w:val="-68"/>
        </w:rPr>
        <w:t> </w:t>
      </w:r>
      <w:r>
        <w:rPr>
          <w:spacing w:val="-68"/>
        </w:rPr>
      </w:r>
      <w:r>
        <w:rPr/>
        <w:t>续发展，追求综合价值的最大化。</w:t>
      </w:r>
    </w:p>
    <w:p>
      <w:pPr>
        <w:pStyle w:val="BodyText"/>
        <w:spacing w:line="314" w:lineRule="auto" w:before="19"/>
        <w:ind w:right="1088" w:firstLine="284"/>
        <w:jc w:val="both"/>
      </w:pPr>
      <w:r>
        <w:rPr/>
        <w:t>通过内部培养和外部引进，公司不断扩充和培养优秀的人才队伍，切实维护员工合法权益。公司建立了科学、合理的薪 </w:t>
      </w:r>
      <w:r>
        <w:rPr>
          <w:spacing w:val="-2"/>
        </w:rPr>
        <w:t>酬管理体系，为员工提供了有力的薪酬竞争空间和公平环境。公司还不断完善内部的人才激励机制，有效提高了业务团队的</w:t>
      </w:r>
      <w:r>
        <w:rPr>
          <w:spacing w:val="-66"/>
        </w:rPr>
        <w:t> </w:t>
      </w:r>
      <w:r>
        <w:rPr>
          <w:spacing w:val="-66"/>
        </w:rPr>
      </w:r>
      <w:r>
        <w:rPr/>
        <w:t>稳定性和积极性。值得一提的是，公司十分重视员工的身体素质，鼓励员工坚持身体锻炼，公司成立</w:t>
      </w:r>
      <w:r>
        <w:rPr>
          <w:rFonts w:ascii="Times New Roman" w:hAnsi="Times New Roman" w:cs="Times New Roman" w:eastAsia="Times New Roman" w:hint="default"/>
        </w:rPr>
        <w:t>“</w:t>
      </w:r>
      <w:r>
        <w:rPr/>
        <w:t>跑团</w:t>
      </w:r>
      <w:r>
        <w:rPr>
          <w:rFonts w:ascii="Times New Roman" w:hAnsi="Times New Roman" w:cs="Times New Roman" w:eastAsia="Times New Roman" w:hint="default"/>
        </w:rPr>
        <w:t>”“</w:t>
      </w:r>
      <w:r>
        <w:rPr/>
        <w:t>瑜伽训练营</w:t>
      </w:r>
      <w:r>
        <w:rPr>
          <w:rFonts w:ascii="Times New Roman" w:hAnsi="Times New Roman" w:cs="Times New Roman" w:eastAsia="Times New Roman" w:hint="default"/>
        </w:rPr>
        <w:t>”</w:t>
      </w:r>
      <w:r>
        <w:rPr/>
        <w:t>， 定期组织公司员工和有兴趣的同仁参加体能训练和慢跑活动，积极响应全民健身号召 携手倡导健康生活理念，为创造良好</w:t>
      </w:r>
      <w:r>
        <w:rPr>
          <w:spacing w:val="-87"/>
        </w:rPr>
        <w:t> </w:t>
      </w:r>
      <w:r>
        <w:rPr>
          <w:spacing w:val="-87"/>
        </w:rPr>
      </w:r>
      <w:r>
        <w:rPr/>
        <w:t>企业文化氛围、促进公司持续稳健发展提供了强有力的支持和动力。</w:t>
      </w:r>
    </w:p>
    <w:p>
      <w:pPr>
        <w:spacing w:after="0" w:line="31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104"/>
      <w:bookmarkEnd w:id="104"/>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年度精准扶贫概要" w:id="105"/>
      <w:bookmarkEnd w:id="105"/>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精准扶贫成效" w:id="106"/>
      <w:bookmarkEnd w:id="106"/>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7"/>
      <w:bookmarkEnd w:id="107"/>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环境保护相关的情况" w:id="108"/>
      <w:bookmarkEnd w:id="10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316" w:lineRule="auto" w:before="26"/>
        <w:ind w:right="0" w:firstLine="284"/>
        <w:jc w:val="left"/>
      </w:pPr>
      <w:r>
        <w:rPr>
          <w:spacing w:val="-1"/>
        </w:rPr>
        <w:t>在公司的日常经营中，我们十分重视环境保护工作，推行无纸化办公，不断提高员工的环境保护意识，让每位员工从身</w:t>
      </w:r>
      <w:r>
        <w:rPr/>
        <w:t> 边点滴小事做起，节约资源，倡导绿色生活、为生态环境的可持续发展贡献力量。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九、其他重大事项的说明" w:id="109"/>
      <w:bookmarkEnd w:id="109"/>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34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公告标题</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披露时间</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年度股票期权激励计划内幕信息知情人及激励对象买卖 公司股票情况的自查报告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40"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关于向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年度限制性股票激励计划的激励对象授予限制性股票 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华泰联合证券有限责任公司关于公司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年度限制性股票激励计 划授予事项之独立财务顾问核查意见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年度限制性股票激励计划激励对象名单</w:t>
            </w:r>
            <w:r>
              <w:rPr>
                <w:rFonts w:ascii="Times New Roman" w:hAnsi="Times New Roman" w:cs="Times New Roman" w:eastAsia="Times New Roman" w:hint="default"/>
                <w:sz w:val="18"/>
                <w:szCs w:val="18"/>
              </w:rPr>
              <w:t>(</w:t>
            </w:r>
            <w:r>
              <w:rPr>
                <w:rFonts w:ascii="宋体" w:hAnsi="宋体" w:cs="宋体" w:eastAsia="宋体" w:hint="default"/>
                <w:sz w:val="18"/>
                <w:szCs w:val="18"/>
              </w:rPr>
              <w:t>授予日</w:t>
            </w:r>
            <w:r>
              <w:rPr>
                <w:rFonts w:ascii="Times New Roman" w:hAnsi="Times New Roman" w:cs="Times New Roman" w:eastAsia="Times New Roman" w:hint="default"/>
                <w:sz w:val="18"/>
                <w:szCs w:val="18"/>
              </w:rPr>
              <w:t>) </w:t>
            </w:r>
            <w:r>
              <w:rPr>
                <w:rFonts w:ascii="宋体" w:hAnsi="宋体" w:cs="宋体" w:eastAsia="宋体" w:hint="default"/>
                <w:sz w:val="18"/>
                <w:szCs w:val="18"/>
              </w:rPr>
              <w:t>的审核意见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第八届董事会第十次会议决议公告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年度股票期权激励计划激励对象名单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年度限制性股票激励计划激励对象名单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年度限制性股票激励计划内幕信息知情人及激励对象买 卖公司股票情况的自查报告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关于向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年度股票期权激励计划的激励对象授予股票期权的公 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40"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北京市中伦律师事务所关于公司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年度股票期权激励计划授予 事项的法律意见书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北京市中伦律师事务所关于公司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年度限制性股票激励计划授 予事项的法律意见书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独立董事关于第八届董事会第十次会议相关事项的独立意见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年度股票期权激励计划激励对象名单</w:t>
            </w:r>
            <w:r>
              <w:rPr>
                <w:rFonts w:ascii="Times New Roman" w:hAnsi="Times New Roman" w:cs="Times New Roman" w:eastAsia="Times New Roman" w:hint="default"/>
                <w:sz w:val="18"/>
                <w:szCs w:val="18"/>
              </w:rPr>
              <w:t>(</w:t>
            </w:r>
            <w:r>
              <w:rPr>
                <w:rFonts w:ascii="宋体" w:hAnsi="宋体" w:cs="宋体" w:eastAsia="宋体" w:hint="default"/>
                <w:sz w:val="18"/>
                <w:szCs w:val="18"/>
              </w:rPr>
              <w:t>授予日</w:t>
            </w:r>
            <w:r>
              <w:rPr>
                <w:rFonts w:ascii="Times New Roman" w:hAnsi="Times New Roman" w:cs="Times New Roman" w:eastAsia="Times New Roman" w:hint="default"/>
                <w:sz w:val="18"/>
                <w:szCs w:val="18"/>
              </w:rPr>
              <w:t>)</w:t>
            </w:r>
            <w:r>
              <w:rPr>
                <w:rFonts w:ascii="宋体" w:hAnsi="宋体" w:cs="宋体" w:eastAsia="宋体" w:hint="default"/>
                <w:sz w:val="18"/>
                <w:szCs w:val="18"/>
              </w:rPr>
              <w:t>的 审核意见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第八届监事会第九次会议决议公告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年度股票期权激励计划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r>
              <w:rPr>
                <w:rFonts w:ascii="宋体" w:hAnsi="宋体" w:cs="宋体" w:eastAsia="宋体" w:hint="default"/>
                <w:sz w:val="18"/>
                <w:szCs w:val="18"/>
              </w:rPr>
              <w:t>激励对象名单 公示的情况说明及核查意见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2018-12-18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第八届监事会第八次会议决议公告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2018-12-18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2018-12-15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年度股票期权激励计划实施考核管理办法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年度股票期权激励计划激励对象名单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年度股票期权激励计划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年度股票期权激励计划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r>
              <w:rPr>
                <w:rFonts w:ascii="宋体" w:hAnsi="宋体" w:cs="宋体" w:eastAsia="宋体" w:hint="default"/>
                <w:sz w:val="18"/>
                <w:szCs w:val="18"/>
              </w:rPr>
              <w:t>摘要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年度限制性股票激励计划激励对象名单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上市公司股权激励计划自查表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年第五次临时股东大会增加临时提案的公告暨召开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年第五次临时股东大会的补充通知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40"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北京市中伦律师事务所关于公司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年度股票期权激励计划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w:t>
            </w:r>
            <w:r>
              <w:rPr>
                <w:rFonts w:ascii="宋体" w:hAnsi="宋体" w:cs="宋体" w:eastAsia="宋体" w:hint="default"/>
                <w:spacing w:val="-79"/>
                <w:sz w:val="18"/>
                <w:szCs w:val="18"/>
              </w:rPr>
              <w:t> </w:t>
            </w:r>
            <w:r>
              <w:rPr>
                <w:rFonts w:ascii="宋体" w:hAnsi="宋体" w:cs="宋体" w:eastAsia="宋体" w:hint="default"/>
                <w:sz w:val="18"/>
                <w:szCs w:val="18"/>
              </w:rPr>
              <w:t>案</w:t>
            </w:r>
            <w:r>
              <w:rPr>
                <w:rFonts w:ascii="Times New Roman" w:hAnsi="Times New Roman" w:cs="Times New Roman" w:eastAsia="Times New Roman" w:hint="default"/>
                <w:sz w:val="18"/>
                <w:szCs w:val="18"/>
              </w:rPr>
              <w:t>)</w:t>
            </w:r>
            <w:r>
              <w:rPr>
                <w:rFonts w:ascii="宋体" w:hAnsi="宋体" w:cs="宋体" w:eastAsia="宋体" w:hint="default"/>
                <w:sz w:val="18"/>
                <w:szCs w:val="18"/>
              </w:rPr>
              <w:t>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独立董事公开征集委托投票权报告书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独立董事关于第八届董事会第九次会议相关事项的独立意见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年度限制性股票激励计划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r>
              <w:rPr>
                <w:rFonts w:ascii="宋体" w:hAnsi="宋体" w:cs="宋体" w:eastAsia="宋体" w:hint="default"/>
                <w:sz w:val="18"/>
                <w:szCs w:val="18"/>
              </w:rPr>
              <w:t>激励对象名 单公示的情况说明及核查意见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第八届监事会第七次会议决议公告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第八届董事会第九次会议决议公告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2018-12-08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年度限制性股票激励计划实施考核管理办法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年度限制性股票激励计划激励对象名单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r>
              <w:rPr>
                <w:rFonts w:ascii="宋体" w:hAnsi="宋体" w:cs="宋体" w:eastAsia="宋体" w:hint="default"/>
                <w:sz w:val="18"/>
                <w:szCs w:val="18"/>
              </w:rPr>
              <w:t>摘要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上市公司股权激励计划自查表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年第五次临时股东大会的通知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关于监事辞职及补选第八届监事会监事的公告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北京市中伦律师事务所关于公司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年度限制性股票激励计划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 案</w:t>
            </w:r>
            <w:r>
              <w:rPr>
                <w:rFonts w:ascii="Times New Roman" w:hAnsi="Times New Roman" w:cs="Times New Roman" w:eastAsia="Times New Roman" w:hint="default"/>
                <w:sz w:val="18"/>
                <w:szCs w:val="18"/>
              </w:rPr>
              <w:t>)</w:t>
            </w:r>
            <w:r>
              <w:rPr>
                <w:rFonts w:ascii="宋体" w:hAnsi="宋体" w:cs="宋体" w:eastAsia="宋体" w:hint="default"/>
                <w:sz w:val="18"/>
                <w:szCs w:val="18"/>
              </w:rPr>
              <w:t>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华泰联合证券有限责任公司关于公司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年度限制性股票激励计 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r>
              <w:rPr>
                <w:rFonts w:ascii="宋体" w:hAnsi="宋体" w:cs="宋体" w:eastAsia="宋体" w:hint="default"/>
                <w:sz w:val="18"/>
                <w:szCs w:val="18"/>
              </w:rPr>
              <w:t>之独立财务顾问报告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独立董事关于第八届董事会第八次会议相关事项的独立意见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第八届监事会第六次会议决议公告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第八届董事会第八次会议决议公告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独立董事公开征集委托投票权报告书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2018-11-14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关于参与设立产业投资基金的关联交易进展公告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2018-10-26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年第三季度报告全文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2018-10-20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年第三季度报告正文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2018-10-20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关于会计政策变更的公告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2018-10-20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独立董事关于第八届董事会第六次会议相关事项的独立意见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2018-10-20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第八届监事会第五次会议决议公告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2018-10-20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第八届董事会第六次会议决议公告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2018-10-20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年前三季度业绩预告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2018-10-12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关于公司股东减持计划期限届满暨实施情况的公告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2018-10-09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关于使用部分闲置募集资金购买理财产品赎回的公告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2018-09-27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关于公司股东股票质押式回购解除的公告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2018-09-22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2018-09-14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关于持股</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以上股东通过集中竞价交易方式减持公司股份完成的 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2018-09-04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以上股东权益变动的提示性公告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2018-08-29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简式权益变动报告书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2018-08-29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2018-08-15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2018-08-15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年上半年度募集资金存放与使用情况的专项报告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2018-08-15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独立董事关于第八届董事会第五次会议相关事项的专项说明和独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2018-08-15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2018-08-14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关于西藏智度保险经纪有限公司完成工商注册登记的公告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2018-08-10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以上股东减持公司股份的进展公告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2018-08-08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2018-07-21</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2018-07-21</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关于参与设立产业投资基金的关联交易补充公告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2018-07-18</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年半年度业绩预告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2018-07-14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2018-07-13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关于投资设立保险经纪公司的公告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第八届董事会第四次会议决议公告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以上股东减持公司股份的预披露公告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关于参与设立产业投资基金的关联交易公告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年第四次临时股东大会的通知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关于接受关联方无偿借款的关联交易公告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华泰联合证券有限责任公司关于公司使用闲置募集资金购买理财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产品的核查意见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未来三年</w:t>
            </w:r>
            <w:r>
              <w:rPr>
                <w:rFonts w:ascii="Times New Roman" w:hAnsi="Times New Roman" w:cs="Times New Roman" w:eastAsia="Times New Roman" w:hint="default"/>
                <w:sz w:val="18"/>
                <w:szCs w:val="18"/>
              </w:rPr>
              <w:t>(2018-2020)</w:t>
            </w:r>
            <w:r>
              <w:rPr>
                <w:rFonts w:ascii="宋体" w:hAnsi="宋体" w:cs="宋体" w:eastAsia="宋体" w:hint="default"/>
                <w:sz w:val="18"/>
                <w:szCs w:val="18"/>
              </w:rPr>
              <w:t>股东分红回报规划</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独立董事关于第八届董事会第三次会议相关事项的事前认可意见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独立董事关于第八届董事会第三次会议相关事项的独立意见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第八届监事会第三次会议决议公告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第八届董事会第三次会议决议公告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2018-07-05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关于使用部分闲置募集资金购买理财产品赎回的公告</w:t>
            </w:r>
            <w:r>
              <w:rPr>
                <w:rFonts w:ascii="Times New Roman" w:hAnsi="Times New Roman" w:cs="Times New Roman" w:eastAsia="Times New Roman" w:hint="default"/>
                <w:sz w:val="18"/>
                <w:szCs w:val="18"/>
              </w:rPr>
              <w:t>(2018/06/29)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2018-06-29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年度权益分派实施公告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2018-06-27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关于使用部分闲置募集资金购买理财产品赎回的公告</w:t>
            </w:r>
            <w:r>
              <w:rPr>
                <w:rFonts w:ascii="Times New Roman" w:hAnsi="Times New Roman" w:cs="Times New Roman" w:eastAsia="Times New Roman" w:hint="default"/>
                <w:sz w:val="18"/>
                <w:szCs w:val="18"/>
              </w:rPr>
              <w:t>(2018/06/27)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2018-06-27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2018-06-13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关于限售股份解除限售的提示性公告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华泰联合证券有限责任公司关于公司发行股份及支付现金购买资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产并募集配套资金限售股份上市流通的核查意见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2018-05-22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2018-05-19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2018-05-19</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广州证券股份有限公司关于公司重大资产出售暨关联交易之</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年度持续督导工作报告暨持续督导总结报告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2018-05-11</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关于理财产品到期赎回及继续使用部分闲置募集资金购买理财产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华泰联合证券有限责任公司关于公司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年度持续督导意见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2018-05-10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年年度审计报告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年度募集资金存放与实际使用情况的专项报告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年度独立董事述职报告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年第一季度报告全文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年第一季度报告正文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《智度科技股份有限公司章程修正案》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《智度科技股份有限公司股东大会议事规则》修订对照表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《智度科技股份有限公司董事会议事规则》修订对照表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年度证券投资情况的专项说明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关于上海猎鹰网络有限公司、上海智度亦复信息技术有限公司和</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SPIGOT,INC.2017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年度业绩承诺实现情况的说明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关于为子公司向银行申请授信提供担保的公告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关于交易对方对标的资产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年度业绩承诺实现情况的说明审核 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年度募集资金存放与使用情况鉴证报告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年年度股东大会的通知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关于拥有公司实际控制权的股东为公司申请银行授信提供关联担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华泰联合证券有限责任公司关于公司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年度募集资金存放与使 用情况的专项核查意见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华泰联合证券有限责任公司关于公司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年度日常关联交易预计 的核查意见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华泰联合证券有限责任公司关于公司发行股份及支付现金购买资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产并募集配套资金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年度业绩承诺实现情况的核查意见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华泰联合证券有限责任公司关于公司申请银行授信提供关联担保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之关联交易的核查意见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控股股东及其他关联方占用资金情况的专项说明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年度日常关联交易预计的事前认可意见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独立董事关于第八届董事会第二次会议相关事项的专项说明和独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第八届监事会第二次会议决议公告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第八届董事会第二次会议决议公告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董事、监事及高级管理人员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年度薪酬方案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2018-04-27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2018-04-14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2018-04-14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2018-04-13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关于股东办理股票质押式回购交易的公告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2018-03-31</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关于股东办理股票质押式回购交易补充质押的公告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2018-02-24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2018-02-10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关于公司股东股票质押式回购解除的公告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2018-02-10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2018-02-10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关于理财产品到期赎回及继续使用部分闲置募集资金购买理财产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2018-02-07</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关于公司股东股票质押式回购解除的公告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2018-02-03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年度业绩预告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2018-01-31</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独立董事关于第八届董事会第一次会议相关事项的独立意见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2018-01-30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第八届监事会第一次会议决议公告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2018-01-30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第八届董事会第一次会议决议公告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2018-01-30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关于使用暂时闲置的自有资金进行委托理财的公告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华泰联合证券有限责任公司关于公司使用暂时闲置的自有资金进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行委托理财的核查意见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第七届董事会第四十次会议决议公告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年第三次临时股东大会的通知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独立董事关于第七届董事会第四十次会议相关事项的独立意见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2018-01-24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关于选举职工代表监事的公告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2018-01-24</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关于使用部分闲置募集资金购买理财产品赎回的公告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2018-01-13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年第一次临时股东大会的法律意见书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2018-01-10</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关于公司监事会换届选举的公告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8"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关于公司董事会换届选举的公告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关于聘请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独立董事候选人声明</w:t>
            </w:r>
            <w:r>
              <w:rPr>
                <w:rFonts w:ascii="Times New Roman" w:hAnsi="Times New Roman" w:cs="Times New Roman" w:eastAsia="Times New Roman" w:hint="default"/>
                <w:sz w:val="18"/>
                <w:szCs w:val="18"/>
              </w:rPr>
              <w:t>(</w:t>
            </w:r>
            <w:r>
              <w:rPr>
                <w:rFonts w:ascii="宋体" w:hAnsi="宋体" w:cs="宋体" w:eastAsia="宋体" w:hint="default"/>
                <w:sz w:val="18"/>
                <w:szCs w:val="18"/>
              </w:rPr>
              <w:t>余应敏</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独立董事候选人声明</w:t>
            </w:r>
            <w:r>
              <w:rPr>
                <w:rFonts w:ascii="Times New Roman" w:hAnsi="Times New Roman" w:cs="Times New Roman" w:eastAsia="Times New Roman" w:hint="default"/>
                <w:sz w:val="18"/>
                <w:szCs w:val="18"/>
              </w:rPr>
              <w:t>(</w:t>
            </w:r>
            <w:r>
              <w:rPr>
                <w:rFonts w:ascii="宋体" w:hAnsi="宋体" w:cs="宋体" w:eastAsia="宋体" w:hint="default"/>
                <w:sz w:val="18"/>
                <w:szCs w:val="18"/>
              </w:rPr>
              <w:t>段东辉</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955"/>
        <w:gridCol w:w="1134"/>
        <w:gridCol w:w="2560"/>
      </w:tblGrid>
      <w:tr>
        <w:trPr>
          <w:trHeight w:val="73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left"/>
              <w:rPr>
                <w:rFonts w:ascii="宋体" w:hAnsi="宋体" w:cs="宋体" w:eastAsia="宋体" w:hint="default"/>
                <w:sz w:val="18"/>
                <w:szCs w:val="18"/>
              </w:rPr>
            </w:pPr>
            <w:r>
              <w:rPr>
                <w:rFonts w:ascii="宋体" w:hAnsi="宋体" w:cs="宋体" w:eastAsia="宋体" w:hint="default"/>
                <w:spacing w:val="3"/>
                <w:sz w:val="18"/>
                <w:szCs w:val="18"/>
              </w:rPr>
              <w:t>智度股份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独立董事关于第七届董事会第三十九次会议相关事项的事前认可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独立董事关于第七届董事会第三十九次会议相关事项的独立意见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6"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独立董事提名人声明</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独立董事提名人声明</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第七届监事会第二十七次会议决议公告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第七届董事会第三十九次会议决议公告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年第二次临时股东大会的通知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年第一次临时股东大会的提示性公告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2018-01-05</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2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智度股份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关于控股股东协议转让部分股份过户完成的公告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2018-01-03</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十、公司子公司重大事项" w:id="110"/>
      <w:bookmarkEnd w:id="110"/>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_TOC_250006" w:id="111"/>
      <w:bookmarkStart w:name="第六节 股份变动及股东情况" w:id="112"/>
      <w:r>
        <w:rPr>
          <w:b w:val="0"/>
          <w:bCs w:val="0"/>
        </w:rPr>
      </w:r>
      <w:r>
        <w:rPr/>
        <w:t>第六节</w:t>
      </w:r>
      <w:r>
        <w:rPr>
          <w:spacing w:val="-10"/>
        </w:rPr>
        <w:t> </w:t>
      </w:r>
      <w:r>
        <w:rPr/>
        <w:t>股份变动及股东情况</w:t>
      </w:r>
      <w:bookmarkEnd w:id="1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3"/>
      <w:bookmarkEnd w:id="11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14"/>
      <w:bookmarkEnd w:id="11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649,221,6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67.23%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-568,772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-568,772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648,652,8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67.17%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649,221,6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67.23%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-568,772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-568,772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648,652,8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67.17%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596,149,0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-212,401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-212,401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595,936,6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61.71%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53,072,56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-356,371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-356,371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5.46%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316,489,1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32.77%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568,772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568,772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317,057,8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32.83%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316,489,1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32.77%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568,772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568,772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317,057,8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32.83%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965,710,7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965,710,7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股份变动的原因</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78" w:lineRule="auto" w:before="85"/>
        <w:ind w:right="1168"/>
        <w:jc w:val="both"/>
      </w:pPr>
      <w:r>
        <w:rPr>
          <w:spacing w:val="-1"/>
        </w:rPr>
        <w:t>公司发行股份购买资产并募集配套资金事项于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月完成，本次发行的股份于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日在深圳证券交</w:t>
      </w:r>
      <w:r>
        <w:rPr>
          <w:spacing w:val="-58"/>
        </w:rPr>
        <w:t> </w:t>
      </w:r>
      <w:r>
        <w:rPr>
          <w:spacing w:val="-58"/>
        </w:rPr>
      </w:r>
      <w:r>
        <w:rPr>
          <w:spacing w:val="-1"/>
        </w:rPr>
        <w:t>易所上市，股份性质为有限售条件流通股。根据限售期安排，经公司向中国证券登记结算有限公司深圳分公司</w:t>
      </w:r>
      <w:r>
        <w:rPr>
          <w:spacing w:val="-63"/>
        </w:rPr>
        <w:t> </w:t>
      </w:r>
      <w:r>
        <w:rPr>
          <w:spacing w:val="-63"/>
        </w:rPr>
      </w:r>
      <w:r>
        <w:rPr/>
        <w:t>申请，本次发行股份中的</w:t>
      </w:r>
      <w:r>
        <w:rPr>
          <w:rFonts w:ascii="Times New Roman" w:hAnsi="Times New Roman" w:cs="Times New Roman" w:eastAsia="Times New Roman" w:hint="default"/>
        </w:rPr>
        <w:t>2,480,423</w:t>
      </w:r>
      <w:r>
        <w:rPr/>
        <w:t>股股份在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日解除限售并上市流通。</w:t>
      </w:r>
    </w:p>
    <w:p>
      <w:pPr>
        <w:spacing w:after="0" w:line="278"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股份变动的批准情况</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3"/>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15"/>
      <w:bookmarkEnd w:id="11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北京智度德普股 </w:t>
            </w:r>
            <w:r>
              <w:rPr>
                <w:rFonts w:ascii="宋体" w:hAnsi="宋体" w:cs="宋体" w:eastAsia="宋体" w:hint="default"/>
                <w:spacing w:val="-3"/>
                <w:sz w:val="18"/>
                <w:szCs w:val="18"/>
              </w:rPr>
              <w:t>权投资中心（有限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375,894,873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375,894,873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智度集团有限公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69,633,187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69,633,187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上海易晋网络科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43,106,117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43,106,117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36,321,388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36,321,388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84"/>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Times New Roman" w:hAnsi="Times New Roman" w:cs="Times New Roman" w:eastAsia="Times New Roman" w:hint="default"/>
                <w:sz w:val="18"/>
                <w:szCs w:val="18"/>
              </w:rPr>
              <w:t>/ </w:t>
            </w: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1,911,651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1,911,651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上海今耀投资控 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32,658,882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32,658,882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深圳市隽川科技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20,688,352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20,688,352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4"/>
              <w:jc w:val="both"/>
              <w:rPr>
                <w:rFonts w:ascii="宋体" w:hAnsi="宋体" w:cs="宋体" w:eastAsia="宋体" w:hint="default"/>
                <w:sz w:val="18"/>
                <w:szCs w:val="18"/>
              </w:rPr>
            </w:pPr>
            <w:r>
              <w:rPr>
                <w:rFonts w:ascii="宋体" w:hAnsi="宋体" w:cs="宋体" w:eastAsia="宋体" w:hint="default"/>
                <w:sz w:val="18"/>
                <w:szCs w:val="18"/>
              </w:rPr>
              <w:t>拉萨经济技术开 发区智恒咨询有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17,112,282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17,112,282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深圳市零零伍科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9,176,117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9,176,117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5,882,294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5,882,294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深圳市来玩科技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5,803,941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5,803,941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32,366,227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568,772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31,797,455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首发后机构、个 人类限售股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568,772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股。</w:t>
            </w:r>
            <w:r>
              <w:rPr>
                <w:rFonts w:ascii="Times New Roman" w:hAnsi="Times New Roman" w:cs="Times New Roman" w:eastAsia="Times New Roman" w:hint="default"/>
                <w:spacing w:val="-10"/>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日，解</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568,772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河南隆达通讯有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649,221,660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568,772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648,652,888</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6"/>
      <w:bookmarkEnd w:id="11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7"/>
      <w:bookmarkEnd w:id="11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8"/>
      <w:bookmarkEnd w:id="11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9"/>
      <w:bookmarkEnd w:id="11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20"/>
      <w:bookmarkEnd w:id="120"/>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21"/>
      <w:bookmarkEnd w:id="12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55.937012pt;margin-top:70.55172pt;width:79pt;height:31.2pt;mso-position-horizontal-relative:page;mso-position-vertical-relative:paragraph;z-index:-1264288"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9.119995pt;margin-top:70.55172pt;width:45.8pt;height:31.2pt;mso-position-horizontal-relative:page;mso-position-vertical-relative:paragraph;z-index:-1264264" coordorigin="9782,1411" coordsize="916,624">
            <v:shape style="position:absolute;left:9782;top:1411;width:916;height:624" coordorigin="9782,1411" coordsize="916,624" path="m9782,2035l10698,2035,10698,1411,9782,1411,9782,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268"/>
        <w:gridCol w:w="940"/>
        <w:gridCol w:w="472"/>
        <w:gridCol w:w="810"/>
        <w:gridCol w:w="764"/>
        <w:gridCol w:w="344"/>
        <w:gridCol w:w="445"/>
        <w:gridCol w:w="786"/>
        <w:gridCol w:w="208"/>
        <w:gridCol w:w="620"/>
        <w:gridCol w:w="466"/>
        <w:gridCol w:w="895"/>
        <w:gridCol w:w="412"/>
        <w:gridCol w:w="446"/>
        <w:gridCol w:w="491"/>
      </w:tblGrid>
      <w:tr>
        <w:trPr>
          <w:trHeight w:val="16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35,553</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
        </w:tc>
        <w:tc>
          <w:tcPr>
            <w:tcW w:w="1109"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38,963</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190"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9"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9"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9"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9"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190"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
        </w:tc>
        <w:tc>
          <w:tcPr>
            <w:tcW w:w="1109"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1109"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3" w:hRule="exact"/>
        </w:trPr>
        <w:tc>
          <w:tcPr>
            <w:tcW w:w="955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4" w:right="4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29" w:type="dxa"/>
            <w:gridSpan w:val="2"/>
            <w:vMerge/>
            <w:tcBorders>
              <w:left w:val="single" w:sz="4" w:space="0" w:color="000000"/>
              <w:right w:val="single" w:sz="4" w:space="0" w:color="000000"/>
            </w:tcBorders>
            <w:shd w:val="clear" w:color="auto" w:fill="D2D2D2"/>
          </w:tcPr>
          <w:p>
            <w:pPr/>
          </w:p>
        </w:tc>
        <w:tc>
          <w:tcPr>
            <w:tcW w:w="2709" w:type="dxa"/>
            <w:gridSpan w:val="5"/>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29" w:type="dxa"/>
            <w:gridSpan w:val="2"/>
            <w:vMerge/>
            <w:tcBorders>
              <w:left w:val="single" w:sz="4" w:space="0" w:color="000000"/>
              <w:right w:val="single" w:sz="4" w:space="0" w:color="000000"/>
            </w:tcBorders>
            <w:shd w:val="clear" w:color="auto" w:fill="D2D2D2"/>
          </w:tcPr>
          <w:p>
            <w:pPr/>
          </w:p>
        </w:tc>
        <w:tc>
          <w:tcPr>
            <w:tcW w:w="270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29" w:type="dxa"/>
            <w:gridSpan w:val="2"/>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29" w:type="dxa"/>
            <w:gridSpan w:val="2"/>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29" w:type="dxa"/>
            <w:gridSpan w:val="2"/>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北京智度德普股 </w:t>
            </w:r>
            <w:r>
              <w:rPr>
                <w:rFonts w:ascii="宋体" w:hAnsi="宋体" w:cs="宋体" w:eastAsia="宋体" w:hint="default"/>
                <w:spacing w:val="-4"/>
                <w:sz w:val="18"/>
                <w:szCs w:val="18"/>
              </w:rPr>
              <w:t>权投资中心（有限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379,074,8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375,894,8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智度集团有限公 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69,633,18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69,633,18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69,633,187</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上海易晋网络科 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28,310,000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西藏旭赢百年投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22,291,00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38,233,03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36,321,38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上海今耀投资控 股有限公司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32,658,88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32,658,88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28,470,000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深圳市隽川科技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20,688,35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20,688,35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16,213,000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拉萨经济技术开 发区智恒咨询有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深圳市零零伍科 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9,176,117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9,176,117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9,176,116</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、智度集团有限公司、拉萨经济技术开发区智恒咨询有限公司是公司控股股东北京 智度德普股权投资中心（有限合伙）的一致行动人；</w:t>
            </w:r>
            <w:r>
              <w:rPr>
                <w:rFonts w:ascii="Times New Roman" w:hAnsi="Times New Roman" w:cs="Times New Roman" w:eastAsia="Times New Roman" w:hint="default"/>
                <w:sz w:val="18"/>
                <w:szCs w:val="18"/>
              </w:rPr>
              <w:t>2</w:t>
            </w:r>
            <w:r>
              <w:rPr>
                <w:rFonts w:ascii="宋体" w:hAnsi="宋体" w:cs="宋体" w:eastAsia="宋体" w:hint="default"/>
                <w:sz w:val="18"/>
                <w:szCs w:val="18"/>
              </w:rPr>
              <w:t>、上海易晋网络科技有限公司 和上海今耀投资控股有限公司为肖燕女士同一控制下的一致行动人。</w:t>
            </w: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 未知其他前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名股东之间是否存在关联关系或属于《上市公司收购管理办法》规定 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473"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西藏旭赢百年投资有限公司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40,709,000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5,725,586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5,725,586</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中银国际证券－中国银行－中银证 券中国红－汇中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 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5,525,339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5,525,339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89"/>
        <w:gridCol w:w="1349"/>
        <w:gridCol w:w="1349"/>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中原证券股份有限公司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5,120,077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5,120,077</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中国人寿保险股份有限公司－万能</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－国寿瑞安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3,453,927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3,453,927</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中银国际证券－中国银行－中银证 券中国红－汇中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 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3,262,044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3,262,044</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北京智度德普股权投资中心（有限合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2,658,955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2,658,955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赵兴宝</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2,480,290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2,480,290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00" w:lineRule="auto" w:before="51"/>
              <w:ind w:left="15"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、北京智度德普股权投资中心（有限合伙）与公司股东智度集团有限公司、拉萨经 济技术开发区智恒咨询有限公司互为一致行动人；</w:t>
            </w:r>
            <w:r>
              <w:rPr>
                <w:rFonts w:ascii="Times New Roman" w:hAnsi="Times New Roman" w:cs="Times New Roman" w:eastAsia="Times New Roman" w:hint="default"/>
                <w:sz w:val="18"/>
                <w:szCs w:val="18"/>
              </w:rPr>
              <w:t>2</w:t>
            </w:r>
            <w:r>
              <w:rPr>
                <w:rFonts w:ascii="宋体" w:hAnsi="宋体" w:cs="宋体" w:eastAsia="宋体" w:hint="default"/>
                <w:sz w:val="18"/>
                <w:szCs w:val="18"/>
              </w:rPr>
              <w:t>、除此之外，未知前</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w:t>
            </w:r>
          </w:p>
          <w:p>
            <w:pPr>
              <w:pStyle w:val="TableParagraph"/>
              <w:spacing w:line="302" w:lineRule="auto" w:before="13"/>
              <w:ind w:left="15" w:right="20"/>
              <w:jc w:val="left"/>
              <w:rPr>
                <w:rFonts w:ascii="宋体" w:hAnsi="宋体" w:cs="宋体" w:eastAsia="宋体" w:hint="default"/>
                <w:sz w:val="18"/>
                <w:szCs w:val="18"/>
              </w:rPr>
            </w:pPr>
            <w:r>
              <w:rPr>
                <w:rFonts w:ascii="宋体" w:hAnsi="宋体" w:cs="宋体" w:eastAsia="宋体" w:hint="default"/>
                <w:spacing w:val="-3"/>
                <w:sz w:val="18"/>
                <w:szCs w:val="18"/>
              </w:rPr>
              <w:t>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 系或属于《上市公司收购管理办法》规定的一致行动人。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22"/>
      <w:bookmarkEnd w:id="12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91110113318376753K</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投资管理、资产管理、投 资咨询、项目投资。</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right="0"/>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23"/>
      <w:bookmarkEnd w:id="12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754"/>
        <w:gridCol w:w="1650"/>
        <w:gridCol w:w="1650"/>
        <w:gridCol w:w="3513"/>
      </w:tblGrid>
      <w:tr>
        <w:trPr>
          <w:trHeight w:val="402"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1148"/>
        <w:jc w:val="right"/>
      </w:pPr>
      <w:r>
        <w:rPr/>
        <w:pict>
          <v:shape style="position:absolute;margin-left:56.459999pt;margin-top:-36.548309pt;width:479.2pt;height:154.4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4"/>
                    <w:gridCol w:w="1650"/>
                    <w:gridCol w:w="1650"/>
                    <w:gridCol w:w="3514"/>
                  </w:tblGrid>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任浙江中胜实业集团有限公司、杭州中胜智能科技有限公司执行董事，宁波浙辉投资管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理有限公司、杭州恒生云融网络科技有限公司董事长，杭州卫斯理教育科技有限公司 </w:t>
                        </w:r>
                        <w:r>
                          <w:rPr>
                            <w:rFonts w:ascii="宋体" w:hAnsi="宋体" w:cs="宋体" w:eastAsia="宋体" w:hint="default"/>
                            <w:spacing w:val="-3"/>
                            <w:sz w:val="18"/>
                            <w:szCs w:val="18"/>
                          </w:rPr>
                          <w:t>蚌埠农村商业银行股份有限公司、创驱（上海）新能源科技有限公司、山西保利裕丰煤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业有限公司、杭州建详电子商务有限公司、浙江浙大网新联合技术发展有限公司董事 </w:t>
                        </w:r>
                        <w:r>
                          <w:rPr>
                            <w:rFonts w:ascii="宋体" w:hAnsi="宋体" w:cs="宋体" w:eastAsia="宋体" w:hint="default"/>
                            <w:spacing w:val="-3"/>
                            <w:sz w:val="18"/>
                            <w:szCs w:val="18"/>
                          </w:rPr>
                          <w:t>西藏新胜福科技有限公司、浙江朗坤新能源有限公司执行董事、总经理，浙江中胜融资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租赁有限公司董事长、总经理，北京凤凰财富投资管理有限公司监事</w:t>
                        </w:r>
                      </w:p>
                    </w:tc>
                  </w:tr>
                  <w:tr>
                    <w:trPr>
                      <w:trHeight w:val="714"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 司情况</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0"/>
          <w:szCs w:val="20"/>
        </w:rPr>
      </w:pPr>
    </w:p>
    <w:p>
      <w:pPr>
        <w:spacing w:line="6347" w:lineRule="exact"/>
        <w:ind w:left="201" w:right="0" w:firstLine="0"/>
        <w:rPr>
          <w:rFonts w:ascii="宋体" w:hAnsi="宋体" w:cs="宋体" w:eastAsia="宋体" w:hint="default"/>
          <w:sz w:val="20"/>
          <w:szCs w:val="20"/>
        </w:rPr>
      </w:pPr>
      <w:r>
        <w:rPr>
          <w:rFonts w:ascii="宋体" w:hAnsi="宋体" w:cs="宋体" w:eastAsia="宋体" w:hint="default"/>
          <w:position w:val="-126"/>
          <w:sz w:val="20"/>
          <w:szCs w:val="20"/>
        </w:rPr>
        <w:drawing>
          <wp:inline distT="0" distB="0" distL="0" distR="0">
            <wp:extent cx="6029962" cy="4030503"/>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1" cstate="print"/>
                    <a:stretch>
                      <a:fillRect/>
                    </a:stretch>
                  </pic:blipFill>
                  <pic:spPr>
                    <a:xfrm>
                      <a:off x="0" y="0"/>
                      <a:ext cx="6029962" cy="4030503"/>
                    </a:xfrm>
                    <a:prstGeom prst="rect">
                      <a:avLst/>
                    </a:prstGeom>
                  </pic:spPr>
                </pic:pic>
              </a:graphicData>
            </a:graphic>
          </wp:inline>
        </w:drawing>
      </w:r>
      <w:r>
        <w:rPr>
          <w:rFonts w:ascii="宋体" w:hAnsi="宋体" w:cs="宋体" w:eastAsia="宋体" w:hint="default"/>
          <w:position w:val="-126"/>
          <w:sz w:val="20"/>
          <w:szCs w:val="20"/>
        </w:rPr>
      </w:r>
    </w:p>
    <w:p>
      <w:pPr>
        <w:spacing w:line="240" w:lineRule="auto" w:before="7"/>
        <w:rPr>
          <w:rFonts w:ascii="宋体" w:hAnsi="宋体" w:cs="宋体" w:eastAsia="宋体" w:hint="default"/>
          <w:sz w:val="21"/>
          <w:szCs w:val="21"/>
        </w:rPr>
      </w:pPr>
    </w:p>
    <w:p>
      <w:pPr>
        <w:pStyle w:val="Heading3"/>
        <w:spacing w:line="240" w:lineRule="auto" w:before="0"/>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24"/>
      <w:bookmarkEnd w:id="12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控股股东、实际控制人、重组方及其他承诺主体股份限制减持情况" w:id="125"/>
      <w:bookmarkEnd w:id="12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6"/>
      <w:bookmarkStart w:name="第七节 优先股相关情况" w:id="127"/>
      <w:r>
        <w:rPr>
          <w:b w:val="0"/>
          <w:bCs w:val="0"/>
        </w:rPr>
      </w:r>
      <w:r>
        <w:rPr/>
        <w:t>第七节</w:t>
      </w:r>
      <w:r>
        <w:rPr>
          <w:spacing w:val="-8"/>
        </w:rPr>
        <w:t> </w:t>
      </w:r>
      <w:r>
        <w:rPr/>
        <w:t>优先股相关情况</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8"/>
      <w:bookmarkStart w:name="第八节 董事、监事、高级管理人员和员工情况" w:id="129"/>
      <w:r>
        <w:rPr>
          <w:b w:val="0"/>
          <w:bCs w:val="0"/>
        </w:rPr>
      </w:r>
      <w:r>
        <w:rPr/>
        <w:t>第八节</w:t>
      </w:r>
      <w:r>
        <w:rPr>
          <w:spacing w:val="-16"/>
        </w:rPr>
        <w:t> </w:t>
      </w:r>
      <w:r>
        <w:rPr/>
        <w:t>董事、监事、高级管理人员和员工情况</w:t>
      </w:r>
      <w:bookmarkEnd w:id="12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38,233,03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38,233,03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1,983,065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1,983,065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曾志红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40,216,10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40,216,10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曾志红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0" w:hanging="360"/>
        <w:jc w:val="left"/>
      </w:pPr>
      <w:r>
        <w:rPr/>
        <w:t>公司现任董事、监事、高级管理人员专业背景、主要工作经历以及目前在公司的主要职责 </w:t>
      </w:r>
      <w:r>
        <w:rPr>
          <w:spacing w:val="-2"/>
        </w:rPr>
        <w:t>赵立仁先生，男，中国国籍，</w:t>
      </w:r>
      <w:r>
        <w:rPr>
          <w:rFonts w:ascii="Times New Roman" w:hAnsi="Times New Roman" w:cs="Times New Roman" w:eastAsia="Times New Roman" w:hint="default"/>
          <w:spacing w:val="-2"/>
        </w:rPr>
        <w:t>1972</w:t>
      </w:r>
      <w:r>
        <w:rPr>
          <w:spacing w:val="-2"/>
        </w:rPr>
        <w:t>年生，本科学历，无境外永久居留权。历任国信联合律师事务所、广东创基律师事务</w:t>
      </w:r>
    </w:p>
    <w:p>
      <w:pPr>
        <w:pStyle w:val="BodyText"/>
        <w:spacing w:line="201" w:lineRule="exact"/>
        <w:ind w:right="0"/>
        <w:jc w:val="left"/>
      </w:pPr>
      <w:r>
        <w:rPr/>
        <w:t>所、国浩律师（深圳）事务所律师、合伙人，智度集团有限公司合伙人，智度科技股份有限公司总经理等职；现任智度科技</w:t>
      </w:r>
    </w:p>
    <w:p>
      <w:pPr>
        <w:pStyle w:val="BodyText"/>
        <w:spacing w:line="357" w:lineRule="auto" w:before="77"/>
        <w:ind w:left="514" w:right="0" w:hanging="360"/>
        <w:jc w:val="left"/>
      </w:pPr>
      <w:r>
        <w:rPr/>
        <w:t>股份有限公司董事长。 </w:t>
      </w:r>
      <w:r>
        <w:rPr>
          <w:spacing w:val="-2"/>
        </w:rPr>
        <w:t>截至本报告期末，赵立仁先生未直接持有公司股票，为公司控股股东北京智度德普股权投资中心（有限合伙）的执行事</w:t>
      </w:r>
    </w:p>
    <w:p>
      <w:pPr>
        <w:pStyle w:val="BodyText"/>
        <w:spacing w:line="237" w:lineRule="exact"/>
        <w:ind w:right="0"/>
        <w:jc w:val="left"/>
      </w:pPr>
      <w:r>
        <w:rPr/>
        <w:t>务合伙人智度集团有限公司的控股股东北京智度德正投资有限公司的股东，持有北京智度德正投资有限公司的</w:t>
      </w:r>
      <w:r>
        <w:rPr>
          <w:rFonts w:ascii="Times New Roman" w:hAnsi="Times New Roman" w:cs="Times New Roman" w:eastAsia="Times New Roman" w:hint="default"/>
        </w:rPr>
        <w:t>21.43%</w:t>
      </w:r>
      <w:r>
        <w:rPr/>
        <w:t>股权，</w:t>
      </w:r>
    </w:p>
    <w:p>
      <w:pPr>
        <w:pStyle w:val="BodyText"/>
        <w:spacing w:line="319" w:lineRule="auto" w:before="63"/>
        <w:ind w:right="1131"/>
        <w:jc w:val="both"/>
      </w:pPr>
      <w:r>
        <w:rPr>
          <w:spacing w:val="-2"/>
        </w:rPr>
        <w:t>除此以外，与其它持有公司百分之五以上股份的股东、实际控制人、公司其他董事、监事和高级管理人员之间不存在关联关</w:t>
      </w:r>
      <w:r>
        <w:rPr>
          <w:spacing w:val="-66"/>
        </w:rPr>
        <w:t> </w:t>
      </w:r>
      <w:r>
        <w:rPr>
          <w:spacing w:val="-66"/>
        </w:rPr>
      </w:r>
      <w:r>
        <w:rPr>
          <w:spacing w:val="-2"/>
        </w:rPr>
        <w:t>系；不存在不得提名为董事的情形；未受到过中国证监会及其他有关部门的处罚和证券交易所纪律处分；不存在因涉嫌犯罪</w:t>
      </w:r>
      <w:r>
        <w:rPr>
          <w:spacing w:val="-66"/>
        </w:rPr>
        <w:t> </w:t>
      </w:r>
      <w:r>
        <w:rPr>
          <w:spacing w:val="-66"/>
        </w:rPr>
      </w:r>
      <w:r>
        <w:rPr>
          <w:spacing w:val="-2"/>
        </w:rPr>
        <w:t>被司法机关立案侦查或涉嫌违法违规被中国证监会立案稽查的情形；不是失信被执行人，也不是失信责任主体或失信惩戒对</w:t>
      </w:r>
      <w:r>
        <w:rPr>
          <w:spacing w:val="-64"/>
        </w:rPr>
        <w:t> </w:t>
      </w:r>
      <w:r>
        <w:rPr>
          <w:spacing w:val="-64"/>
        </w:rPr>
      </w:r>
      <w:r>
        <w:rPr/>
        <w:t>象；符合有关法律、行政法规、部门规章、规范性文件、《股票上市规则》及交易所其他相关规定等要求的任职资格。</w:t>
      </w:r>
    </w:p>
    <w:p>
      <w:pPr>
        <w:pStyle w:val="BodyText"/>
        <w:spacing w:line="302" w:lineRule="auto" w:before="56"/>
        <w:ind w:right="0" w:firstLine="360"/>
        <w:jc w:val="left"/>
      </w:pPr>
      <w:r>
        <w:rPr>
          <w:spacing w:val="-2"/>
        </w:rPr>
        <w:t>熊贵成先生，男，中国国籍，</w:t>
      </w:r>
      <w:r>
        <w:rPr>
          <w:rFonts w:ascii="Times New Roman" w:hAnsi="Times New Roman" w:cs="Times New Roman" w:eastAsia="Times New Roman" w:hint="default"/>
          <w:spacing w:val="-2"/>
        </w:rPr>
        <w:t>1974</w:t>
      </w:r>
      <w:r>
        <w:rPr>
          <w:spacing w:val="-2"/>
        </w:rPr>
        <w:t>年生，本科学历，无境外永久居留权。历任网龙网络股份有限公司上海分公司副总经</w:t>
      </w:r>
      <w:r>
        <w:rPr/>
        <w:t> 理；</w:t>
      </w:r>
      <w:r>
        <w:rPr>
          <w:rFonts w:ascii="Times New Roman" w:hAnsi="Times New Roman" w:cs="Times New Roman" w:eastAsia="Times New Roman" w:hint="default"/>
        </w:rPr>
        <w:t>91</w:t>
      </w:r>
      <w:r>
        <w:rPr/>
        <w:t>无线网络有限公司高级副总裁；百度移动分发事业部总经理等职。现任智度科技股份有限公司董事、总经理。</w:t>
      </w:r>
    </w:p>
    <w:p>
      <w:pPr>
        <w:pStyle w:val="BodyText"/>
        <w:spacing w:line="314" w:lineRule="auto" w:before="50"/>
        <w:ind w:right="1032" w:firstLine="360"/>
        <w:jc w:val="left"/>
      </w:pPr>
      <w:r>
        <w:rPr>
          <w:spacing w:val="-2"/>
        </w:rPr>
        <w:t>截至本报告期末，熊贵成先生未直接持有公司股份，熊贵成先生之妻肖燕女士通过上海今耀投资控股有限公司和上海易</w:t>
      </w:r>
      <w:r>
        <w:rPr/>
        <w:t> 晋网络信息技术有限公司间接持有公司</w:t>
      </w:r>
      <w:r>
        <w:rPr>
          <w:rFonts w:ascii="Times New Roman" w:hAnsi="Times New Roman" w:cs="Times New Roman" w:eastAsia="Times New Roman" w:hint="default"/>
        </w:rPr>
        <w:t>7.85%</w:t>
      </w:r>
      <w:r>
        <w:rPr/>
        <w:t>的股份，除此以外，与其他持有公司百分之五以上股份的股东、实际控制人、 </w:t>
      </w:r>
      <w:r>
        <w:rPr>
          <w:spacing w:val="-2"/>
        </w:rPr>
        <w:t>公司其他董事、监事和高级管理人员之间不存在关联关系；不存在不得提名为董事的情形；未受到过中国证监会及其他有关</w:t>
      </w:r>
      <w:r>
        <w:rPr>
          <w:spacing w:val="-66"/>
        </w:rPr>
        <w:t> </w:t>
      </w:r>
      <w:r>
        <w:rPr>
          <w:spacing w:val="-66"/>
        </w:rPr>
      </w:r>
      <w:r>
        <w:rPr/>
        <w:t>部门的处罚和证券交易所纪律处分；不存在因涉嫌犯罪被司法机关立案侦查或涉嫌违法违规被中国证监会立案稽查的情形； </w:t>
      </w:r>
      <w:r>
        <w:rPr>
          <w:spacing w:val="-2"/>
        </w:rPr>
        <w:t>不是失信被执行人，也不是失信责任主体或失信惩戒对象；符合有关法律、行政法规、部门规章、规范性文件、《股票上市</w:t>
      </w:r>
    </w:p>
    <w:p>
      <w:pPr>
        <w:spacing w:after="0" w:line="314"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0" w:hanging="360"/>
        <w:jc w:val="left"/>
      </w:pPr>
      <w:r>
        <w:rPr/>
        <w:t>规则》及交易所其他相关规定等要求的任职资格。 </w:t>
      </w:r>
      <w:r>
        <w:rPr>
          <w:spacing w:val="-2"/>
        </w:rPr>
        <w:t>孙静女士，女，中国国籍，</w:t>
      </w:r>
      <w:r>
        <w:rPr>
          <w:rFonts w:ascii="Times New Roman" w:hAnsi="Times New Roman" w:cs="Times New Roman" w:eastAsia="Times New Roman" w:hint="default"/>
          <w:spacing w:val="-2"/>
        </w:rPr>
        <w:t>1981</w:t>
      </w:r>
      <w:r>
        <w:rPr>
          <w:spacing w:val="-2"/>
        </w:rPr>
        <w:t>年生，硕士研究生学历，无境外永久居留权。历任北京市德恒律师事务所、北京市中伦</w:t>
      </w:r>
    </w:p>
    <w:p>
      <w:pPr>
        <w:pStyle w:val="BodyText"/>
        <w:spacing w:line="201" w:lineRule="exact"/>
        <w:ind w:right="0"/>
        <w:jc w:val="left"/>
      </w:pPr>
      <w:r>
        <w:rPr/>
        <w:t>律师事务所律师，北汽福田汽车股份有限公司法律部部长，国经发展投资管理有限公司风险控制部总经理，智度集团有限公</w:t>
      </w:r>
    </w:p>
    <w:p>
      <w:pPr>
        <w:pStyle w:val="BodyText"/>
        <w:spacing w:line="357" w:lineRule="auto" w:before="77"/>
        <w:ind w:left="514" w:right="0" w:hanging="360"/>
        <w:jc w:val="left"/>
      </w:pPr>
      <w:r>
        <w:rPr/>
        <w:t>司投资总监、合规风控负责人等职；现任智度集团有限公司执行董事、总经理，智度科技股份有限公司董事。 </w:t>
      </w:r>
      <w:r>
        <w:rPr>
          <w:spacing w:val="-2"/>
        </w:rPr>
        <w:t>截至本报告期末，孙静女士未直接持有公司股份，为公司控股股东北京智度德普股权投资中心（有限合伙）的委派代表</w:t>
      </w:r>
    </w:p>
    <w:p>
      <w:pPr>
        <w:pStyle w:val="BodyText"/>
        <w:spacing w:line="224" w:lineRule="exact"/>
        <w:ind w:right="0"/>
        <w:jc w:val="left"/>
      </w:pPr>
      <w:r>
        <w:rPr/>
        <w:t>及其执行事务合伙人智度集团有限公司的法定代表人、执行董事和总经理，以及智度集团有限公司的控股股东北京智度德正</w:t>
      </w:r>
    </w:p>
    <w:p>
      <w:pPr>
        <w:pStyle w:val="BodyText"/>
        <w:spacing w:line="314" w:lineRule="auto" w:before="76"/>
        <w:ind w:right="1130"/>
        <w:jc w:val="both"/>
      </w:pPr>
      <w:r>
        <w:rPr/>
        <w:t>投资有限公司的法定代表人，持有北京智度德正投资有限公司</w:t>
      </w:r>
      <w:r>
        <w:rPr>
          <w:rFonts w:ascii="Times New Roman" w:hAnsi="Times New Roman" w:cs="Times New Roman" w:eastAsia="Times New Roman" w:hint="default"/>
        </w:rPr>
        <w:t>7%</w:t>
      </w:r>
      <w:r>
        <w:rPr/>
        <w:t>的股权，除此以外，与其他持有公司百分之五以上股份的 </w:t>
      </w:r>
      <w:r>
        <w:rPr>
          <w:spacing w:val="-2"/>
        </w:rPr>
        <w:t>股东、实际控制人、公司其他董事、监事和高级管理人员之间不存在关联关系；不存在不得提名为董事的情形；未受到过中</w:t>
      </w:r>
      <w:r>
        <w:rPr>
          <w:spacing w:val="-66"/>
        </w:rPr>
        <w:t> </w:t>
      </w:r>
      <w:r>
        <w:rPr>
          <w:spacing w:val="-66"/>
        </w:rPr>
      </w:r>
      <w:r>
        <w:rPr>
          <w:spacing w:val="-2"/>
        </w:rPr>
        <w:t>国证监会及其他有关部门的处罚和证券交易所纪律处分；不存在因涉嫌犯罪被司法机关立案侦查或涉嫌违法违规被中国证监</w:t>
      </w:r>
      <w:r>
        <w:rPr>
          <w:spacing w:val="-64"/>
        </w:rPr>
        <w:t> </w:t>
      </w:r>
      <w:r>
        <w:rPr>
          <w:spacing w:val="-64"/>
        </w:rPr>
      </w:r>
      <w:r>
        <w:rPr>
          <w:spacing w:val="-2"/>
        </w:rPr>
        <w:t>会立案稽查的情形；不是失信被执行人，也不是失信责任主体或失信惩戒对象；符合有关法律、行政法规、部门规章、规范</w:t>
      </w:r>
      <w:r>
        <w:rPr>
          <w:spacing w:val="-68"/>
        </w:rPr>
        <w:t> </w:t>
      </w:r>
      <w:r>
        <w:rPr>
          <w:spacing w:val="-68"/>
        </w:rPr>
      </w:r>
      <w:r>
        <w:rPr/>
        <w:t>性文件、《股票上市规则》及交易所其他相关规定等要求的任职资格。</w:t>
      </w:r>
    </w:p>
    <w:p>
      <w:pPr>
        <w:pStyle w:val="BodyText"/>
        <w:spacing w:line="307" w:lineRule="auto" w:before="59"/>
        <w:ind w:right="1129" w:firstLine="360"/>
        <w:jc w:val="both"/>
      </w:pPr>
      <w:r>
        <w:rPr>
          <w:spacing w:val="-2"/>
        </w:rPr>
        <w:t>段东辉女士，女，中国国籍，</w:t>
      </w:r>
      <w:r>
        <w:rPr>
          <w:rFonts w:ascii="Times New Roman" w:hAnsi="Times New Roman" w:cs="Times New Roman" w:eastAsia="Times New Roman" w:hint="default"/>
          <w:spacing w:val="-2"/>
        </w:rPr>
        <w:t>1971</w:t>
      </w:r>
      <w:r>
        <w:rPr>
          <w:spacing w:val="-2"/>
        </w:rPr>
        <w:t>年生，博士研究生学历，无境外永久居留权。曾作为高级访问学者于意大利罗马国际</w:t>
      </w:r>
      <w:r>
        <w:rPr/>
        <w:t> </w:t>
      </w:r>
      <w:r>
        <w:rPr>
          <w:spacing w:val="-1"/>
        </w:rPr>
        <w:t>统一私法学会（</w:t>
      </w:r>
      <w:r>
        <w:rPr>
          <w:rFonts w:ascii="Times New Roman" w:hAnsi="Times New Roman" w:cs="Times New Roman" w:eastAsia="Times New Roman" w:hint="default"/>
          <w:spacing w:val="-1"/>
        </w:rPr>
        <w:t>UNIDROIT</w:t>
      </w:r>
      <w:r>
        <w:rPr>
          <w:spacing w:val="-1"/>
        </w:rPr>
        <w:t>）从事法律研究工作，曾获</w:t>
      </w:r>
      <w:r>
        <w:rPr>
          <w:rFonts w:ascii="Times New Roman" w:hAnsi="Times New Roman" w:cs="Times New Roman" w:eastAsia="Times New Roman" w:hint="default"/>
          <w:spacing w:val="-1"/>
        </w:rPr>
        <w:t>2001</w:t>
      </w:r>
      <w:r>
        <w:rPr>
          <w:spacing w:val="-1"/>
        </w:rPr>
        <w:t>年度全国金融系统青年岗位能手称号。历任中国建设银行股份有</w:t>
      </w:r>
      <w:r>
        <w:rPr>
          <w:w w:val="99"/>
        </w:rPr>
        <w:t> </w:t>
      </w:r>
      <w:r>
        <w:rPr>
          <w:spacing w:val="-2"/>
        </w:rPr>
        <w:t>限公司总行高级经济师；中国政法大学副教授、硕士生导师；泰康人寿保险股份有限公司董事会办公室主任。曾兼任国际商</w:t>
      </w:r>
      <w:r>
        <w:rPr>
          <w:spacing w:val="-67"/>
        </w:rPr>
        <w:t> </w:t>
      </w:r>
      <w:r>
        <w:rPr>
          <w:spacing w:val="-67"/>
        </w:rPr>
      </w:r>
      <w:r>
        <w:rPr>
          <w:spacing w:val="-1"/>
        </w:rPr>
        <w:t>会中国国家委员会（</w:t>
      </w:r>
      <w:r>
        <w:rPr>
          <w:rFonts w:ascii="Times New Roman" w:hAnsi="Times New Roman" w:cs="Times New Roman" w:eastAsia="Times New Roman" w:hint="default"/>
          <w:spacing w:val="-1"/>
        </w:rPr>
        <w:t>ICCCHINA</w:t>
      </w:r>
      <w:r>
        <w:rPr>
          <w:spacing w:val="-1"/>
        </w:rPr>
        <w:t>）信用证专家小组成员；北京市德恒律师事务所兼职律师；国际商会中国国家委员会保函专</w:t>
      </w:r>
      <w:r>
        <w:rPr/>
        <w:t> </w:t>
      </w:r>
      <w:r>
        <w:rPr>
          <w:spacing w:val="-2"/>
        </w:rPr>
        <w:t>家小组成员；中国国际私法学会常务理事。现兼任北京仲裁委员会委员。现任泰康资产管理有限责任公司董事会秘书；泰康</w:t>
      </w:r>
      <w:r>
        <w:rPr>
          <w:spacing w:val="-66"/>
        </w:rPr>
        <w:t> </w:t>
      </w:r>
      <w:r>
        <w:rPr>
          <w:spacing w:val="-66"/>
        </w:rPr>
      </w:r>
      <w:r>
        <w:rPr/>
        <w:t>养老保险股份有限公司董事会秘书；智度科技股份有限公司独立董事。</w:t>
      </w:r>
    </w:p>
    <w:p>
      <w:pPr>
        <w:pStyle w:val="BodyText"/>
        <w:spacing w:line="319" w:lineRule="auto" w:before="64"/>
        <w:ind w:right="0" w:firstLine="360"/>
        <w:jc w:val="left"/>
      </w:pPr>
      <w:r>
        <w:rPr>
          <w:spacing w:val="-2"/>
        </w:rPr>
        <w:t>截至本报告期末，段东辉女士未持有公司股份，与持有公司百分之五以上股份的股东、实际控制人、公司其他董事、监</w:t>
      </w:r>
      <w:r>
        <w:rPr/>
        <w:t> </w:t>
      </w:r>
      <w:r>
        <w:rPr>
          <w:spacing w:val="-2"/>
        </w:rPr>
        <w:t>事和高级管理人员之间不存在关联关系；不存在不得提名为董事的情形；未受到过中国证监会及其他有关部门的处罚和证券</w:t>
      </w:r>
      <w:r>
        <w:rPr>
          <w:spacing w:val="-64"/>
        </w:rPr>
        <w:t> </w:t>
      </w:r>
      <w:r>
        <w:rPr>
          <w:spacing w:val="-64"/>
        </w:rPr>
      </w:r>
      <w:r>
        <w:rPr>
          <w:spacing w:val="-4"/>
        </w:rPr>
        <w:t>交易所纪律处分；不存在因涉嫌犯罪被司法机关立案侦查或涉嫌违法违规被中国证监会立案稽查的情形；不是失信被执行人，</w:t>
      </w:r>
      <w:r>
        <w:rPr>
          <w:spacing w:val="-44"/>
        </w:rPr>
        <w:t> </w:t>
      </w:r>
      <w:r>
        <w:rPr>
          <w:spacing w:val="-44"/>
        </w:rPr>
      </w:r>
      <w:r>
        <w:rPr>
          <w:spacing w:val="-2"/>
        </w:rPr>
        <w:t>也不是失信责任主体或失信惩戒对象；符合有关法律、行政法规、部门规章、规范性文件、《股票上市规则》及交易所其他</w:t>
      </w:r>
      <w:r>
        <w:rPr>
          <w:spacing w:val="-70"/>
        </w:rPr>
        <w:t> </w:t>
      </w:r>
      <w:r>
        <w:rPr>
          <w:spacing w:val="-70"/>
        </w:rPr>
      </w:r>
      <w:r>
        <w:rPr/>
        <w:t>相关规定和公司章程等要求的任职资格。</w:t>
      </w:r>
    </w:p>
    <w:p>
      <w:pPr>
        <w:pStyle w:val="BodyText"/>
        <w:spacing w:line="307" w:lineRule="auto" w:before="57"/>
        <w:ind w:right="0" w:firstLine="360"/>
        <w:jc w:val="left"/>
      </w:pPr>
      <w:r>
        <w:rPr>
          <w:spacing w:val="-4"/>
        </w:rPr>
        <w:t>余应敏先生，男，中国国籍，</w:t>
      </w:r>
      <w:r>
        <w:rPr>
          <w:rFonts w:ascii="Times New Roman" w:hAnsi="Times New Roman" w:cs="Times New Roman" w:eastAsia="Times New Roman" w:hint="default"/>
          <w:spacing w:val="-4"/>
        </w:rPr>
        <w:t>1966</w:t>
      </w:r>
      <w:r>
        <w:rPr>
          <w:spacing w:val="-4"/>
        </w:rPr>
        <w:t>年生，博士研究生学历，无境外永久居留权，会计学教授，中国注册会计师协会会员、</w:t>
      </w:r>
      <w:r>
        <w:rPr/>
        <w:t> </w:t>
      </w:r>
      <w:r>
        <w:rPr>
          <w:spacing w:val="-2"/>
        </w:rPr>
        <w:t>持有注册税务师和房地产评估师资格。先后在专业期刊杂志上发表学术论文</w:t>
      </w:r>
      <w:r>
        <w:rPr>
          <w:rFonts w:ascii="Times New Roman" w:hAnsi="Times New Roman" w:cs="Times New Roman" w:eastAsia="Times New Roman" w:hint="default"/>
          <w:spacing w:val="-2"/>
        </w:rPr>
        <w:t>90</w:t>
      </w:r>
      <w:r>
        <w:rPr>
          <w:spacing w:val="-2"/>
        </w:rPr>
        <w:t>余篇；出版《中小企业财务报告行为：理论与</w:t>
      </w:r>
      <w:r>
        <w:rPr>
          <w:spacing w:val="-64"/>
        </w:rPr>
        <w:t> </w:t>
      </w:r>
      <w:r>
        <w:rPr>
          <w:spacing w:val="-64"/>
        </w:rPr>
      </w:r>
      <w:r>
        <w:rPr>
          <w:spacing w:val="-2"/>
        </w:rPr>
        <w:t>实证》、《基于财政透明导向的我国政府财务报告模式研究》等专著。现任中央财经大学会计学院教授、博士生导师。兼任</w:t>
      </w:r>
      <w:r>
        <w:rPr>
          <w:spacing w:val="-70"/>
        </w:rPr>
        <w:t> </w:t>
      </w:r>
      <w:r>
        <w:rPr>
          <w:spacing w:val="-70"/>
        </w:rPr>
      </w:r>
      <w:r>
        <w:rPr/>
        <w:t>四川双马水泥股份有限公司独立董事、智度科技股份有限公司独立董事、广州达意隆包装机械股份有限公司独立董事。</w:t>
      </w:r>
    </w:p>
    <w:p>
      <w:pPr>
        <w:pStyle w:val="BodyText"/>
        <w:spacing w:line="319" w:lineRule="auto" w:before="64"/>
        <w:ind w:right="0" w:firstLine="360"/>
        <w:jc w:val="left"/>
      </w:pPr>
      <w:r>
        <w:rPr>
          <w:spacing w:val="-2"/>
        </w:rPr>
        <w:t>截至本报告期末，余应敏先生未持有公司股份，与持有公司百分之五以上股份的股东、实际控制人、公司其他董事、监</w:t>
      </w:r>
      <w:r>
        <w:rPr/>
        <w:t> </w:t>
      </w:r>
      <w:r>
        <w:rPr>
          <w:spacing w:val="-2"/>
        </w:rPr>
        <w:t>事和高级管理人员之间不存在关联关系；不存在不得提名为董事的情形；未受到过中国证监会及其他有关部门的处罚和证券</w:t>
      </w:r>
      <w:r>
        <w:rPr>
          <w:spacing w:val="-64"/>
        </w:rPr>
        <w:t> </w:t>
      </w:r>
      <w:r>
        <w:rPr>
          <w:spacing w:val="-64"/>
        </w:rPr>
      </w:r>
      <w:r>
        <w:rPr>
          <w:spacing w:val="-4"/>
        </w:rPr>
        <w:t>交易所纪律处分；不存在因涉嫌犯罪被司法机关立案侦查或涉嫌违法违规被中国证监会立案稽查的情形；不是失信被执行人，</w:t>
      </w:r>
      <w:r>
        <w:rPr>
          <w:spacing w:val="-44"/>
        </w:rPr>
        <w:t> </w:t>
      </w:r>
      <w:r>
        <w:rPr>
          <w:spacing w:val="-44"/>
        </w:rPr>
      </w:r>
      <w:r>
        <w:rPr>
          <w:spacing w:val="-2"/>
        </w:rPr>
        <w:t>也不是失信责任主体或失信惩戒对象；符合有关法律、行政法规、部门规章、规范性文件、《股票上市规则》及交易所其他</w:t>
      </w:r>
      <w:r>
        <w:rPr>
          <w:spacing w:val="-70"/>
        </w:rPr>
        <w:t> </w:t>
      </w:r>
      <w:r>
        <w:rPr>
          <w:spacing w:val="-70"/>
        </w:rPr>
      </w:r>
      <w:r>
        <w:rPr/>
        <w:t>相关规定和公司章程等要求的任职资格。</w:t>
      </w:r>
    </w:p>
    <w:p>
      <w:pPr>
        <w:pStyle w:val="BodyText"/>
        <w:spacing w:line="309" w:lineRule="auto" w:before="55"/>
        <w:ind w:right="1130" w:firstLine="360"/>
        <w:jc w:val="both"/>
      </w:pPr>
      <w:r>
        <w:rPr>
          <w:spacing w:val="-2"/>
        </w:rPr>
        <w:t>计宏铭先生，男，中国国籍，</w:t>
      </w:r>
      <w:r>
        <w:rPr>
          <w:rFonts w:ascii="Times New Roman" w:hAnsi="Times New Roman" w:cs="Times New Roman" w:eastAsia="Times New Roman" w:hint="default"/>
          <w:spacing w:val="-2"/>
        </w:rPr>
        <w:t>1976</w:t>
      </w:r>
      <w:r>
        <w:rPr>
          <w:spacing w:val="-2"/>
        </w:rPr>
        <w:t>年生，本科，无境外永久居留权。历任大智慧市场营销中心副总经理、运营维护部副</w:t>
      </w:r>
      <w:r>
        <w:rPr>
          <w:spacing w:val="1"/>
        </w:rPr>
        <w:t> </w:t>
      </w:r>
      <w:r>
        <w:rPr>
          <w:spacing w:val="-2"/>
        </w:rPr>
        <w:t>总经理；金融界、证券之星上市公司财经公关业务总监、广告营销总监；好耶集团副总裁、平台产品总经理、好耶宽通总经</w:t>
      </w:r>
      <w:r>
        <w:rPr>
          <w:spacing w:val="-68"/>
        </w:rPr>
        <w:t> </w:t>
      </w:r>
      <w:r>
        <w:rPr>
          <w:spacing w:val="-68"/>
        </w:rPr>
      </w:r>
      <w:r>
        <w:rPr/>
        <w:t>理。现任智度科技股份有限公司副总经理；上海智度亦复信息技术有限公司</w:t>
      </w:r>
      <w:r>
        <w:rPr>
          <w:rFonts w:ascii="Times New Roman" w:hAnsi="Times New Roman" w:cs="Times New Roman" w:eastAsia="Times New Roman" w:hint="default"/>
        </w:rPr>
        <w:t>CEO</w:t>
      </w:r>
      <w:r>
        <w:rPr/>
        <w:t>。</w:t>
      </w:r>
    </w:p>
    <w:p>
      <w:pPr>
        <w:pStyle w:val="BodyText"/>
        <w:spacing w:line="312" w:lineRule="auto" w:before="44"/>
        <w:ind w:right="1028" w:firstLine="360"/>
        <w:jc w:val="left"/>
      </w:pPr>
      <w:r>
        <w:rPr/>
        <w:t>截至本报告期末，计宏铭先生持有公司</w:t>
      </w:r>
      <w:r>
        <w:rPr>
          <w:rFonts w:ascii="Times New Roman" w:hAnsi="Times New Roman" w:cs="Times New Roman" w:eastAsia="Times New Roman" w:hint="default"/>
        </w:rPr>
        <w:t>3.96%</w:t>
      </w:r>
      <w:r>
        <w:rPr/>
        <w:t>的股份，除此之外，与持有公司百分之五以上股份的股东、实际控制人之 </w:t>
      </w:r>
      <w:r>
        <w:rPr>
          <w:spacing w:val="-2"/>
        </w:rPr>
        <w:t>间不存在关联关系；与公司其他董事、监事、高级管理人员之间不存在关联关系；不存在《公司法》第一百四十六条规定的</w:t>
      </w:r>
      <w:r>
        <w:rPr>
          <w:spacing w:val="-68"/>
        </w:rPr>
        <w:t> </w:t>
      </w:r>
      <w:r>
        <w:rPr>
          <w:spacing w:val="-68"/>
        </w:rPr>
      </w:r>
      <w:r>
        <w:rPr>
          <w:spacing w:val="-2"/>
        </w:rPr>
        <w:t>情形；不存在因涉嫌犯罪被司法机关立案侦查或者涉嫌违法违规被中国证监会立案调查的情况，亦不存在被中国证监会采取</w:t>
      </w:r>
      <w:r>
        <w:rPr>
          <w:spacing w:val="-64"/>
        </w:rPr>
        <w:t> </w:t>
      </w:r>
      <w:r>
        <w:rPr>
          <w:spacing w:val="-64"/>
        </w:rPr>
      </w:r>
      <w:r>
        <w:rPr>
          <w:spacing w:val="-2"/>
        </w:rPr>
        <w:t>证券市场禁入措施或被证券交易所公开认定为不适合担任上市公司董事、监事和高级管理人员的情况；最近三年内未受到中</w:t>
      </w:r>
      <w:r>
        <w:rPr>
          <w:spacing w:val="-64"/>
        </w:rPr>
        <w:t> </w:t>
      </w:r>
      <w:r>
        <w:rPr>
          <w:spacing w:val="-64"/>
        </w:rPr>
      </w:r>
      <w:r>
        <w:rPr>
          <w:spacing w:val="-3"/>
        </w:rPr>
        <w:t>国证监会行政处罚，未受到证券交易所公开谴责或者通报批评。公司在最高人民法院网查询确认，其不属于</w:t>
      </w:r>
      <w:r>
        <w:rPr>
          <w:rFonts w:ascii="Times New Roman" w:hAnsi="Times New Roman" w:cs="Times New Roman" w:eastAsia="Times New Roman" w:hint="default"/>
          <w:spacing w:val="-3"/>
        </w:rPr>
        <w:t>“</w:t>
      </w:r>
      <w:r>
        <w:rPr>
          <w:spacing w:val="-3"/>
        </w:rPr>
        <w:t>失信被执行人</w:t>
      </w:r>
      <w:r>
        <w:rPr>
          <w:rFonts w:ascii="Times New Roman" w:hAnsi="Times New Roman" w:cs="Times New Roman" w:eastAsia="Times New Roman" w:hint="default"/>
          <w:spacing w:val="-3"/>
        </w:rPr>
        <w:t>”</w:t>
      </w:r>
      <w:r>
        <w:rPr>
          <w:spacing w:val="-3"/>
        </w:rPr>
        <w:t>。</w:t>
      </w:r>
      <w:r>
        <w:rPr>
          <w:spacing w:val="-74"/>
        </w:rPr>
        <w:t> </w:t>
      </w:r>
      <w:r>
        <w:rPr>
          <w:spacing w:val="-2"/>
        </w:rPr>
        <w:t>计宏铭先生符合有关法律、行政法规、部门规章、规范性文件、《深圳证券交易所股票上市规则》及其他相关规定等要求的</w:t>
      </w:r>
      <w:r>
        <w:rPr>
          <w:spacing w:val="-67"/>
        </w:rPr>
        <w:t> </w:t>
      </w:r>
      <w:r>
        <w:rPr>
          <w:spacing w:val="-67"/>
        </w:rPr>
      </w:r>
      <w:r>
        <w:rPr/>
        <w:t>任职资格。</w:t>
      </w:r>
    </w:p>
    <w:p>
      <w:pPr>
        <w:pStyle w:val="BodyText"/>
        <w:spacing w:line="302" w:lineRule="auto" w:before="61"/>
        <w:ind w:right="0" w:firstLine="360"/>
        <w:jc w:val="left"/>
      </w:pPr>
      <w:r>
        <w:rPr>
          <w:spacing w:val="-2"/>
        </w:rPr>
        <w:t>汤政先生，男，美国国籍，</w:t>
      </w:r>
      <w:r>
        <w:rPr>
          <w:rFonts w:ascii="Times New Roman" w:hAnsi="Times New Roman" w:cs="Times New Roman" w:eastAsia="Times New Roman" w:hint="default"/>
          <w:spacing w:val="-2"/>
        </w:rPr>
        <w:t>1979</w:t>
      </w:r>
      <w:r>
        <w:rPr>
          <w:spacing w:val="-2"/>
        </w:rPr>
        <w:t>年生，本科双学士，已取得中国深圳市外国专家局颁发的外国专家证。深圳市范特西科</w:t>
      </w:r>
      <w:r>
        <w:rPr/>
        <w:t> 技有限公司创始人之一。现任智度科技股份有限公司副总经理；深圳市范特西科技有限公司总经理。</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2" w:firstLine="360"/>
        <w:jc w:val="left"/>
      </w:pPr>
      <w:r>
        <w:rPr/>
        <w:t>截至本报告期末，汤政先生未持有公司股份，与持有公司百分之五以上股份的股东、实际控制人之间不存在关联关系； </w:t>
      </w:r>
      <w:r>
        <w:rPr>
          <w:spacing w:val="-2"/>
        </w:rPr>
        <w:t>与公司其他董事、监事、高级管理人员之间不存在关联关系；不存在《公司法》第一百四十六条规定的情形；不存在因涉嫌</w:t>
      </w:r>
      <w:r>
        <w:rPr>
          <w:spacing w:val="-70"/>
        </w:rPr>
        <w:t> </w:t>
      </w:r>
      <w:r>
        <w:rPr>
          <w:spacing w:val="-70"/>
        </w:rPr>
      </w:r>
      <w:r>
        <w:rPr>
          <w:spacing w:val="-2"/>
        </w:rPr>
        <w:t>犯罪被司法机关立案侦查或者涉嫌违法违规被中国证监会立案调查的情况，亦不存在被中国证监会采取证券市场禁入措施或</w:t>
      </w:r>
      <w:r>
        <w:rPr>
          <w:spacing w:val="-64"/>
        </w:rPr>
        <w:t> </w:t>
      </w:r>
      <w:r>
        <w:rPr>
          <w:spacing w:val="-64"/>
        </w:rPr>
      </w:r>
      <w:r>
        <w:rPr/>
        <w:t>被证券交易所公开认定为不适合担任上市公司董事、监事和高级管理人员的情况；最近三年内未受到中国证监会行政处罚， </w:t>
      </w:r>
      <w:r>
        <w:rPr>
          <w:spacing w:val="-2"/>
        </w:rPr>
        <w:t>未受到证券交易所公开谴责或者通报批评。公司在最高人民法院网查询确认，其不属于</w:t>
      </w:r>
      <w:r>
        <w:rPr>
          <w:rFonts w:ascii="Times New Roman" w:hAnsi="Times New Roman" w:cs="Times New Roman" w:eastAsia="Times New Roman" w:hint="default"/>
          <w:spacing w:val="-2"/>
        </w:rPr>
        <w:t>“</w:t>
      </w:r>
      <w:r>
        <w:rPr>
          <w:spacing w:val="-2"/>
        </w:rPr>
        <w:t>失信被执行人</w:t>
      </w:r>
      <w:r>
        <w:rPr>
          <w:rFonts w:ascii="Times New Roman" w:hAnsi="Times New Roman" w:cs="Times New Roman" w:eastAsia="Times New Roman" w:hint="default"/>
          <w:spacing w:val="-2"/>
        </w:rPr>
        <w:t>”</w:t>
      </w:r>
      <w:r>
        <w:rPr>
          <w:spacing w:val="-2"/>
        </w:rPr>
        <w:t>。汤政先生符合有关</w:t>
      </w:r>
      <w:r>
        <w:rPr>
          <w:spacing w:val="-46"/>
        </w:rPr>
        <w:t> </w:t>
      </w:r>
      <w:r>
        <w:rPr>
          <w:spacing w:val="-46"/>
        </w:rPr>
      </w:r>
      <w:r>
        <w:rPr/>
        <w:t>法律、行政法规、部门规章、规范性文件、《深圳证券交易所股票上市规则》及其他相关规定等要求的任职资格。</w:t>
      </w:r>
    </w:p>
    <w:p>
      <w:pPr>
        <w:pStyle w:val="BodyText"/>
        <w:spacing w:line="300" w:lineRule="auto" w:before="59"/>
        <w:ind w:right="0" w:firstLine="360"/>
        <w:jc w:val="left"/>
      </w:pPr>
      <w:r>
        <w:rPr>
          <w:spacing w:val="-4"/>
        </w:rPr>
        <w:t>袁聪先生，男，中国国籍，</w:t>
      </w:r>
      <w:r>
        <w:rPr>
          <w:rFonts w:ascii="Times New Roman" w:hAnsi="Times New Roman" w:cs="Times New Roman" w:eastAsia="Times New Roman" w:hint="default"/>
          <w:spacing w:val="-4"/>
        </w:rPr>
        <w:t>1979</w:t>
      </w:r>
      <w:r>
        <w:rPr>
          <w:spacing w:val="-4"/>
        </w:rPr>
        <w:t>年生，硕士研究生，无境外永久居留权。历任中国民航信息网络股份有限公司（中航信）</w:t>
      </w:r>
      <w:r>
        <w:rPr/>
        <w:t> 技术经理；创新工场应用汇联合创始人之一；应用汇</w:t>
      </w:r>
      <w:r>
        <w:rPr>
          <w:rFonts w:ascii="Times New Roman" w:hAnsi="Times New Roman" w:cs="Times New Roman" w:eastAsia="Times New Roman" w:hint="default"/>
        </w:rPr>
        <w:t>COO</w:t>
      </w:r>
      <w:r>
        <w:rPr/>
        <w:t>，</w:t>
      </w:r>
      <w:r>
        <w:rPr>
          <w:rFonts w:ascii="Times New Roman" w:hAnsi="Times New Roman" w:cs="Times New Roman" w:eastAsia="Times New Roman" w:hint="default"/>
        </w:rPr>
        <w:t>CEO</w:t>
      </w:r>
      <w:r>
        <w:rPr/>
        <w:t>。现任智度科技股份有限公司副总经理；北京掌汇天下科 技有限公司董事长；霍尔果斯白猫科技有限公司执行董事兼总经理。</w:t>
      </w:r>
    </w:p>
    <w:p>
      <w:pPr>
        <w:pStyle w:val="BodyText"/>
        <w:spacing w:line="312" w:lineRule="auto" w:before="71"/>
        <w:ind w:right="1028" w:firstLine="360"/>
        <w:jc w:val="left"/>
      </w:pPr>
      <w:r>
        <w:rPr/>
        <w:t>截至本报告期末，袁聪先生持有公司</w:t>
      </w:r>
      <w:r>
        <w:rPr>
          <w:rFonts w:ascii="Times New Roman" w:hAnsi="Times New Roman" w:cs="Times New Roman" w:eastAsia="Times New Roman" w:hint="default"/>
        </w:rPr>
        <w:t>0.2053%</w:t>
      </w:r>
      <w:r>
        <w:rPr/>
        <w:t>的股份，除此之外，与持有公司百分之五以上股份的股东、实际控制人之 </w:t>
      </w:r>
      <w:r>
        <w:rPr>
          <w:spacing w:val="-2"/>
        </w:rPr>
        <w:t>间不存在关联关系；与公司其他董事、监事、高级管理人员之间不存在关联关系；不存在《公司法》第一百四十六条规定的</w:t>
      </w:r>
      <w:r>
        <w:rPr>
          <w:spacing w:val="-68"/>
        </w:rPr>
        <w:t> </w:t>
      </w:r>
      <w:r>
        <w:rPr>
          <w:spacing w:val="-68"/>
        </w:rPr>
      </w:r>
      <w:r>
        <w:rPr>
          <w:spacing w:val="-2"/>
        </w:rPr>
        <w:t>情形；不存在因涉嫌犯罪被司法机关立案侦查或者涉嫌违法违规被中国证监会立案调查的情况，亦不存在被中国证监会采取</w:t>
      </w:r>
      <w:r>
        <w:rPr>
          <w:spacing w:val="-64"/>
        </w:rPr>
        <w:t> </w:t>
      </w:r>
      <w:r>
        <w:rPr>
          <w:spacing w:val="-64"/>
        </w:rPr>
      </w:r>
      <w:r>
        <w:rPr>
          <w:spacing w:val="-2"/>
        </w:rPr>
        <w:t>证券市场禁入措施或被证券交易所公开认定为不适合担任上市公司董事、监事和高级管理人员的情况；最近三年内未受到中</w:t>
      </w:r>
      <w:r>
        <w:rPr>
          <w:spacing w:val="-64"/>
        </w:rPr>
        <w:t> </w:t>
      </w:r>
      <w:r>
        <w:rPr>
          <w:spacing w:val="-64"/>
        </w:rPr>
      </w:r>
      <w:r>
        <w:rPr>
          <w:spacing w:val="-3"/>
        </w:rPr>
        <w:t>国证监会行政处罚，未受到证券交易所公开谴责或者通报批评。公司在最高人民法院网查询确认，其不属于</w:t>
      </w:r>
      <w:r>
        <w:rPr>
          <w:rFonts w:ascii="Times New Roman" w:hAnsi="Times New Roman" w:cs="Times New Roman" w:eastAsia="Times New Roman" w:hint="default"/>
          <w:spacing w:val="-3"/>
        </w:rPr>
        <w:t>“</w:t>
      </w:r>
      <w:r>
        <w:rPr>
          <w:spacing w:val="-3"/>
        </w:rPr>
        <w:t>失信被执行人</w:t>
      </w:r>
      <w:r>
        <w:rPr>
          <w:rFonts w:ascii="Times New Roman" w:hAnsi="Times New Roman" w:cs="Times New Roman" w:eastAsia="Times New Roman" w:hint="default"/>
          <w:spacing w:val="-3"/>
        </w:rPr>
        <w:t>”</w:t>
      </w:r>
      <w:r>
        <w:rPr>
          <w:spacing w:val="-3"/>
        </w:rPr>
        <w:t>。</w:t>
      </w:r>
      <w:r>
        <w:rPr>
          <w:spacing w:val="-74"/>
        </w:rPr>
        <w:t> </w:t>
      </w:r>
      <w:r>
        <w:rPr>
          <w:spacing w:val="-2"/>
        </w:rPr>
        <w:t>袁聪先生符合有关法律、行政法规、部门规章、规范性文件、《深圳证券交易所股票上市规则》及其他相关规定等要求的任</w:t>
      </w:r>
      <w:r>
        <w:rPr>
          <w:spacing w:val="-66"/>
        </w:rPr>
        <w:t> </w:t>
      </w:r>
      <w:r>
        <w:rPr>
          <w:spacing w:val="-66"/>
        </w:rPr>
      </w:r>
      <w:r>
        <w:rPr/>
        <w:t>职资格。</w:t>
      </w:r>
    </w:p>
    <w:p>
      <w:pPr>
        <w:pStyle w:val="BodyText"/>
        <w:spacing w:line="302" w:lineRule="auto" w:before="61"/>
        <w:ind w:right="1042" w:firstLine="360"/>
        <w:jc w:val="right"/>
      </w:pPr>
      <w:r>
        <w:rPr>
          <w:spacing w:val="-4"/>
        </w:rPr>
        <w:t>刘韡先生，男，中国国籍，</w:t>
      </w:r>
      <w:r>
        <w:rPr>
          <w:rFonts w:ascii="Times New Roman" w:hAnsi="Times New Roman" w:cs="Times New Roman" w:eastAsia="Times New Roman" w:hint="default"/>
          <w:spacing w:val="-4"/>
        </w:rPr>
        <w:t>1981</w:t>
      </w:r>
      <w:r>
        <w:rPr>
          <w:spacing w:val="-4"/>
        </w:rPr>
        <w:t>年生，本科，注册会计师，无境外永久居留权。历任瑞华会计师事务所（特殊普通合伙）</w:t>
      </w:r>
      <w:r>
        <w:rPr/>
        <w:t> </w:t>
      </w:r>
      <w:r>
        <w:rPr>
          <w:spacing w:val="-4"/>
        </w:rPr>
        <w:t>审计经理；北京宇信易诚科技有限公司财务经理；智度科技股份有限公司董事会秘书。现任智度科技股份有限公司财务总监。</w:t>
      </w:r>
    </w:p>
    <w:p>
      <w:pPr>
        <w:pStyle w:val="BodyText"/>
        <w:spacing w:line="314" w:lineRule="auto" w:before="68"/>
        <w:ind w:right="1032" w:firstLine="360"/>
        <w:jc w:val="left"/>
      </w:pPr>
      <w:r>
        <w:rPr/>
        <w:t>截至本报告期末，刘韡先生未持有公司股份，与持有公司百分之五以上股份的股东、实际控制人之间不存在关联关系； </w:t>
      </w:r>
      <w:r>
        <w:rPr>
          <w:spacing w:val="-2"/>
        </w:rPr>
        <w:t>与公司其他董事、监事、高级管理人员之间不存在关联关系；不存在《公司法》第一百四十六条规定的情形；不存在因涉嫌</w:t>
      </w:r>
      <w:r>
        <w:rPr>
          <w:spacing w:val="-70"/>
        </w:rPr>
        <w:t> </w:t>
      </w:r>
      <w:r>
        <w:rPr>
          <w:spacing w:val="-70"/>
        </w:rPr>
      </w:r>
      <w:r>
        <w:rPr>
          <w:spacing w:val="-2"/>
        </w:rPr>
        <w:t>犯罪被司法机关立案侦查或者涉嫌违法违规被中国证监会立案调查的情况，亦不存在被中国证监会采取证券市场禁入措施或</w:t>
      </w:r>
      <w:r>
        <w:rPr>
          <w:spacing w:val="-64"/>
        </w:rPr>
        <w:t> </w:t>
      </w:r>
      <w:r>
        <w:rPr>
          <w:spacing w:val="-64"/>
        </w:rPr>
      </w:r>
      <w:r>
        <w:rPr/>
        <w:t>被证券交易所公开认定为不适合担任上市公司董事、监事和高级管理人员的情况；最近三年内未受到中国证监会行政处罚， </w:t>
      </w:r>
      <w:r>
        <w:rPr>
          <w:spacing w:val="-2"/>
        </w:rPr>
        <w:t>未受到证券交易所公开谴责或者通报批评。公司在最高人民法院网查询确认，其不属于</w:t>
      </w:r>
      <w:r>
        <w:rPr>
          <w:rFonts w:ascii="Times New Roman" w:hAnsi="Times New Roman" w:cs="Times New Roman" w:eastAsia="Times New Roman" w:hint="default"/>
          <w:spacing w:val="-2"/>
        </w:rPr>
        <w:t>“</w:t>
      </w:r>
      <w:r>
        <w:rPr>
          <w:spacing w:val="-2"/>
        </w:rPr>
        <w:t>失信被执行人</w:t>
      </w:r>
      <w:r>
        <w:rPr>
          <w:rFonts w:ascii="Times New Roman" w:hAnsi="Times New Roman" w:cs="Times New Roman" w:eastAsia="Times New Roman" w:hint="default"/>
          <w:spacing w:val="-2"/>
        </w:rPr>
        <w:t>”</w:t>
      </w:r>
      <w:r>
        <w:rPr>
          <w:spacing w:val="-2"/>
        </w:rPr>
        <w:t>。刘韡先生符合有关</w:t>
      </w:r>
      <w:r>
        <w:rPr>
          <w:spacing w:val="-45"/>
        </w:rPr>
        <w:t> </w:t>
      </w:r>
      <w:r>
        <w:rPr>
          <w:spacing w:val="-45"/>
        </w:rPr>
      </w:r>
      <w:r>
        <w:rPr/>
        <w:t>法律、行政法规、部门规章、规范性文件、《深圳证券交易所股票上市规则》及其他相关规定等要求的任职资格。</w:t>
      </w:r>
    </w:p>
    <w:p>
      <w:pPr>
        <w:pStyle w:val="BodyText"/>
        <w:spacing w:line="309" w:lineRule="auto" w:before="60"/>
        <w:ind w:right="1130" w:firstLine="360"/>
        <w:jc w:val="both"/>
      </w:pPr>
      <w:r>
        <w:rPr>
          <w:spacing w:val="-2"/>
        </w:rPr>
        <w:t>李凌霄女士，</w:t>
      </w:r>
      <w:r>
        <w:rPr>
          <w:rFonts w:ascii="Times New Roman" w:hAnsi="Times New Roman" w:cs="Times New Roman" w:eastAsia="Times New Roman" w:hint="default"/>
          <w:spacing w:val="-2"/>
        </w:rPr>
        <w:t>1982</w:t>
      </w:r>
      <w:r>
        <w:rPr>
          <w:spacing w:val="-2"/>
        </w:rPr>
        <w:t>年生，中国国籍，研究生学历，法学硕士，法律职业资格。历任金杜律师事务所律师，中伦律师事务</w:t>
      </w:r>
      <w:r>
        <w:rPr/>
        <w:t> </w:t>
      </w:r>
      <w:r>
        <w:rPr>
          <w:spacing w:val="-2"/>
        </w:rPr>
        <w:t>所律师，英国品诚梅森律师事务所顾问，普信恒业科技发展（北京）有限公司海外法律事务负责人、高级法务经理；现任智</w:t>
      </w:r>
      <w:r>
        <w:rPr>
          <w:spacing w:val="-67"/>
        </w:rPr>
        <w:t> </w:t>
      </w:r>
      <w:r>
        <w:rPr>
          <w:spacing w:val="-67"/>
        </w:rPr>
      </w:r>
      <w:r>
        <w:rPr/>
        <w:t>度科技股份有限公司董事会秘书。</w:t>
      </w:r>
    </w:p>
    <w:p>
      <w:pPr>
        <w:pStyle w:val="BodyText"/>
        <w:spacing w:line="314" w:lineRule="auto" w:before="62"/>
        <w:ind w:right="1032" w:firstLine="360"/>
        <w:jc w:val="left"/>
      </w:pPr>
      <w:r>
        <w:rPr>
          <w:spacing w:val="-4"/>
        </w:rPr>
        <w:t>截至本报告期末，李凌霄女士未持有公司股份；与持有公司百分之五以上股份的股东、实际控制人之间不存在关联关系；</w:t>
      </w:r>
      <w:r>
        <w:rPr/>
        <w:t> </w:t>
      </w:r>
      <w:r>
        <w:rPr>
          <w:spacing w:val="-2"/>
        </w:rPr>
        <w:t>与公司其他董事、监事、高级管理人员之间不存在关联关系；不存在《公司法》第一百四十六条规定的情形；不存在因涉嫌</w:t>
      </w:r>
      <w:r>
        <w:rPr>
          <w:spacing w:val="-70"/>
        </w:rPr>
        <w:t> </w:t>
      </w:r>
      <w:r>
        <w:rPr>
          <w:spacing w:val="-70"/>
        </w:rPr>
      </w:r>
      <w:r>
        <w:rPr>
          <w:spacing w:val="-2"/>
        </w:rPr>
        <w:t>犯罪被司法机关立案侦查或者涉嫌违法违规被中国证监会立案调查的情况，亦不存在被中国证监会采取证券市场禁入措施或</w:t>
      </w:r>
      <w:r>
        <w:rPr>
          <w:spacing w:val="-64"/>
        </w:rPr>
        <w:t> </w:t>
      </w:r>
      <w:r>
        <w:rPr>
          <w:spacing w:val="-64"/>
        </w:rPr>
      </w:r>
      <w:r>
        <w:rPr/>
        <w:t>被证券交易所公开认定为不适合担任上市公司董事、监事和高级管理人员的情况；最近三年内未受到中国证监会行政处罚， 未受到证券交易所公开谴责或者通报批评。公司在最高人民法院网查询确认，其不属于</w:t>
      </w:r>
      <w:r>
        <w:rPr>
          <w:rFonts w:ascii="Times New Roman" w:hAnsi="Times New Roman" w:cs="Times New Roman" w:eastAsia="Times New Roman" w:hint="default"/>
        </w:rPr>
        <w:t>“</w:t>
      </w:r>
      <w:r>
        <w:rPr/>
        <w:t>失信被执行人</w:t>
      </w:r>
      <w:r>
        <w:rPr>
          <w:rFonts w:ascii="Times New Roman" w:hAnsi="Times New Roman" w:cs="Times New Roman" w:eastAsia="Times New Roman" w:hint="default"/>
        </w:rPr>
        <w:t>”</w:t>
      </w:r>
      <w:r>
        <w:rPr/>
        <w:t>。李凌霄女士符合有 关法律、行政法规、部门规章、规范性文件、《深圳证券交易所股票上市规则》及其他相关规定等要求的任职资格。</w:t>
      </w:r>
    </w:p>
    <w:p>
      <w:pPr>
        <w:pStyle w:val="BodyText"/>
        <w:spacing w:line="302" w:lineRule="auto" w:before="59"/>
        <w:ind w:right="0" w:firstLine="360"/>
        <w:jc w:val="left"/>
      </w:pPr>
      <w:r>
        <w:rPr>
          <w:spacing w:val="-2"/>
        </w:rPr>
        <w:t>张婷女士，女，中国国籍，</w:t>
      </w:r>
      <w:r>
        <w:rPr>
          <w:rFonts w:ascii="Times New Roman" w:hAnsi="Times New Roman" w:cs="Times New Roman" w:eastAsia="Times New Roman" w:hint="default"/>
          <w:spacing w:val="-2"/>
        </w:rPr>
        <w:t>1979</w:t>
      </w:r>
      <w:r>
        <w:rPr>
          <w:spacing w:val="-2"/>
        </w:rPr>
        <w:t>年生，本科学历。历任北京宝鼎律师事务所律师助理，北京市中伦律师事务所行政人力</w:t>
      </w:r>
      <w:r>
        <w:rPr/>
        <w:t> 副主管。现任公司人力资源总监。</w:t>
      </w:r>
    </w:p>
    <w:p>
      <w:pPr>
        <w:pStyle w:val="BodyText"/>
        <w:spacing w:line="319" w:lineRule="auto" w:before="69"/>
        <w:ind w:right="1032" w:firstLine="360"/>
        <w:jc w:val="left"/>
      </w:pPr>
      <w:r>
        <w:rPr>
          <w:spacing w:val="-2"/>
        </w:rPr>
        <w:t>截至本报告期末，张婷女士未持有公司股份，与持有公司百分之五以上股份的股东、实际控制人、公司其他董事、监事</w:t>
      </w:r>
      <w:r>
        <w:rPr/>
        <w:t> </w:t>
      </w:r>
      <w:r>
        <w:rPr>
          <w:spacing w:val="-2"/>
        </w:rPr>
        <w:t>和高级管理人员之间不存在关联关系；不存在不得提名为监事的情形；未受到过中国证监会及其他有关部门的处罚和证券交</w:t>
      </w:r>
      <w:r>
        <w:rPr>
          <w:spacing w:val="-64"/>
        </w:rPr>
        <w:t> </w:t>
      </w:r>
      <w:r>
        <w:rPr>
          <w:spacing w:val="-64"/>
        </w:rPr>
      </w:r>
      <w:r>
        <w:rPr/>
        <w:t>易所纪律处分；不存在因涉嫌犯罪被司法机关立案侦查或涉嫌违法违规被中国证监会立案稽查的情形；不是失信被执行人， </w:t>
      </w:r>
      <w:r>
        <w:rPr>
          <w:spacing w:val="-2"/>
        </w:rPr>
        <w:t>也不是失信责任主体或失信惩戒对象；符合有关法律、行政法规、部门规章、规范性文件、《股票上市规则》及交易所其他</w:t>
      </w:r>
      <w:r>
        <w:rPr>
          <w:spacing w:val="-70"/>
        </w:rPr>
        <w:t> </w:t>
      </w:r>
      <w:r>
        <w:rPr>
          <w:spacing w:val="-70"/>
        </w:rPr>
      </w:r>
      <w:r>
        <w:rPr/>
        <w:t>相关规定和公司章程等要求的任职资格。</w:t>
      </w:r>
    </w:p>
    <w:p>
      <w:pPr>
        <w:pStyle w:val="BodyText"/>
        <w:spacing w:line="302" w:lineRule="auto" w:before="55"/>
        <w:ind w:right="0" w:firstLine="360"/>
        <w:jc w:val="left"/>
      </w:pPr>
      <w:r>
        <w:rPr>
          <w:spacing w:val="-2"/>
        </w:rPr>
        <w:t>肖欢先生，男，中国国籍，</w:t>
      </w:r>
      <w:r>
        <w:rPr>
          <w:rFonts w:ascii="Times New Roman" w:hAnsi="Times New Roman" w:cs="Times New Roman" w:eastAsia="Times New Roman" w:hint="default"/>
          <w:spacing w:val="-2"/>
        </w:rPr>
        <w:t>1988</w:t>
      </w:r>
      <w:r>
        <w:rPr>
          <w:spacing w:val="-2"/>
        </w:rPr>
        <w:t>年生，硕士在读。历任北京德恒律师事务所律师，北京汽车集团产业投资有限公司风控</w:t>
      </w:r>
      <w:r>
        <w:rPr/>
        <w:t> 经理、投资经理（新三板领域），智度集团有限公司投资总监；现任智度科技股份有限公司监事、投资总监。</w:t>
      </w:r>
    </w:p>
    <w:p>
      <w:pPr>
        <w:pStyle w:val="BodyText"/>
        <w:spacing w:line="240" w:lineRule="auto" w:before="68"/>
        <w:ind w:left="514" w:right="0"/>
        <w:jc w:val="left"/>
      </w:pPr>
      <w:r>
        <w:rPr/>
        <w:t>截至本报告期末，肖欢先生未持有公司股份，与持有公司百分之五以上股份的股东、实际控制人、公司其他董事、监事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2"/>
        <w:jc w:val="left"/>
      </w:pPr>
      <w:r>
        <w:rPr>
          <w:spacing w:val="-2"/>
        </w:rPr>
        <w:t>和高级管理人员之间不存在关联关系；不存在不得提名为监事的情形；未受到过中国证监会及其他有关部门的处罚和证券交</w:t>
      </w:r>
      <w:r>
        <w:rPr>
          <w:spacing w:val="-64"/>
        </w:rPr>
        <w:t> </w:t>
      </w:r>
      <w:r>
        <w:rPr>
          <w:spacing w:val="-64"/>
        </w:rPr>
      </w:r>
      <w:r>
        <w:rPr/>
        <w:t>易所纪律处分；不存在因涉嫌犯罪被司法机关立案侦查或涉嫌违法违规被中国证监会立案稽查的情形；不是失信被执行人， </w:t>
      </w:r>
      <w:r>
        <w:rPr>
          <w:spacing w:val="-2"/>
        </w:rPr>
        <w:t>也不是失信责任主体或失信惩戒对象；符合有关法律、行政法规、部门规章、规范性文件、《股票上市规则》及交易所其他</w:t>
      </w:r>
      <w:r>
        <w:rPr>
          <w:spacing w:val="-68"/>
        </w:rPr>
        <w:t> </w:t>
      </w:r>
      <w:r>
        <w:rPr>
          <w:spacing w:val="-68"/>
        </w:rPr>
      </w:r>
      <w:r>
        <w:rPr/>
        <w:t>相关规定和公司章程等要求的任职资格。</w:t>
      </w:r>
    </w:p>
    <w:p>
      <w:pPr>
        <w:pStyle w:val="BodyText"/>
        <w:spacing w:line="302" w:lineRule="auto" w:before="56"/>
        <w:ind w:right="1139" w:firstLine="360"/>
        <w:jc w:val="both"/>
      </w:pPr>
      <w:r>
        <w:rPr/>
        <w:t>曾志红女士，中国国籍，</w:t>
      </w:r>
      <w:r>
        <w:rPr>
          <w:rFonts w:ascii="Times New Roman" w:hAnsi="Times New Roman" w:cs="Times New Roman" w:eastAsia="Times New Roman" w:hint="default"/>
        </w:rPr>
        <w:t>1985</w:t>
      </w:r>
      <w:r>
        <w:rPr/>
        <w:t>年生，大学本科学历。历任北京和勤新泰技术有限公司 会计、博识教育集团会计主管、 华成燃气有限公司会计主管，现任智度科技股份有限公司 主管会计。</w:t>
      </w:r>
    </w:p>
    <w:p>
      <w:pPr>
        <w:pStyle w:val="BodyText"/>
        <w:spacing w:line="319" w:lineRule="auto" w:before="69"/>
        <w:ind w:right="1132" w:firstLine="360"/>
        <w:jc w:val="both"/>
      </w:pPr>
      <w:r>
        <w:rPr/>
        <w:t>截至本报告期末，曾志红女士未持有公司股份，与持有公司百分之五以上股份的股东、实际 控制人、公司其他董事、 监事和高级管理人员之间不存在关联关系；不存在不得提名为监 事的情形；未受到过中国证监会及其他有关部门的处罚和 证券交易所纪律处分；不存在因 涉嫌犯罪被司法机关立案侦查或涉嫌违法违规被中国证监会立案稽查的情形；不是失信被 </w:t>
      </w:r>
      <w:r>
        <w:rPr>
          <w:spacing w:val="-2"/>
        </w:rPr>
        <w:t>执行人，也不是失信责任主体或失信惩戒对象；符合有关法律、行政法规、部门规章、规</w:t>
      </w:r>
      <w:r>
        <w:rPr>
          <w:spacing w:val="16"/>
        </w:rPr>
        <w:t> </w:t>
      </w:r>
      <w:r>
        <w:rPr>
          <w:spacing w:val="-8"/>
        </w:rPr>
        <w:t>范性文件、《股票上市规则》及交</w:t>
      </w:r>
      <w:r>
        <w:rPr>
          <w:spacing w:val="-88"/>
        </w:rPr>
        <w:t> </w:t>
      </w:r>
      <w:r>
        <w:rPr>
          <w:spacing w:val="-88"/>
        </w:rPr>
      </w:r>
      <w:r>
        <w:rPr/>
        <w:t>易所其他相关规定和公司章程等要求的任职资格。</w:t>
      </w:r>
    </w:p>
    <w:p>
      <w:pPr>
        <w:pStyle w:val="BodyText"/>
        <w:spacing w:line="240" w:lineRule="auto" w:before="56"/>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广州市智度互联网小额贷款有限公司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拉萨经济技术开发区猎鹰网络科技有限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上海猎鹰宴杰网络科技有限公司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上海千禾网络科技有限公司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上海风之谷数字娱乐科技有限公司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广州坏猴子网络科技有限公司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上海挖数互联网科技有限公司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上海理财网络信息有限公司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上海天派无线科技有限公司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上海邑炎信息科技有限公司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苏州跃盟信息科技有限公司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深圳智度邑盟信息技术有限公司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上海谛视文化传媒有限公司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霍尔果斯白猫科技有限公司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喀什智优网络科技有限公司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泰康资产管理有限责任公司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泰康养老保险股份有限公司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中外运空发展股份有限公司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四川双马水泥股份有限公司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华宝香精股份有限公司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北京财大海融投资管理有限公司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广州达意隆包装机械股份有限公司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240" w:lineRule="auto" w:before="115"/>
        <w:ind w:left="514" w:right="0"/>
        <w:jc w:val="left"/>
      </w:pPr>
      <w:r>
        <w:rPr/>
        <w:t>（一）决策程序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公司董事、监事、高级管理人员的薪酬分配方案由公司薪酬与考核委员会根据公司章程和公司《董事、监事、高级管理</w:t>
      </w:r>
      <w:r>
        <w:rPr/>
        <w:t> 人员薪酬考核制度》提出，报经公司董事会审议通过后，提交公司股东大会批准后方可实施。</w:t>
      </w:r>
    </w:p>
    <w:p>
      <w:pPr>
        <w:pStyle w:val="BodyText"/>
        <w:spacing w:line="316" w:lineRule="auto" w:before="19"/>
        <w:ind w:left="514" w:right="1118"/>
        <w:jc w:val="left"/>
        <w:rPr>
          <w:rFonts w:ascii="Times New Roman" w:hAnsi="Times New Roman" w:cs="Times New Roman" w:eastAsia="Times New Roman" w:hint="default"/>
        </w:rPr>
      </w:pPr>
      <w:r>
        <w:rPr/>
        <w:t>（二）确定依据 </w:t>
      </w:r>
      <w:r>
        <w:rPr>
          <w:spacing w:val="-7"/>
        </w:rPr>
        <w:t>公司董事、监事、高级管理人员</w:t>
      </w:r>
      <w:r>
        <w:rPr>
          <w:rFonts w:ascii="Times New Roman" w:hAnsi="Times New Roman" w:cs="Times New Roman" w:eastAsia="Times New Roman" w:hint="default"/>
          <w:spacing w:val="-7"/>
        </w:rPr>
        <w:t>2018</w:t>
      </w:r>
      <w:r>
        <w:rPr>
          <w:spacing w:val="-7"/>
        </w:rPr>
        <w:t>年度的薪酬根据公司</w:t>
      </w:r>
      <w:r>
        <w:rPr>
          <w:rFonts w:ascii="Times New Roman" w:hAnsi="Times New Roman" w:cs="Times New Roman" w:eastAsia="Times New Roman" w:hint="default"/>
          <w:spacing w:val="-7"/>
        </w:rPr>
        <w:t>2017</w:t>
      </w:r>
      <w:r>
        <w:rPr>
          <w:spacing w:val="-7"/>
        </w:rPr>
        <w:t>年度股东大会审议通过的《董事、监事及高级管理人员</w:t>
      </w:r>
      <w:r>
        <w:rPr>
          <w:spacing w:val="29"/>
        </w:rPr>
        <w:t> </w:t>
      </w:r>
      <w:r>
        <w:rPr>
          <w:rFonts w:ascii="Times New Roman" w:hAnsi="Times New Roman" w:cs="Times New Roman" w:eastAsia="Times New Roman" w:hint="default"/>
        </w:rPr>
        <w:t>2018</w:t>
      </w:r>
    </w:p>
    <w:p>
      <w:pPr>
        <w:pStyle w:val="BodyText"/>
        <w:spacing w:line="235" w:lineRule="exact"/>
        <w:ind w:right="0"/>
        <w:jc w:val="left"/>
      </w:pPr>
      <w:r>
        <w:rPr/>
        <w:t>年度薪酬方案</w:t>
      </w:r>
      <w:r>
        <w:rPr>
          <w:spacing w:val="-18"/>
        </w:rPr>
        <w:t> </w:t>
      </w:r>
      <w:r>
        <w:rPr/>
        <w:t>》发放。</w:t>
      </w:r>
    </w:p>
    <w:p>
      <w:pPr>
        <w:pStyle w:val="BodyText"/>
        <w:spacing w:line="240" w:lineRule="auto" w:before="76"/>
        <w:ind w:left="514" w:right="0"/>
        <w:jc w:val="left"/>
      </w:pPr>
      <w:r>
        <w:rPr/>
        <w:t>（三）实际支付情况</w:t>
      </w:r>
    </w:p>
    <w:p>
      <w:pPr>
        <w:pStyle w:val="BodyText"/>
        <w:spacing w:line="300" w:lineRule="auto" w:before="76"/>
        <w:ind w:right="0" w:firstLine="360"/>
        <w:jc w:val="left"/>
      </w:pPr>
      <w:r>
        <w:rPr>
          <w:rFonts w:ascii="Times New Roman" w:hAnsi="Times New Roman" w:cs="Times New Roman" w:eastAsia="Times New Roman" w:hint="default"/>
        </w:rPr>
        <w:t>1</w:t>
      </w:r>
      <w:r>
        <w:rPr/>
        <w:t>、独立董事采取固定董事津贴方式，津贴标准经股东大会审议通过后按月度发放；外部董事不在公司领取津贴。独立 </w:t>
      </w:r>
      <w:r>
        <w:rPr>
          <w:spacing w:val="-4"/>
        </w:rPr>
        <w:t>董事和外部董事因出席公司董事会和股东大会而产生的差旅费以及依照《公司章程》行使职权时所需的其他费用由公司承担。</w:t>
      </w:r>
    </w:p>
    <w:p>
      <w:pPr>
        <w:pStyle w:val="BodyText"/>
        <w:spacing w:line="300" w:lineRule="auto" w:before="31"/>
        <w:ind w:right="1122" w:firstLine="360"/>
        <w:jc w:val="left"/>
      </w:pPr>
      <w:r>
        <w:rPr>
          <w:rFonts w:ascii="Times New Roman" w:hAnsi="Times New Roman" w:cs="Times New Roman" w:eastAsia="Times New Roman" w:hint="default"/>
        </w:rPr>
        <w:t>2</w:t>
      </w:r>
      <w:r>
        <w:rPr/>
        <w:t>、外部监事在公司领取津贴，津贴标准经股东大会审议通过后按月度发放；外部监事因出席公司监事会、董事会和股 东大会而产生的差旅费以及依照《公司章程》行使职权时所需的其他费用由公司承担。</w:t>
      </w:r>
    </w:p>
    <w:p>
      <w:pPr>
        <w:pStyle w:val="BodyText"/>
        <w:spacing w:line="300" w:lineRule="auto" w:before="31"/>
        <w:ind w:right="1122" w:firstLine="360"/>
        <w:jc w:val="left"/>
      </w:pPr>
      <w:r>
        <w:rPr>
          <w:rFonts w:ascii="Times New Roman" w:hAnsi="Times New Roman" w:cs="Times New Roman" w:eastAsia="Times New Roman" w:hint="default"/>
        </w:rPr>
        <w:t>3</w:t>
      </w:r>
      <w:r>
        <w:rPr/>
        <w:t>、在公司担任除董事、监事外的其他职务的董事、监事，按其岗位对应的薪酬与考核管理办法执行，不再另行领取董 事或者监事津贴。</w:t>
      </w:r>
    </w:p>
    <w:p>
      <w:pPr>
        <w:pStyle w:val="BodyText"/>
        <w:spacing w:line="300" w:lineRule="auto" w:before="31"/>
        <w:ind w:right="1122" w:firstLine="360"/>
        <w:jc w:val="left"/>
      </w:pPr>
      <w:r>
        <w:rPr>
          <w:rFonts w:ascii="Times New Roman" w:hAnsi="Times New Roman" w:cs="Times New Roman" w:eastAsia="Times New Roman" w:hint="default"/>
        </w:rPr>
        <w:t>4</w:t>
      </w:r>
      <w:r>
        <w:rPr/>
        <w:t>、高级管理人员实行年薪制，其基本年薪按固定薪资逐月发放。绩效工资以年度经营目标为考核基础，根据每年实现 效益情况以及高管人员工作业绩完成情况核定，统一发放。</w:t>
      </w:r>
    </w:p>
    <w:p>
      <w:pPr>
        <w:pStyle w:val="BodyText"/>
        <w:spacing w:line="240" w:lineRule="auto" w:before="31"/>
        <w:ind w:left="514" w:right="0"/>
        <w:jc w:val="left"/>
      </w:pPr>
      <w:r>
        <w:rPr>
          <w:rFonts w:ascii="Times New Roman" w:hAnsi="Times New Roman" w:cs="Times New Roman" w:eastAsia="Times New Roman" w:hint="default"/>
        </w:rPr>
        <w:t>5</w:t>
      </w:r>
      <w:r>
        <w:rPr/>
        <w:t>、报告期内，公司董事、监事和高级管理人员报酬的实际支付金额为</w:t>
      </w:r>
      <w:r>
        <w:rPr>
          <w:rFonts w:ascii="Times New Roman" w:hAnsi="Times New Roman" w:cs="Times New Roman" w:eastAsia="Times New Roman" w:hint="default"/>
        </w:rPr>
        <w:t>585.78</w:t>
      </w:r>
      <w:r>
        <w:rPr/>
        <w:t>万元。</w:t>
      </w: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曾志红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4,250,000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3,418,537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3,418,537</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16,518,537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16,518,537</w:t>
            </w:r>
          </w:p>
        </w:tc>
      </w:tr>
      <w:tr>
        <w:trPr>
          <w:trHeight w:val="2274"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27"/>
              <w:jc w:val="left"/>
              <w:rPr>
                <w:rFonts w:ascii="宋体" w:hAnsi="宋体" w:cs="宋体" w:eastAsia="宋体" w:hint="default"/>
                <w:sz w:val="18"/>
                <w:szCs w:val="18"/>
              </w:rPr>
            </w:pPr>
            <w:r>
              <w:rPr>
                <w:rFonts w:ascii="宋体" w:hAnsi="宋体" w:cs="宋体" w:eastAsia="宋体" w:hint="default"/>
                <w:sz w:val="18"/>
                <w:szCs w:val="18"/>
              </w:rPr>
              <w:t>以上董事和高级管理人员获授的限制性股票自授予日起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个月后，满足解锁条件的，分三期解锁。</w:t>
            </w:r>
          </w:p>
          <w:p>
            <w:pPr>
              <w:pStyle w:val="TableParagraph"/>
              <w:spacing w:line="300" w:lineRule="auto" w:before="63"/>
              <w:ind w:left="14" w:right="47"/>
              <w:jc w:val="left"/>
              <w:rPr>
                <w:rFonts w:ascii="宋体" w:hAnsi="宋体" w:cs="宋体" w:eastAsia="宋体" w:hint="default"/>
                <w:sz w:val="18"/>
                <w:szCs w:val="18"/>
              </w:rPr>
            </w:pPr>
            <w:r>
              <w:rPr>
                <w:rFonts w:ascii="宋体" w:hAnsi="宋体" w:cs="宋体" w:eastAsia="宋体" w:hint="default"/>
                <w:sz w:val="18"/>
                <w:szCs w:val="18"/>
              </w:rPr>
              <w:t>具体解锁安排如：</w:t>
            </w:r>
            <w:r>
              <w:rPr>
                <w:rFonts w:ascii="Times New Roman" w:hAnsi="Times New Roman" w:cs="Times New Roman" w:eastAsia="Times New Roman" w:hint="default"/>
                <w:sz w:val="18"/>
                <w:szCs w:val="18"/>
              </w:rPr>
              <w:t>1</w:t>
            </w:r>
            <w:r>
              <w:rPr>
                <w:rFonts w:ascii="宋体" w:hAnsi="宋体" w:cs="宋体" w:eastAsia="宋体" w:hint="default"/>
                <w:sz w:val="18"/>
                <w:szCs w:val="18"/>
              </w:rPr>
              <w:t>、第一个解除限售期为自授予登记完成之日起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个月后的首个交易日起至授予 登记完成之日起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个月内的最后一个交易日当日止，解锁数量为获授数量的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、第二个解除 限售期为自授予登记完成之日起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个月后的首个交易日起至授予登记完成之日起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个月内的最后 一个交易日当日止，解锁数量为获授数量的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、第三个解除限售期为自授予登记完成之日起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个月后的首个交易日起至授予登记完成之日起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个月内的最后一个交易日当日止，解锁数量为 获授数量的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研究生及以上学历人数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511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大专及其以下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2"/>
        </w:rPr>
        <w:t>公司参照总部及子公司所在地区社会平均工资水平和行业平均水平、劳动力市场的供求状况与物价水平等制定了较为科学的</w:t>
      </w:r>
      <w:r>
        <w:rPr>
          <w:spacing w:val="-64"/>
        </w:rPr>
        <w:t> </w:t>
      </w:r>
      <w:r>
        <w:rPr>
          <w:spacing w:val="-64"/>
        </w:rPr>
      </w:r>
      <w:r>
        <w:rPr>
          <w:spacing w:val="-2"/>
        </w:rPr>
        <w:t>薪酬管理制度，努力为员工提供有竞争力的薪酬和福利待遇。公司薪酬体系设计以体现岗位价值为原则，兼顾外部竞争性和</w:t>
      </w:r>
      <w:r>
        <w:rPr>
          <w:spacing w:val="-66"/>
        </w:rPr>
        <w:t> </w:t>
      </w:r>
      <w:r>
        <w:rPr>
          <w:spacing w:val="-66"/>
        </w:rPr>
      </w:r>
      <w:r>
        <w:rPr/>
        <w:t>内部公平性。根据业绩情况和员工工作情况考核发放相应的年终奖励，强化薪酬的激励作用，激发员工的主动性和责任感， 促进员工充分调动和发挥自身潜力。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公司注重员工的培养和发展，根据员工的专业和岗位，结合公司经营和员工发展需要，为员工提供多元化的培训，为员工提</w:t>
      </w:r>
      <w:r>
        <w:rPr>
          <w:spacing w:val="-66"/>
        </w:rPr>
        <w:t> </w:t>
      </w:r>
      <w:r>
        <w:rPr>
          <w:spacing w:val="-66"/>
        </w:rPr>
      </w:r>
      <w:r>
        <w:rPr>
          <w:spacing w:val="-2"/>
        </w:rPr>
        <w:t>供学习实践、提升自我的机会。公司培训包括但不限于：新员工入职培训、公司业务培训、中高层管理技能培训等等，每次</w:t>
      </w:r>
      <w:r>
        <w:rPr>
          <w:spacing w:val="-68"/>
        </w:rPr>
        <w:t> </w:t>
      </w:r>
      <w:r>
        <w:rPr>
          <w:spacing w:val="-68"/>
        </w:rPr>
      </w:r>
      <w:r>
        <w:rPr>
          <w:spacing w:val="-2"/>
        </w:rPr>
        <w:t>培训结束后，公司会及时对培训效果进行评估，确保培训的质量。公司内部不断完善优秀人才培育体系，通过入职及内外部</w:t>
      </w:r>
      <w:r>
        <w:rPr>
          <w:spacing w:val="-66"/>
        </w:rPr>
        <w:t> </w:t>
      </w:r>
      <w:r>
        <w:rPr>
          <w:spacing w:val="-66"/>
        </w:rPr>
      </w:r>
      <w:r>
        <w:rPr/>
        <w:t>在职培训等多阶段分层次定向培养机制，增强员工的专业能力及专业服务精神，提高员工对公司的认可度和忠诚度。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46" w:right="4124"/>
        <w:jc w:val="center"/>
        <w:rPr>
          <w:b w:val="0"/>
          <w:bCs w:val="0"/>
        </w:rPr>
      </w:pPr>
      <w:bookmarkStart w:name="_TOC_250003" w:id="139"/>
      <w:bookmarkStart w:name="第九节 公司治理" w:id="140"/>
      <w:r>
        <w:rPr>
          <w:b w:val="0"/>
          <w:bCs w:val="0"/>
        </w:rPr>
      </w:r>
      <w:r>
        <w:rPr/>
        <w:t>第九节</w:t>
      </w:r>
      <w:r>
        <w:rPr>
          <w:spacing w:val="-5"/>
        </w:rPr>
        <w:t> </w:t>
      </w:r>
      <w:r>
        <w:rPr/>
        <w:t>公司治理</w:t>
      </w:r>
      <w:bookmarkEnd w:id="13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报告期内，公司严格按照《公司法》、《证券法》、《上市公司治理准则》、《深圳证券交易所股票上市规则》、《深</w:t>
      </w:r>
      <w:r>
        <w:rPr/>
        <w:t> </w:t>
      </w:r>
      <w:r>
        <w:rPr>
          <w:spacing w:val="-2"/>
        </w:rPr>
        <w:t>圳证券交易所主板上市公司规范运作指引》等相关法律、法规以及规范性文件要求，不断完善法人治理结构，提高公司规范</w:t>
      </w:r>
      <w:r>
        <w:rPr>
          <w:spacing w:val="-66"/>
        </w:rPr>
        <w:t> </w:t>
      </w:r>
      <w:r>
        <w:rPr>
          <w:spacing w:val="-66"/>
        </w:rPr>
      </w:r>
      <w:r>
        <w:rPr>
          <w:spacing w:val="-2"/>
        </w:rPr>
        <w:t>运作水平，切实维护公司及全体股东，特别是中小股东的利益。截至报告期末，公司治理的实际情况符合中国证监会发布的</w:t>
      </w:r>
      <w:r>
        <w:rPr>
          <w:spacing w:val="-66"/>
        </w:rPr>
        <w:t> </w:t>
      </w:r>
      <w:r>
        <w:rPr>
          <w:spacing w:val="-66"/>
        </w:rPr>
      </w:r>
      <w:r>
        <w:rPr/>
        <w:t>有关上市公司治理规范性文件的要求。</w:t>
      </w:r>
    </w:p>
    <w:p>
      <w:pPr>
        <w:pStyle w:val="BodyText"/>
        <w:spacing w:line="357" w:lineRule="auto" w:before="58"/>
        <w:ind w:left="514" w:right="0"/>
        <w:jc w:val="left"/>
      </w:pPr>
      <w:r>
        <w:rPr/>
        <w:t>（一）关于股东及股东大会 </w:t>
      </w:r>
      <w:r>
        <w:rPr>
          <w:spacing w:val="-2"/>
        </w:rPr>
        <w:t>根据国家法律法规等文件的要求，结合公司的实际情况，公司制定了《公司章程》、《股东大会议事规则》等一系列规</w:t>
      </w:r>
    </w:p>
    <w:p>
      <w:pPr>
        <w:pStyle w:val="BodyText"/>
        <w:spacing w:line="237" w:lineRule="exact"/>
        <w:ind w:right="0"/>
        <w:jc w:val="left"/>
      </w:pPr>
      <w:r>
        <w:rPr/>
        <w:t>章制度并且严格贯彻实施。报告期内，公司股东大会共召开会议</w:t>
      </w:r>
      <w:r>
        <w:rPr>
          <w:rFonts w:ascii="Times New Roman" w:hAnsi="Times New Roman" w:cs="Times New Roman" w:eastAsia="Times New Roman" w:hint="default"/>
        </w:rPr>
        <w:t>6</w:t>
      </w:r>
      <w:r>
        <w:rPr/>
        <w:t>次，历次会议的召集、召开均合法合规，股东大会均聘请</w:t>
      </w:r>
    </w:p>
    <w:p>
      <w:pPr>
        <w:pStyle w:val="BodyText"/>
        <w:spacing w:line="319" w:lineRule="auto" w:before="63"/>
        <w:ind w:right="1131"/>
        <w:jc w:val="both"/>
      </w:pPr>
      <w:r>
        <w:rPr>
          <w:spacing w:val="-2"/>
        </w:rPr>
        <w:t>了律师进行现场见证。在审议关联交易事项时，关联股东都进行了回避表决，确保关联交易的公平合理。为确保广大股东充</w:t>
      </w:r>
      <w:r>
        <w:rPr>
          <w:spacing w:val="-66"/>
        </w:rPr>
        <w:t> </w:t>
      </w:r>
      <w:r>
        <w:rPr>
          <w:spacing w:val="-66"/>
        </w:rPr>
      </w:r>
      <w:r>
        <w:rPr>
          <w:spacing w:val="-2"/>
        </w:rPr>
        <w:t>分行使权利，在保证股东大会决议合法有效的前提下，公司为每次股东大会都提供了现场投票和网络投票两种参会方式。在</w:t>
      </w:r>
      <w:r>
        <w:rPr>
          <w:spacing w:val="-66"/>
        </w:rPr>
        <w:t> </w:t>
      </w:r>
      <w:r>
        <w:rPr>
          <w:spacing w:val="-66"/>
        </w:rPr>
      </w:r>
      <w:r>
        <w:rPr>
          <w:spacing w:val="-2"/>
        </w:rPr>
        <w:t>审议影响中小投资者权益的重大事项时，均对中小投资者表决单独计票并及时公开披露。同时，现场参加股东大会的投资者</w:t>
      </w:r>
      <w:r>
        <w:rPr>
          <w:spacing w:val="-66"/>
        </w:rPr>
        <w:t> </w:t>
      </w:r>
      <w:r>
        <w:rPr>
          <w:spacing w:val="-66"/>
        </w:rPr>
      </w:r>
      <w:r>
        <w:rPr/>
        <w:t>可与公司管理层面对面沟通交流，切实维护了投资者参与公司经营管理的权利。</w:t>
      </w:r>
    </w:p>
    <w:p>
      <w:pPr>
        <w:pStyle w:val="BodyText"/>
        <w:spacing w:line="357" w:lineRule="auto" w:before="56"/>
        <w:ind w:left="514" w:right="0"/>
        <w:jc w:val="left"/>
      </w:pPr>
      <w:r>
        <w:rPr/>
        <w:t>（二）控股股东与公司的关系 </w:t>
      </w:r>
      <w:r>
        <w:rPr>
          <w:spacing w:val="-2"/>
        </w:rPr>
        <w:t>报告期内，公司在业务、资产、财务、人员、机构等方面与控股股东、实际控制人及其关联人保持独立，符合中国证监</w:t>
      </w:r>
    </w:p>
    <w:p>
      <w:pPr>
        <w:pStyle w:val="BodyText"/>
        <w:spacing w:line="224" w:lineRule="exact"/>
        <w:ind w:right="0"/>
        <w:jc w:val="left"/>
      </w:pPr>
      <w:r>
        <w:rPr/>
        <w:t>会关于上市公司独立性的相关规定。公司控股股东行为规范，严格依法行使权利，没有违规干预公司的决策和经营活动的行</w:t>
      </w:r>
    </w:p>
    <w:p>
      <w:pPr>
        <w:pStyle w:val="BodyText"/>
        <w:spacing w:line="319" w:lineRule="auto" w:before="76"/>
        <w:ind w:right="0"/>
        <w:jc w:val="left"/>
      </w:pPr>
      <w:r>
        <w:rPr>
          <w:spacing w:val="-2"/>
        </w:rPr>
        <w:t>为；没有违规任免公司高级管理人员的行为。控股股东没有对公司资产的违规占用行为，公司也没有违规为控股股东提供担</w:t>
      </w:r>
      <w:r>
        <w:rPr>
          <w:spacing w:val="-66"/>
        </w:rPr>
        <w:t> </w:t>
      </w:r>
      <w:r>
        <w:rPr>
          <w:spacing w:val="-66"/>
        </w:rPr>
      </w:r>
      <w:r>
        <w:rPr/>
        <w:t>保或财务资助行为。</w:t>
      </w:r>
    </w:p>
    <w:p>
      <w:pPr>
        <w:pStyle w:val="BodyText"/>
        <w:spacing w:line="357" w:lineRule="auto" w:before="56"/>
        <w:ind w:left="514" w:right="1032"/>
        <w:jc w:val="left"/>
      </w:pPr>
      <w:r>
        <w:rPr/>
        <w:t>（三）关于董事及董事会 根据国家法律法规等文件的要求和《公司章程》的相关规定，公司制定了《董事会议事规则》、《独立董事工作制度》</w:t>
      </w:r>
    </w:p>
    <w:p>
      <w:pPr>
        <w:pStyle w:val="BodyText"/>
        <w:spacing w:line="224" w:lineRule="exact"/>
        <w:ind w:right="0"/>
        <w:jc w:val="left"/>
      </w:pPr>
      <w:r>
        <w:rPr/>
        <w:t>和各专门委员会工作细则等内控制度，形成了科学有效，权责分明的制度体系。公司董事会的构成符合法律法规及公司的实</w:t>
      </w:r>
    </w:p>
    <w:p>
      <w:pPr>
        <w:pStyle w:val="BodyText"/>
        <w:spacing w:line="309" w:lineRule="auto" w:before="76"/>
        <w:ind w:right="0"/>
        <w:jc w:val="left"/>
      </w:pPr>
      <w:r>
        <w:rPr>
          <w:spacing w:val="-4"/>
        </w:rPr>
        <w:t>际需求。公司董事会由</w:t>
      </w:r>
      <w:r>
        <w:rPr>
          <w:rFonts w:ascii="Times New Roman" w:hAnsi="Times New Roman" w:cs="Times New Roman" w:eastAsia="Times New Roman" w:hint="default"/>
          <w:spacing w:val="-4"/>
        </w:rPr>
        <w:t>5</w:t>
      </w:r>
      <w:r>
        <w:rPr>
          <w:spacing w:val="-4"/>
        </w:rPr>
        <w:t>名董事组成，其中独立董事</w:t>
      </w:r>
      <w:r>
        <w:rPr>
          <w:rFonts w:ascii="Times New Roman" w:hAnsi="Times New Roman" w:cs="Times New Roman" w:eastAsia="Times New Roman" w:hint="default"/>
          <w:spacing w:val="-4"/>
        </w:rPr>
        <w:t>2</w:t>
      </w:r>
      <w:r>
        <w:rPr>
          <w:spacing w:val="-4"/>
        </w:rPr>
        <w:t>名，均具备履行职责所必需的知识、技能和素质，下设四个专门委员会，</w:t>
      </w:r>
      <w:r>
        <w:rPr>
          <w:spacing w:val="-40"/>
        </w:rPr>
        <w:t> </w:t>
      </w:r>
      <w:r>
        <w:rPr>
          <w:spacing w:val="-40"/>
        </w:rPr>
      </w:r>
      <w:r>
        <w:rPr>
          <w:spacing w:val="-2"/>
        </w:rPr>
        <w:t>分别是审计委员会、提名委员会，薪酬与考核委员会，战略委员会，为董事会的决策提供科学和专业的意见。董事会及各专</w:t>
      </w:r>
      <w:r>
        <w:rPr>
          <w:spacing w:val="-66"/>
        </w:rPr>
        <w:t> </w:t>
      </w:r>
      <w:r>
        <w:rPr>
          <w:spacing w:val="-66"/>
        </w:rPr>
      </w:r>
      <w:r>
        <w:rPr>
          <w:spacing w:val="-2"/>
        </w:rPr>
        <w:t>门委员会严格按照监管部门的规定和《公司章程》、《董事会议事规则》等制度规范运作，报告期内，公司董事会共召开会</w:t>
      </w:r>
      <w:r>
        <w:rPr>
          <w:spacing w:val="-70"/>
        </w:rPr>
        <w:t> </w:t>
      </w:r>
      <w:r>
        <w:rPr>
          <w:spacing w:val="-70"/>
        </w:rPr>
      </w:r>
      <w:r>
        <w:rPr>
          <w:spacing w:val="-2"/>
        </w:rPr>
        <w:t>议</w:t>
      </w:r>
      <w:r>
        <w:rPr>
          <w:rFonts w:ascii="Times New Roman" w:hAnsi="Times New Roman" w:cs="Times New Roman" w:eastAsia="Times New Roman" w:hint="default"/>
          <w:spacing w:val="-2"/>
        </w:rPr>
        <w:t>12</w:t>
      </w:r>
      <w:r>
        <w:rPr>
          <w:spacing w:val="-2"/>
        </w:rPr>
        <w:t>次，各专门委员会共召开会议</w:t>
      </w:r>
      <w:r>
        <w:rPr>
          <w:rFonts w:ascii="Times New Roman" w:hAnsi="Times New Roman" w:cs="Times New Roman" w:eastAsia="Times New Roman" w:hint="default"/>
          <w:spacing w:val="-2"/>
        </w:rPr>
        <w:t>13</w:t>
      </w:r>
      <w:r>
        <w:rPr>
          <w:spacing w:val="-2"/>
        </w:rPr>
        <w:t>次，董事会和各专门委员会会议的召集、召开合法合规；各位董事勤勉尽责，独立董事</w:t>
      </w:r>
      <w:r>
        <w:rPr>
          <w:spacing w:val="-62"/>
        </w:rPr>
        <w:t> </w:t>
      </w:r>
      <w:r>
        <w:rPr>
          <w:spacing w:val="-62"/>
        </w:rPr>
      </w:r>
      <w:r>
        <w:rPr/>
        <w:t>对公司重要及重大事项均发表了独立意见，较好的维护了公司整体利益、确保了广大股东，特别是中小股东的利益。</w:t>
      </w:r>
    </w:p>
    <w:p>
      <w:pPr>
        <w:pStyle w:val="BodyText"/>
        <w:spacing w:line="357" w:lineRule="auto" w:before="65"/>
        <w:ind w:left="514" w:right="0"/>
        <w:jc w:val="left"/>
      </w:pPr>
      <w:r>
        <w:rPr/>
        <w:t>（四）监事及监事会 </w:t>
      </w:r>
      <w:r>
        <w:rPr>
          <w:spacing w:val="-2"/>
        </w:rPr>
        <w:t>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名，其构成符合法律法规及公司的实际需求。本着对公司和股东负责的</w:t>
      </w:r>
    </w:p>
    <w:p>
      <w:pPr>
        <w:pStyle w:val="BodyText"/>
        <w:spacing w:line="201" w:lineRule="exact"/>
        <w:ind w:right="0"/>
        <w:jc w:val="left"/>
      </w:pPr>
      <w:r>
        <w:rPr/>
        <w:t>态度，公司监事会严格按照《公司法》、《证券法》等法律法规和《公司章程》的规定，通过召开监事会会议、列席董事会</w:t>
      </w:r>
    </w:p>
    <w:p>
      <w:pPr>
        <w:pStyle w:val="BodyText"/>
        <w:spacing w:line="309" w:lineRule="auto" w:before="76"/>
        <w:ind w:right="1028"/>
        <w:jc w:val="left"/>
      </w:pPr>
      <w:r>
        <w:rPr/>
        <w:t>会议、定期检查公司财务等方式履行职责，对公司财务和董事、高级管理人员行使职权及履行义务进行了有效监督。</w:t>
      </w:r>
      <w:r>
        <w:rPr>
          <w:spacing w:val="-16"/>
        </w:rPr>
        <w:t> </w:t>
      </w:r>
      <w:r>
        <w:rPr/>
        <w:t>报告</w:t>
      </w:r>
      <w:r>
        <w:rPr/>
        <w:t> </w:t>
      </w:r>
      <w:r>
        <w:rPr>
          <w:spacing w:val="-4"/>
        </w:rPr>
        <w:t>期内，公司监事会共召开会议</w:t>
      </w:r>
      <w:r>
        <w:rPr>
          <w:rFonts w:ascii="Times New Roman" w:hAnsi="Times New Roman" w:cs="Times New Roman" w:eastAsia="Times New Roman" w:hint="default"/>
          <w:spacing w:val="-4"/>
        </w:rPr>
        <w:t>10</w:t>
      </w:r>
      <w:r>
        <w:rPr>
          <w:spacing w:val="-4"/>
        </w:rPr>
        <w:t>次，历次会议的召集、召开程序，议案的审议程序均符合《公司章程》、《监事会议事规则》</w:t>
      </w:r>
      <w:r>
        <w:rPr>
          <w:spacing w:val="-42"/>
        </w:rPr>
        <w:t> </w:t>
      </w:r>
      <w:r>
        <w:rPr>
          <w:spacing w:val="-42"/>
        </w:rPr>
      </w:r>
      <w:r>
        <w:rPr/>
        <w:t>的要求。</w:t>
      </w:r>
    </w:p>
    <w:p>
      <w:pPr>
        <w:pStyle w:val="BodyText"/>
        <w:spacing w:line="357" w:lineRule="auto" w:before="64"/>
        <w:ind w:left="514" w:right="0"/>
        <w:jc w:val="left"/>
      </w:pPr>
      <w:r>
        <w:rPr/>
        <w:t>（五）信息披露管理 </w:t>
      </w:r>
      <w:r>
        <w:rPr>
          <w:spacing w:val="-2"/>
        </w:rPr>
        <w:t>公司始终坚持信息披露的真实准确完整和及时性，将信息披露工作制度化、专业化，并贯彻实施。公司制定了《信息披</w:t>
      </w:r>
    </w:p>
    <w:p>
      <w:pPr>
        <w:pStyle w:val="BodyText"/>
        <w:spacing w:line="224" w:lineRule="exact"/>
        <w:ind w:right="0"/>
        <w:jc w:val="left"/>
      </w:pPr>
      <w:r>
        <w:rPr/>
        <w:t>露事务管理制度》、《重大信息内部报告制度》、《年报信息披露重大差错责任追究制度》等一系列制度，确保公司信息披</w:t>
      </w:r>
    </w:p>
    <w:p>
      <w:pPr>
        <w:pStyle w:val="BodyText"/>
        <w:spacing w:line="307" w:lineRule="auto" w:before="76"/>
        <w:ind w:right="0"/>
        <w:jc w:val="left"/>
      </w:pPr>
      <w:r>
        <w:rPr>
          <w:spacing w:val="-4"/>
        </w:rPr>
        <w:t>露工作有章可循。公司设置专门部门和人员负责公司的信息披露工作。公司严格按照监管部门规定和公司制度进行信息披露，</w:t>
      </w:r>
      <w:r>
        <w:rPr>
          <w:spacing w:val="-44"/>
        </w:rPr>
        <w:t> </w:t>
      </w:r>
      <w:r>
        <w:rPr>
          <w:spacing w:val="-44"/>
        </w:rPr>
      </w:r>
      <w:r>
        <w:rPr/>
        <w:t>报告期内，公司共披露定期报告和临时报告</w:t>
      </w:r>
      <w:r>
        <w:rPr>
          <w:rFonts w:ascii="Times New Roman" w:hAnsi="Times New Roman" w:cs="Times New Roman" w:eastAsia="Times New Roman" w:hint="default"/>
        </w:rPr>
        <w:t>104</w:t>
      </w:r>
      <w:r>
        <w:rPr/>
        <w:t>项，独立董事发表事前认可意见和独立意见共</w:t>
      </w:r>
      <w:r>
        <w:rPr>
          <w:rFonts w:ascii="Times New Roman" w:hAnsi="Times New Roman" w:cs="Times New Roman" w:eastAsia="Times New Roman" w:hint="default"/>
        </w:rPr>
        <w:t>18</w:t>
      </w:r>
      <w:r>
        <w:rPr/>
        <w:t>项，独立财务顾问发表专项 </w:t>
      </w:r>
      <w:r>
        <w:rPr>
          <w:spacing w:val="-2"/>
        </w:rPr>
        <w:t>核查意见共</w:t>
      </w:r>
      <w:r>
        <w:rPr>
          <w:rFonts w:ascii="Times New Roman" w:hAnsi="Times New Roman" w:cs="Times New Roman" w:eastAsia="Times New Roman" w:hint="default"/>
          <w:spacing w:val="-2"/>
        </w:rPr>
        <w:t>14</w:t>
      </w:r>
      <w:r>
        <w:rPr>
          <w:spacing w:val="-2"/>
        </w:rPr>
        <w:t>项，内容涉及定期报告，关联交易，对外担保，委托理财，股权激励等各方面，充分保证了投资者对公司重大</w:t>
      </w:r>
      <w:r>
        <w:rPr>
          <w:spacing w:val="-66"/>
        </w:rPr>
        <w:t> </w:t>
      </w:r>
      <w:r>
        <w:rPr>
          <w:spacing w:val="-66"/>
        </w:rPr>
      </w:r>
      <w:r>
        <w:rPr>
          <w:spacing w:val="-2"/>
        </w:rPr>
        <w:t>事项和经营情况的知情权，为投资者提供了充分的投资依据，树立了投资信心。此外，为进一步保障投资者，特别是中小股</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jc w:val="left"/>
      </w:pPr>
      <w:r>
        <w:rPr>
          <w:spacing w:val="-2"/>
        </w:rPr>
        <w:t>东的权益，公司独立董事作为征集人就公司</w:t>
      </w:r>
      <w:r>
        <w:rPr>
          <w:rFonts w:ascii="Times New Roman" w:hAnsi="Times New Roman" w:cs="Times New Roman" w:eastAsia="Times New Roman" w:hint="default"/>
          <w:spacing w:val="-2"/>
        </w:rPr>
        <w:t>2018</w:t>
      </w:r>
      <w:r>
        <w:rPr>
          <w:spacing w:val="-2"/>
        </w:rPr>
        <w:t>年第五次临时股东大会审议的股权激励事项相关议案向公司全体股东征集投</w:t>
      </w:r>
      <w:r>
        <w:rPr>
          <w:spacing w:val="-60"/>
        </w:rPr>
        <w:t> </w:t>
      </w:r>
      <w:r>
        <w:rPr/>
        <w:t>票权，进一步保障了投资者，特别是中小股东的权益。</w:t>
      </w:r>
    </w:p>
    <w:p>
      <w:pPr>
        <w:pStyle w:val="BodyText"/>
        <w:spacing w:line="357" w:lineRule="auto" w:before="69"/>
        <w:ind w:left="514" w:right="1052"/>
        <w:jc w:val="left"/>
      </w:pPr>
      <w:r>
        <w:rPr/>
        <w:t>（六）投资者关系管理 公司不断加强投资者关系管理，提高为广大投资者服务的水平。通过深圳证券交易所</w:t>
      </w:r>
      <w:r>
        <w:rPr>
          <w:rFonts w:ascii="Times New Roman" w:hAnsi="Times New Roman" w:cs="Times New Roman" w:eastAsia="Times New Roman" w:hint="default"/>
        </w:rPr>
        <w:t>“</w:t>
      </w:r>
      <w:r>
        <w:rPr/>
        <w:t>互动易</w:t>
      </w:r>
      <w:r>
        <w:rPr>
          <w:rFonts w:ascii="Times New Roman" w:hAnsi="Times New Roman" w:cs="Times New Roman" w:eastAsia="Times New Roman" w:hint="default"/>
        </w:rPr>
        <w:t>”</w:t>
      </w:r>
      <w:r>
        <w:rPr/>
        <w:t>平台、现场交流及电话、</w:t>
      </w:r>
    </w:p>
    <w:p>
      <w:pPr>
        <w:pStyle w:val="BodyText"/>
        <w:spacing w:line="215" w:lineRule="exact"/>
        <w:ind w:right="0"/>
        <w:jc w:val="left"/>
      </w:pPr>
      <w:r>
        <w:rPr/>
        <w:t>电子邮件等方式，公司与各类投资者进行了坦诚的沟通与深入的交流。</w:t>
      </w:r>
      <w:r>
        <w:rPr>
          <w:rFonts w:ascii="Times New Roman" w:hAnsi="Times New Roman" w:cs="Times New Roman" w:eastAsia="Times New Roman" w:hint="default"/>
        </w:rPr>
        <w:t>2018</w:t>
      </w:r>
      <w:r>
        <w:rPr/>
        <w:t>年全年，公司在互动易平台收到投资者提问上千</w:t>
      </w:r>
    </w:p>
    <w:p>
      <w:pPr>
        <w:pStyle w:val="BodyText"/>
        <w:spacing w:line="312" w:lineRule="auto" w:before="63"/>
        <w:ind w:right="1130"/>
        <w:jc w:val="both"/>
      </w:pPr>
      <w:r>
        <w:rPr>
          <w:spacing w:val="-2"/>
        </w:rPr>
        <w:t>条，回复率</w:t>
      </w:r>
      <w:r>
        <w:rPr>
          <w:rFonts w:ascii="Times New Roman" w:hAnsi="Times New Roman" w:cs="Times New Roman" w:eastAsia="Times New Roman" w:hint="default"/>
          <w:spacing w:val="-2"/>
        </w:rPr>
        <w:t>100%</w:t>
      </w:r>
      <w:r>
        <w:rPr>
          <w:spacing w:val="-2"/>
        </w:rPr>
        <w:t>，且多次位居</w:t>
      </w:r>
      <w:r>
        <w:rPr>
          <w:rFonts w:ascii="Times New Roman" w:hAnsi="Times New Roman" w:cs="Times New Roman" w:eastAsia="Times New Roman" w:hint="default"/>
          <w:spacing w:val="-2"/>
        </w:rPr>
        <w:t>“</w:t>
      </w:r>
      <w:r>
        <w:rPr>
          <w:spacing w:val="-2"/>
        </w:rPr>
        <w:t>回复投资者最多的前十名上市公司</w:t>
      </w:r>
      <w:r>
        <w:rPr>
          <w:rFonts w:ascii="Times New Roman" w:hAnsi="Times New Roman" w:cs="Times New Roman" w:eastAsia="Times New Roman" w:hint="default"/>
          <w:spacing w:val="-2"/>
        </w:rPr>
        <w:t>”</w:t>
      </w:r>
      <w:r>
        <w:rPr>
          <w:spacing w:val="-2"/>
        </w:rPr>
        <w:t>前列；接待投资者电话咨询</w:t>
      </w:r>
      <w:r>
        <w:rPr>
          <w:rFonts w:ascii="Times New Roman" w:hAnsi="Times New Roman" w:cs="Times New Roman" w:eastAsia="Times New Roman" w:hint="default"/>
          <w:spacing w:val="-2"/>
        </w:rPr>
        <w:t>300</w:t>
      </w:r>
      <w:r>
        <w:rPr>
          <w:spacing w:val="-2"/>
        </w:rPr>
        <w:t>多人次</w:t>
      </w:r>
      <w:r>
        <w:rPr>
          <w:rFonts w:ascii="Times New Roman" w:hAnsi="Times New Roman" w:cs="Times New Roman" w:eastAsia="Times New Roman" w:hint="default"/>
          <w:spacing w:val="-2"/>
        </w:rPr>
        <w:t>,</w:t>
      </w:r>
      <w:r>
        <w:rPr>
          <w:spacing w:val="-2"/>
        </w:rPr>
        <w:t>电子邮件咨询上百</w:t>
      </w:r>
      <w:r>
        <w:rPr>
          <w:spacing w:val="-53"/>
        </w:rPr>
        <w:t> </w:t>
      </w:r>
      <w:r>
        <w:rPr>
          <w:spacing w:val="-53"/>
        </w:rPr>
      </w:r>
      <w:r>
        <w:rPr>
          <w:spacing w:val="-2"/>
        </w:rPr>
        <w:t>人次。公司积极通过交流会、现场会等形式与广大投资者进行沟通交流，让投资者多角度的了解公司，认真听取投资者的意</w:t>
      </w:r>
      <w:r>
        <w:rPr>
          <w:spacing w:val="-66"/>
        </w:rPr>
        <w:t> </w:t>
      </w:r>
      <w:r>
        <w:rPr>
          <w:spacing w:val="-66"/>
        </w:rPr>
      </w:r>
      <w:r>
        <w:rPr>
          <w:spacing w:val="-2"/>
        </w:rPr>
        <w:t>见和建议，并及时反馈给公司管理层和董事会，最大程度地让投资者参与和影响上市公司的治理，推动、促进上市公司提高</w:t>
      </w:r>
      <w:r>
        <w:rPr>
          <w:spacing w:val="-66"/>
        </w:rPr>
        <w:t> </w:t>
      </w:r>
      <w:r>
        <w:rPr>
          <w:spacing w:val="-66"/>
        </w:rPr>
      </w:r>
      <w:r>
        <w:rPr/>
        <w:t>治理水平，加强投资者保护。</w:t>
      </w:r>
    </w:p>
    <w:p>
      <w:pPr>
        <w:pStyle w:val="BodyText"/>
        <w:spacing w:line="357" w:lineRule="auto" w:before="62"/>
        <w:ind w:left="514" w:right="0"/>
        <w:jc w:val="left"/>
      </w:pPr>
      <w:r>
        <w:rPr/>
        <w:t>（七）内幕信息知情人管理情况 </w:t>
      </w:r>
      <w:r>
        <w:rPr>
          <w:spacing w:val="-2"/>
        </w:rPr>
        <w:t>公司制定了《内幕信息知情人登记制度》，以维护信息披露的公平、公正为原则，其中强化了内幕信息知情人的报告程</w:t>
      </w:r>
    </w:p>
    <w:p>
      <w:pPr>
        <w:pStyle w:val="BodyText"/>
        <w:spacing w:line="224" w:lineRule="exact"/>
        <w:ind w:right="0"/>
        <w:jc w:val="left"/>
      </w:pPr>
      <w:r>
        <w:rPr>
          <w:spacing w:val="-4"/>
        </w:rPr>
        <w:t>序、登记管理、保密工作及责任追究等事项。公司在编制定期报告、商讨重大事项时，严格执行《内幕信息知情人登记制度》</w:t>
      </w:r>
    </w:p>
    <w:p>
      <w:pPr>
        <w:pStyle w:val="BodyText"/>
        <w:spacing w:line="240" w:lineRule="auto" w:before="77"/>
        <w:ind w:right="0"/>
        <w:jc w:val="left"/>
      </w:pPr>
      <w:r>
        <w:rPr/>
        <w:t>及相关规定，公司董事、监事、高级管理人员和其他知情人员均严守保密义务，没有发生提前泄漏报告内容的行为。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40" w:lineRule="auto" w:before="116"/>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公司自设立以来，严格按照《公司法》、《证券法》等有关法律、法规和《公司章程》的要求规范运作，公司与控股股</w:t>
      </w:r>
      <w:r>
        <w:rPr/>
        <w:t> 东在业务、人员、资产、机构、财务等方面完全分开，具有独立完整的业务及自主经营能力。</w:t>
      </w:r>
    </w:p>
    <w:p>
      <w:pPr>
        <w:pStyle w:val="BodyText"/>
        <w:spacing w:line="357" w:lineRule="auto" w:before="56"/>
        <w:ind w:left="514" w:right="0"/>
        <w:jc w:val="left"/>
      </w:pPr>
      <w:r>
        <w:rPr/>
        <w:t>（一）业务独立 </w:t>
      </w:r>
      <w:r>
        <w:rPr>
          <w:spacing w:val="-2"/>
        </w:rPr>
        <w:t>公司的业务独立于控股股东、实际控制人及其控制的其他企业，拥有独立开展经营活动的资产、人员、资质和能力，具</w:t>
      </w:r>
    </w:p>
    <w:p>
      <w:pPr>
        <w:pStyle w:val="BodyText"/>
        <w:spacing w:line="225" w:lineRule="exact"/>
        <w:ind w:right="0"/>
        <w:jc w:val="left"/>
      </w:pPr>
      <w:r>
        <w:rPr/>
        <w:t>有面向市场独立自主持续经营的能力，在经营活动方面不存在同业竞争或者显失公平的关联交易。</w:t>
      </w:r>
    </w:p>
    <w:p>
      <w:pPr>
        <w:pStyle w:val="BodyText"/>
        <w:spacing w:line="357" w:lineRule="auto" w:before="117"/>
        <w:ind w:left="587" w:right="1139" w:hanging="74"/>
        <w:jc w:val="left"/>
      </w:pPr>
      <w:r>
        <w:rPr/>
        <w:t>（二）人员独立 公司制定了独立的人事管理制度，拥有独立的人事职能部门、经营管理团队。公司总经理、财务负责人和董事会秘书</w:t>
      </w:r>
    </w:p>
    <w:p>
      <w:pPr>
        <w:pStyle w:val="BodyText"/>
        <w:spacing w:line="224" w:lineRule="exact"/>
        <w:ind w:right="0"/>
        <w:jc w:val="left"/>
      </w:pPr>
      <w:r>
        <w:rPr>
          <w:spacing w:val="-4"/>
        </w:rPr>
        <w:t>等高级管理人员未在控股股东、实际控制人及其控制的其他企业中担任除董事、监事以外的其他职务，也未在该等企业领薪；</w:t>
      </w:r>
    </w:p>
    <w:p>
      <w:pPr>
        <w:pStyle w:val="BodyText"/>
        <w:spacing w:line="319" w:lineRule="auto" w:before="76"/>
        <w:ind w:right="0"/>
        <w:jc w:val="left"/>
      </w:pPr>
      <w:r>
        <w:rPr>
          <w:spacing w:val="-2"/>
        </w:rPr>
        <w:t>公司的财务人员未在控股股东、实际控制人及其控制的其他企业中兼职。公司董事、监事、总经理、及其他高级管理人员均</w:t>
      </w:r>
      <w:r>
        <w:rPr>
          <w:spacing w:val="-65"/>
        </w:rPr>
        <w:t> </w:t>
      </w:r>
      <w:r>
        <w:rPr>
          <w:spacing w:val="-65"/>
        </w:rPr>
      </w:r>
      <w:r>
        <w:rPr>
          <w:spacing w:val="-4"/>
        </w:rPr>
        <w:t>依合法程序选举或聘任，不存在控股股东、实际控制人违规做出人事任免决定的情况。公司员工独立于各股东及其它关联方，</w:t>
      </w:r>
      <w:r>
        <w:rPr>
          <w:spacing w:val="-44"/>
        </w:rPr>
        <w:t> </w:t>
      </w:r>
      <w:r>
        <w:rPr>
          <w:spacing w:val="-44"/>
        </w:rPr>
      </w:r>
      <w:r>
        <w:rPr/>
        <w:t>独立执行劳动、人事及工资管理制度。</w:t>
      </w:r>
    </w:p>
    <w:p>
      <w:pPr>
        <w:pStyle w:val="BodyText"/>
        <w:spacing w:line="357" w:lineRule="auto" w:before="56"/>
        <w:ind w:left="514" w:right="0"/>
        <w:jc w:val="left"/>
      </w:pPr>
      <w:r>
        <w:rPr/>
        <w:t>（三）资产独立 </w:t>
      </w:r>
      <w:r>
        <w:rPr>
          <w:spacing w:val="-2"/>
        </w:rPr>
        <w:t>公司资产独立完整，权属清晰，拥有与经营相关的业务体系和相关独立完整的资产。公司与控股股东、实际控制人等关</w:t>
      </w:r>
    </w:p>
    <w:p>
      <w:pPr>
        <w:pStyle w:val="BodyText"/>
        <w:spacing w:line="224" w:lineRule="exact"/>
        <w:ind w:right="0"/>
        <w:jc w:val="left"/>
      </w:pPr>
      <w:r>
        <w:rPr/>
        <w:t>联方之间的资产权属明晰，公司对所有资产拥有完全的控制和支配权，报告期内，公司不存在资金、资产被股东、实际控制</w:t>
      </w:r>
    </w:p>
    <w:p>
      <w:pPr>
        <w:pStyle w:val="BodyText"/>
        <w:spacing w:line="240" w:lineRule="auto" w:before="77"/>
        <w:ind w:right="0"/>
        <w:jc w:val="left"/>
      </w:pPr>
      <w:r>
        <w:rPr/>
        <w:t>人及其控制的其他企业占用的情况。</w:t>
      </w:r>
    </w:p>
    <w:p>
      <w:pPr>
        <w:pStyle w:val="BodyText"/>
        <w:spacing w:line="357" w:lineRule="auto" w:before="116"/>
        <w:ind w:left="514" w:right="0"/>
        <w:jc w:val="left"/>
      </w:pPr>
      <w:r>
        <w:rPr/>
        <w:t>（四）机构独立 </w:t>
      </w:r>
      <w:r>
        <w:rPr>
          <w:spacing w:val="-2"/>
        </w:rPr>
        <w:t>公司拥有独立、完整的组织机构，并建立了健全的法人治理机构。公司独立行使经营管理职权，与控股股东、实际控制</w:t>
      </w:r>
    </w:p>
    <w:p>
      <w:pPr>
        <w:pStyle w:val="BodyText"/>
        <w:spacing w:line="224" w:lineRule="exact"/>
        <w:ind w:right="0"/>
        <w:jc w:val="left"/>
      </w:pPr>
      <w:r>
        <w:rPr/>
        <w:t>人及其控制的其他企业间不存在有机构混同的情形。公司各职能机构在人员、办公场所和管理制度等各方面均完全独立，不</w:t>
      </w:r>
    </w:p>
    <w:p>
      <w:pPr>
        <w:pStyle w:val="BodyText"/>
        <w:spacing w:line="240" w:lineRule="auto" w:before="78"/>
        <w:ind w:right="0"/>
        <w:jc w:val="left"/>
      </w:pPr>
      <w:r>
        <w:rPr/>
        <w:t>存在股东及其它任何单位或个人干预公司机构设置的情形。</w:t>
      </w:r>
    </w:p>
    <w:p>
      <w:pPr>
        <w:pStyle w:val="BodyText"/>
        <w:spacing w:line="357" w:lineRule="auto" w:before="117"/>
        <w:ind w:left="514" w:right="0"/>
        <w:jc w:val="left"/>
      </w:pPr>
      <w:r>
        <w:rPr/>
        <w:t>（五）财务独立 </w:t>
      </w:r>
      <w:r>
        <w:rPr>
          <w:spacing w:val="-2"/>
        </w:rPr>
        <w:t>公司拥有独立的财务部门和独立的财务核算体系，具有规范的财务会计制度和对分公司、子公司的财务管理制度；公司</w:t>
      </w:r>
    </w:p>
    <w:p>
      <w:pPr>
        <w:pStyle w:val="BodyText"/>
        <w:spacing w:line="224" w:lineRule="exact"/>
        <w:ind w:right="0"/>
        <w:jc w:val="left"/>
      </w:pPr>
      <w:r>
        <w:rPr/>
        <w:t>未与控股股东、实际控制人控制的其他企业共用银行账户；公司依法独立纳税，不存在与控股股东、实际控制人控制的其他</w:t>
      </w:r>
    </w:p>
    <w:p>
      <w:pPr>
        <w:spacing w:after="0" w:line="224"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4"/>
        </w:rPr>
        <w:t>企业混合纳税的情况；公司没有为控股股东、实际控制人及其控制的其他企业提供担保，也不存在将以公司名义取得的借款、</w:t>
      </w:r>
      <w:r>
        <w:rPr>
          <w:spacing w:val="-44"/>
        </w:rPr>
        <w:t> </w:t>
      </w:r>
      <w:r>
        <w:rPr>
          <w:spacing w:val="-44"/>
        </w:rPr>
      </w:r>
      <w:r>
        <w:rPr/>
        <w:t>授信额度转借给它们的情形。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m.cn/new/disclosure/</w:t>
            </w:r>
            <w:r>
              <w:rPr>
                <w:rFonts w:ascii="Times New Roman"/>
                <w:sz w:val="18"/>
              </w:rPr>
              <w:t> detail?plate=szse&amp;st</w:t>
            </w:r>
            <w:r>
              <w:rPr>
                <w:rFonts w:ascii="Times New Roman"/>
                <w:w w:val="99"/>
                <w:sz w:val="18"/>
              </w:rPr>
              <w:t> </w:t>
            </w:r>
            <w:r>
              <w:rPr>
                <w:rFonts w:ascii="Times New Roman"/>
                <w:sz w:val="18"/>
              </w:rPr>
              <w:t>ockCode=000676&amp;a</w:t>
            </w:r>
            <w:r>
              <w:rPr>
                <w:rFonts w:ascii="Times New Roman"/>
                <w:sz w:val="18"/>
              </w:rPr>
              <w:t> nnouncementId=120 4317848&amp;announce mentTime=2018-01- 10</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m.cn/new/disclosure/</w:t>
            </w:r>
            <w:r>
              <w:rPr>
                <w:rFonts w:ascii="Times New Roman"/>
                <w:sz w:val="18"/>
              </w:rPr>
              <w:t> detail?plate=szse&amp;st</w:t>
            </w:r>
            <w:r>
              <w:rPr>
                <w:rFonts w:ascii="Times New Roman"/>
                <w:w w:val="99"/>
                <w:sz w:val="18"/>
              </w:rPr>
              <w:t> </w:t>
            </w:r>
            <w:r>
              <w:rPr>
                <w:rFonts w:ascii="Times New Roman"/>
                <w:sz w:val="18"/>
              </w:rPr>
              <w:t>ockCode=000676&amp;a</w:t>
            </w:r>
            <w:r>
              <w:rPr>
                <w:rFonts w:ascii="Times New Roman"/>
                <w:sz w:val="18"/>
              </w:rPr>
              <w:t> nnouncementId=120 4357669&amp;announce mentTime=2018-01- 24</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m.cn/new/disclosure/</w:t>
            </w:r>
            <w:r>
              <w:rPr>
                <w:rFonts w:ascii="Times New Roman"/>
                <w:sz w:val="18"/>
              </w:rPr>
              <w:t> detail?plate=szse&amp;st</w:t>
            </w:r>
            <w:r>
              <w:rPr>
                <w:rFonts w:ascii="Times New Roman"/>
                <w:w w:val="99"/>
                <w:sz w:val="18"/>
              </w:rPr>
              <w:t> </w:t>
            </w:r>
            <w:r>
              <w:rPr>
                <w:rFonts w:ascii="Times New Roman"/>
                <w:sz w:val="18"/>
              </w:rPr>
              <w:t>ockCode=000676&amp;a</w:t>
            </w:r>
            <w:r>
              <w:rPr>
                <w:rFonts w:ascii="Times New Roman"/>
                <w:sz w:val="18"/>
              </w:rPr>
              <w:t> nnouncementId=120 4411035&amp;announce mentTime=2018-02- 10</w:t>
            </w:r>
          </w:p>
        </w:tc>
      </w:tr>
      <w:tr>
        <w:trPr>
          <w:trHeight w:val="19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both"/>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m.cn/new/disclosure/</w:t>
            </w:r>
            <w:r>
              <w:rPr>
                <w:rFonts w:ascii="Times New Roman"/>
                <w:sz w:val="18"/>
              </w:rPr>
              <w:t> detail?plate=szse&amp;st</w:t>
            </w:r>
            <w:r>
              <w:rPr>
                <w:rFonts w:ascii="Times New Roman"/>
                <w:w w:val="99"/>
                <w:sz w:val="18"/>
              </w:rPr>
              <w:t> </w:t>
            </w:r>
            <w:r>
              <w:rPr>
                <w:rFonts w:ascii="Times New Roman"/>
                <w:sz w:val="18"/>
              </w:rPr>
              <w:t>ockCode=000676&amp;a</w:t>
            </w:r>
            <w:r>
              <w:rPr>
                <w:rFonts w:ascii="Times New Roman"/>
                <w:sz w:val="18"/>
              </w:rPr>
              <w:t> nnouncementId=120 4974049&amp;announce</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64"/>
              <w:jc w:val="left"/>
              <w:rPr>
                <w:rFonts w:ascii="Times New Roman" w:hAnsi="Times New Roman" w:cs="Times New Roman" w:eastAsia="Times New Roman" w:hint="default"/>
                <w:sz w:val="18"/>
                <w:szCs w:val="18"/>
              </w:rPr>
            </w:pPr>
            <w:r>
              <w:rPr>
                <w:rFonts w:ascii="Times New Roman"/>
                <w:sz w:val="18"/>
              </w:rPr>
              <w:t>mentTime=2018-05- 19</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m.cn/new/disclosure/</w:t>
            </w:r>
            <w:r>
              <w:rPr>
                <w:rFonts w:ascii="Times New Roman"/>
                <w:sz w:val="18"/>
              </w:rPr>
              <w:t> detail?plate=szse&amp;st</w:t>
            </w:r>
            <w:r>
              <w:rPr>
                <w:rFonts w:ascii="Times New Roman"/>
                <w:w w:val="99"/>
                <w:sz w:val="18"/>
              </w:rPr>
              <w:t> </w:t>
            </w:r>
            <w:r>
              <w:rPr>
                <w:rFonts w:ascii="Times New Roman"/>
                <w:sz w:val="18"/>
              </w:rPr>
              <w:t>ockCode=000676&amp;a</w:t>
            </w:r>
            <w:r>
              <w:rPr>
                <w:rFonts w:ascii="Times New Roman"/>
                <w:sz w:val="18"/>
              </w:rPr>
              <w:t> nnouncementId=120 5219081&amp;announce mentTime=2018-07- 21</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m.cn/new/disclosure/</w:t>
            </w:r>
            <w:r>
              <w:rPr>
                <w:rFonts w:ascii="Times New Roman"/>
                <w:sz w:val="18"/>
              </w:rPr>
              <w:t> detail?plate=szse&amp;st</w:t>
            </w:r>
            <w:r>
              <w:rPr>
                <w:rFonts w:ascii="Times New Roman"/>
                <w:w w:val="99"/>
                <w:sz w:val="18"/>
              </w:rPr>
              <w:t> </w:t>
            </w:r>
            <w:r>
              <w:rPr>
                <w:rFonts w:ascii="Times New Roman"/>
                <w:sz w:val="18"/>
              </w:rPr>
              <w:t>ockCode=000676&amp;a</w:t>
            </w:r>
            <w:r>
              <w:rPr>
                <w:rFonts w:ascii="Times New Roman"/>
                <w:sz w:val="18"/>
              </w:rPr>
              <w:t> nnouncementId=120 5685118&amp;announce mentTime=2018-12- 22</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1129" w:firstLine="360"/>
        <w:jc w:val="both"/>
      </w:pPr>
      <w:r>
        <w:rPr>
          <w:spacing w:val="-2"/>
        </w:rPr>
        <w:t>报告期内，公司独立董事深入了解公司的经营状况、内部控制情况、公司治理情况及股东大会决议、董事会决议的执行</w:t>
      </w:r>
      <w:r>
        <w:rPr/>
        <w:t> </w:t>
      </w:r>
      <w:r>
        <w:rPr>
          <w:spacing w:val="-2"/>
        </w:rPr>
        <w:t>情况，利用自己的专业知识和技能，从客观公正的角度对公司的股权激励事项、内控建设、年度审计、利润分配方案、对外</w:t>
      </w:r>
      <w:r>
        <w:rPr>
          <w:spacing w:val="-68"/>
        </w:rPr>
        <w:t> </w:t>
      </w:r>
      <w:r>
        <w:rPr>
          <w:spacing w:val="-68"/>
        </w:rPr>
      </w:r>
      <w:r>
        <w:rPr>
          <w:spacing w:val="-2"/>
        </w:rPr>
        <w:t>担保、关联交易、高级管理人员的聘任等事项发表了独立意见，切实维护公司及中小股东的合法权益。公司独立董事对报告</w:t>
      </w:r>
      <w:r>
        <w:rPr>
          <w:spacing w:val="-66"/>
        </w:rPr>
        <w:t> </w:t>
      </w:r>
      <w:r>
        <w:rPr>
          <w:spacing w:val="-66"/>
        </w:rPr>
      </w:r>
      <w:r>
        <w:rPr>
          <w:spacing w:val="-2"/>
        </w:rPr>
        <w:t>期内历次董事会会议审议的议案均未提出异议。公司独立董事提出的建议已经由公司全部采纳并认真落实，具体包括：不断</w:t>
      </w:r>
      <w:r>
        <w:rPr>
          <w:spacing w:val="-66"/>
        </w:rPr>
        <w:t> </w:t>
      </w:r>
      <w:r>
        <w:rPr>
          <w:spacing w:val="-66"/>
        </w:rPr>
      </w:r>
      <w:r>
        <w:rPr>
          <w:spacing w:val="-2"/>
        </w:rPr>
        <w:t>完善公司内控制度，提高公司治理水平；持续关注宏观经济政策和行业发展趋势；加强公司董事、监事、高级管理人员的专</w:t>
      </w:r>
      <w:r>
        <w:rPr>
          <w:spacing w:val="-66"/>
        </w:rPr>
        <w:t> </w:t>
      </w:r>
      <w:r>
        <w:rPr>
          <w:spacing w:val="-66"/>
        </w:rPr>
      </w:r>
      <w:r>
        <w:rPr/>
        <w:t>业素质和管理能力等等。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公司董事会下设审计委员会、提名委员会、薪酬与考核委员会、战略委员会共四个专门委员会。报告期内，各专门委员</w:t>
      </w:r>
      <w:r>
        <w:rPr/>
        <w:t> </w:t>
      </w:r>
      <w:r>
        <w:rPr>
          <w:spacing w:val="-2"/>
        </w:rPr>
        <w:t>会按照相关法律法规、规范性文件以及公司章程、各专门委员会工作细则等相关规定，有计划地开展工作，为提高公司治理</w:t>
      </w:r>
      <w:r>
        <w:rPr>
          <w:spacing w:val="-66"/>
        </w:rPr>
        <w:t> </w:t>
      </w:r>
      <w:r>
        <w:rPr>
          <w:spacing w:val="-66"/>
        </w:rPr>
      </w:r>
      <w:r>
        <w:rPr/>
        <w:t>水平和信息披露质量起到了积极作用。</w:t>
      </w:r>
    </w:p>
    <w:p>
      <w:pPr>
        <w:pStyle w:val="BodyText"/>
        <w:spacing w:line="338" w:lineRule="auto" w:before="58"/>
        <w:ind w:left="514" w:right="1122"/>
        <w:jc w:val="left"/>
      </w:pPr>
      <w:r>
        <w:rPr>
          <w:rFonts w:ascii="Times New Roman" w:hAnsi="Times New Roman" w:cs="Times New Roman" w:eastAsia="Times New Roman" w:hint="default"/>
        </w:rPr>
        <w:t>1</w:t>
      </w:r>
      <w:r>
        <w:rPr/>
        <w:t>、审计委员会履行职责情况 公司审计委员会由</w:t>
      </w:r>
      <w:r>
        <w:rPr>
          <w:rFonts w:ascii="Times New Roman" w:hAnsi="Times New Roman" w:cs="Times New Roman" w:eastAsia="Times New Roman" w:hint="default"/>
        </w:rPr>
        <w:t>3</w:t>
      </w:r>
      <w:r>
        <w:rPr/>
        <w:t>名董事组成，其中独立董事两名，且其中一名独立董事为会计专业人士。报告期内，审计委员会参</w:t>
      </w:r>
    </w:p>
    <w:p>
      <w:pPr>
        <w:pStyle w:val="BodyText"/>
        <w:spacing w:line="217" w:lineRule="exact"/>
        <w:ind w:right="0"/>
        <w:jc w:val="left"/>
      </w:pPr>
      <w:r>
        <w:rPr/>
        <w:t>与制定公司年度报告的审计计划，审核公司定期报告，并对公司财务报告发表意见；对公司对外担保等重大事项的合规性、</w:t>
      </w:r>
    </w:p>
    <w:p>
      <w:pPr>
        <w:pStyle w:val="BodyText"/>
        <w:spacing w:line="319" w:lineRule="auto" w:before="77"/>
        <w:ind w:right="0"/>
        <w:jc w:val="left"/>
      </w:pPr>
      <w:r>
        <w:rPr>
          <w:spacing w:val="-2"/>
        </w:rPr>
        <w:t>合理性进行审查；对公司利润分配预案发表意见；密切关注公司募集资金的存放与使用的合法、合规情况；评价、指导公司</w:t>
      </w:r>
      <w:r>
        <w:rPr>
          <w:spacing w:val="-65"/>
        </w:rPr>
        <w:t> </w:t>
      </w:r>
      <w:r>
        <w:rPr>
          <w:spacing w:val="-65"/>
        </w:rPr>
      </w:r>
      <w:r>
        <w:rPr/>
        <w:t>内部控制体系的完整性、安全性、有效性。报告期内，公司审计委员会共召开</w:t>
      </w:r>
      <w:r>
        <w:rPr>
          <w:rFonts w:ascii="Times New Roman" w:hAnsi="Times New Roman" w:cs="Times New Roman" w:eastAsia="Times New Roman" w:hint="default"/>
        </w:rPr>
        <w:t>4</w:t>
      </w:r>
      <w:r>
        <w:rPr/>
        <w:t>次会议，具体情况如下：</w:t>
      </w:r>
    </w:p>
    <w:p>
      <w:pPr>
        <w:pStyle w:val="BodyText"/>
        <w:spacing w:line="302" w:lineRule="auto" w:before="35"/>
        <w:ind w:right="1139"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日，第七届董事会审计委员会</w:t>
      </w:r>
      <w:r>
        <w:rPr>
          <w:rFonts w:ascii="Times New Roman" w:hAnsi="Times New Roman" w:cs="Times New Roman" w:eastAsia="Times New Roman" w:hint="default"/>
        </w:rPr>
        <w:t>2018</w:t>
      </w:r>
      <w:r>
        <w:rPr/>
        <w:t>年第一次会议召开，审议通过了《关于聘请</w:t>
      </w:r>
      <w:r>
        <w:rPr>
          <w:rFonts w:ascii="Times New Roman" w:hAnsi="Times New Roman" w:cs="Times New Roman" w:eastAsia="Times New Roman" w:hint="default"/>
        </w:rPr>
        <w:t>2017</w:t>
      </w:r>
      <w:r>
        <w:rPr/>
        <w:t>年度审计机构的议 案》；</w:t>
      </w:r>
    </w:p>
    <w:p>
      <w:pPr>
        <w:pStyle w:val="BodyText"/>
        <w:spacing w:line="300" w:lineRule="auto" w:before="69"/>
        <w:ind w:right="1110"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日，第八届董事会审计委员会</w:t>
      </w:r>
      <w:r>
        <w:rPr>
          <w:rFonts w:ascii="Times New Roman" w:hAnsi="Times New Roman" w:cs="Times New Roman" w:eastAsia="Times New Roman" w:hint="default"/>
        </w:rPr>
        <w:t>2018</w:t>
      </w:r>
      <w:r>
        <w:rPr/>
        <w:t>年第一次会议召开，审议通过了《</w:t>
      </w:r>
      <w:r>
        <w:rPr>
          <w:rFonts w:ascii="Times New Roman" w:hAnsi="Times New Roman" w:cs="Times New Roman" w:eastAsia="Times New Roman" w:hint="default"/>
        </w:rPr>
        <w:t>&lt;</w:t>
      </w:r>
      <w:r>
        <w:rPr/>
        <w:t>智度科技股份有限公司</w:t>
      </w:r>
      <w:r>
        <w:rPr>
          <w:rFonts w:ascii="Times New Roman" w:hAnsi="Times New Roman" w:cs="Times New Roman" w:eastAsia="Times New Roman" w:hint="default"/>
        </w:rPr>
        <w:t>2017</w:t>
      </w:r>
      <w:r>
        <w:rPr/>
        <w:t>年 年度报告</w:t>
      </w:r>
      <w:r>
        <w:rPr>
          <w:rFonts w:ascii="Times New Roman" w:hAnsi="Times New Roman" w:cs="Times New Roman" w:eastAsia="Times New Roman" w:hint="default"/>
        </w:rPr>
        <w:t>&gt;</w:t>
      </w:r>
      <w:r>
        <w:rPr/>
        <w:t>全文及摘要》、</w:t>
      </w:r>
      <w:r>
        <w:rPr>
          <w:spacing w:val="-18"/>
        </w:rPr>
        <w:t> </w:t>
      </w:r>
      <w:r>
        <w:rPr/>
        <w:t>《</w:t>
      </w:r>
      <w:r>
        <w:rPr>
          <w:rFonts w:ascii="Times New Roman" w:hAnsi="Times New Roman" w:cs="Times New Roman" w:eastAsia="Times New Roman" w:hint="default"/>
        </w:rPr>
        <w:t>&lt;</w:t>
      </w:r>
      <w:r>
        <w:rPr/>
        <w:t>智度科技股份有限公司</w:t>
      </w:r>
      <w:r>
        <w:rPr>
          <w:rFonts w:ascii="Times New Roman" w:hAnsi="Times New Roman" w:cs="Times New Roman" w:eastAsia="Times New Roman" w:hint="default"/>
        </w:rPr>
        <w:t>2018</w:t>
      </w:r>
      <w:r>
        <w:rPr/>
        <w:t>年第一季度报告</w:t>
      </w:r>
      <w:r>
        <w:rPr>
          <w:rFonts w:ascii="Times New Roman" w:hAnsi="Times New Roman" w:cs="Times New Roman" w:eastAsia="Times New Roman" w:hint="default"/>
        </w:rPr>
        <w:t>&gt;</w:t>
      </w:r>
      <w:r>
        <w:rPr/>
        <w:t>全文及正文》、《智度科技股份有限公司</w:t>
      </w:r>
      <w:r>
        <w:rPr>
          <w:rFonts w:ascii="Times New Roman" w:hAnsi="Times New Roman" w:cs="Times New Roman" w:eastAsia="Times New Roman" w:hint="default"/>
        </w:rPr>
        <w:t>2017 </w:t>
      </w:r>
      <w:r>
        <w:rPr>
          <w:spacing w:val="-2"/>
        </w:rPr>
        <w:t>年年度财务决算报告》、《智度科技股份有限公司</w:t>
      </w:r>
      <w:r>
        <w:rPr>
          <w:rFonts w:ascii="Times New Roman" w:hAnsi="Times New Roman" w:cs="Times New Roman" w:eastAsia="Times New Roman" w:hint="default"/>
          <w:spacing w:val="-2"/>
        </w:rPr>
        <w:t>2017</w:t>
      </w:r>
      <w:r>
        <w:rPr>
          <w:spacing w:val="-2"/>
        </w:rPr>
        <w:t>年度利润分配预案》、《智度科技股份有限公司</w:t>
      </w:r>
      <w:r>
        <w:rPr>
          <w:rFonts w:ascii="Times New Roman" w:hAnsi="Times New Roman" w:cs="Times New Roman" w:eastAsia="Times New Roman" w:hint="default"/>
          <w:spacing w:val="-2"/>
        </w:rPr>
        <w:t>2017</w:t>
      </w:r>
      <w:r>
        <w:rPr>
          <w:spacing w:val="-2"/>
        </w:rPr>
        <w:t>年度内部控制自</w:t>
      </w:r>
      <w:r>
        <w:rPr>
          <w:spacing w:val="-60"/>
        </w:rPr>
        <w:t> </w:t>
      </w:r>
      <w:r>
        <w:rPr>
          <w:spacing w:val="-5"/>
        </w:rPr>
        <w:t>我评价报告》、《智度科技股份有限公司</w:t>
      </w:r>
      <w:r>
        <w:rPr>
          <w:rFonts w:ascii="Times New Roman" w:hAnsi="Times New Roman" w:cs="Times New Roman" w:eastAsia="Times New Roman" w:hint="default"/>
          <w:spacing w:val="-5"/>
        </w:rPr>
        <w:t>2017</w:t>
      </w:r>
      <w:r>
        <w:rPr>
          <w:spacing w:val="-5"/>
        </w:rPr>
        <w:t>年度募集资金存放与使用情况的专项报告》、《智度科技股份有限公司关于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5"/>
        </w:rPr>
        <w:t> </w:t>
      </w:r>
      <w:r>
        <w:rPr/>
        <w:t>年度日常经营性关联交易预计的议案》、《智度科技股份有限公司关于为全资子公司向银行申请授信提供担保的议案》；</w:t>
      </w:r>
    </w:p>
    <w:p>
      <w:pPr>
        <w:pStyle w:val="BodyText"/>
        <w:spacing w:line="302" w:lineRule="auto" w:before="70"/>
        <w:ind w:right="1132" w:firstLine="36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14</w:t>
      </w:r>
      <w:r>
        <w:rPr>
          <w:spacing w:val="-1"/>
        </w:rPr>
        <w:t>日，第八届董事会审计委员会</w:t>
      </w:r>
      <w:r>
        <w:rPr>
          <w:rFonts w:ascii="Times New Roman" w:hAnsi="Times New Roman" w:cs="Times New Roman" w:eastAsia="Times New Roman" w:hint="default"/>
          <w:spacing w:val="-1"/>
        </w:rPr>
        <w:t>2018</w:t>
      </w:r>
      <w:r>
        <w:rPr>
          <w:spacing w:val="-1"/>
        </w:rPr>
        <w:t>年第二次会议召开，审议通过了《</w:t>
      </w:r>
      <w:r>
        <w:rPr>
          <w:rFonts w:ascii="Times New Roman" w:hAnsi="Times New Roman" w:cs="Times New Roman" w:eastAsia="Times New Roman" w:hint="default"/>
          <w:spacing w:val="-1"/>
        </w:rPr>
        <w:t>&lt;</w:t>
      </w:r>
      <w:r>
        <w:rPr>
          <w:spacing w:val="-1"/>
        </w:rPr>
        <w:t>智度科技股份有限公司</w:t>
      </w:r>
      <w:r>
        <w:rPr>
          <w:rFonts w:ascii="Times New Roman" w:hAnsi="Times New Roman" w:cs="Times New Roman" w:eastAsia="Times New Roman" w:hint="default"/>
          <w:spacing w:val="-1"/>
        </w:rPr>
        <w:t>2018</w:t>
      </w:r>
      <w:r>
        <w:rPr>
          <w:spacing w:val="-1"/>
        </w:rPr>
        <w:t>年</w:t>
      </w:r>
      <w:r>
        <w:rPr/>
        <w:t> 半年度报告</w:t>
      </w:r>
      <w:r>
        <w:rPr>
          <w:rFonts w:ascii="Times New Roman" w:hAnsi="Times New Roman" w:cs="Times New Roman" w:eastAsia="Times New Roman" w:hint="default"/>
        </w:rPr>
        <w:t>&gt;</w:t>
      </w:r>
      <w:r>
        <w:rPr/>
        <w:t>全文及摘要》；</w:t>
      </w:r>
    </w:p>
    <w:p>
      <w:pPr>
        <w:pStyle w:val="BodyText"/>
        <w:spacing w:line="302" w:lineRule="auto" w:before="49"/>
        <w:ind w:right="1217"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日，第八届董事会审计委员会</w:t>
      </w:r>
      <w:r>
        <w:rPr>
          <w:rFonts w:ascii="Times New Roman" w:hAnsi="Times New Roman" w:cs="Times New Roman" w:eastAsia="Times New Roman" w:hint="default"/>
        </w:rPr>
        <w:t>2018</w:t>
      </w:r>
      <w:r>
        <w:rPr/>
        <w:t>年第三次会议召开，审议通过了《</w:t>
      </w:r>
      <w:r>
        <w:rPr>
          <w:rFonts w:ascii="Times New Roman" w:hAnsi="Times New Roman" w:cs="Times New Roman" w:eastAsia="Times New Roman" w:hint="default"/>
        </w:rPr>
        <w:t>&lt;</w:t>
      </w:r>
      <w:r>
        <w:rPr/>
        <w:t>智度科技股份有限公司</w:t>
      </w:r>
      <w:r>
        <w:rPr>
          <w:rFonts w:ascii="Times New Roman" w:hAnsi="Times New Roman" w:cs="Times New Roman" w:eastAsia="Times New Roman" w:hint="default"/>
        </w:rPr>
        <w:t>2018 </w:t>
      </w:r>
      <w:r>
        <w:rPr/>
        <w:t>年第三季度报告</w:t>
      </w:r>
      <w:r>
        <w:rPr>
          <w:rFonts w:ascii="Times New Roman" w:hAnsi="Times New Roman" w:cs="Times New Roman" w:eastAsia="Times New Roman" w:hint="default"/>
        </w:rPr>
        <w:t>&gt;</w:t>
      </w:r>
      <w:r>
        <w:rPr/>
        <w:t>全文及正文》、《关于会计政策变更的议案》。</w:t>
      </w:r>
    </w:p>
    <w:p>
      <w:pPr>
        <w:pStyle w:val="BodyText"/>
        <w:spacing w:line="338" w:lineRule="auto" w:before="52"/>
        <w:ind w:left="514" w:right="1122"/>
        <w:jc w:val="left"/>
      </w:pPr>
      <w:r>
        <w:rPr>
          <w:rFonts w:ascii="Times New Roman" w:hAnsi="Times New Roman" w:cs="Times New Roman" w:eastAsia="Times New Roman" w:hint="default"/>
        </w:rPr>
        <w:t>2</w:t>
      </w:r>
      <w:r>
        <w:rPr/>
        <w:t>、提名委员会履行职责情况 公司提名委员会由</w:t>
      </w:r>
      <w:r>
        <w:rPr>
          <w:rFonts w:ascii="Times New Roman" w:hAnsi="Times New Roman" w:cs="Times New Roman" w:eastAsia="Times New Roman" w:hint="default"/>
        </w:rPr>
        <w:t>3</w:t>
      </w:r>
      <w:r>
        <w:rPr/>
        <w:t>名董事组成，其中独立董事两名。报告期内，提名委员会对公司董事、监事、高级管理人员</w:t>
      </w:r>
      <w:r>
        <w:rPr>
          <w:rFonts w:ascii="Times New Roman" w:hAnsi="Times New Roman" w:cs="Times New Roman" w:eastAsia="Times New Roman" w:hint="default"/>
        </w:rPr>
        <w:t>2017</w:t>
      </w:r>
      <w:r>
        <w:rPr/>
        <w:t>年</w:t>
      </w:r>
    </w:p>
    <w:p>
      <w:pPr>
        <w:pStyle w:val="BodyText"/>
        <w:spacing w:line="230" w:lineRule="exact"/>
        <w:ind w:right="0"/>
        <w:jc w:val="left"/>
      </w:pPr>
      <w:r>
        <w:rPr/>
        <w:t>配置及</w:t>
      </w:r>
      <w:r>
        <w:rPr>
          <w:rFonts w:ascii="Times New Roman" w:hAnsi="Times New Roman" w:cs="Times New Roman" w:eastAsia="Times New Roman" w:hint="default"/>
        </w:rPr>
        <w:t>2018</w:t>
      </w:r>
      <w:r>
        <w:rPr/>
        <w:t>年需求发表了意见；同时对公司高级管理人员候选人任职资格和任职条件进行审查，对拟任人员的提名、聘任程</w:t>
      </w:r>
    </w:p>
    <w:p>
      <w:pPr>
        <w:pStyle w:val="BodyText"/>
        <w:spacing w:line="319" w:lineRule="auto" w:before="63"/>
        <w:ind w:right="1118"/>
        <w:jc w:val="left"/>
      </w:pPr>
      <w:r>
        <w:rPr>
          <w:spacing w:val="-2"/>
        </w:rPr>
        <w:t>序进行严格的审核并发表审查意见，保证了上述人员任职的合法合规。报告期内，公司提名委员会共召开三次会议，具体情</w:t>
      </w:r>
      <w:r>
        <w:rPr>
          <w:spacing w:val="-66"/>
        </w:rPr>
        <w:t> </w:t>
      </w:r>
      <w:r>
        <w:rPr>
          <w:spacing w:val="-66"/>
        </w:rPr>
      </w:r>
      <w:r>
        <w:rPr/>
        <w:t>况如下：</w:t>
      </w:r>
    </w:p>
    <w:p>
      <w:pPr>
        <w:pStyle w:val="BodyText"/>
        <w:spacing w:line="302" w:lineRule="auto" w:before="56"/>
        <w:ind w:right="1139"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日，第七届董事会提名委员会</w:t>
      </w:r>
      <w:r>
        <w:rPr>
          <w:rFonts w:ascii="Times New Roman" w:hAnsi="Times New Roman" w:cs="Times New Roman" w:eastAsia="Times New Roman" w:hint="default"/>
        </w:rPr>
        <w:t>2018</w:t>
      </w:r>
      <w:r>
        <w:rPr/>
        <w:t>年第一次会议召开，审议通过了《关于公司董事会换届选举非独立 董事的议案》、</w:t>
      </w:r>
      <w:r>
        <w:rPr>
          <w:spacing w:val="-19"/>
        </w:rPr>
        <w:t> </w:t>
      </w:r>
      <w:r>
        <w:rPr/>
        <w:t>《关于公司董事会换届选举独立董事的议案》；</w:t>
      </w:r>
    </w:p>
    <w:p>
      <w:pPr>
        <w:pStyle w:val="BodyText"/>
        <w:spacing w:line="302" w:lineRule="auto" w:before="69"/>
        <w:ind w:right="113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日，第八届董事会提名委员会</w:t>
      </w:r>
      <w:r>
        <w:rPr>
          <w:rFonts w:ascii="Times New Roman" w:hAnsi="Times New Roman" w:cs="Times New Roman" w:eastAsia="Times New Roman" w:hint="default"/>
          <w:spacing w:val="-2"/>
        </w:rPr>
        <w:t>2018</w:t>
      </w:r>
      <w:r>
        <w:rPr>
          <w:spacing w:val="-2"/>
        </w:rPr>
        <w:t>年第一次会议召开，审议通过了《关于审查公司高级管理人员候选</w:t>
      </w:r>
      <w:r>
        <w:rPr/>
        <w:t> 人资格的议案》、</w:t>
      </w:r>
      <w:r>
        <w:rPr>
          <w:spacing w:val="-19"/>
        </w:rPr>
        <w:t> </w:t>
      </w:r>
      <w:r>
        <w:rPr/>
        <w:t>《关于审查公司证券事务代表候选人资格的议案》；</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日，第八届董事会提名委员会</w:t>
      </w:r>
      <w:r>
        <w:rPr>
          <w:rFonts w:ascii="Times New Roman" w:hAnsi="Times New Roman" w:cs="Times New Roman" w:eastAsia="Times New Roman" w:hint="default"/>
          <w:spacing w:val="-2"/>
        </w:rPr>
        <w:t>2018</w:t>
      </w:r>
      <w:r>
        <w:rPr>
          <w:spacing w:val="-2"/>
        </w:rPr>
        <w:t>年第二次会议召开，审议通过了《智度科技股份有限公司关于公司</w:t>
      </w:r>
      <w:r>
        <w:rPr/>
        <w:t> 董事、监事、高级管理人员</w:t>
      </w:r>
      <w:r>
        <w:rPr>
          <w:rFonts w:ascii="Times New Roman" w:hAnsi="Times New Roman" w:cs="Times New Roman" w:eastAsia="Times New Roman" w:hint="default"/>
        </w:rPr>
        <w:t>2017</w:t>
      </w:r>
      <w:r>
        <w:rPr/>
        <w:t>年度配置及</w:t>
      </w:r>
      <w:r>
        <w:rPr>
          <w:rFonts w:ascii="Times New Roman" w:hAnsi="Times New Roman" w:cs="Times New Roman" w:eastAsia="Times New Roman" w:hint="default"/>
        </w:rPr>
        <w:t>2018</w:t>
      </w:r>
      <w:r>
        <w:rPr/>
        <w:t>年需求的议案》。</w:t>
      </w:r>
    </w:p>
    <w:p>
      <w:pPr>
        <w:pStyle w:val="BodyText"/>
        <w:spacing w:line="338" w:lineRule="auto" w:before="50"/>
        <w:ind w:left="514" w:right="1122"/>
        <w:jc w:val="left"/>
      </w:pPr>
      <w:r>
        <w:rPr>
          <w:rFonts w:ascii="Times New Roman" w:hAnsi="Times New Roman" w:cs="Times New Roman" w:eastAsia="Times New Roman" w:hint="default"/>
        </w:rPr>
        <w:t>3</w:t>
      </w:r>
      <w:r>
        <w:rPr/>
        <w:t>、薪酬与考核委员会履行职责情况 公司薪酬与考核委员会由</w:t>
      </w:r>
      <w:r>
        <w:rPr>
          <w:rFonts w:ascii="Times New Roman" w:hAnsi="Times New Roman" w:cs="Times New Roman" w:eastAsia="Times New Roman" w:hint="default"/>
        </w:rPr>
        <w:t>3</w:t>
      </w:r>
      <w:r>
        <w:rPr/>
        <w:t>名董事组成，其中独立董事两名。报告期内，薪酬与考核委员会切实履行职责，审查公司董</w:t>
      </w:r>
    </w:p>
    <w:p>
      <w:pPr>
        <w:pStyle w:val="BodyText"/>
        <w:spacing w:line="217" w:lineRule="exact"/>
        <w:ind w:right="0"/>
        <w:jc w:val="left"/>
      </w:pPr>
      <w:r>
        <w:rPr/>
        <w:t>事（非独立董事）及高级管理人员的履行职责情况并对其进行年度绩效考评；根据董事及高级管理人员管理岗位的范围、职</w:t>
      </w:r>
    </w:p>
    <w:p>
      <w:pPr>
        <w:pStyle w:val="BodyText"/>
        <w:spacing w:line="319" w:lineRule="auto" w:before="76"/>
        <w:ind w:right="0"/>
        <w:jc w:val="left"/>
      </w:pPr>
      <w:r>
        <w:rPr>
          <w:spacing w:val="-4"/>
        </w:rPr>
        <w:t>责、重要性以及其他相关企业相关岗位的薪酬水平制定薪酬计划或方案。报告期内，公司薪酬与考核委员会共召开四次会议，</w:t>
      </w:r>
      <w:r>
        <w:rPr>
          <w:spacing w:val="-44"/>
        </w:rPr>
        <w:t> </w:t>
      </w:r>
      <w:r>
        <w:rPr>
          <w:spacing w:val="-44"/>
        </w:rPr>
      </w:r>
      <w:r>
        <w:rPr/>
        <w:t>具体情况如下：</w:t>
      </w:r>
    </w:p>
    <w:p>
      <w:pPr>
        <w:pStyle w:val="BodyText"/>
        <w:spacing w:line="302" w:lineRule="auto" w:before="55"/>
        <w:ind w:right="1122"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日，第七届董事会薪酬与考核委员会</w:t>
      </w:r>
      <w:r>
        <w:rPr>
          <w:rFonts w:ascii="Times New Roman" w:hAnsi="Times New Roman" w:cs="Times New Roman" w:eastAsia="Times New Roman" w:hint="default"/>
        </w:rPr>
        <w:t>2018</w:t>
      </w:r>
      <w:r>
        <w:rPr/>
        <w:t>年第一次会议召开，审议通过了《关于公司拟任董事、监事 薪酬的议案》；</w:t>
      </w:r>
    </w:p>
    <w:p>
      <w:pPr>
        <w:pStyle w:val="BodyText"/>
        <w:spacing w:line="302" w:lineRule="auto" w:before="68"/>
        <w:ind w:right="0"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日，第八届董事会薪酬与考核委员会</w:t>
      </w:r>
      <w:r>
        <w:rPr>
          <w:rFonts w:ascii="Times New Roman" w:hAnsi="Times New Roman" w:cs="Times New Roman" w:eastAsia="Times New Roman" w:hint="default"/>
          <w:spacing w:val="-2"/>
        </w:rPr>
        <w:t>2018</w:t>
      </w:r>
      <w:r>
        <w:rPr>
          <w:spacing w:val="-2"/>
        </w:rPr>
        <w:t>年第一次会议召开，审议通过了《关于公司拟任高级管理人</w:t>
      </w:r>
      <w:r>
        <w:rPr/>
        <w:t> 员薪酬的议案》；</w:t>
      </w:r>
    </w:p>
    <w:p>
      <w:pPr>
        <w:pStyle w:val="BodyText"/>
        <w:spacing w:line="302" w:lineRule="auto" w:before="69"/>
        <w:ind w:right="0" w:firstLine="360"/>
        <w:jc w:val="left"/>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25</w:t>
      </w:r>
      <w:r>
        <w:rPr>
          <w:spacing w:val="-5"/>
        </w:rPr>
        <w:t>日，第八届董事会薪酬与考核委员会</w:t>
      </w:r>
      <w:r>
        <w:rPr>
          <w:rFonts w:ascii="Times New Roman" w:hAnsi="Times New Roman" w:cs="Times New Roman" w:eastAsia="Times New Roman" w:hint="default"/>
          <w:spacing w:val="-5"/>
        </w:rPr>
        <w:t>2018</w:t>
      </w:r>
      <w:r>
        <w:rPr>
          <w:spacing w:val="-5"/>
        </w:rPr>
        <w:t>年第二次会议召开，审议通过了《智度科技股份有限公司</w:t>
      </w:r>
      <w:r>
        <w:rPr>
          <w:rFonts w:ascii="Times New Roman" w:hAnsi="Times New Roman" w:cs="Times New Roman" w:eastAsia="Times New Roman" w:hint="default"/>
          <w:spacing w:val="-5"/>
        </w:rPr>
        <w:t>2018</w:t>
      </w:r>
      <w:r>
        <w:rPr>
          <w:rFonts w:ascii="Times New Roman" w:hAnsi="Times New Roman" w:cs="Times New Roman" w:eastAsia="Times New Roman" w:hint="default"/>
        </w:rPr>
        <w:t> </w:t>
      </w:r>
      <w:r>
        <w:rPr/>
        <w:t>年度董事、监事及高级管理人员薪酬方案》；</w:t>
      </w:r>
    </w:p>
    <w:p>
      <w:pPr>
        <w:pStyle w:val="BodyText"/>
        <w:spacing w:line="300" w:lineRule="auto" w:before="68"/>
        <w:ind w:right="1205"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日，第八届董事会薪酬与考核委员会</w:t>
      </w:r>
      <w:r>
        <w:rPr>
          <w:rFonts w:ascii="Times New Roman" w:hAnsi="Times New Roman" w:cs="Times New Roman" w:eastAsia="Times New Roman" w:hint="default"/>
        </w:rPr>
        <w:t>2018</w:t>
      </w:r>
      <w:r>
        <w:rPr/>
        <w:t>年第三次会议召开，审议通过了《关于</w:t>
      </w:r>
      <w:r>
        <w:rPr>
          <w:rFonts w:ascii="Times New Roman" w:hAnsi="Times New Roman" w:cs="Times New Roman" w:eastAsia="Times New Roman" w:hint="default"/>
        </w:rPr>
        <w:t>&lt;</w:t>
      </w:r>
      <w:r>
        <w:rPr/>
        <w:t>智度科技股份有 限公司</w:t>
      </w:r>
      <w:r>
        <w:rPr>
          <w:rFonts w:ascii="Times New Roman" w:hAnsi="Times New Roman" w:cs="Times New Roman" w:eastAsia="Times New Roman" w:hint="default"/>
        </w:rPr>
        <w:t>2018</w:t>
      </w:r>
      <w:r>
        <w:rPr/>
        <w:t>年度限制性股票激励计划（草案）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智度科技股份有限公司</w:t>
      </w:r>
      <w:r>
        <w:rPr>
          <w:rFonts w:ascii="Times New Roman" w:hAnsi="Times New Roman" w:cs="Times New Roman" w:eastAsia="Times New Roman" w:hint="default"/>
        </w:rPr>
        <w:t>2018</w:t>
      </w:r>
      <w:r>
        <w:rPr/>
        <w:t>年度限制性股票激 励计划实施考核管理办法</w:t>
      </w:r>
      <w:r>
        <w:rPr>
          <w:rFonts w:ascii="Times New Roman" w:hAnsi="Times New Roman" w:cs="Times New Roman" w:eastAsia="Times New Roman" w:hint="default"/>
        </w:rPr>
        <w:t>&gt;</w:t>
      </w:r>
      <w:r>
        <w:rPr/>
        <w:t>的议案》。</w:t>
      </w:r>
    </w:p>
    <w:p>
      <w:pPr>
        <w:pStyle w:val="BodyText"/>
        <w:spacing w:line="300" w:lineRule="auto" w:before="51"/>
        <w:ind w:right="0" w:firstLine="360"/>
        <w:jc w:val="left"/>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日，第八届董事会薪酬与考核委员会</w:t>
      </w:r>
      <w:r>
        <w:rPr>
          <w:rFonts w:ascii="Times New Roman" w:hAnsi="Times New Roman" w:cs="Times New Roman" w:eastAsia="Times New Roman" w:hint="default"/>
          <w:spacing w:val="-1"/>
        </w:rPr>
        <w:t>2018</w:t>
      </w:r>
      <w:r>
        <w:rPr>
          <w:spacing w:val="-1"/>
        </w:rPr>
        <w:t>年第四次会议召开，审议通过了《关于</w:t>
      </w:r>
      <w:r>
        <w:rPr>
          <w:rFonts w:ascii="Times New Roman" w:hAnsi="Times New Roman" w:cs="Times New Roman" w:eastAsia="Times New Roman" w:hint="default"/>
          <w:spacing w:val="-1"/>
        </w:rPr>
        <w:t>&lt;</w:t>
      </w:r>
      <w:r>
        <w:rPr>
          <w:spacing w:val="-1"/>
        </w:rPr>
        <w:t>智度科技股份有限</w:t>
      </w:r>
      <w:r>
        <w:rPr/>
        <w:t> 公司</w:t>
      </w:r>
      <w:r>
        <w:rPr>
          <w:rFonts w:ascii="Times New Roman" w:hAnsi="Times New Roman" w:cs="Times New Roman" w:eastAsia="Times New Roman" w:hint="default"/>
        </w:rPr>
        <w:t>2018</w:t>
      </w:r>
      <w:r>
        <w:rPr/>
        <w:t>年度股票期权激励计划（草案）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智度科技股份有限公司</w:t>
      </w:r>
      <w:r>
        <w:rPr>
          <w:rFonts w:ascii="Times New Roman" w:hAnsi="Times New Roman" w:cs="Times New Roman" w:eastAsia="Times New Roman" w:hint="default"/>
        </w:rPr>
        <w:t>2018</w:t>
      </w:r>
      <w:r>
        <w:rPr/>
        <w:t>年度股票期权激励计划 实施考核管理办法</w:t>
      </w:r>
      <w:r>
        <w:rPr>
          <w:rFonts w:ascii="Times New Roman" w:hAnsi="Times New Roman" w:cs="Times New Roman" w:eastAsia="Times New Roman" w:hint="default"/>
        </w:rPr>
        <w:t>&gt;</w:t>
      </w:r>
      <w:r>
        <w:rPr/>
        <w:t>的议案》。</w:t>
      </w:r>
    </w:p>
    <w:p>
      <w:pPr>
        <w:pStyle w:val="BodyText"/>
        <w:spacing w:line="338" w:lineRule="auto" w:before="53"/>
        <w:ind w:left="514" w:right="1302"/>
        <w:jc w:val="left"/>
      </w:pPr>
      <w:r>
        <w:rPr>
          <w:rFonts w:ascii="Times New Roman" w:hAnsi="Times New Roman" w:cs="Times New Roman" w:eastAsia="Times New Roman" w:hint="default"/>
        </w:rPr>
        <w:t>4</w:t>
      </w:r>
      <w:r>
        <w:rPr/>
        <w:t>、战略委员会履行职责情况 公司战略委员会由</w:t>
      </w:r>
      <w:r>
        <w:rPr>
          <w:rFonts w:ascii="Times New Roman" w:hAnsi="Times New Roman" w:cs="Times New Roman" w:eastAsia="Times New Roman" w:hint="default"/>
        </w:rPr>
        <w:t>3</w:t>
      </w:r>
      <w:r>
        <w:rPr/>
        <w:t>名董事组成，其中独立董事两名。报告期内，公司战略委员会共召开两次会议，具体情况如下：</w:t>
      </w:r>
    </w:p>
    <w:p>
      <w:pPr>
        <w:pStyle w:val="BodyText"/>
        <w:spacing w:line="240" w:lineRule="auto" w:before="21"/>
        <w:ind w:left="51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日，第八届董事会战略委员会</w:t>
      </w:r>
      <w:r>
        <w:rPr>
          <w:rFonts w:ascii="Times New Roman" w:hAnsi="Times New Roman" w:cs="Times New Roman" w:eastAsia="Times New Roman" w:hint="default"/>
        </w:rPr>
        <w:t>2018</w:t>
      </w:r>
      <w:r>
        <w:rPr/>
        <w:t>年第一次会议召开，审议通过了《</w:t>
      </w:r>
      <w:r>
        <w:rPr>
          <w:rFonts w:ascii="Times New Roman" w:hAnsi="Times New Roman" w:cs="Times New Roman" w:eastAsia="Times New Roman" w:hint="default"/>
        </w:rPr>
        <w:t>2017</w:t>
      </w:r>
      <w:r>
        <w:rPr/>
        <w:t>年公司发展战略》；</w:t>
      </w:r>
    </w:p>
    <w:p>
      <w:pPr>
        <w:pStyle w:val="BodyText"/>
        <w:spacing w:line="302" w:lineRule="auto" w:before="102"/>
        <w:ind w:right="1118"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日，第八届董事会战略委员会</w:t>
      </w:r>
      <w:r>
        <w:rPr>
          <w:rFonts w:ascii="Times New Roman" w:hAnsi="Times New Roman" w:cs="Times New Roman" w:eastAsia="Times New Roman" w:hint="default"/>
          <w:spacing w:val="-2"/>
        </w:rPr>
        <w:t>2018</w:t>
      </w:r>
      <w:r>
        <w:rPr>
          <w:spacing w:val="-2"/>
        </w:rPr>
        <w:t>年第二次会议召开，审议通过了《关于投资设立保险经纪公司的议</w:t>
      </w:r>
      <w:r>
        <w:rPr/>
        <w:t> 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0"/>
        <w:ind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公司高度重视对高级管理人员的绩效考评工作，建立了比较完善的薪酬考核制度，成立了董事会薪酬与考核委员会，对</w:t>
      </w:r>
      <w:r>
        <w:rPr/>
        <w:t> </w:t>
      </w:r>
      <w:r>
        <w:rPr>
          <w:spacing w:val="-2"/>
        </w:rPr>
        <w:t>公司高级管理人员进行考评。高级管理人员的绩效考核由董事会负责，根据公司的经营业绩，高级管理人员的工作职责和工</w:t>
      </w:r>
      <w:r>
        <w:rPr>
          <w:spacing w:val="-65"/>
        </w:rPr>
        <w:t> </w:t>
      </w:r>
      <w:r>
        <w:rPr>
          <w:spacing w:val="-65"/>
        </w:rPr>
      </w:r>
      <w:r>
        <w:rPr/>
        <w:t>作结果等综合考核确定。</w:t>
      </w:r>
    </w:p>
    <w:p>
      <w:pPr>
        <w:pStyle w:val="BodyText"/>
        <w:spacing w:line="300" w:lineRule="auto" w:before="55"/>
        <w:ind w:right="1118" w:firstLine="360"/>
        <w:jc w:val="left"/>
      </w:pPr>
      <w:r>
        <w:rPr/>
        <w:t>根据公司股东大会审议通过的《关于</w:t>
      </w:r>
      <w:r>
        <w:rPr>
          <w:rFonts w:ascii="Times New Roman" w:hAnsi="Times New Roman" w:cs="Times New Roman" w:eastAsia="Times New Roman" w:hint="default"/>
        </w:rPr>
        <w:t>&lt;</w:t>
      </w:r>
      <w:r>
        <w:rPr/>
        <w:t>公司</w:t>
      </w:r>
      <w:r>
        <w:rPr>
          <w:spacing w:val="-19"/>
        </w:rPr>
        <w:t> </w:t>
      </w:r>
      <w:r>
        <w:rPr>
          <w:rFonts w:ascii="Times New Roman" w:hAnsi="Times New Roman" w:cs="Times New Roman" w:eastAsia="Times New Roman" w:hint="default"/>
        </w:rPr>
        <w:t>2018</w:t>
      </w:r>
      <w:r>
        <w:rPr/>
        <w:t>年度限制性股票激励计划（草案）</w:t>
      </w:r>
      <w:r>
        <w:rPr>
          <w:rFonts w:ascii="Times New Roman" w:hAnsi="Times New Roman" w:cs="Times New Roman" w:eastAsia="Times New Roman" w:hint="default"/>
        </w:rPr>
        <w:t>&gt;</w:t>
      </w:r>
      <w:r>
        <w:rPr/>
        <w:t>及其摘要的议案》等相关议案和授 </w:t>
      </w:r>
      <w:r>
        <w:rPr>
          <w:spacing w:val="-2"/>
        </w:rPr>
        <w:t>权，公司于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日召开的第八届董事会第十次会议审议通过了《关于向</w:t>
      </w:r>
      <w:r>
        <w:rPr>
          <w:rFonts w:ascii="Times New Roman" w:hAnsi="Times New Roman" w:cs="Times New Roman" w:eastAsia="Times New Roman" w:hint="default"/>
          <w:spacing w:val="-2"/>
        </w:rPr>
        <w:t>2018</w:t>
      </w:r>
      <w:r>
        <w:rPr>
          <w:spacing w:val="-2"/>
        </w:rPr>
        <w:t>年度限制性股票激励计划的激励对象授</w:t>
      </w:r>
      <w:r>
        <w:rPr>
          <w:spacing w:val="-52"/>
        </w:rPr>
        <w:t> </w:t>
      </w:r>
      <w:r>
        <w:rPr/>
        <w:t>予限制性股票的议案》，向</w:t>
      </w:r>
      <w:r>
        <w:rPr>
          <w:rFonts w:ascii="Times New Roman" w:hAnsi="Times New Roman" w:cs="Times New Roman" w:eastAsia="Times New Roman" w:hint="default"/>
        </w:rPr>
        <w:t>42</w:t>
      </w:r>
      <w:r>
        <w:rPr/>
        <w:t>名公司员工授予限制性股票合计</w:t>
      </w:r>
      <w:r>
        <w:rPr>
          <w:rFonts w:ascii="Times New Roman" w:hAnsi="Times New Roman" w:cs="Times New Roman" w:eastAsia="Times New Roman" w:hint="default"/>
        </w:rPr>
        <w:t>54,289,293</w:t>
      </w:r>
      <w:r>
        <w:rPr/>
        <w:t>股，其中向公司高级管理人员授予限制性股票合计 </w:t>
      </w:r>
      <w:r>
        <w:rPr>
          <w:rFonts w:ascii="Times New Roman" w:hAnsi="Times New Roman" w:cs="Times New Roman" w:eastAsia="Times New Roman" w:hint="default"/>
        </w:rPr>
        <w:t>7,768,537</w:t>
      </w:r>
      <w:r>
        <w:rPr/>
        <w:t>股，占激励计划授予限制性股票总数的</w:t>
      </w:r>
      <w:r>
        <w:rPr>
          <w:rFonts w:ascii="Times New Roman" w:hAnsi="Times New Roman" w:cs="Times New Roman" w:eastAsia="Times New Roman" w:hint="default"/>
        </w:rPr>
        <w:t>14.31%</w:t>
      </w:r>
      <w:r>
        <w:rPr/>
        <w:t>，此举将充分调动公司高级管理人员的主动性、积极性和创造性。 截至目前，公司董事会已经实施并完成了</w:t>
      </w:r>
      <w:r>
        <w:rPr>
          <w:rFonts w:ascii="Times New Roman" w:hAnsi="Times New Roman" w:cs="Times New Roman" w:eastAsia="Times New Roman" w:hint="default"/>
        </w:rPr>
        <w:t>2018</w:t>
      </w:r>
      <w:r>
        <w:rPr/>
        <w:t>年度限制性股票激励计划（以下简称</w:t>
      </w:r>
      <w:r>
        <w:rPr>
          <w:rFonts w:ascii="Times New Roman" w:hAnsi="Times New Roman" w:cs="Times New Roman" w:eastAsia="Times New Roman" w:hint="default"/>
        </w:rPr>
        <w:t>“</w:t>
      </w:r>
      <w:r>
        <w:rPr/>
        <w:t>激励计划</w:t>
      </w:r>
      <w:r>
        <w:rPr>
          <w:rFonts w:ascii="Times New Roman" w:hAnsi="Times New Roman" w:cs="Times New Roman" w:eastAsia="Times New Roman" w:hint="default"/>
        </w:rPr>
        <w:t>”</w:t>
      </w:r>
      <w:r>
        <w:rPr/>
        <w:t>）的授予登记工作。</w:t>
      </w:r>
    </w:p>
    <w:p>
      <w:pPr>
        <w:spacing w:after="0" w:line="30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383.980011pt;margin-top:478.23999pt;width:149.8pt;height:15.6pt;mso-position-horizontal-relative:page;mso-position-vertical-relative:page;z-index:-1264168" coordorigin="7680,9565" coordsize="2996,312">
            <v:shape style="position:absolute;left:7680;top:9565;width:2996;height:312" coordorigin="7680,9565" coordsize="2996,312" path="m7680,9877l10675,9877,10675,9565,7680,9565,7680,9877xe" filled="true" fillcolor="#ffffff" stroked="false">
              <v:path arrowok="t"/>
              <v:fill type="solid"/>
            </v:shape>
            <w10:wrap type="none"/>
          </v:group>
        </w:pict>
      </w:r>
    </w:p>
    <w:p>
      <w:pPr>
        <w:pStyle w:val="Heading2"/>
        <w:spacing w:line="240" w:lineRule="auto" w:before="26"/>
        <w:ind w:right="0"/>
        <w:jc w:val="left"/>
        <w:rPr>
          <w:b w:val="0"/>
          <w:bCs w:val="0"/>
        </w:rPr>
      </w:pPr>
      <w:bookmarkStart w:name="九、内部控制情况" w:id="154"/>
      <w:bookmarkEnd w:id="154"/>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6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年度内部控制 评价报告》</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 控制评价报告》</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87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4" w:lineRule="auto" w:before="52"/>
              <w:ind w:left="22" w:right="-46"/>
              <w:jc w:val="left"/>
              <w:rPr>
                <w:rFonts w:ascii="宋体" w:hAnsi="宋体" w:cs="宋体" w:eastAsia="宋体" w:hint="default"/>
                <w:sz w:val="18"/>
                <w:szCs w:val="18"/>
              </w:rPr>
            </w:pPr>
            <w:r>
              <w:rPr>
                <w:rFonts w:ascii="宋体" w:hAnsi="宋体" w:cs="宋体" w:eastAsia="宋体" w:hint="default"/>
                <w:sz w:val="18"/>
                <w:szCs w:val="18"/>
              </w:rPr>
              <w:t>公司首先明确了对财务指标有多大影响， 对于公司来说是达到重要性水平，具体如 为：总资产、净资产、主营业务收入的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。其次，对内部控制 缺陷可能导致或已经导致的财务报表中某 科目的错报、漏报或者损失的影响金额进 </w:t>
            </w:r>
            <w:r>
              <w:rPr>
                <w:rFonts w:ascii="宋体" w:hAnsi="宋体" w:cs="宋体" w:eastAsia="宋体" w:hint="default"/>
                <w:spacing w:val="-6"/>
                <w:sz w:val="18"/>
                <w:szCs w:val="18"/>
              </w:rPr>
              <w:t>行分析，即内部控制缺陷影响额进行分析，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以该数据占企业整体重要性水平的比重判</w:t>
            </w:r>
            <w:r>
              <w:rPr>
                <w:rFonts w:ascii="宋体" w:hAnsi="宋体" w:cs="宋体" w:eastAsia="宋体" w:hint="default"/>
                <w:sz w:val="18"/>
                <w:szCs w:val="18"/>
              </w:rPr>
              <w:t> 定内部控制缺陷的类型，如大于整体重要 </w:t>
            </w:r>
            <w:r>
              <w:rPr>
                <w:rFonts w:ascii="宋体" w:hAnsi="宋体" w:cs="宋体" w:eastAsia="宋体" w:hint="default"/>
                <w:spacing w:val="-5"/>
                <w:sz w:val="18"/>
                <w:szCs w:val="18"/>
              </w:rPr>
              <w:t>性水平的认定为重大缺陷（实质性漏洞）；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占整体重要性比例的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20%-100%</w:t>
            </w:r>
            <w:r>
              <w:rPr>
                <w:rFonts w:ascii="宋体" w:hAnsi="宋体" w:cs="宋体" w:eastAsia="宋体" w:hint="default"/>
                <w:sz w:val="18"/>
                <w:szCs w:val="18"/>
              </w:rPr>
              <w:t>认定为重 要缺陷；小于整体重要性水平的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的认 定为一般缺陷。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23"/>
              <w:ind w:left="16" w:right="46"/>
              <w:jc w:val="left"/>
              <w:rPr>
                <w:rFonts w:ascii="宋体" w:hAnsi="宋体" w:cs="宋体" w:eastAsia="宋体" w:hint="default"/>
                <w:sz w:val="18"/>
                <w:szCs w:val="18"/>
              </w:rPr>
            </w:pPr>
            <w:r>
              <w:rPr>
                <w:rFonts w:ascii="宋体" w:hAnsi="宋体" w:cs="宋体" w:eastAsia="宋体" w:hint="default"/>
                <w:sz w:val="18"/>
                <w:szCs w:val="18"/>
              </w:rPr>
              <w:t>直接损失金额＜合并报表资产总额的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的为一般缺陷；合并报表资产总额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直接损失金额＜合并报表资产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为重要缺陷；直接损失金额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为重大缺陷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877"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382.839996pt;margin-top:-155.204376pt;width:152.1pt;height:62.4pt;mso-position-horizontal-relative:page;mso-position-vertical-relative:paragraph;z-index:-1264192" coordorigin="7657,-3104" coordsize="3042,1248">
            <v:shape style="position:absolute;left:7657;top:-3104;width:3042;height:1248" coordorigin="7657,-3104" coordsize="3042,1248" path="m7657,-1856l10698,-1856,10698,-3104,7657,-3104,7657,-1856xe" filled="true" fillcolor="#ffffff" stroked="false">
              <v:path arrowok="t"/>
              <v:fill type="solid"/>
            </v:shape>
            <w10:wrap type="none"/>
          </v:group>
        </w:pict>
      </w:r>
      <w:bookmarkStart w:name="十、内部控制审计报告" w:id="157"/>
      <w:bookmarkEnd w:id="157"/>
      <w:r>
        <w:rPr>
          <w:b w:val="0"/>
          <w:bCs w:val="0"/>
        </w:rPr>
      </w:r>
      <w:r>
        <w:rPr/>
        <w:t>十、内部控制审计报告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2d2d2" stroked="true" strokeweight=".48004pt" strokecolor="#000000">
            <w10:anchorlock/>
            <v:textbox inset="0,0,0,0">
              <w:txbxContent>
                <w:p>
                  <w:pPr>
                    <w:pStyle w:val="BodyText"/>
                    <w:spacing w:line="240" w:lineRule="auto" w:before="51"/>
                    <w:ind w:left="-1" w:right="1"/>
                    <w:jc w:val="center"/>
                  </w:pPr>
                  <w:r>
                    <w:rPr/>
                    <w:t>内部控制审计报告中的审议意见段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致同会计师事务所（特殊普通合伙）认为，智度股份公司于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 定在所有重大方面保持了有效的财务报告内部控制。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8"/>
      <w:bookmarkStart w:name="第十节 公司债券相关情况" w:id="159"/>
      <w:r>
        <w:rPr>
          <w:b w:val="0"/>
          <w:bCs w:val="0"/>
        </w:rPr>
      </w:r>
      <w:r>
        <w:rPr/>
        <w:t>第十节</w:t>
      </w:r>
      <w:r>
        <w:rPr>
          <w:spacing w:val="-9"/>
        </w:rPr>
        <w:t> </w:t>
      </w:r>
      <w:r>
        <w:rPr/>
        <w:t>公司债券相关情况</w:t>
      </w:r>
      <w:bookmarkEnd w:id="15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60"/>
      <w:bookmarkStart w:name="第十一节 财务报告" w:id="161"/>
      <w:r>
        <w:rPr>
          <w:b w:val="0"/>
          <w:bCs w:val="0"/>
        </w:rPr>
      </w:r>
      <w:r>
        <w:rPr/>
        <w:t>第十一节</w:t>
      </w:r>
      <w:r>
        <w:rPr>
          <w:spacing w:val="-6"/>
        </w:rPr>
        <w:t> </w:t>
      </w:r>
      <w:r>
        <w:rPr/>
        <w:t>财务报告</w:t>
      </w:r>
      <w:bookmarkEnd w:id="16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2"/>
      <w:bookmarkEnd w:id="16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110ZA4286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倪军  董阳阳</w:t>
            </w:r>
          </w:p>
        </w:tc>
      </w:tr>
    </w:tbl>
    <w:p>
      <w:pPr>
        <w:pStyle w:val="BodyText"/>
        <w:spacing w:line="240" w:lineRule="auto" w:before="51"/>
        <w:ind w:left="3147" w:right="4123"/>
        <w:jc w:val="center"/>
      </w:pPr>
      <w:r>
        <w:rPr/>
        <w:t>审计报告正文</w:t>
      </w:r>
    </w:p>
    <w:p>
      <w:pPr>
        <w:spacing w:line="240" w:lineRule="auto" w:before="7"/>
        <w:rPr>
          <w:rFonts w:ascii="宋体" w:hAnsi="宋体" w:cs="宋体" w:eastAsia="宋体" w:hint="default"/>
          <w:sz w:val="11"/>
          <w:szCs w:val="11"/>
        </w:rPr>
      </w:pPr>
    </w:p>
    <w:p>
      <w:pPr>
        <w:pStyle w:val="Heading8"/>
        <w:spacing w:line="439" w:lineRule="auto" w:before="44"/>
        <w:ind w:left="634" w:right="8041" w:hanging="480"/>
        <w:jc w:val="left"/>
        <w:rPr>
          <w:b w:val="0"/>
          <w:bCs w:val="0"/>
        </w:rPr>
      </w:pPr>
      <w:r>
        <w:rPr/>
        <w:t>智度科技股份有限公司全体股东：</w:t>
      </w:r>
      <w:r>
        <w:rPr>
          <w:w w:val="99"/>
        </w:rPr>
        <w:t> </w:t>
      </w:r>
      <w:r>
        <w:rPr/>
        <w:t>一、审计意见</w:t>
      </w:r>
      <w:r>
        <w:rPr>
          <w:b w:val="0"/>
          <w:bCs w:val="0"/>
        </w:rPr>
      </w:r>
    </w:p>
    <w:p>
      <w:pPr>
        <w:pStyle w:val="BodyText"/>
        <w:spacing w:line="300" w:lineRule="auto" w:before="47"/>
        <w:ind w:right="1112" w:firstLine="480"/>
        <w:jc w:val="left"/>
      </w:pPr>
      <w:r>
        <w:rPr/>
        <w:t>我们审计了智度科技股份有限公司（以下简称</w:t>
      </w:r>
      <w:r>
        <w:rPr>
          <w:rFonts w:ascii="Times New Roman" w:hAnsi="Times New Roman" w:cs="Times New Roman" w:eastAsia="Times New Roman" w:hint="default"/>
        </w:rPr>
        <w:t>“</w:t>
      </w:r>
      <w:r>
        <w:rPr/>
        <w:t>智度股份公司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 债表，</w:t>
      </w:r>
      <w:r>
        <w:rPr>
          <w:rFonts w:ascii="Times New Roman" w:hAnsi="Times New Roman" w:cs="Times New Roman" w:eastAsia="Times New Roman" w:hint="default"/>
        </w:rPr>
        <w:t>2018</w:t>
      </w:r>
      <w:r>
        <w:rPr/>
        <w:t>年度的合并及公司利润表、合并及公司现金流量表、合并及公司股东权益变动表以及相关财务报表附注。</w:t>
      </w:r>
    </w:p>
    <w:p>
      <w:pPr>
        <w:pStyle w:val="BodyText"/>
        <w:spacing w:line="300" w:lineRule="auto" w:before="133"/>
        <w:ind w:right="0" w:firstLine="480"/>
        <w:jc w:val="left"/>
      </w:pPr>
      <w:r>
        <w:rPr>
          <w:spacing w:val="-1"/>
        </w:rPr>
        <w:t>我们认为，后附的财务报表在所有重大方面按照企业会计准则的规定编制，公允反映了智度股份公司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的合并及公司财务状况以及</w:t>
      </w:r>
      <w:r>
        <w:rPr>
          <w:rFonts w:ascii="Times New Roman" w:hAnsi="Times New Roman" w:cs="Times New Roman" w:eastAsia="Times New Roman" w:hint="default"/>
        </w:rPr>
        <w:t>2018</w:t>
      </w:r>
      <w:r>
        <w:rPr/>
        <w:t>年度的合并及公司的经营成果和现金流量。</w:t>
      </w:r>
    </w:p>
    <w:p>
      <w:pPr>
        <w:pStyle w:val="Heading8"/>
        <w:spacing w:line="240" w:lineRule="auto" w:before="133"/>
        <w:ind w:left="634" w:right="0"/>
        <w:jc w:val="left"/>
        <w:rPr>
          <w:b w:val="0"/>
          <w:bCs w:val="0"/>
        </w:rPr>
      </w:pPr>
      <w:r>
        <w:rPr/>
        <w:t>二、形成审计意见的基础</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130" w:firstLine="496"/>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w:t>
      </w:r>
      <w:r>
        <w:rPr/>
        <w:t> </w:t>
      </w:r>
      <w:r>
        <w:rPr>
          <w:spacing w:val="-2"/>
        </w:rPr>
        <w:t>步阐述了我们在这些准则下的责任。按照中国注册会计师职业道德守则，我们独立于智度股份公司，并履行了职业道德方面</w:t>
      </w:r>
      <w:r>
        <w:rPr>
          <w:spacing w:val="-66"/>
        </w:rPr>
        <w:t> </w:t>
      </w:r>
      <w:r>
        <w:rPr>
          <w:spacing w:val="-66"/>
        </w:rPr>
      </w:r>
      <w:r>
        <w:rPr/>
        <w:t>的其他责任。我们相信，我们获取的审计证据是充分、适当的，为发表审计意见提供了基础。</w:t>
      </w:r>
    </w:p>
    <w:p>
      <w:pPr>
        <w:pStyle w:val="BodyText"/>
        <w:spacing w:line="432" w:lineRule="exact" w:before="9"/>
        <w:ind w:left="650" w:right="1127" w:hanging="16"/>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5"/>
        <w:ind w:right="0"/>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27" w:lineRule="auto"/>
        <w:ind w:left="650" w:right="4766"/>
        <w:jc w:val="left"/>
      </w:pPr>
      <w:r>
        <w:rPr/>
        <w:t>（一）收入确认 相关信息披露详见财务报表附注三、</w:t>
      </w:r>
      <w:r>
        <w:rPr>
          <w:rFonts w:ascii="Times New Roman" w:hAnsi="Times New Roman" w:cs="Times New Roman" w:eastAsia="Times New Roman" w:hint="default"/>
        </w:rPr>
        <w:t>25</w:t>
      </w:r>
      <w:r>
        <w:rPr/>
        <w:t>，附注五、</w:t>
      </w:r>
      <w:r>
        <w:rPr>
          <w:rFonts w:ascii="Times New Roman" w:hAnsi="Times New Roman" w:cs="Times New Roman" w:eastAsia="Times New Roman" w:hint="default"/>
        </w:rPr>
        <w:t>36</w:t>
      </w:r>
      <w:r>
        <w:rPr/>
        <w:t>及附注十四、</w:t>
      </w:r>
      <w:r>
        <w:rPr>
          <w:rFonts w:ascii="Times New Roman" w:hAnsi="Times New Roman" w:cs="Times New Roman" w:eastAsia="Times New Roman" w:hint="default"/>
        </w:rPr>
        <w:t>1</w:t>
      </w:r>
      <w:r>
        <w:rPr/>
        <w:t>。 </w:t>
      </w:r>
      <w:r>
        <w:rPr>
          <w:rFonts w:ascii="Times New Roman" w:hAnsi="Times New Roman" w:cs="Times New Roman" w:eastAsia="Times New Roman" w:hint="default"/>
        </w:rPr>
        <w:t>1</w:t>
      </w:r>
      <w:r>
        <w:rPr/>
        <w:t>、事项描述</w:t>
      </w:r>
    </w:p>
    <w:p>
      <w:pPr>
        <w:pStyle w:val="BodyText"/>
        <w:spacing w:line="240" w:lineRule="auto" w:before="27"/>
        <w:ind w:left="650" w:right="0"/>
        <w:jc w:val="left"/>
      </w:pPr>
      <w:r>
        <w:rPr>
          <w:spacing w:val="5"/>
        </w:rPr>
        <w:t>智度股份公司</w:t>
      </w:r>
      <w:r>
        <w:rPr>
          <w:rFonts w:ascii="Times New Roman" w:hAnsi="Times New Roman" w:cs="Times New Roman" w:eastAsia="Times New Roman" w:hint="default"/>
          <w:spacing w:val="5"/>
        </w:rPr>
        <w:t>2018</w:t>
      </w:r>
      <w:r>
        <w:rPr>
          <w:spacing w:val="5"/>
        </w:rPr>
        <w:t>年度收入主要来自于</w:t>
      </w:r>
      <w:r>
        <w:rPr>
          <w:rFonts w:ascii="Times New Roman" w:hAnsi="Times New Roman" w:cs="Times New Roman" w:eastAsia="Times New Roman" w:hint="default"/>
          <w:spacing w:val="5"/>
        </w:rPr>
        <w:t>2016</w:t>
      </w:r>
      <w:r>
        <w:rPr>
          <w:spacing w:val="5"/>
        </w:rPr>
        <w:t>年收购的上海猎鹰网络有限公司、上海智度亦复信息技术有限公司及</w:t>
      </w:r>
    </w:p>
    <w:p>
      <w:pPr>
        <w:pStyle w:val="BodyText"/>
        <w:spacing w:line="415" w:lineRule="auto" w:before="63"/>
        <w:ind w:left="650" w:right="1127" w:hanging="496"/>
        <w:jc w:val="left"/>
      </w:pPr>
      <w:r>
        <w:rPr>
          <w:rFonts w:ascii="Times New Roman" w:hAnsi="Times New Roman" w:cs="Times New Roman" w:eastAsia="Times New Roman" w:hint="default"/>
        </w:rPr>
        <w:t>Spigot, Inc.</w:t>
      </w:r>
      <w:r>
        <w:rPr/>
        <w:t>等三家子公司从事的互联网媒体业务、数字营销业务及其他业务。</w:t>
      </w:r>
      <w:r>
        <w:rPr>
          <w:w w:val="99"/>
        </w:rPr>
        <w:t> </w:t>
      </w:r>
      <w:r>
        <w:rPr>
          <w:spacing w:val="-1"/>
        </w:rPr>
        <w:t>由于营业收入是智度股份公司关键业绩指标之一，收入的发生和完整性，会对经营成果产生重大影响；且上述三家公</w:t>
      </w:r>
    </w:p>
    <w:p>
      <w:pPr>
        <w:pStyle w:val="BodyText"/>
        <w:spacing w:line="194" w:lineRule="exact"/>
        <w:ind w:right="0"/>
        <w:jc w:val="left"/>
      </w:pPr>
      <w:r>
        <w:rPr/>
        <w:t>司在</w:t>
      </w:r>
      <w:r>
        <w:rPr>
          <w:rFonts w:ascii="Times New Roman" w:hAnsi="Times New Roman" w:cs="Times New Roman" w:eastAsia="Times New Roman" w:hint="default"/>
        </w:rPr>
        <w:t>2018</w:t>
      </w:r>
      <w:r>
        <w:rPr/>
        <w:t>年度处于业绩承诺期间，使得收入存在可能被确认于不正确的期间或被操控以达到目标的固有风险，因此我们将收</w:t>
      </w:r>
    </w:p>
    <w:p>
      <w:pPr>
        <w:pStyle w:val="BodyText"/>
        <w:spacing w:line="240" w:lineRule="auto" w:before="63"/>
        <w:ind w:right="0"/>
        <w:jc w:val="left"/>
      </w:pPr>
      <w:r>
        <w:rPr/>
        <w:t>入确认识别为关键审计事项。</w:t>
      </w:r>
    </w:p>
    <w:p>
      <w:pPr>
        <w:spacing w:line="240" w:lineRule="auto" w:before="1"/>
        <w:rPr>
          <w:rFonts w:ascii="宋体" w:hAnsi="宋体" w:cs="宋体" w:eastAsia="宋体" w:hint="default"/>
          <w:sz w:val="15"/>
          <w:szCs w:val="15"/>
        </w:rPr>
      </w:pPr>
    </w:p>
    <w:p>
      <w:pPr>
        <w:pStyle w:val="BodyText"/>
        <w:spacing w:line="415" w:lineRule="auto"/>
        <w:ind w:left="650" w:right="6836"/>
        <w:jc w:val="left"/>
      </w:pPr>
      <w:r>
        <w:rPr>
          <w:rFonts w:ascii="Times New Roman" w:hAnsi="Times New Roman" w:cs="Times New Roman" w:eastAsia="Times New Roman" w:hint="default"/>
        </w:rPr>
        <w:t>2</w:t>
      </w:r>
      <w:r>
        <w:rPr/>
        <w:t>、审计应对 我们对收入确认执行的审计程序主要包括：</w:t>
      </w:r>
    </w:p>
    <w:p>
      <w:pPr>
        <w:pStyle w:val="BodyText"/>
        <w:spacing w:line="240" w:lineRule="auto" w:before="65"/>
        <w:ind w:left="650" w:right="0"/>
        <w:jc w:val="left"/>
      </w:pPr>
      <w:r>
        <w:rPr/>
        <w:t>（</w:t>
      </w:r>
      <w:r>
        <w:rPr>
          <w:rFonts w:ascii="Times New Roman" w:hAnsi="Times New Roman" w:cs="Times New Roman" w:eastAsia="Times New Roman" w:hint="default"/>
        </w:rPr>
        <w:t>1</w:t>
      </w:r>
      <w:r>
        <w:rPr/>
        <w:t>）了解、评价智度股份公司管理层（以下简称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）与收入确认相关的业务流程、内部控制以及内部控制设</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计及运行的有效性；在执行穿行测试的基础上选取关键控制点，测试了关键控制运行的有效性；</w:t>
      </w:r>
    </w:p>
    <w:p>
      <w:pPr>
        <w:spacing w:line="240" w:lineRule="auto" w:before="0"/>
        <w:rPr>
          <w:rFonts w:ascii="宋体" w:hAnsi="宋体" w:cs="宋体" w:eastAsia="宋体" w:hint="default"/>
          <w:sz w:val="15"/>
          <w:szCs w:val="15"/>
        </w:rPr>
      </w:pPr>
    </w:p>
    <w:p>
      <w:pPr>
        <w:pStyle w:val="BodyText"/>
        <w:spacing w:line="300" w:lineRule="auto"/>
        <w:ind w:right="1132" w:firstLine="496"/>
        <w:jc w:val="both"/>
      </w:pPr>
      <w:r>
        <w:rPr/>
        <w:t>（</w:t>
      </w:r>
      <w:r>
        <w:rPr>
          <w:rFonts w:ascii="Times New Roman" w:hAnsi="Times New Roman" w:cs="Times New Roman" w:eastAsia="Times New Roman" w:hint="default"/>
        </w:rPr>
        <w:t>2</w:t>
      </w:r>
      <w:r>
        <w:rPr/>
        <w:t>）对于自营的互联网媒体业务和互联网商业服务业务（主要包括游戏业务），鉴于存在复杂信息系统，我们的信 息系统测试团队对信息系统进行一般控制测试及应用控制测试，并关注系统中的交易记录，从而确定交易的真实性；</w:t>
      </w:r>
    </w:p>
    <w:p>
      <w:pPr>
        <w:pStyle w:val="BodyText"/>
        <w:spacing w:line="300" w:lineRule="auto" w:before="152"/>
        <w:ind w:right="1137" w:firstLine="496"/>
        <w:jc w:val="both"/>
      </w:pPr>
      <w:r>
        <w:rPr/>
        <w:t>（</w:t>
      </w:r>
      <w:r>
        <w:rPr>
          <w:rFonts w:ascii="Times New Roman" w:hAnsi="Times New Roman" w:cs="Times New Roman" w:eastAsia="Times New Roman" w:hint="default"/>
        </w:rPr>
        <w:t>3</w:t>
      </w:r>
      <w:r>
        <w:rPr/>
        <w:t>）通过访谈各子公司管理层和业务部门、抽样检查销售合同，结合其业务类型，对与收入确认有关的重大风险及 报酬转移时点进行了评价，进而评价收入确认政策是否符合企业会计准则的规定，是否与各子公司业务情况相符；</w:t>
      </w:r>
    </w:p>
    <w:p>
      <w:pPr>
        <w:pStyle w:val="BodyText"/>
        <w:spacing w:line="309" w:lineRule="auto" w:before="151"/>
        <w:ind w:right="1131" w:firstLine="496"/>
        <w:jc w:val="both"/>
      </w:pPr>
      <w:r>
        <w:rPr/>
        <w:t>（</w:t>
      </w:r>
      <w:r>
        <w:rPr>
          <w:rFonts w:ascii="Times New Roman" w:hAnsi="Times New Roman" w:cs="Times New Roman" w:eastAsia="Times New Roman" w:hint="default"/>
        </w:rPr>
        <w:t>4</w:t>
      </w:r>
      <w:r>
        <w:rPr/>
        <w:t>）执行收入的真实性测试：包括调查重要交易对方的背景信息；对性质重要、金额重大或异常的客户进行函证， </w:t>
      </w:r>
      <w:r>
        <w:rPr>
          <w:spacing w:val="-2"/>
        </w:rPr>
        <w:t>并进行必要的走访；对性质重要、金额重大的客户进行收款检查；关注了本期新增大客户的来源和交易合理性；进行毛利率</w:t>
      </w:r>
      <w:r>
        <w:rPr>
          <w:spacing w:val="-66"/>
        </w:rPr>
        <w:t> </w:t>
      </w:r>
      <w:r>
        <w:rPr>
          <w:spacing w:val="-66"/>
        </w:rPr>
      </w:r>
      <w:r>
        <w:rPr/>
        <w:t>分析；对期后实施特定的检查等；</w:t>
      </w:r>
    </w:p>
    <w:p>
      <w:pPr>
        <w:pStyle w:val="BodyText"/>
        <w:spacing w:line="300" w:lineRule="auto" w:before="144"/>
        <w:ind w:right="1136" w:firstLine="496"/>
        <w:jc w:val="both"/>
      </w:pPr>
      <w:r>
        <w:rPr/>
        <w:t>（</w:t>
      </w:r>
      <w:r>
        <w:rPr>
          <w:rFonts w:ascii="Times New Roman" w:hAnsi="Times New Roman" w:cs="Times New Roman" w:eastAsia="Times New Roman" w:hint="default"/>
        </w:rPr>
        <w:t>5</w:t>
      </w:r>
      <w:r>
        <w:rPr/>
        <w:t>）执行收入的准确性测试，包括检查相应的合同、发票、媒体后台记录、第三方结算单等支持性资料，以确定收 入确认的准确性；</w:t>
      </w:r>
    </w:p>
    <w:p>
      <w:pPr>
        <w:pStyle w:val="BodyText"/>
        <w:spacing w:line="240" w:lineRule="auto" w:before="151"/>
        <w:ind w:left="650" w:right="0"/>
        <w:jc w:val="left"/>
      </w:pPr>
      <w:r>
        <w:rPr/>
        <w:t>（</w:t>
      </w:r>
      <w:r>
        <w:rPr>
          <w:rFonts w:ascii="Times New Roman" w:hAnsi="Times New Roman" w:cs="Times New Roman" w:eastAsia="Times New Roman" w:hint="default"/>
        </w:rPr>
        <w:t>6</w:t>
      </w:r>
      <w:r>
        <w:rPr/>
        <w:t>）执行收入的截止性测试，以确定收入记录在正确的会计期间。</w:t>
      </w:r>
    </w:p>
    <w:p>
      <w:pPr>
        <w:spacing w:line="240" w:lineRule="auto" w:before="13"/>
        <w:rPr>
          <w:rFonts w:ascii="宋体" w:hAnsi="宋体" w:cs="宋体" w:eastAsia="宋体" w:hint="default"/>
          <w:sz w:val="13"/>
          <w:szCs w:val="13"/>
        </w:rPr>
      </w:pPr>
    </w:p>
    <w:p>
      <w:pPr>
        <w:pStyle w:val="BodyText"/>
        <w:spacing w:line="427" w:lineRule="auto"/>
        <w:ind w:left="650" w:right="5936"/>
        <w:jc w:val="left"/>
      </w:pPr>
      <w:r>
        <w:rPr/>
        <w:t>（二）商誉减值 相关信息披露详见财务报表附注三、</w:t>
      </w:r>
      <w:r>
        <w:rPr>
          <w:rFonts w:ascii="Times New Roman" w:hAnsi="Times New Roman" w:cs="Times New Roman" w:eastAsia="Times New Roman" w:hint="default"/>
        </w:rPr>
        <w:t>19</w:t>
      </w:r>
      <w:r>
        <w:rPr/>
        <w:t>及附注五、</w:t>
      </w:r>
      <w:r>
        <w:rPr>
          <w:rFonts w:ascii="Times New Roman" w:hAnsi="Times New Roman" w:cs="Times New Roman" w:eastAsia="Times New Roman" w:hint="default"/>
        </w:rPr>
        <w:t>14</w:t>
      </w:r>
      <w:r>
        <w:rPr/>
        <w:t>。 </w:t>
      </w:r>
      <w:r>
        <w:rPr>
          <w:rFonts w:ascii="Times New Roman" w:hAnsi="Times New Roman" w:cs="Times New Roman" w:eastAsia="Times New Roman" w:hint="default"/>
        </w:rPr>
        <w:t>1</w:t>
      </w:r>
      <w:r>
        <w:rPr/>
        <w:t>、事项描述</w:t>
      </w:r>
    </w:p>
    <w:p>
      <w:pPr>
        <w:pStyle w:val="BodyText"/>
        <w:spacing w:line="240" w:lineRule="auto" w:before="27"/>
        <w:ind w:left="650"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日，智度股份公司合并财务报表中商誉的账面价值为</w:t>
      </w:r>
      <w:r>
        <w:rPr>
          <w:rFonts w:ascii="Times New Roman" w:hAnsi="Times New Roman" w:cs="Times New Roman" w:eastAsia="Times New Roman" w:hint="default"/>
        </w:rPr>
        <w:t>25.07</w:t>
      </w:r>
      <w:r>
        <w:rPr/>
        <w:t>亿元，占智度股份公司总资产的比例为</w:t>
      </w:r>
    </w:p>
    <w:p>
      <w:pPr>
        <w:pStyle w:val="BodyText"/>
        <w:spacing w:line="240" w:lineRule="auto" w:before="63"/>
        <w:ind w:right="0"/>
        <w:jc w:val="left"/>
      </w:pPr>
      <w:r>
        <w:rPr>
          <w:rFonts w:ascii="Times New Roman" w:hAnsi="Times New Roman" w:cs="Times New Roman" w:eastAsia="Times New Roman" w:hint="default"/>
        </w:rPr>
        <w:t>31.78%</w:t>
      </w:r>
      <w:r>
        <w:rPr/>
        <w:t>，上述商誉系</w:t>
      </w:r>
      <w:r>
        <w:rPr>
          <w:rFonts w:ascii="Times New Roman" w:hAnsi="Times New Roman" w:cs="Times New Roman" w:eastAsia="Times New Roman" w:hint="default"/>
        </w:rPr>
        <w:t>2016</w:t>
      </w:r>
      <w:r>
        <w:rPr/>
        <w:t>年收购子公司合并产生。</w:t>
      </w:r>
    </w:p>
    <w:p>
      <w:pPr>
        <w:spacing w:line="240" w:lineRule="auto" w:before="13"/>
        <w:rPr>
          <w:rFonts w:ascii="宋体" w:hAnsi="宋体" w:cs="宋体" w:eastAsia="宋体" w:hint="default"/>
          <w:sz w:val="13"/>
          <w:szCs w:val="13"/>
        </w:rPr>
      </w:pPr>
    </w:p>
    <w:p>
      <w:pPr>
        <w:pStyle w:val="BodyText"/>
        <w:spacing w:line="319" w:lineRule="auto"/>
        <w:ind w:right="1130" w:firstLine="496"/>
        <w:jc w:val="both"/>
      </w:pPr>
      <w:r>
        <w:rPr>
          <w:spacing w:val="-1"/>
        </w:rPr>
        <w:t>管理层每年末对商誉进行减值测试，减值测试以包含商誉的各资产组可收回金额为基础，期末采用预计未来现金流现</w:t>
      </w:r>
      <w:r>
        <w:rPr/>
        <w:t> </w:t>
      </w:r>
      <w:r>
        <w:rPr>
          <w:spacing w:val="-2"/>
        </w:rPr>
        <w:t>值的方法计算各资产组的可收回金额，预计未来现金流量以基于历史数据编制并经批准的财务预算为基础，预计未来现金流</w:t>
      </w:r>
      <w:r>
        <w:rPr>
          <w:spacing w:val="-64"/>
        </w:rPr>
        <w:t> </w:t>
      </w:r>
      <w:r>
        <w:rPr>
          <w:spacing w:val="-64"/>
        </w:rPr>
      </w:r>
      <w:r>
        <w:rPr/>
        <w:t>量。</w:t>
      </w:r>
    </w:p>
    <w:p>
      <w:pPr>
        <w:pStyle w:val="BodyText"/>
        <w:spacing w:line="316" w:lineRule="auto" w:before="137"/>
        <w:ind w:right="1132" w:firstLine="496"/>
        <w:jc w:val="both"/>
      </w:pPr>
      <w:r>
        <w:rPr>
          <w:spacing w:val="-1"/>
        </w:rPr>
        <w:t>为评估商誉的可收回金额，管理层委聘外部估值专家基于管理层编制的现金流量预测采用预计未来现金流量折现的模</w:t>
      </w:r>
      <w:r>
        <w:rPr/>
        <w:t> 型计算各相关资产组的预计未来现金流量现值。</w:t>
      </w:r>
    </w:p>
    <w:p>
      <w:pPr>
        <w:pStyle w:val="BodyText"/>
        <w:spacing w:line="316" w:lineRule="auto" w:before="139"/>
        <w:ind w:right="1132" w:firstLine="496"/>
        <w:jc w:val="both"/>
      </w:pPr>
      <w:r>
        <w:rPr>
          <w:spacing w:val="-1"/>
        </w:rPr>
        <w:t>由于商誉对合并财务报表具有重大影响，同时在确定是否应计提减值时涉及重大的管理层判断和估计，特别在预测未</w:t>
      </w:r>
      <w:r>
        <w:rPr/>
        <w:t> </w:t>
      </w:r>
      <w:r>
        <w:rPr>
          <w:spacing w:val="-2"/>
        </w:rPr>
        <w:t>来现金流量方面包括对预测收入、长期平均增长率和利润率以及确定恰当的折现率所作的关键假设，这些关键假设具有固有</w:t>
      </w:r>
      <w:r>
        <w:rPr>
          <w:spacing w:val="-64"/>
        </w:rPr>
        <w:t> </w:t>
      </w:r>
      <w:r>
        <w:rPr>
          <w:spacing w:val="-64"/>
        </w:rPr>
      </w:r>
      <w:r>
        <w:rPr/>
        <w:t>不确定性且可能受到管理层偏向的影响，因此，我们将商誉减值识别为关键审计事项。</w:t>
      </w:r>
    </w:p>
    <w:p>
      <w:pPr>
        <w:pStyle w:val="BodyText"/>
        <w:spacing w:line="415" w:lineRule="auto" w:before="139"/>
        <w:ind w:left="650" w:right="7196"/>
        <w:jc w:val="left"/>
      </w:pPr>
      <w:r>
        <w:rPr>
          <w:rFonts w:ascii="Times New Roman" w:hAnsi="Times New Roman" w:cs="Times New Roman" w:eastAsia="Times New Roman" w:hint="default"/>
        </w:rPr>
        <w:t>2</w:t>
      </w:r>
      <w:r>
        <w:rPr/>
        <w:t>、审计应对 我们对商誉减值主要执行了以下程序：</w:t>
      </w:r>
    </w:p>
    <w:p>
      <w:pPr>
        <w:pStyle w:val="BodyText"/>
        <w:spacing w:line="300" w:lineRule="auto" w:before="65"/>
        <w:ind w:right="1137" w:firstLine="496"/>
        <w:jc w:val="both"/>
      </w:pPr>
      <w:r>
        <w:rPr/>
        <w:t>（</w:t>
      </w:r>
      <w:r>
        <w:rPr>
          <w:rFonts w:ascii="Times New Roman" w:hAnsi="Times New Roman" w:cs="Times New Roman" w:eastAsia="Times New Roman" w:hint="default"/>
        </w:rPr>
        <w:t>1</w:t>
      </w:r>
      <w:r>
        <w:rPr/>
        <w:t>）了解并评价与商誉减值测试相关的内部控制的设计有效性，并测试了关键控制执行的有效性，包括关键假设的 采用及减值计提金额的复核及审批；</w:t>
      </w:r>
    </w:p>
    <w:p>
      <w:pPr>
        <w:pStyle w:val="BodyText"/>
        <w:spacing w:line="240" w:lineRule="auto" w:before="151"/>
        <w:ind w:left="650" w:right="0"/>
        <w:jc w:val="left"/>
      </w:pPr>
      <w:r>
        <w:rPr/>
        <w:t>（</w:t>
      </w:r>
      <w:r>
        <w:rPr>
          <w:rFonts w:ascii="Times New Roman" w:hAnsi="Times New Roman" w:cs="Times New Roman" w:eastAsia="Times New Roman" w:hint="default"/>
        </w:rPr>
        <w:t>2</w:t>
      </w:r>
      <w:r>
        <w:rPr/>
        <w:t>）评价管理层对各资产及资产组的识别以及如何将商誉和其他资产分配至各资产组；</w:t>
      </w:r>
    </w:p>
    <w:p>
      <w:pPr>
        <w:spacing w:line="240" w:lineRule="auto" w:before="13"/>
        <w:rPr>
          <w:rFonts w:ascii="宋体" w:hAnsi="宋体" w:cs="宋体" w:eastAsia="宋体" w:hint="default"/>
          <w:sz w:val="13"/>
          <w:szCs w:val="13"/>
        </w:rPr>
      </w:pPr>
    </w:p>
    <w:p>
      <w:pPr>
        <w:pStyle w:val="BodyText"/>
        <w:spacing w:line="240" w:lineRule="auto"/>
        <w:ind w:left="650" w:right="0"/>
        <w:jc w:val="left"/>
      </w:pPr>
      <w:r>
        <w:rPr/>
        <w:t>（</w:t>
      </w:r>
      <w:r>
        <w:rPr>
          <w:rFonts w:ascii="Times New Roman" w:hAnsi="Times New Roman" w:cs="Times New Roman" w:eastAsia="Times New Roman" w:hint="default"/>
        </w:rPr>
        <w:t>3</w:t>
      </w:r>
      <w:r>
        <w:rPr/>
        <w:t>）评价管理层委聘的外部估值专家的胜任能力和独立性，并复核其相关资质；</w:t>
      </w:r>
    </w:p>
    <w:p>
      <w:pPr>
        <w:spacing w:line="240" w:lineRule="auto" w:before="13"/>
        <w:rPr>
          <w:rFonts w:ascii="宋体" w:hAnsi="宋体" w:cs="宋体" w:eastAsia="宋体" w:hint="default"/>
          <w:sz w:val="13"/>
          <w:szCs w:val="13"/>
        </w:rPr>
      </w:pPr>
    </w:p>
    <w:p>
      <w:pPr>
        <w:pStyle w:val="BodyText"/>
        <w:spacing w:line="300" w:lineRule="auto"/>
        <w:ind w:right="1130" w:firstLine="491"/>
        <w:jc w:val="both"/>
      </w:pPr>
      <w:r>
        <w:rPr/>
        <w:t>（</w:t>
      </w:r>
      <w:r>
        <w:rPr>
          <w:rFonts w:ascii="Times New Roman" w:hAnsi="Times New Roman" w:cs="Times New Roman" w:eastAsia="Times New Roman" w:hint="default"/>
        </w:rPr>
        <w:t>4</w:t>
      </w:r>
      <w:r>
        <w:rPr/>
        <w:t>）利用我们内部估值专家复核了管理层减值测试所依据的基础数据，评估管理层减值测试中所采用计算方法、关 键假设及输入信息的合理性；以及了解和评价管理层委聘的估值专家的工作过程及其所作的重要判断；</w:t>
      </w:r>
    </w:p>
    <w:p>
      <w:pPr>
        <w:pStyle w:val="BodyText"/>
        <w:spacing w:line="240" w:lineRule="auto" w:before="151"/>
        <w:ind w:left="645" w:right="0"/>
        <w:jc w:val="left"/>
      </w:pPr>
      <w:r>
        <w:rPr/>
        <w:t>（</w:t>
      </w:r>
      <w:r>
        <w:rPr>
          <w:rFonts w:ascii="Times New Roman" w:hAnsi="Times New Roman" w:cs="Times New Roman" w:eastAsia="Times New Roman" w:hint="default"/>
        </w:rPr>
        <w:t>5</w:t>
      </w:r>
      <w:r>
        <w:rPr/>
        <w:t>）验证商誉减值测试模型的计算准确性；</w:t>
      </w:r>
    </w:p>
    <w:p>
      <w:pPr>
        <w:spacing w:line="240" w:lineRule="auto" w:before="0"/>
        <w:rPr>
          <w:rFonts w:ascii="宋体" w:hAnsi="宋体" w:cs="宋体" w:eastAsia="宋体" w:hint="default"/>
          <w:sz w:val="14"/>
          <w:szCs w:val="14"/>
        </w:rPr>
      </w:pPr>
    </w:p>
    <w:p>
      <w:pPr>
        <w:spacing w:line="415" w:lineRule="auto" w:before="0"/>
        <w:ind w:left="634" w:right="6926" w:firstLine="1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）对毛利率及折现率执行敏感性测试。 </w:t>
      </w: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240" w:lineRule="auto" w:before="65"/>
        <w:ind w:left="650" w:right="0"/>
        <w:jc w:val="left"/>
      </w:pPr>
      <w:r>
        <w:rPr/>
        <w:t>管理层对其他信息负责。其他信息包括智度股份公司</w:t>
      </w:r>
      <w:r>
        <w:rPr>
          <w:rFonts w:ascii="Times New Roman" w:hAnsi="Times New Roman" w:cs="Times New Roman" w:eastAsia="Times New Roman" w:hint="default"/>
        </w:rPr>
        <w:t>2018</w:t>
      </w:r>
      <w:r>
        <w:rPr/>
        <w:t>年年度报告中涵盖的信息，但不包括财务报表和我们的审计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报告。</w:t>
      </w:r>
    </w:p>
    <w:p>
      <w:pPr>
        <w:pStyle w:val="BodyText"/>
        <w:spacing w:line="430" w:lineRule="atLeast" w:before="2"/>
        <w:ind w:left="650" w:right="1127"/>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40" w:lineRule="auto" w:before="77"/>
        <w:ind w:right="0"/>
        <w:jc w:val="left"/>
      </w:pPr>
      <w:r>
        <w:rPr/>
        <w:t>过程中了解到的情况存在重大不一致或者似乎存在重大错报。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1132" w:firstLine="496"/>
        <w:jc w:val="both"/>
      </w:pPr>
      <w:r>
        <w:rPr>
          <w:spacing w:val="-1"/>
        </w:rPr>
        <w:t>基于我们已执行的工作，如果我们确定其他信息存在重大错报，我们应当报告该事实。在这方面，我们无任何事项需</w:t>
      </w:r>
      <w:r>
        <w:rPr/>
        <w:t> 要报告。</w:t>
      </w:r>
    </w:p>
    <w:p>
      <w:pPr>
        <w:spacing w:line="432" w:lineRule="exact" w:before="3"/>
        <w:ind w:left="650" w:right="1127" w:hanging="16"/>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240" w:lineRule="auto" w:before="15"/>
        <w:ind w:right="0"/>
        <w:jc w:val="left"/>
      </w:pPr>
      <w:r>
        <w:rPr/>
        <w:t>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31" w:firstLine="496"/>
        <w:jc w:val="both"/>
      </w:pPr>
      <w:r>
        <w:rPr>
          <w:spacing w:val="-1"/>
        </w:rPr>
        <w:t>在编制财务报表时，管理层负责评估智度股份公司的持续经营能力，披露与持续经营相关的事项（如适用），并运用</w:t>
      </w:r>
      <w:r>
        <w:rPr/>
        <w:t> 持续经营假设，除非管理层计划清算智度股份公司、终止运营或别无其他现实的选择。</w:t>
      </w:r>
    </w:p>
    <w:p>
      <w:pPr>
        <w:spacing w:line="439" w:lineRule="auto" w:before="139"/>
        <w:ind w:left="634" w:right="6476" w:firstLine="16"/>
        <w:jc w:val="left"/>
        <w:rPr>
          <w:rFonts w:ascii="宋体" w:hAnsi="宋体" w:cs="宋体" w:eastAsia="宋体" w:hint="default"/>
          <w:sz w:val="18"/>
          <w:szCs w:val="18"/>
        </w:rPr>
      </w:pPr>
      <w:r>
        <w:rPr>
          <w:rFonts w:ascii="宋体" w:hAnsi="宋体" w:cs="宋体" w:eastAsia="宋体" w:hint="default"/>
          <w:sz w:val="18"/>
          <w:szCs w:val="18"/>
        </w:rPr>
        <w:t>治理层负责监督智度股份公司的财务报告过程。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47"/>
        <w:ind w:right="1132" w:firstLine="496"/>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650" w:right="0"/>
        <w:jc w:val="left"/>
      </w:pPr>
      <w:r>
        <w:rPr/>
        <w:t>在按照审计准则执行审计工作的过程中，我们运用职业判断，并保持职业怀疑。同时，我们也执行以下工作：</w:t>
      </w:r>
    </w:p>
    <w:p>
      <w:pPr>
        <w:spacing w:line="240" w:lineRule="auto" w:before="1"/>
        <w:rPr>
          <w:rFonts w:ascii="宋体" w:hAnsi="宋体" w:cs="宋体" w:eastAsia="宋体" w:hint="default"/>
          <w:sz w:val="15"/>
          <w:szCs w:val="15"/>
        </w:rPr>
      </w:pPr>
    </w:p>
    <w:p>
      <w:pPr>
        <w:pStyle w:val="BodyText"/>
        <w:spacing w:line="309" w:lineRule="auto"/>
        <w:ind w:right="1042" w:firstLine="496"/>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44"/>
        <w:ind w:left="650" w:right="0"/>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13"/>
        <w:rPr>
          <w:rFonts w:ascii="宋体" w:hAnsi="宋体" w:cs="宋体" w:eastAsia="宋体" w:hint="default"/>
          <w:sz w:val="13"/>
          <w:szCs w:val="13"/>
        </w:rPr>
      </w:pPr>
    </w:p>
    <w:p>
      <w:pPr>
        <w:pStyle w:val="BodyText"/>
        <w:spacing w:line="240" w:lineRule="auto"/>
        <w:ind w:left="650"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pStyle w:val="BodyText"/>
        <w:spacing w:line="312" w:lineRule="auto"/>
        <w:ind w:right="1131" w:firstLine="496"/>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）对管理层使用持续经营假设的恰当性得出结论。同时，根据获取的审计证据，就可能导致对智度股份公司的持 </w:t>
      </w:r>
      <w:r>
        <w:rPr>
          <w:spacing w:val="-2"/>
        </w:rPr>
        <w:t>续经营能力产生重大疑虑的事项或情况是否存在重大不确定性得出结论。如果我们得出结论认为存在重大不确定性，审计准</w:t>
      </w:r>
      <w:r>
        <w:rPr>
          <w:spacing w:val="-64"/>
        </w:rPr>
        <w:t> </w:t>
      </w:r>
      <w:r>
        <w:rPr>
          <w:spacing w:val="-64"/>
        </w:rPr>
      </w:r>
      <w:r>
        <w:rPr>
          <w:spacing w:val="-2"/>
        </w:rPr>
        <w:t>则要求我们在审计报告中提请报表使用者注意财务报表中的相关披露；如果披露不充分，我们应当发表非无保留意见。我们</w:t>
      </w:r>
      <w:r>
        <w:rPr>
          <w:spacing w:val="-66"/>
        </w:rPr>
        <w:t> </w:t>
      </w:r>
      <w:r>
        <w:rPr>
          <w:spacing w:val="-66"/>
        </w:rPr>
      </w:r>
      <w:r>
        <w:rPr/>
        <w:t>的结论基于截至审计报告日可获得的信息。然而，未来的事项或情况可能导致智度股份公司不能持续经营。</w:t>
      </w:r>
    </w:p>
    <w:p>
      <w:pPr>
        <w:pStyle w:val="BodyText"/>
        <w:spacing w:line="240" w:lineRule="auto" w:before="142"/>
        <w:ind w:left="650"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13"/>
        <w:rPr>
          <w:rFonts w:ascii="宋体" w:hAnsi="宋体" w:cs="宋体" w:eastAsia="宋体" w:hint="default"/>
          <w:sz w:val="13"/>
          <w:szCs w:val="13"/>
        </w:rPr>
      </w:pPr>
    </w:p>
    <w:p>
      <w:pPr>
        <w:pStyle w:val="BodyText"/>
        <w:spacing w:line="300" w:lineRule="auto"/>
        <w:ind w:right="1137" w:firstLine="496"/>
        <w:jc w:val="both"/>
      </w:pPr>
      <w:r>
        <w:rPr/>
        <w:t>（</w:t>
      </w:r>
      <w:r>
        <w:rPr>
          <w:rFonts w:ascii="Times New Roman" w:hAnsi="Times New Roman" w:cs="Times New Roman" w:eastAsia="Times New Roman" w:hint="default"/>
        </w:rPr>
        <w:t>6</w:t>
      </w:r>
      <w:r>
        <w:rPr/>
        <w:t>）就智度股份公司中实体或业务活动的财务信息获取充分、适当的审计证据，以对财务报表发表意见。我们负责 指导、监督和执行集团审计，并对审计意见承担全部责任。</w:t>
      </w:r>
    </w:p>
    <w:p>
      <w:pPr>
        <w:pStyle w:val="BodyText"/>
        <w:spacing w:line="316" w:lineRule="auto" w:before="151"/>
        <w:ind w:right="1132" w:firstLine="496"/>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9" w:lineRule="auto" w:before="139"/>
        <w:ind w:right="1132" w:firstLine="496"/>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37"/>
        <w:ind w:right="1132" w:firstLine="496"/>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5"/>
        </w:rPr>
        <w:t> </w:t>
      </w:r>
      <w:r>
        <w:rPr>
          <w:spacing w:val="-65"/>
        </w:rPr>
      </w:r>
      <w:r>
        <w:rPr/>
        <w:t>成的负面后果超过在公众利益方面产生的益处，我们确定不应在审计报告中沟通该事项。</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63"/>
      <w:bookmarkEnd w:id="16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64"/>
      <w:bookmarkEnd w:id="16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3"/>
          <w:pgSz w:w="11910" w:h="16840"/>
          <w:pgMar w:footer="979" w:header="747" w:top="1060" w:bottom="1160" w:left="980" w:right="0"/>
        </w:sectPr>
      </w:pPr>
    </w:p>
    <w:p>
      <w:pPr>
        <w:pStyle w:val="BodyText"/>
        <w:spacing w:line="240" w:lineRule="auto" w:before="44"/>
        <w:ind w:right="-20"/>
        <w:jc w:val="left"/>
      </w:pPr>
      <w:r>
        <w:rPr/>
        <w:t>编制单位：智度科技股份有限公司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1,067,452,713.14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721,124,038.89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1,896,139,750.78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1,387,026,756.11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6,911,570.00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1,896,139,750.78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1,380,115,186.11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182,703,769.16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183,795,556.12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233,094,393.42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244,602,917.50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2,080,859.72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256,737.48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3,168.10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171,341,592.85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61,705,940.60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813,728,131.99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1,382,304,530.21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4,364,463,519.44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3,980,559,739.43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658,660.84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425,314,739.50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112,948,933.73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93,408,613.72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9,829,698.77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8,902,575.08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348,509,034.01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382,042,709.34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25,535,477.14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19,803,714.93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2,507,387,400.04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2,432,201,068.49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12,960,185.20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12,640,070.26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82,042,437.56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44,518,583.99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7,996.04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232,612.74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3,525,194,562.83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3,046,749,948.55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7,889,658,082.27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7,027,309,687.98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544,219,689.60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510,463,026.54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197,786,218.46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196,905,498.33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239,894,238.19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105,923,796.27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160,824,437.35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122,385,209.13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223,872,717.01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269,450,717.89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541,637.85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405,566.22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20,003.62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639,181.49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314,438,000.26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254,802,809.52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16,229,844.73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2,013,065,145.60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1,559,931,057.68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98,376,638.00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26,542.25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299,191,739.44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50,693.20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599,313.01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636,876.01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10,748,167.50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13,961,324.35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11,555,842.76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412,217,271.00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2,024,620,988.36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1,972,148,328.68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965,710,782.00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965,710,782.00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3,506,754,965.53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3,501,945,864.99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98,779,430.95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-22,350,357.41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52,214,471.28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35,111,177.74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1,517,938.97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1,238,155,136.61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572,317,683.43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5,863,132,725.34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5,052,735,150.75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1,904,368.57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2,426,208.55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5,865,037,093.91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5,055,161,359.30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7,889,658,082.27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7,027,309,687.98</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法定代表人：赵立仁</w:t>
        <w:tab/>
        <w:t>主管会计工作负责人：刘韡</w:t>
        <w:tab/>
        <w:t>会计机构负责人：金蕊</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5"/>
      <w:bookmarkEnd w:id="16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410,515,234.57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346,631,343.85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74,691.42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728,098,672.22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490,275,022.93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412,246,425.25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219,392,635.30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222,691,859.80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751,112,867.32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1,365,055,766.59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1,588,093,925.52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3,266,488,975.04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2,924,221,670.50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258,388.24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183,500.34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240,219.61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253,553.12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3,585,393.43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6,176,683.06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3,505,572,976.32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2,960,835,407.02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4,870,628,742.91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4,548,929,332.54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3,917,692.41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1,193,276.97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2,067,964.24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38,576.57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8,412.83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12,879,140.84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8,106,409.07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314,015.63</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181,818.00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181,818.00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189,292,812.38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14,282,296.55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363,638.00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363,638.00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189,474,632.38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14,645,934.55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965,710,782.00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965,710,782.00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3,508,215,004.56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3,503,405,904.02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52,214,471.28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35,111,177.74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155,013,852.69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30,055,534.23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4,681,154,110.53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4,534,283,397.99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4,870,628,742.91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4,548,929,332.54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6"/>
      <w:bookmarkEnd w:id="16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7,673,792,068.38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6,375,392,503.94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7,659,568,013.04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6,373,794,918.71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14,224,055.34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1,597,585.23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6,958,576,190.41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5,901,532,409.01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6,223,870,153.16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5,458,778,028.76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1,009,544.70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9,134,757.77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8,863,593.41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139,072,722.55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99,172,649.10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391,381,646.97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214,294,160.00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118,293,188.11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83,954,350.16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15,065,401.04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22,131,655.27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16,219,316.13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18,519,562.47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3,758,604.99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3,267,210.62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60,748,776.11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14,336,669.11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10,058,228.57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11,274,920.46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50,560,567.01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64,082,734.54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14,594,996.10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7,046,669.19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-183,413.32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54,259.77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775,651,260.23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549,272,009.70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85,640.15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1,412,201.78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380,494.41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1,598,462.54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775,356,405.97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549,085,748.94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61,442,638.32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20,610,226.22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713,913,767.65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528,475,522.72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713,913,767.65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528,475,522.72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713,430,009.15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527,325,402.70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483,758.50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1,150,120.02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121,129,788.36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-82,440,857.10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121,129,788.36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-82,440,857.10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121,129,788.36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-82,440,857.10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1,520,356.74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-1,073,600.67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1,187,539.50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118,421,892.12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-81,367,256.43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835,043,556.01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446,034,665.62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834,559,797.51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444,884,545.60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483,758.50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1,150,120.02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0.5460</w:t>
            </w:r>
          </w:p>
        </w:tc>
      </w:tr>
    </w:tbl>
    <w:p>
      <w:pPr>
        <w:pStyle w:val="BodyText"/>
        <w:tabs>
          <w:tab w:pos="3754" w:val="left" w:leader="none"/>
          <w:tab w:pos="7895" w:val="left" w:leader="none"/>
        </w:tabs>
        <w:spacing w:line="624" w:lineRule="auto" w:before="51"/>
        <w:ind w:right="1229"/>
        <w:jc w:val="left"/>
      </w:pPr>
      <w:r>
        <w:rPr/>
        <w:t>本期发生同一控制下企业合并的，被合并方在合并前实现的净利润为：元，上期被合并方实现的净利润为：元。 法定代表人：赵立仁</w:t>
        <w:tab/>
        <w:t>主管会计工作负责人：刘韡</w:t>
        <w:tab/>
        <w:t>会计机构负责人：金蕊</w:t>
      </w:r>
    </w:p>
    <w:p>
      <w:pPr>
        <w:pStyle w:val="Heading4"/>
        <w:spacing w:line="240" w:lineRule="auto" w:before="63"/>
        <w:ind w:right="0"/>
        <w:jc w:val="left"/>
        <w:rPr>
          <w:b w:val="0"/>
          <w:bCs w:val="0"/>
        </w:rPr>
      </w:pPr>
      <w:bookmarkStart w:name="4、母公司利润表" w:id="167"/>
      <w:bookmarkEnd w:id="16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3,537,735.85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15,718.87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78,584,641.84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53,175,815.62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-9,107,917.28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-940,236.91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5,708,966.09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4,139,393.74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14,852,586.89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7,102,316.63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-1,129.54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236,989,978.81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298,728,021.94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-3,193.19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171,033,207.58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246,475,173.66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171,032,935.46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246,475,173.66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171,032,935.46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246,475,173.66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171,032,935.46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246,475,173.66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171,032,935.46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246,475,173.66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68"/>
      <w:bookmarkEnd w:id="16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7,669,375,337.25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6,254,926,758.37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14,003,577.69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1,350,119.39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351,521.03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380,457,914.02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240,683,794.54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8,064,188,349.99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6,496,960,672.30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6,722,129,518.62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5,840,290,305.75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111,973,921.92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62,645,624.97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578,488.48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353,484,059.22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190,507,666.96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125,730,486.65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104,105,845.50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449,099,850.43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310,533,516.00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7,762,996,325.32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6,508,084,262.38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301,192,024.67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-11,123,590.08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36,476,892.36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49,173,005.53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181,189.43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5,170,071,899.68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9,464,904,301.73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5,206,585,292.04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9,514,258,496.69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27,165,345.53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45,449,426.66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691,608,295.68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337,936,170.87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4,521,017,968.73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8,863,890,000.00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5,239,791,609.94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9,247,275,597.53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-33,206,317.90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266,982,899.16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546,566,441.11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354,961,700.00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308,334,082.71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854,900,523.82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1,047,481,700.00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429,514,700.21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173,784,018.00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46,717,814.38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14,981,121.75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132,748,826.91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1,094,683,612.28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608,981,341.50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1,283,448,752.03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245,919,182.32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-235,967,052.03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24,703,785.16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-7,731,443.81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538,608,674.25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12,160,813.24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524,644,038.89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512,483,225.65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1,063,252,713.14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524,644,038.89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9"/>
      <w:bookmarkEnd w:id="16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4,742,206.02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3,054,653.15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4,742,206.02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3,054,653.15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21,449,350.69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11,761,061.11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86,935.78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57,082,176.51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31,540,658.42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78,618,462.98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43,310,446.73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-73,876,256.96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-40,255,793.58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44,571,493.29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83,159,620.88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6,111,214,255.35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9,695,583,753.79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6,155,785,748.64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9,778,743,374.67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1,590,826.00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6,434,677.32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544,262,016.42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750,513,665.23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6,046,246,000.00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9,670,492,575.56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6,592,098,842.42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10,427,440,918.11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-436,313,093.78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-648,697,543.44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1,334,520,000.00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1,334,520,000.00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75,181,818.00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181,818.00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34,344,940.54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4,139,393.74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727,005,624.00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109,526,758.54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731,326,835.74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722,553,241.46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603,193,164.26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212,363,890.72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-85,760,172.76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198,151,343.85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283,911,516.61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410,515,234.57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198,151,343.85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70"/>
      <w:bookmarkEnd w:id="17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122"/>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251"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45,864.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-22,350,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357.41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pacing w:val="-3"/>
                <w:sz w:val="18"/>
              </w:rPr>
              <w:t>35,111,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177.74</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572,317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,683.43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2,426,2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45,864.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-22,350,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357.41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pacing w:val="-3"/>
                <w:sz w:val="18"/>
              </w:rPr>
              <w:t>35,111,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177.74</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572,317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,683.43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2,426,2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121,129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,788.36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293.54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665,837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,453.18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-521,83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809,875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,734.61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121,129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,788.36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713,430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,009.15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483,758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835,043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,556.01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00.54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00.54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293.54</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38.97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-47,592,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555.97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-29,976,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921.94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293.54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293.54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-28,971,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323.46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-29,976,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921.94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98,779,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430.95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52,214,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471.28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55,136.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1,904,3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45,864.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60,090,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499.69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673.94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48,331,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784.53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1,915,2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70.02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4,609,7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45,864.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60,090,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499.69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48,331,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784.53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1,915,2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-82,440,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857.10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523,985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,898.90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510,938</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445,395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,484.13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-82,440,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857.10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527,325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,402.70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1,150,1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446,034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,665.62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-639,18</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1.49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-639,18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1.49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-639,18</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1.49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-639,18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45,864.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-22,350,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357.41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pacing w:val="-3"/>
                <w:sz w:val="18"/>
              </w:rPr>
              <w:t>35,111,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572,317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,683.43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2,426,2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08.55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71"/>
      <w:bookmarkEnd w:id="17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965,710,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3,503,405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,904.02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35,111,17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30,055,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534.23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4,534,283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,397.99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965,710,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3,503,405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,904.02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35,111,17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30,055,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534.23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4,534,283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,397.99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4,809,100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17,103,29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124,958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,318.46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146,870,7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12.54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171,032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,935.46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171,032,9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35.46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4,809,100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4,809,100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4,809,100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4,809,100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17,103,29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-46,074,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617.00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-28,971,3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23.46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17,103,29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293.54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-28,971,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323.46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-28,971,3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23.46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965,710,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3,508,215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,004.56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52,214,47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155,013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,852.69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4,681,154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,110.53</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2"/>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965,710,</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782.00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3,503,405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,904.02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31,771,67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z w:val="18"/>
              </w:rPr>
              <w:t>-213,08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0,135.6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4,287,808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,224.33</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965,710,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3,503,405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,904.02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31,771,67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0,135.6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4,287,808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,224.33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3,339,503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243,135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246,475,1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73.66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246,475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,173.66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246,475,1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73.66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3,339,503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3,339,503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-3,339,5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965,710,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3,503,405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,904.02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35,111,17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30,055,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534.23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4,534,283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,397.99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72"/>
      <w:bookmarkEnd w:id="17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8"/>
        <w:jc w:val="both"/>
      </w:pPr>
      <w:r>
        <w:rPr>
          <w:spacing w:val="-1"/>
        </w:rPr>
        <w:t>智度科技股份有限公司（以下简称</w:t>
      </w:r>
      <w:r>
        <w:rPr>
          <w:rFonts w:ascii="Times New Roman" w:hAnsi="Times New Roman" w:cs="Times New Roman" w:eastAsia="Times New Roman" w:hint="default"/>
          <w:spacing w:val="-1"/>
        </w:rPr>
        <w:t>“</w:t>
      </w:r>
      <w:r>
        <w:rPr>
          <w:spacing w:val="-1"/>
        </w:rPr>
        <w:t>智度股份</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）前身河南思达电子仪器有限公司（以下简称</w:t>
      </w:r>
      <w:r>
        <w:rPr>
          <w:rFonts w:ascii="Times New Roman" w:hAnsi="Times New Roman" w:cs="Times New Roman" w:eastAsia="Times New Roman" w:hint="default"/>
          <w:spacing w:val="-1"/>
        </w:rPr>
        <w:t>“</w:t>
      </w:r>
      <w:r>
        <w:rPr>
          <w:spacing w:val="-1"/>
        </w:rPr>
        <w:t>思达电子</w:t>
      </w:r>
      <w:r>
        <w:rPr>
          <w:rFonts w:ascii="Times New Roman" w:hAnsi="Times New Roman" w:cs="Times New Roman" w:eastAsia="Times New Roman" w:hint="default"/>
          <w:spacing w:val="-1"/>
        </w:rPr>
        <w:t>”</w:t>
      </w:r>
      <w:r>
        <w:rPr>
          <w:spacing w:val="-1"/>
        </w:rPr>
        <w:t>）系</w:t>
      </w:r>
      <w:r>
        <w:rPr>
          <w:rFonts w:ascii="Times New Roman" w:hAnsi="Times New Roman" w:cs="Times New Roman" w:eastAsia="Times New Roman" w:hint="default"/>
          <w:spacing w:val="-1"/>
        </w:rPr>
        <w:t>1993</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年经河南省经济体制改革委员会以（</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153</w:t>
      </w:r>
      <w:r>
        <w:rPr/>
        <w:t>号文批准，由河南思达科技（集团）股份有限公司、洛阳春都（集团）股份</w:t>
      </w:r>
      <w:r>
        <w:rPr>
          <w:spacing w:val="-83"/>
        </w:rPr>
        <w:t> </w:t>
      </w:r>
      <w:r>
        <w:rPr>
          <w:spacing w:val="-83"/>
        </w:rPr>
      </w:r>
      <w:r>
        <w:rPr/>
        <w:t>有限公司于</w:t>
      </w:r>
      <w:r>
        <w:rPr>
          <w:rFonts w:ascii="Times New Roman" w:hAnsi="Times New Roman" w:cs="Times New Roman" w:eastAsia="Times New Roman" w:hint="default"/>
        </w:rPr>
        <w:t>1993</w:t>
      </w:r>
      <w:r>
        <w:rPr/>
        <w:t>年共同发起设立的有限责任公司。</w:t>
      </w:r>
      <w:r>
        <w:rPr>
          <w:rFonts w:ascii="Times New Roman" w:hAnsi="Times New Roman" w:cs="Times New Roman" w:eastAsia="Times New Roman" w:hint="default"/>
        </w:rPr>
        <w:t>1996</w:t>
      </w:r>
      <w:r>
        <w:rPr/>
        <w:t>年经思达电子申请，河南省体改委豫体改字（</w:t>
      </w:r>
      <w:r>
        <w:rPr>
          <w:rFonts w:ascii="Times New Roman" w:hAnsi="Times New Roman" w:cs="Times New Roman" w:eastAsia="Times New Roman" w:hint="default"/>
        </w:rPr>
        <w:t>1995</w:t>
      </w:r>
      <w:r>
        <w:rPr/>
        <w:t>）</w:t>
      </w:r>
      <w:r>
        <w:rPr>
          <w:rFonts w:ascii="Times New Roman" w:hAnsi="Times New Roman" w:cs="Times New Roman" w:eastAsia="Times New Roman" w:hint="default"/>
        </w:rPr>
        <w:t>125</w:t>
      </w:r>
      <w:r>
        <w:rPr/>
        <w:t>号文、河南</w:t>
      </w:r>
      <w:r>
        <w:rPr>
          <w:spacing w:val="-83"/>
        </w:rPr>
        <w:t> </w:t>
      </w:r>
      <w:r>
        <w:rPr>
          <w:spacing w:val="-83"/>
        </w:rPr>
      </w:r>
      <w:r>
        <w:rPr>
          <w:spacing w:val="-2"/>
        </w:rPr>
        <w:t>省体改委豫股批字（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7</w:t>
      </w:r>
      <w:r>
        <w:rPr>
          <w:spacing w:val="-2"/>
        </w:rPr>
        <w:t>号文和河南省证券委豫证券字（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4</w:t>
      </w:r>
      <w:r>
        <w:rPr>
          <w:spacing w:val="-2"/>
        </w:rPr>
        <w:t>号文批准，思达电子由有限责任公司变更为股份有限公</w:t>
      </w:r>
      <w:r>
        <w:rPr>
          <w:spacing w:val="-55"/>
        </w:rPr>
        <w:t> </w:t>
      </w:r>
      <w:r>
        <w:rPr>
          <w:spacing w:val="-55"/>
        </w:rPr>
      </w:r>
      <w:r>
        <w:rPr>
          <w:spacing w:val="-2"/>
        </w:rPr>
        <w:t>司。根据《公司法》规定，增加白鸽（集团）股份有限公司、郑州高新技术产业开发区丰远实业有限公司、河南隆达通讯有</w:t>
      </w:r>
      <w:r>
        <w:rPr>
          <w:spacing w:val="-67"/>
        </w:rPr>
        <w:t> </w:t>
      </w:r>
      <w:r>
        <w:rPr>
          <w:spacing w:val="-67"/>
        </w:rPr>
      </w:r>
      <w:r>
        <w:rPr/>
        <w:t>限公司作为发起人，经中国证券监督管理委员会（证监发字〔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350</w:t>
      </w:r>
      <w:r>
        <w:rPr/>
        <w:t>号）批准向社会公开发行</w:t>
      </w:r>
      <w:r>
        <w:rPr>
          <w:rFonts w:ascii="Times New Roman" w:hAnsi="Times New Roman" w:cs="Times New Roman" w:eastAsia="Times New Roman" w:hint="default"/>
        </w:rPr>
        <w:t>1,250</w:t>
      </w:r>
      <w:r>
        <w:rPr/>
        <w:t>万股</w:t>
      </w:r>
      <w:r>
        <w:rPr>
          <w:rFonts w:ascii="Times New Roman" w:hAnsi="Times New Roman" w:cs="Times New Roman" w:eastAsia="Times New Roman" w:hint="default"/>
        </w:rPr>
        <w:t>A</w:t>
      </w:r>
      <w:r>
        <w:rPr/>
        <w:t>股，每股发行</w:t>
      </w:r>
      <w:r>
        <w:rPr>
          <w:spacing w:val="-82"/>
        </w:rPr>
        <w:t> </w:t>
      </w:r>
      <w:r>
        <w:rPr>
          <w:spacing w:val="-82"/>
        </w:rPr>
      </w:r>
      <w:r>
        <w:rPr/>
        <w:t>价格为</w:t>
      </w:r>
      <w:r>
        <w:rPr>
          <w:rFonts w:ascii="Times New Roman" w:hAnsi="Times New Roman" w:cs="Times New Roman" w:eastAsia="Times New Roman" w:hint="default"/>
        </w:rPr>
        <w:t>5.20</w:t>
      </w:r>
      <w:r>
        <w:rPr/>
        <w:t>元。本次增资业经郑州会计师事务所有限责任公司审验，并出具郑会证验字（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009</w:t>
      </w:r>
      <w:r>
        <w:rPr/>
        <w:t>号验资报告。</w:t>
      </w:r>
    </w:p>
    <w:p>
      <w:pPr>
        <w:spacing w:line="240" w:lineRule="auto" w:before="5"/>
        <w:rPr>
          <w:rFonts w:ascii="宋体" w:hAnsi="宋体" w:cs="宋体" w:eastAsia="宋体" w:hint="default"/>
          <w:sz w:val="17"/>
          <w:szCs w:val="17"/>
        </w:rPr>
      </w:pPr>
    </w:p>
    <w:p>
      <w:pPr>
        <w:pStyle w:val="BodyText"/>
        <w:spacing w:line="300" w:lineRule="auto"/>
        <w:ind w:right="1042"/>
        <w:jc w:val="both"/>
      </w:pPr>
      <w:r>
        <w:rPr/>
        <w:t>经历次股利分配，资本公积金转增股本，配股，股权分置改革等事项，截至</w:t>
      </w:r>
      <w:r>
        <w:rPr>
          <w:rFonts w:ascii="Times New Roman" w:hAnsi="Times New Roman" w:cs="Times New Roman" w:eastAsia="Times New Roman" w:hint="default"/>
        </w:rPr>
        <w:t>2008</w:t>
      </w:r>
      <w:r>
        <w:rPr/>
        <w:t>年末，上市公司注册资本为</w:t>
      </w:r>
      <w:r>
        <w:rPr>
          <w:rFonts w:ascii="Times New Roman" w:hAnsi="Times New Roman" w:cs="Times New Roman" w:eastAsia="Times New Roman" w:hint="default"/>
        </w:rPr>
        <w:t>314,586,699.00 </w:t>
      </w:r>
      <w:r>
        <w:rPr/>
        <w:t>元。</w:t>
      </w:r>
    </w:p>
    <w:p>
      <w:pPr>
        <w:spacing w:line="240" w:lineRule="auto" w:before="12"/>
        <w:rPr>
          <w:rFonts w:ascii="宋体" w:hAnsi="宋体" w:cs="宋体" w:eastAsia="宋体" w:hint="default"/>
          <w:sz w:val="18"/>
          <w:szCs w:val="18"/>
        </w:rPr>
      </w:pPr>
    </w:p>
    <w:p>
      <w:pPr>
        <w:pStyle w:val="BodyText"/>
        <w:spacing w:line="300" w:lineRule="auto"/>
        <w:ind w:right="1032"/>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日，本公司原控股股东河南思达科技（集团）股份有限公司与河南正弘置业有限公司签订了《股权转让协议》，</w:t>
      </w:r>
      <w:r>
        <w:rPr>
          <w:spacing w:val="-58"/>
        </w:rPr>
        <w:t> </w:t>
      </w:r>
      <w:r>
        <w:rPr>
          <w:spacing w:val="-58"/>
        </w:rPr>
      </w:r>
      <w:r>
        <w:rPr/>
        <w:t>河南正弘置业有限公司受让河南思达科技（集团）股份有限公司持有的本公司</w:t>
      </w:r>
      <w:r>
        <w:rPr>
          <w:rFonts w:ascii="Times New Roman" w:hAnsi="Times New Roman" w:cs="Times New Roman" w:eastAsia="Times New Roman" w:hint="default"/>
        </w:rPr>
        <w:t>29.24%</w:t>
      </w:r>
      <w:r>
        <w:rPr/>
        <w:t>的股权，合计</w:t>
      </w:r>
      <w:r>
        <w:rPr>
          <w:rFonts w:ascii="Times New Roman" w:hAnsi="Times New Roman" w:cs="Times New Roman" w:eastAsia="Times New Roman" w:hint="default"/>
        </w:rPr>
        <w:t>9,200</w:t>
      </w:r>
      <w:r>
        <w:rPr/>
        <w:t>万股，并于</w:t>
      </w:r>
      <w:r>
        <w:rPr>
          <w:rFonts w:ascii="Times New Roman" w:hAnsi="Times New Roman" w:cs="Times New Roman" w:eastAsia="Times New Roman" w:hint="default"/>
        </w:rPr>
        <w:t>2009</w:t>
      </w:r>
      <w:r>
        <w:rPr/>
        <w:t>年</w:t>
      </w:r>
      <w:r>
        <w:rPr>
          <w:spacing w:val="-58"/>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日在中国证券登记结算有限公司深圳分公司完成了登记和交割变更，本公司控股股东变更为河南正弘置业有限公司。</w:t>
      </w:r>
    </w:p>
    <w:p>
      <w:pPr>
        <w:spacing w:line="240" w:lineRule="auto" w:before="7"/>
        <w:rPr>
          <w:rFonts w:ascii="宋体" w:hAnsi="宋体" w:cs="宋体" w:eastAsia="宋体" w:hint="default"/>
          <w:sz w:val="17"/>
          <w:szCs w:val="17"/>
        </w:rPr>
      </w:pPr>
    </w:p>
    <w:p>
      <w:pPr>
        <w:pStyle w:val="BodyText"/>
        <w:spacing w:line="300" w:lineRule="auto"/>
        <w:ind w:right="113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日，本公司原控股股东河南正弘置业有限公司与北京智度德普股权投资中心（有限合伙）（以下简称</w:t>
      </w:r>
      <w:r>
        <w:rPr>
          <w:rFonts w:ascii="Times New Roman" w:hAnsi="Times New Roman" w:cs="Times New Roman" w:eastAsia="Times New Roman" w:hint="default"/>
        </w:rPr>
        <w:t>“</w:t>
      </w:r>
      <w:r>
        <w:rPr/>
        <w:t>智度德</w:t>
      </w:r>
      <w:r>
        <w:rPr>
          <w:spacing w:val="-74"/>
        </w:rPr>
        <w:t> </w:t>
      </w:r>
      <w:r>
        <w:rPr/>
        <w:t>普有限合伙</w:t>
      </w:r>
      <w:r>
        <w:rPr>
          <w:rFonts w:ascii="Times New Roman" w:hAnsi="Times New Roman" w:cs="Times New Roman" w:eastAsia="Times New Roman" w:hint="default"/>
        </w:rPr>
        <w:t>”</w:t>
      </w:r>
      <w:r>
        <w:rPr/>
        <w:t>）签订了《股权转让协议》，智度德普有限合伙受让河南正弘置业有限公司持有的本公司</w:t>
      </w:r>
      <w:r>
        <w:rPr>
          <w:rFonts w:ascii="Times New Roman" w:hAnsi="Times New Roman" w:cs="Times New Roman" w:eastAsia="Times New Roman" w:hint="default"/>
        </w:rPr>
        <w:t>20.03%</w:t>
      </w:r>
      <w:r>
        <w:rPr/>
        <w:t>的股权，合计 </w:t>
      </w:r>
      <w:r>
        <w:rPr>
          <w:rFonts w:ascii="Times New Roman" w:hAnsi="Times New Roman" w:cs="Times New Roman" w:eastAsia="Times New Roman" w:hint="default"/>
        </w:rPr>
        <w:t>6,300</w:t>
      </w:r>
      <w:r>
        <w:rPr/>
        <w:t>万股，并于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日在中国证券登记结算有限公司深圳分公司完成了登记和交割变更，本公司的控股股东变更</w:t>
      </w:r>
      <w:r>
        <w:rPr>
          <w:spacing w:val="-49"/>
        </w:rPr>
        <w:t> </w:t>
      </w:r>
      <w:r>
        <w:rPr>
          <w:spacing w:val="-49"/>
        </w:rPr>
      </w:r>
      <w:r>
        <w:rPr/>
        <w:t>为智度德普有限合伙。</w:t>
      </w:r>
    </w:p>
    <w:p>
      <w:pPr>
        <w:spacing w:line="240" w:lineRule="auto" w:before="12"/>
        <w:rPr>
          <w:rFonts w:ascii="宋体" w:hAnsi="宋体" w:cs="宋体" w:eastAsia="宋体" w:hint="default"/>
          <w:sz w:val="18"/>
          <w:szCs w:val="18"/>
        </w:rPr>
      </w:pPr>
    </w:p>
    <w:p>
      <w:pPr>
        <w:pStyle w:val="BodyText"/>
        <w:spacing w:line="300" w:lineRule="auto"/>
        <w:ind w:right="113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日，本公司</w:t>
      </w:r>
      <w:r>
        <w:rPr>
          <w:rFonts w:ascii="Times New Roman" w:hAnsi="Times New Roman" w:cs="Times New Roman" w:eastAsia="Times New Roman" w:hint="default"/>
          <w:spacing w:val="-2"/>
        </w:rPr>
        <w:t>2015</w:t>
      </w:r>
      <w:r>
        <w:rPr>
          <w:spacing w:val="-2"/>
        </w:rPr>
        <w:t>年第一次临时股东大会决议公司名称变更为智度投资股份有限公司，并于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日完成工</w:t>
      </w:r>
      <w:r>
        <w:rPr>
          <w:spacing w:val="-46"/>
        </w:rPr>
        <w:t> </w:t>
      </w:r>
      <w:r>
        <w:rPr/>
        <w:t>商变更登记。</w:t>
      </w:r>
    </w:p>
    <w:p>
      <w:pPr>
        <w:spacing w:line="240" w:lineRule="auto" w:before="12"/>
        <w:rPr>
          <w:rFonts w:ascii="宋体" w:hAnsi="宋体" w:cs="宋体" w:eastAsia="宋体" w:hint="default"/>
          <w:sz w:val="18"/>
          <w:szCs w:val="18"/>
        </w:rPr>
      </w:pPr>
    </w:p>
    <w:p>
      <w:pPr>
        <w:pStyle w:val="BodyText"/>
        <w:spacing w:line="300" w:lineRule="auto"/>
        <w:ind w:right="104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日，经中国证券监督管理委员会《关于核准智度投资股份有限公司向北京智度德普股权投资中心（有限合伙）</w:t>
      </w:r>
      <w:r>
        <w:rPr>
          <w:spacing w:val="-83"/>
        </w:rPr>
        <w:t> </w:t>
      </w:r>
      <w:r>
        <w:rPr>
          <w:spacing w:val="-83"/>
        </w:rPr>
      </w:r>
      <w:r>
        <w:rPr/>
        <w:t>等发行股份购买资产并募集配套资金的批复》（证监许可〔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834</w:t>
      </w:r>
      <w:r>
        <w:rPr/>
        <w:t>号）文件核准，本公司向智度德普有限合伙等以非公</w:t>
      </w:r>
      <w:r>
        <w:rPr>
          <w:spacing w:val="-82"/>
        </w:rPr>
        <w:t> </w:t>
      </w:r>
      <w:r>
        <w:rPr>
          <w:spacing w:val="-82"/>
        </w:rPr>
      </w:r>
      <w:r>
        <w:rPr>
          <w:spacing w:val="6"/>
        </w:rPr>
        <w:t>开发行股票方式发行人民币普通股（</w:t>
      </w:r>
      <w:r>
        <w:rPr>
          <w:rFonts w:ascii="Times New Roman" w:hAnsi="Times New Roman" w:cs="Times New Roman" w:eastAsia="Times New Roman" w:hint="default"/>
          <w:spacing w:val="6"/>
        </w:rPr>
        <w:t>A</w:t>
      </w:r>
      <w:r>
        <w:rPr>
          <w:spacing w:val="6"/>
        </w:rPr>
        <w:t>股）</w:t>
      </w:r>
      <w:r>
        <w:rPr>
          <w:rFonts w:ascii="Times New Roman" w:hAnsi="Times New Roman" w:cs="Times New Roman" w:eastAsia="Times New Roman" w:hint="default"/>
          <w:spacing w:val="6"/>
        </w:rPr>
        <w:t>231,742,395</w:t>
      </w:r>
      <w:r>
        <w:rPr>
          <w:spacing w:val="6"/>
        </w:rPr>
        <w:t>股用于购买相关资产，每股发行价格</w:t>
      </w:r>
      <w:r>
        <w:rPr>
          <w:rFonts w:ascii="Times New Roman" w:hAnsi="Times New Roman" w:cs="Times New Roman" w:eastAsia="Times New Roman" w:hint="default"/>
          <w:spacing w:val="6"/>
        </w:rPr>
        <w:t>5.61</w:t>
      </w:r>
      <w:r>
        <w:rPr>
          <w:spacing w:val="6"/>
        </w:rPr>
        <w:t>元，本公司注册资本由</w:t>
      </w:r>
      <w:r>
        <w:rPr/>
        <w:t> </w:t>
      </w:r>
      <w:r>
        <w:rPr>
          <w:rFonts w:ascii="Times New Roman" w:hAnsi="Times New Roman" w:cs="Times New Roman" w:eastAsia="Times New Roman" w:hint="default"/>
          <w:spacing w:val="-2"/>
        </w:rPr>
        <w:t>314,586,699.00</w:t>
      </w:r>
      <w:r>
        <w:rPr>
          <w:spacing w:val="-2"/>
        </w:rPr>
        <w:t>元变更为</w:t>
      </w:r>
      <w:r>
        <w:rPr>
          <w:rFonts w:ascii="Times New Roman" w:hAnsi="Times New Roman" w:cs="Times New Roman" w:eastAsia="Times New Roman" w:hint="default"/>
          <w:spacing w:val="-2"/>
        </w:rPr>
        <w:t>546,329,094.00</w:t>
      </w:r>
      <w:r>
        <w:rPr>
          <w:spacing w:val="-2"/>
        </w:rPr>
        <w:t>元。本次增资业经瑞华会计师事务所（特殊普通合伙）审验，并出具瑞华验字〔</w:t>
      </w:r>
      <w:r>
        <w:rPr>
          <w:rFonts w:ascii="Times New Roman" w:hAnsi="Times New Roman" w:cs="Times New Roman" w:eastAsia="Times New Roman" w:hint="default"/>
          <w:spacing w:val="-2"/>
        </w:rPr>
        <w:t>2016</w:t>
      </w:r>
      <w:r>
        <w:rPr>
          <w:spacing w:val="-2"/>
        </w:rPr>
        <w:t>〕</w:t>
      </w:r>
    </w:p>
    <w:p>
      <w:pPr>
        <w:pStyle w:val="BodyText"/>
        <w:spacing w:line="300" w:lineRule="auto" w:before="13"/>
        <w:ind w:right="1129"/>
        <w:jc w:val="both"/>
      </w:pPr>
      <w:r>
        <w:rPr>
          <w:rFonts w:ascii="Times New Roman" w:hAnsi="Times New Roman" w:cs="Times New Roman" w:eastAsia="Times New Roman" w:hint="default"/>
          <w:spacing w:val="-2"/>
        </w:rPr>
        <w:t>01660007</w:t>
      </w:r>
      <w:r>
        <w:rPr>
          <w:spacing w:val="-2"/>
        </w:rPr>
        <w:t>号验资报告。随后，本公司向智度德普有限合伙、西藏智度投资有限公司（现已更名为</w:t>
      </w:r>
      <w:r>
        <w:rPr>
          <w:rFonts w:ascii="Times New Roman" w:hAnsi="Times New Roman" w:cs="Times New Roman" w:eastAsia="Times New Roman" w:hint="default"/>
          <w:spacing w:val="-2"/>
        </w:rPr>
        <w:t>“</w:t>
      </w:r>
      <w:r>
        <w:rPr>
          <w:spacing w:val="-2"/>
        </w:rPr>
        <w:t>智度集团有限公司</w:t>
      </w:r>
      <w:r>
        <w:rPr>
          <w:rFonts w:ascii="Times New Roman" w:hAnsi="Times New Roman" w:cs="Times New Roman" w:eastAsia="Times New Roman" w:hint="default"/>
          <w:spacing w:val="-2"/>
        </w:rPr>
        <w:t>”</w:t>
      </w:r>
      <w:r>
        <w:rPr>
          <w:spacing w:val="-2"/>
        </w:rPr>
        <w:t>）非公</w:t>
      </w:r>
      <w:r>
        <w:rPr>
          <w:spacing w:val="-37"/>
        </w:rPr>
        <w:t> </w:t>
      </w:r>
      <w:r>
        <w:rPr>
          <w:spacing w:val="-37"/>
        </w:rPr>
      </w:r>
      <w:r>
        <w:rPr/>
        <w:t>开发行股份</w:t>
      </w:r>
      <w:r>
        <w:rPr>
          <w:rFonts w:ascii="Times New Roman" w:hAnsi="Times New Roman" w:cs="Times New Roman" w:eastAsia="Times New Roman" w:hint="default"/>
        </w:rPr>
        <w:t>419,381,688</w:t>
      </w:r>
      <w:r>
        <w:rPr/>
        <w:t>股募集发行股份购买资产的配套资金，每股发行价格</w:t>
      </w:r>
      <w:r>
        <w:rPr>
          <w:rFonts w:ascii="Times New Roman" w:hAnsi="Times New Roman" w:cs="Times New Roman" w:eastAsia="Times New Roman" w:hint="default"/>
        </w:rPr>
        <w:t>6.72</w:t>
      </w:r>
      <w:r>
        <w:rPr/>
        <w:t>元。本公司注册资本变更为</w:t>
      </w:r>
      <w:r>
        <w:rPr>
          <w:rFonts w:ascii="Times New Roman" w:hAnsi="Times New Roman" w:cs="Times New Roman" w:eastAsia="Times New Roman" w:hint="default"/>
        </w:rPr>
        <w:t>965,710,782.00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7"/>
        </w:rPr>
        <w:t>元。本次增资业经瑞华会计师事务所（特殊普通合伙）审验，并出具瑞华验字〔</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01660008</w:t>
      </w:r>
      <w:r>
        <w:rPr>
          <w:spacing w:val="-7"/>
        </w:rPr>
        <w:t>号、瑞华验字〔</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01660009</w:t>
      </w:r>
      <w:r>
        <w:rPr>
          <w:rFonts w:ascii="Times New Roman" w:hAnsi="Times New Roman" w:cs="Times New Roman" w:eastAsia="Times New Roman" w:hint="default"/>
          <w:spacing w:val="-20"/>
        </w:rPr>
        <w:t> </w:t>
      </w:r>
      <w:r>
        <w:rPr/>
        <w:t>号验资报告。上述新增股份已于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月在中国证券登记结算有限责任公司深圳分公司办理完毕股份登记手续。</w:t>
      </w:r>
    </w:p>
    <w:p>
      <w:pPr>
        <w:spacing w:line="240" w:lineRule="auto" w:before="7"/>
        <w:rPr>
          <w:rFonts w:ascii="宋体" w:hAnsi="宋体" w:cs="宋体" w:eastAsia="宋体" w:hint="default"/>
          <w:sz w:val="17"/>
          <w:szCs w:val="17"/>
        </w:rPr>
      </w:pPr>
    </w:p>
    <w:p>
      <w:pPr>
        <w:pStyle w:val="BodyText"/>
        <w:spacing w:line="300" w:lineRule="auto"/>
        <w:ind w:right="113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w:t>
      </w:r>
      <w:r>
        <w:rPr>
          <w:rFonts w:ascii="Times New Roman" w:hAnsi="Times New Roman" w:cs="Times New Roman" w:eastAsia="Times New Roman" w:hint="default"/>
        </w:rPr>
        <w:t>2016</w:t>
      </w:r>
      <w:r>
        <w:rPr/>
        <w:t>年第一次临时股东大会审议通过《关于变更公司名称、证券简称的议案》、《关于修订</w:t>
      </w:r>
      <w:r>
        <w:rPr>
          <w:rFonts w:ascii="Times New Roman" w:hAnsi="Times New Roman" w:cs="Times New Roman" w:eastAsia="Times New Roman" w:hint="default"/>
        </w:rPr>
        <w:t>&lt;</w:t>
      </w:r>
      <w:r>
        <w:rPr/>
        <w:t>公司</w:t>
      </w:r>
      <w:r>
        <w:rPr>
          <w:spacing w:val="-12"/>
        </w:rPr>
        <w:t> </w:t>
      </w:r>
      <w:r>
        <w:rPr/>
        <w:t>章程</w:t>
      </w:r>
      <w:r>
        <w:rPr>
          <w:rFonts w:ascii="Times New Roman" w:hAnsi="Times New Roman" w:cs="Times New Roman" w:eastAsia="Times New Roman" w:hint="default"/>
        </w:rPr>
        <w:t>&gt;</w:t>
      </w:r>
      <w:r>
        <w:rPr/>
        <w:t>的议案》、《关于智度投资股份有限公司重大资产出售暨关联交易具体方案的议案》等相关议案，本公司名称由智度 投资股份有限公司变更为智度科技股份有限公司，并于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日办理公司名称等相关工商变更登记手续。本公司统一</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信用代码为</w:t>
      </w:r>
      <w:r>
        <w:rPr>
          <w:rFonts w:ascii="Times New Roman" w:hAnsi="Times New Roman" w:cs="Times New Roman" w:eastAsia="Times New Roman" w:hint="default"/>
        </w:rPr>
        <w:t>91410000170000388E</w:t>
      </w:r>
      <w:r>
        <w:rPr/>
        <w:t>。</w:t>
      </w:r>
    </w:p>
    <w:p>
      <w:pPr>
        <w:spacing w:line="240" w:lineRule="auto" w:before="4"/>
        <w:rPr>
          <w:rFonts w:ascii="宋体" w:hAnsi="宋体" w:cs="宋体" w:eastAsia="宋体" w:hint="default"/>
          <w:sz w:val="21"/>
          <w:szCs w:val="21"/>
        </w:rPr>
      </w:pPr>
    </w:p>
    <w:p>
      <w:pPr>
        <w:pStyle w:val="BodyText"/>
        <w:spacing w:line="240" w:lineRule="auto"/>
        <w:ind w:right="0"/>
        <w:jc w:val="both"/>
      </w:pPr>
      <w:r>
        <w:rPr/>
        <w:t>本公司证券简称</w:t>
      </w:r>
      <w:r>
        <w:rPr>
          <w:rFonts w:ascii="Times New Roman" w:hAnsi="Times New Roman" w:cs="Times New Roman" w:eastAsia="Times New Roman" w:hint="default"/>
        </w:rPr>
        <w:t>“</w:t>
      </w:r>
      <w:r>
        <w:rPr/>
        <w:t>智度股份</w:t>
      </w:r>
      <w:r>
        <w:rPr>
          <w:rFonts w:ascii="Times New Roman" w:hAnsi="Times New Roman" w:cs="Times New Roman" w:eastAsia="Times New Roman" w:hint="default"/>
        </w:rPr>
        <w:t>”</w:t>
      </w:r>
      <w:r>
        <w:rPr/>
        <w:t>，证券代码</w:t>
      </w:r>
      <w:r>
        <w:rPr>
          <w:rFonts w:ascii="Times New Roman" w:hAnsi="Times New Roman" w:cs="Times New Roman" w:eastAsia="Times New Roman" w:hint="default"/>
        </w:rPr>
        <w:t>“000676”</w:t>
      </w:r>
      <w:r>
        <w:rPr/>
        <w:t>。</w:t>
      </w:r>
    </w:p>
    <w:p>
      <w:pPr>
        <w:spacing w:line="240" w:lineRule="auto" w:before="4"/>
        <w:rPr>
          <w:rFonts w:ascii="宋体" w:hAnsi="宋体" w:cs="宋体" w:eastAsia="宋体" w:hint="default"/>
          <w:sz w:val="21"/>
          <w:szCs w:val="21"/>
        </w:rPr>
      </w:pPr>
    </w:p>
    <w:p>
      <w:pPr>
        <w:pStyle w:val="BodyText"/>
        <w:spacing w:line="319" w:lineRule="auto"/>
        <w:ind w:right="1032"/>
        <w:jc w:val="left"/>
      </w:pPr>
      <w:r>
        <w:rPr/>
        <w:t>本公司建立了股东大会、董事会、监事会的法人治理结构，目前设财务管理中心、董事会办公室、海外事业部、行政中心、 审计监察法务部、投资部、证券事务部等部门。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316" w:lineRule="auto"/>
        <w:ind w:right="0" w:firstLine="2"/>
        <w:jc w:val="left"/>
      </w:pPr>
      <w:r>
        <w:rPr>
          <w:spacing w:val="-2"/>
        </w:rPr>
        <w:t>本公司及子公司业务性质和主要经营活动：本公司所属互联网和相关服务行业，主要从事互联网媒体业务、数字营销业务及</w:t>
      </w:r>
      <w:r>
        <w:rPr>
          <w:spacing w:val="-68"/>
        </w:rPr>
        <w:t> </w:t>
      </w:r>
      <w:r>
        <w:rPr>
          <w:spacing w:val="-68"/>
        </w:rPr>
      </w:r>
      <w:r>
        <w:rPr/>
        <w:t>其他业务（包括互联网游戏业务和互联网金融业务）。</w:t>
      </w:r>
    </w:p>
    <w:p>
      <w:pPr>
        <w:spacing w:line="240" w:lineRule="auto" w:before="12"/>
        <w:rPr>
          <w:rFonts w:ascii="宋体" w:hAnsi="宋体" w:cs="宋体" w:eastAsia="宋体" w:hint="default"/>
          <w:sz w:val="17"/>
          <w:szCs w:val="17"/>
        </w:rPr>
      </w:pPr>
    </w:p>
    <w:p>
      <w:pPr>
        <w:pStyle w:val="BodyText"/>
        <w:spacing w:line="508" w:lineRule="auto"/>
        <w:ind w:right="0" w:firstLine="2"/>
        <w:jc w:val="left"/>
      </w:pPr>
      <w:r>
        <w:rPr/>
        <w:t>本公司注册地址：中国河南郑州高新技术产业开发区玉兰街</w:t>
      </w:r>
      <w:r>
        <w:rPr>
          <w:rFonts w:ascii="Times New Roman" w:hAnsi="Times New Roman" w:cs="Times New Roman" w:eastAsia="Times New Roman" w:hint="default"/>
        </w:rPr>
        <w:t>101</w:t>
      </w:r>
      <w:r>
        <w:rPr/>
        <w:t>号；法定代表人：赵立仁。 本财务报表及财务报表附注业经本公司第八届董事会第十四次会议于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w:t>
      </w:r>
    </w:p>
    <w:p>
      <w:pPr>
        <w:pStyle w:val="BodyText"/>
        <w:spacing w:line="300" w:lineRule="auto" w:before="55"/>
        <w:ind w:right="0" w:firstLine="2"/>
        <w:jc w:val="left"/>
      </w:pPr>
      <w:r>
        <w:rPr>
          <w:spacing w:val="-2"/>
        </w:rPr>
        <w:t>本公司</w:t>
      </w:r>
      <w:r>
        <w:rPr>
          <w:rFonts w:ascii="Times New Roman" w:hAnsi="Times New Roman" w:cs="Times New Roman" w:eastAsia="Times New Roman" w:hint="default"/>
          <w:spacing w:val="-2"/>
        </w:rPr>
        <w:t>2018</w:t>
      </w:r>
      <w:r>
        <w:rPr>
          <w:spacing w:val="-2"/>
        </w:rPr>
        <w:t>年度纳入合并范围的子公司共</w:t>
      </w:r>
      <w:r>
        <w:rPr>
          <w:rFonts w:ascii="Times New Roman" w:hAnsi="Times New Roman" w:cs="Times New Roman" w:eastAsia="Times New Roman" w:hint="default"/>
          <w:spacing w:val="-2"/>
        </w:rPr>
        <w:t>46</w:t>
      </w:r>
      <w:r>
        <w:rPr>
          <w:spacing w:val="-2"/>
        </w:rPr>
        <w:t>户，参见附注九、在其他主体中的权益披露。本公司本年度合并范围比上年度增</w:t>
      </w:r>
      <w:r>
        <w:rPr>
          <w:spacing w:val="-62"/>
        </w:rPr>
        <w:t> </w:t>
      </w:r>
      <w:r>
        <w:rPr>
          <w:spacing w:val="-62"/>
        </w:rPr>
      </w:r>
      <w:r>
        <w:rPr/>
        <w:t>加</w:t>
      </w:r>
      <w:r>
        <w:rPr>
          <w:rFonts w:ascii="Times New Roman" w:hAnsi="Times New Roman" w:cs="Times New Roman" w:eastAsia="Times New Roman" w:hint="default"/>
        </w:rPr>
        <w:t>5</w:t>
      </w:r>
      <w:r>
        <w:rPr/>
        <w:t>户，减少</w:t>
      </w:r>
      <w:r>
        <w:rPr>
          <w:rFonts w:ascii="Times New Roman" w:hAnsi="Times New Roman" w:cs="Times New Roman" w:eastAsia="Times New Roman" w:hint="default"/>
        </w:rPr>
        <w:t>1</w:t>
      </w:r>
      <w:r>
        <w:rPr/>
        <w:t>户，参见附注八、合并范围的变动。</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73"/>
      <w:bookmarkEnd w:id="17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74"/>
      <w:bookmarkEnd w:id="17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22"/>
          <w:szCs w:val="22"/>
        </w:rPr>
      </w:pPr>
    </w:p>
    <w:p>
      <w:pPr>
        <w:pStyle w:val="BodyText"/>
        <w:spacing w:line="300" w:lineRule="auto"/>
        <w:ind w:right="1129"/>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）编制。此外，本公</w:t>
      </w:r>
      <w:r>
        <w:rPr>
          <w:spacing w:val="-46"/>
        </w:rPr>
        <w:t> </w:t>
      </w:r>
      <w:r>
        <w:rPr>
          <w:spacing w:val="-46"/>
        </w:rPr>
      </w:r>
      <w:r>
        <w:rPr>
          <w:spacing w:val="-2"/>
        </w:rPr>
        <w:t>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59"/>
        </w:rPr>
        <w:t> </w:t>
      </w:r>
      <w:r>
        <w:rPr>
          <w:spacing w:val="-59"/>
        </w:rPr>
      </w:r>
      <w:r>
        <w:rPr/>
        <w:t>信息。</w:t>
      </w:r>
    </w:p>
    <w:p>
      <w:pPr>
        <w:spacing w:line="240" w:lineRule="auto" w:before="12"/>
        <w:rPr>
          <w:rFonts w:ascii="宋体" w:hAnsi="宋体" w:cs="宋体" w:eastAsia="宋体" w:hint="default"/>
          <w:sz w:val="18"/>
          <w:szCs w:val="18"/>
        </w:rPr>
      </w:pPr>
    </w:p>
    <w:p>
      <w:pPr>
        <w:pStyle w:val="BodyText"/>
        <w:spacing w:line="316" w:lineRule="auto"/>
        <w:ind w:right="0"/>
        <w:jc w:val="left"/>
      </w:pPr>
      <w:r>
        <w:rPr>
          <w:spacing w:val="-2"/>
        </w:rPr>
        <w:t>本公司会计核算以权责发生制为基础。除某些金融工具外，本财务报表均以历史成本为计量基础。资产如果发生减值，则按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2、持续经营" w:id="175"/>
      <w:bookmarkEnd w:id="17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本财务报表以持续经营为基础列报。</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五、重要会计政策及会计估计" w:id="176"/>
      <w:bookmarkEnd w:id="17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right="4092"/>
        <w:jc w:val="left"/>
      </w:pPr>
      <w:r>
        <w:rPr/>
        <w:t>具体会计政策和会计估计提示： 本公司根据自身生产经营特点，确定收入确认政策，具体会计政策参见附注五、</w:t>
      </w:r>
      <w:r>
        <w:rPr>
          <w:rFonts w:ascii="Times New Roman" w:hAnsi="Times New Roman" w:cs="Times New Roman" w:eastAsia="Times New Roman" w:hint="default"/>
        </w:rPr>
        <w:t>28</w:t>
      </w:r>
      <w:r>
        <w:rPr/>
        <w:t>。</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遵循企业会计准则的声明" w:id="177"/>
      <w:bookmarkEnd w:id="17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本财务报表符合企业会计准则的要求，真实、完整地反映了本公司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2018</w:t>
      </w:r>
      <w:r>
        <w:rPr>
          <w:spacing w:val="-2"/>
        </w:rPr>
        <w:t>年度的合</w:t>
      </w:r>
      <w:r>
        <w:rPr>
          <w:spacing w:val="-52"/>
        </w:rPr>
        <w:t> </w:t>
      </w:r>
      <w:r>
        <w:rPr/>
        <w:t>并及公司经营成果和合并及公司现金流量等有关信息。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2、会计期间" w:id="178"/>
      <w:bookmarkEnd w:id="17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bookmarkStart w:name="3、营业周期" w:id="179"/>
      <w:bookmarkEnd w:id="17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本公司的营业周期为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4、记账本位币" w:id="180"/>
      <w:bookmarkEnd w:id="18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本公司及境内子公司以人民币为记账本位币。本公司之境外子公司根据其经营所处的主要经济环境中的货币确定美元为其记</w:t>
      </w:r>
      <w:r>
        <w:rPr>
          <w:spacing w:val="-64"/>
        </w:rPr>
        <w:t> </w:t>
      </w:r>
      <w:r>
        <w:rPr>
          <w:spacing w:val="-64"/>
        </w:rPr>
      </w:r>
      <w:r>
        <w:rPr/>
        <w:t>账本位币。本公司编制本财务报表时所采用的货币为人民币。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bookmarkStart w:name="5、同一控制下和非同一控制下企业合并的会计处理方法" w:id="181"/>
      <w:bookmarkEnd w:id="18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t>（</w:t>
      </w:r>
      <w:r>
        <w:rPr>
          <w:rFonts w:ascii="宋体" w:hAnsi="宋体" w:cs="宋体" w:eastAsia="宋体" w:hint="default"/>
        </w:rPr>
        <w:t>1</w:t>
      </w:r>
      <w:r>
        <w:rPr/>
        <w:t>）同一控制下的企业合并 </w:t>
      </w:r>
      <w:r>
        <w:rPr>
          <w:spacing w:val="-2"/>
        </w:rPr>
        <w:t>对于同一控制下的企业合并，合并方在合并中取得的被合并方的资产、负债，除因会计政策不同而进行的调整以外，按合并</w:t>
      </w:r>
      <w:r>
        <w:rPr>
          <w:spacing w:val="-66"/>
        </w:rPr>
        <w:t> </w:t>
      </w:r>
      <w:r>
        <w:rPr>
          <w:spacing w:val="-66"/>
        </w:rPr>
      </w:r>
      <w:r>
        <w:rPr>
          <w:spacing w:val="-2"/>
        </w:rPr>
        <w:t>日被合并方在最终控制方合并财务报表中的账面价值计量。合并对价的账面价值（或发行股份面值总额）与合并中取得的净</w:t>
      </w:r>
      <w:r>
        <w:rPr>
          <w:spacing w:val="-66"/>
        </w:rPr>
        <w:t> </w:t>
      </w:r>
      <w:r>
        <w:rPr>
          <w:spacing w:val="-66"/>
        </w:rPr>
      </w:r>
      <w:r>
        <w:rPr/>
        <w:t>资产账面价值的差额调整资本公积（股本溢价），资本公积（股本溢价）不足冲减的，调整留存收益。 通过多次交易分步实现同一控制下的企业合并 </w:t>
      </w: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 调整资本公积（股本溢价），资本公积不足冲减的，调整留存收益。 </w:t>
      </w:r>
      <w:r>
        <w:rPr>
          <w:spacing w:val="-2"/>
        </w:rPr>
        <w:t>在合并财务报表中，合并方在合并中取得的被合并方的资产、负债，除因会计政策不同而进行的调整以外，按合并日在最终</w:t>
      </w:r>
      <w:r>
        <w:rPr>
          <w:spacing w:val="-66"/>
        </w:rPr>
        <w:t> </w:t>
      </w:r>
      <w:r>
        <w:rPr>
          <w:spacing w:val="-66"/>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的净资产账面价值的差额，调整资本公积（股本溢价），资本公积不足冲减的，调整留存收益。合并方在取得被合并方控制</w:t>
      </w:r>
      <w:r>
        <w:rPr>
          <w:spacing w:val="-67"/>
        </w:rPr>
        <w:t> </w:t>
      </w:r>
      <w:r>
        <w:rPr>
          <w:spacing w:val="-67"/>
        </w:rPr>
      </w:r>
      <w:r>
        <w:rPr>
          <w:spacing w:val="-2"/>
        </w:rPr>
        <w:t>权之前持有的长期股权投资，在取得原股权之日与合并方与被合并方同处于同一方最终控制之日孰晚日起至合并日之间已确</w:t>
      </w:r>
      <w:r>
        <w:rPr>
          <w:spacing w:val="-64"/>
        </w:rPr>
        <w:t> </w:t>
      </w:r>
      <w:r>
        <w:rPr>
          <w:spacing w:val="-64"/>
        </w:rPr>
      </w:r>
      <w:r>
        <w:rPr/>
        <w:t>认有关损益、其他综合收益和其他所有者权益变动，应分别冲减比较报表期间的期初留存收益或当期损益。</w:t>
      </w:r>
    </w:p>
    <w:p>
      <w:pPr>
        <w:pStyle w:val="BodyText"/>
        <w:spacing w:line="319" w:lineRule="auto" w:before="19"/>
        <w:ind w:right="0"/>
        <w:jc w:val="left"/>
      </w:pPr>
      <w:r>
        <w:rPr/>
        <w:t>（</w:t>
      </w:r>
      <w:r>
        <w:rPr>
          <w:rFonts w:ascii="宋体" w:hAnsi="宋体" w:cs="宋体" w:eastAsia="宋体" w:hint="default"/>
        </w:rPr>
        <w:t>2</w:t>
      </w:r>
      <w:r>
        <w:rPr/>
        <w:t>）非同一控制下的企业合并 </w:t>
      </w: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w:t>
      </w:r>
    </w:p>
    <w:p>
      <w:pPr>
        <w:spacing w:line="240" w:lineRule="auto" w:before="2"/>
        <w:rPr>
          <w:rFonts w:ascii="宋体" w:hAnsi="宋体" w:cs="宋体" w:eastAsia="宋体" w:hint="default"/>
          <w:sz w:val="25"/>
          <w:szCs w:val="25"/>
        </w:rPr>
      </w:pPr>
    </w:p>
    <w:p>
      <w:pPr>
        <w:pStyle w:val="BodyText"/>
        <w:spacing w:line="316" w:lineRule="auto"/>
        <w:ind w:right="0"/>
        <w:jc w:val="left"/>
      </w:pP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 通过多次交易分步实现非同一控制下的企业合并</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6"/>
        </w:rPr>
        <w:t> </w:t>
      </w:r>
      <w:r>
        <w:rPr>
          <w:spacing w:val="-66"/>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 </w:t>
      </w: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6"/>
        </w:rPr>
        <w:t> </w:t>
      </w:r>
      <w:r>
        <w:rPr>
          <w:spacing w:val="-66"/>
        </w:rPr>
      </w:r>
      <w:r>
        <w:rPr/>
        <w:t>被投资方重新计量设定收益计划净负债或净资产变动而产生的其他综合收益除外。</w:t>
      </w:r>
    </w:p>
    <w:p>
      <w:pPr>
        <w:pStyle w:val="BodyText"/>
        <w:spacing w:line="316" w:lineRule="auto" w:before="19"/>
        <w:ind w:right="0"/>
        <w:jc w:val="left"/>
      </w:pPr>
      <w:r>
        <w:rPr/>
        <w:t>（</w:t>
      </w: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6"/>
        </w:rPr>
        <w:t> </w:t>
      </w:r>
      <w:r>
        <w:rPr>
          <w:spacing w:val="-66"/>
        </w:rPr>
      </w:r>
      <w:r>
        <w:rPr/>
        <w:t>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6、合并财务报表的编制方法" w:id="182"/>
      <w:bookmarkEnd w:id="18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t>（</w:t>
      </w:r>
      <w:r>
        <w:rPr>
          <w:rFonts w:ascii="宋体" w:hAnsi="宋体" w:cs="宋体" w:eastAsia="宋体" w:hint="default"/>
        </w:rPr>
        <w:t>1</w:t>
      </w:r>
      <w:r>
        <w:rPr/>
        <w:t>）合并范围 </w:t>
      </w:r>
      <w:r>
        <w:rPr>
          <w:spacing w:val="-2"/>
        </w:rPr>
        <w:t>合并财务报表的合并范围以控制为基础予以确定。控制，是指本公司拥有对被投资单位的权力，通过参与被投资单位的相关</w:t>
      </w:r>
      <w:r>
        <w:rPr>
          <w:spacing w:val="-66"/>
        </w:rPr>
        <w:t> </w:t>
      </w:r>
      <w:r>
        <w:rPr>
          <w:spacing w:val="-66"/>
        </w:rPr>
      </w:r>
      <w:r>
        <w:rPr/>
        <w:t>活动而享有可变回报，并且有能力运用对被投资单位的权力影响其回报金额。子公司，是指被本公司控制的主体（含企业、 被投资单位中可分割的部分、结构化主体等）。</w:t>
      </w:r>
    </w:p>
    <w:p>
      <w:pPr>
        <w:pStyle w:val="BodyText"/>
        <w:spacing w:line="319" w:lineRule="auto" w:before="19"/>
        <w:ind w:right="0"/>
        <w:jc w:val="left"/>
      </w:pPr>
      <w:r>
        <w:rPr/>
        <w:t>（</w:t>
      </w:r>
      <w:r>
        <w:rPr>
          <w:rFonts w:ascii="宋体" w:hAnsi="宋体" w:cs="宋体" w:eastAsia="宋体" w:hint="default"/>
        </w:rPr>
        <w:t>2</w:t>
      </w:r>
      <w:r>
        <w:rPr/>
        <w:t>）合并财务报表的编制方法 </w:t>
      </w:r>
      <w:r>
        <w:rPr>
          <w:spacing w:val="-2"/>
        </w:rPr>
        <w:t>合并财务报表以本公司和子公司的财务报表为基础，根据其他有关资料，由本公司编制。在编制合并财务报表时，本公司和</w:t>
      </w:r>
      <w:r>
        <w:rPr>
          <w:spacing w:val="-65"/>
        </w:rPr>
        <w:t> </w:t>
      </w:r>
      <w:r>
        <w:rPr>
          <w:spacing w:val="-65"/>
        </w:rPr>
      </w:r>
      <w:r>
        <w:rPr/>
        <w:t>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w:t>
      </w:r>
    </w:p>
    <w:p>
      <w:pPr>
        <w:spacing w:line="240" w:lineRule="auto" w:before="2"/>
        <w:rPr>
          <w:rFonts w:ascii="宋体" w:hAnsi="宋体" w:cs="宋体" w:eastAsia="宋体" w:hint="default"/>
          <w:sz w:val="25"/>
          <w:szCs w:val="25"/>
        </w:rPr>
      </w:pPr>
    </w:p>
    <w:p>
      <w:pPr>
        <w:pStyle w:val="BodyText"/>
        <w:spacing w:line="316" w:lineRule="auto"/>
        <w:ind w:right="0"/>
        <w:jc w:val="left"/>
      </w:pPr>
      <w:r>
        <w:rPr>
          <w:spacing w:val="-2"/>
        </w:rPr>
        <w:t>在报告期内因非同一控制下企业合并增加的子公司以及业务，将该子公司以及业务自购买日至报告期末的收入、费用、利润</w:t>
      </w:r>
      <w:r>
        <w:rPr>
          <w:spacing w:val="-66"/>
        </w:rPr>
        <w:t> </w:t>
      </w:r>
      <w:r>
        <w:rPr>
          <w:spacing w:val="-66"/>
        </w:rPr>
      </w:r>
      <w:r>
        <w:rPr/>
        <w:t>纳入合并利润表，将其现金流量纳入合并现金流量表。 </w:t>
      </w:r>
      <w:r>
        <w:rPr>
          <w:spacing w:val="-2"/>
        </w:rPr>
        <w:t>子公司的股东权益中不属于本公司所拥有的部分，作为少数股东权益在合并资产负债表中股东权益项下单独列示；子公司当</w:t>
      </w:r>
      <w:r>
        <w:rPr>
          <w:spacing w:val="-63"/>
        </w:rPr>
        <w:t> </w:t>
      </w:r>
      <w:r>
        <w:rPr>
          <w:spacing w:val="-63"/>
        </w:rPr>
      </w:r>
      <w:r>
        <w:rPr>
          <w:spacing w:val="-2"/>
        </w:rPr>
        <w:t>期净损益中属于少数股东权益的份额，在合并利润表中净利润项目下以“少数股东损益”项目列示。少数股东分担的子公司</w:t>
      </w:r>
      <w:r>
        <w:rPr>
          <w:spacing w:val="-65"/>
        </w:rPr>
        <w:t> </w:t>
      </w:r>
      <w:r>
        <w:rPr>
          <w:spacing w:val="-65"/>
        </w:rPr>
      </w:r>
      <w:r>
        <w:rPr/>
        <w:t>的亏损超过了少数股东在该子公司期初所有者权益中所享有的份额，其余额仍冲减少数股东权益。</w:t>
      </w:r>
    </w:p>
    <w:p>
      <w:pPr>
        <w:pStyle w:val="BodyText"/>
        <w:spacing w:line="316" w:lineRule="auto" w:before="19"/>
        <w:ind w:right="0"/>
        <w:jc w:val="left"/>
      </w:pPr>
      <w:r>
        <w:rPr/>
        <w:t>（</w:t>
      </w:r>
      <w:r>
        <w:rPr>
          <w:rFonts w:ascii="宋体" w:hAnsi="宋体" w:cs="宋体" w:eastAsia="宋体" w:hint="default"/>
        </w:rPr>
        <w:t>3</w:t>
      </w:r>
      <w:r>
        <w:rPr/>
        <w:t>）购买子公司少数股东股权 因购买少数股权新取得的长期股权投资成本与按照新增持股比例计算应享有子公司自购买日或合并日开始持续计算的净资</w:t>
      </w:r>
      <w:r>
        <w:rPr>
          <w:spacing w:val="-9"/>
        </w:rPr>
        <w:t> </w:t>
      </w:r>
      <w:r>
        <w:rPr>
          <w:spacing w:val="-9"/>
        </w:rPr>
      </w:r>
      <w:r>
        <w:rPr>
          <w:spacing w:val="-2"/>
        </w:rPr>
        <w:t>产份额之间的差额，以及在不丧失控制权的情况下因部分处置对子公司的股权投资而取得的处置价款与处置长期股权投资相</w:t>
      </w:r>
      <w:r>
        <w:rPr>
          <w:spacing w:val="-64"/>
        </w:rPr>
        <w:t> </w:t>
      </w:r>
      <w:r>
        <w:rPr>
          <w:spacing w:val="-64"/>
        </w:rPr>
      </w:r>
      <w:r>
        <w:rPr/>
        <w:t>对应享有子公司自购买日或合并日开始持续计算的净资产份额之间的差额，均调整合并资产负债表中的资本公积（股本溢</w:t>
      </w:r>
      <w:r>
        <w:rPr>
          <w:spacing w:val="-8"/>
        </w:rPr>
        <w:t> </w:t>
      </w:r>
      <w:r>
        <w:rPr>
          <w:spacing w:val="-8"/>
        </w:rPr>
      </w:r>
      <w:r>
        <w:rPr/>
        <w:t>价），资本公积不足冲减的，调整留存收益。</w:t>
      </w:r>
    </w:p>
    <w:p>
      <w:pPr>
        <w:pStyle w:val="BodyText"/>
        <w:spacing w:line="316" w:lineRule="auto" w:before="19"/>
        <w:ind w:right="1032"/>
        <w:jc w:val="left"/>
      </w:pPr>
      <w:r>
        <w:rPr/>
        <w:t>（</w:t>
      </w:r>
      <w:r>
        <w:rPr>
          <w:rFonts w:ascii="宋体" w:hAnsi="宋体" w:cs="宋体" w:eastAsia="宋体" w:hint="default"/>
        </w:rPr>
        <w:t>4</w:t>
      </w:r>
      <w:r>
        <w:rPr/>
        <w:t>）丧失子公司控制权的处理 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 </w:t>
      </w: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合营安排分类及共同经营会计处理方法" w:id="183"/>
      <w:bookmarkEnd w:id="18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合营安排，是指一项由两个或两个以上的参与方共同控制的安排。本公司合营安排分为共同经营和合营企业。</w:t>
      </w:r>
    </w:p>
    <w:p>
      <w:pPr>
        <w:pStyle w:val="BodyText"/>
        <w:spacing w:line="319" w:lineRule="auto" w:before="76"/>
        <w:ind w:right="4632"/>
        <w:jc w:val="left"/>
      </w:pPr>
      <w:r>
        <w:rPr/>
        <w:t>（</w:t>
      </w:r>
      <w:r>
        <w:rPr>
          <w:rFonts w:ascii="宋体" w:hAnsi="宋体" w:cs="宋体" w:eastAsia="宋体" w:hint="default"/>
        </w:rPr>
        <w:t>1</w:t>
      </w:r>
      <w:r>
        <w:rPr/>
        <w:t>）共同经营 共同经营是指本公司享有该安排相关资产且承担该安排相关负债的合营安排。</w:t>
      </w:r>
    </w:p>
    <w:p>
      <w:pPr>
        <w:pStyle w:val="BodyText"/>
        <w:spacing w:line="316" w:lineRule="auto" w:before="17"/>
        <w:ind w:right="2832"/>
        <w:jc w:val="left"/>
      </w:pPr>
      <w:r>
        <w:rPr/>
        <w:t>本公司确认与共同经营中利益份额相关的下列项目，并按照相关企业会计准则的规定进行会计处理： </w:t>
      </w: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316" w:lineRule="auto" w:before="19"/>
        <w:ind w:right="5712"/>
        <w:jc w:val="left"/>
      </w:pPr>
      <w:r>
        <w:rPr/>
        <w:t>（</w:t>
      </w:r>
      <w:r>
        <w:rPr>
          <w:rFonts w:ascii="宋体" w:hAnsi="宋体" w:cs="宋体" w:eastAsia="宋体" w:hint="default"/>
        </w:rPr>
        <w:t>2</w:t>
      </w:r>
      <w:r>
        <w:rPr/>
        <w:t>）合营企业 合营企业是指本公司仅对该安排的净资产享有权利的合营安排。</w:t>
      </w:r>
    </w:p>
    <w:p>
      <w:pPr>
        <w:pStyle w:val="BodyText"/>
        <w:spacing w:line="240" w:lineRule="auto" w:before="19"/>
        <w:ind w:right="0"/>
        <w:jc w:val="left"/>
      </w:pPr>
      <w:r>
        <w:rPr/>
        <w:t>本公司按照长期股权投资有关权益法核算的规定对合营企业的投资进行会计处理。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8、现金及现金等价物的确定标准" w:id="184"/>
      <w:bookmarkEnd w:id="18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现金是指库存现金以及可以随时用于支付的存款。现金等价物，是指本公司持有的期限短、流动性强、易于转换为已知金额</w:t>
      </w:r>
      <w:r>
        <w:rPr>
          <w:spacing w:val="-66"/>
        </w:rPr>
        <w:t> </w:t>
      </w:r>
      <w:r>
        <w:rPr>
          <w:spacing w:val="-66"/>
        </w:rPr>
      </w:r>
      <w:r>
        <w:rPr/>
        <w:t>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9、外币业务和外币报表折算" w:id="185"/>
      <w:bookmarkEnd w:id="18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4992"/>
        <w:jc w:val="left"/>
      </w:pPr>
      <w:r>
        <w:rPr/>
        <w:t>（</w:t>
      </w:r>
      <w:r>
        <w:rPr>
          <w:rFonts w:ascii="宋体" w:hAnsi="宋体" w:cs="宋体" w:eastAsia="宋体" w:hint="default"/>
        </w:rPr>
        <w:t>1</w:t>
      </w:r>
      <w:r>
        <w:rPr/>
        <w:t>）外币业务 本公司发生外币业务，按交易发生日的即期汇率折算为记账本位币金额。</w:t>
      </w:r>
    </w:p>
    <w:p>
      <w:pPr>
        <w:pStyle w:val="BodyText"/>
        <w:spacing w:line="316" w:lineRule="auto" w:before="19"/>
        <w:ind w:right="1133"/>
        <w:jc w:val="both"/>
      </w:pPr>
      <w:r>
        <w:rPr>
          <w:spacing w:val="-2"/>
        </w:rPr>
        <w:t>资产负债表日，对外币货币性项目，采用资产负债表日即期汇率折算。因资产负债表日即期汇率与初始确认时或者前一资产</w:t>
      </w:r>
      <w:r>
        <w:rPr>
          <w:spacing w:val="-66"/>
        </w:rPr>
        <w:t> </w:t>
      </w:r>
      <w:r>
        <w:rPr>
          <w:spacing w:val="-66"/>
        </w:rPr>
      </w:r>
      <w:r>
        <w:rPr>
          <w:spacing w:val="-2"/>
        </w:rPr>
        <w:t>负债表日即期汇率不同而产生的汇兑差额，计入当期损益；对以历史成本计量的外币非货币性项目，仍采用交易发生日的即</w:t>
      </w:r>
      <w:r>
        <w:rPr>
          <w:spacing w:val="-66"/>
        </w:rPr>
        <w:t> </w:t>
      </w:r>
      <w:r>
        <w:rPr>
          <w:spacing w:val="-66"/>
        </w:rPr>
      </w:r>
      <w:r>
        <w:rPr>
          <w:spacing w:val="-2"/>
        </w:rPr>
        <w:t>期汇率折算；对以公允价值计量的外币非货币性项目，采用公允价值确定日的即期汇率折算，折算后的记账本位币金额与原</w:t>
      </w:r>
      <w:r>
        <w:rPr>
          <w:spacing w:val="-66"/>
        </w:rPr>
        <w:t> </w:t>
      </w:r>
      <w:r>
        <w:rPr>
          <w:spacing w:val="-66"/>
        </w:rPr>
      </w:r>
      <w:r>
        <w:rPr/>
        <w:t>记账本位币金额的差额，计入当期损益。</w:t>
      </w:r>
    </w:p>
    <w:p>
      <w:pPr>
        <w:pStyle w:val="BodyText"/>
        <w:spacing w:line="316" w:lineRule="auto" w:before="19"/>
        <w:ind w:right="0"/>
        <w:jc w:val="left"/>
      </w:pPr>
      <w:r>
        <w:rPr/>
        <w:t>（</w:t>
      </w:r>
      <w:r>
        <w:rPr>
          <w:rFonts w:ascii="宋体" w:hAnsi="宋体" w:cs="宋体" w:eastAsia="宋体" w:hint="default"/>
        </w:rPr>
        <w:t>2</w:t>
      </w:r>
      <w:r>
        <w:rPr/>
        <w:t>）外币财务报表的折算 </w:t>
      </w:r>
      <w:r>
        <w:rPr>
          <w:spacing w:val="-2"/>
        </w:rPr>
        <w:t>资产负债表日，对境外子公司外币财务报表进行折算时，资产负债表中的资产和负债项目，采用资产负债表日的即期汇率折</w:t>
      </w:r>
      <w:r>
        <w:rPr>
          <w:spacing w:val="-66"/>
        </w:rPr>
        <w:t> </w:t>
      </w:r>
      <w:r>
        <w:rPr>
          <w:spacing w:val="-66"/>
        </w:rPr>
      </w:r>
      <w:r>
        <w:rPr/>
        <w:t>算，股东权益项目除“未分配利润”外，其他项目采用发生日的即期汇率折算。 利润表中的收入和费用项目，采用交易发生当期平均汇率折算。 </w:t>
      </w:r>
      <w:r>
        <w:rPr>
          <w:spacing w:val="-2"/>
        </w:rPr>
        <w:t>现金流量表所有项目均按照现金流量发生当期平均汇率折算。汇率变动对现金的影响额作为调节项目，在现金流量表中单独</w:t>
      </w:r>
      <w:r>
        <w:rPr>
          <w:spacing w:val="-64"/>
        </w:rPr>
        <w:t> </w:t>
      </w:r>
      <w:r>
        <w:rPr>
          <w:spacing w:val="-64"/>
        </w:rPr>
      </w:r>
      <w:r>
        <w:rPr/>
        <w:t>列示“汇率变动对现金及现金等价物的影响” 项目反映。 由于财务报表折算而产生的差额，在资产负债表股东权益项目下的“其他综合收益”项目反映。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0、金融工具" w:id="186"/>
      <w:bookmarkEnd w:id="18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金融工具是指形成一个企业的金融资产，并形成其他单位的金融负债或权益工具的合同。</w:t>
      </w:r>
    </w:p>
    <w:p>
      <w:pPr>
        <w:pStyle w:val="BodyText"/>
        <w:spacing w:line="319" w:lineRule="auto" w:before="76"/>
        <w:ind w:right="5352"/>
        <w:jc w:val="left"/>
      </w:pPr>
      <w:r>
        <w:rPr/>
        <w:t>（</w:t>
      </w:r>
      <w:r>
        <w:rPr>
          <w:rFonts w:ascii="宋体" w:hAnsi="宋体" w:cs="宋体" w:eastAsia="宋体"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17"/>
        <w:ind w:right="0"/>
        <w:jc w:val="left"/>
      </w:pPr>
      <w:r>
        <w:rPr/>
        <w:t>① 收取该金融资产现金流量的合同权利终止；</w:t>
      </w:r>
    </w:p>
    <w:p>
      <w:pPr>
        <w:pStyle w:val="BodyText"/>
        <w:spacing w:line="316" w:lineRule="auto" w:before="76"/>
        <w:ind w:right="1032"/>
        <w:jc w:val="left"/>
      </w:pPr>
      <w:r>
        <w:rPr/>
        <w:t>② 该金融资产已转移，且符合下述金融资产转移的终止确认条件。 金融负债的现时义务全部或部分已经解除的，终止确认该金融负债或其一部分。本公司（债务人）与债权人之间签订协议，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pStyle w:val="BodyText"/>
        <w:spacing w:line="240" w:lineRule="auto" w:before="19"/>
        <w:ind w:right="0"/>
        <w:jc w:val="left"/>
      </w:pPr>
      <w:r>
        <w:rPr/>
        <w:t>以常规方式买卖金融资产，按交易日进行会计确认和终止确认。</w:t>
      </w:r>
    </w:p>
    <w:p>
      <w:pPr>
        <w:pStyle w:val="BodyText"/>
        <w:spacing w:line="316" w:lineRule="auto" w:before="76"/>
        <w:ind w:right="0"/>
        <w:jc w:val="left"/>
      </w:pPr>
      <w:r>
        <w:rPr/>
        <w:t>（</w:t>
      </w:r>
      <w:r>
        <w:rPr>
          <w:rFonts w:ascii="宋体" w:hAnsi="宋体" w:cs="宋体" w:eastAsia="宋体" w:hint="default"/>
        </w:rPr>
        <w:t>2</w:t>
      </w:r>
      <w:r>
        <w:rPr/>
        <w:t>）金融资产分类和计量 </w:t>
      </w:r>
      <w:r>
        <w:rPr>
          <w:spacing w:val="-2"/>
        </w:rPr>
        <w:t>本公司的金融资产于初始确认时分为以下四类：以公允价值计量且其变动计入当期损益的金融资产、持有至到期投资、贷款</w:t>
      </w:r>
      <w:r>
        <w:rPr>
          <w:spacing w:val="-66"/>
        </w:rPr>
        <w:t> </w:t>
      </w:r>
      <w:r>
        <w:rPr>
          <w:spacing w:val="-66"/>
        </w:rPr>
      </w:r>
      <w:r>
        <w:rPr/>
        <w:t>和应收款项、可供出售金融资产。 </w:t>
      </w:r>
      <w:r>
        <w:rPr>
          <w:spacing w:val="-2"/>
        </w:rPr>
        <w:t>金融资产在初始确认时以公允价值计量。对于以公允价值计量且其变动计入当期损益的金融资产，相关交易费用直接计入当</w:t>
      </w:r>
      <w:r>
        <w:rPr>
          <w:spacing w:val="-64"/>
        </w:rPr>
        <w:t> </w:t>
      </w:r>
      <w:r>
        <w:rPr>
          <w:spacing w:val="-64"/>
        </w:rPr>
      </w:r>
      <w:r>
        <w:rPr/>
        <w:t>期损益，其他类别的金融资产相关交易费用计入其初始确认金额。</w:t>
      </w:r>
    </w:p>
    <w:p>
      <w:pPr>
        <w:pStyle w:val="BodyText"/>
        <w:spacing w:line="316" w:lineRule="auto" w:before="19"/>
        <w:ind w:right="0"/>
        <w:jc w:val="left"/>
      </w:pPr>
      <w:r>
        <w:rPr/>
        <w:t>以公允价值计量且其变动计入当期损益的金融资产 </w:t>
      </w:r>
      <w:r>
        <w:rPr>
          <w:spacing w:val="-2"/>
        </w:rPr>
        <w:t>以公允价值计量且其变动计入当期损益的金融资产，包括交易性金融资产和初始确认时指定为以公允价值计量且其变动计入</w:t>
      </w:r>
      <w:r>
        <w:rPr>
          <w:spacing w:val="-64"/>
        </w:rPr>
        <w:t> </w:t>
      </w:r>
      <w:r>
        <w:rPr>
          <w:spacing w:val="-64"/>
        </w:rPr>
      </w:r>
      <w:r>
        <w:rPr>
          <w:spacing w:val="-2"/>
        </w:rPr>
        <w:t>当期损益的金融资产。对于此类金融资产，采用公允价值进行后续计量，公允价值变动形成的利得或损失以及与该等金融资</w:t>
      </w:r>
      <w:r>
        <w:rPr>
          <w:spacing w:val="-66"/>
        </w:rPr>
        <w:t> </w:t>
      </w:r>
      <w:r>
        <w:rPr>
          <w:spacing w:val="-66"/>
        </w:rPr>
      </w:r>
      <w:r>
        <w:rPr/>
        <w:t>产相关的股利和利息收入计入当期损益。</w:t>
      </w:r>
    </w:p>
    <w:p>
      <w:pPr>
        <w:pStyle w:val="BodyText"/>
        <w:spacing w:line="319" w:lineRule="auto" w:before="19"/>
        <w:ind w:right="1118"/>
        <w:jc w:val="left"/>
      </w:pPr>
      <w:r>
        <w:rPr/>
        <w:t>持有至到期投资 </w:t>
      </w:r>
      <w:r>
        <w:rPr>
          <w:spacing w:val="-2"/>
        </w:rPr>
        <w:t>持有至到期投资，是指到期日固定、回收金额固定或可确定，且本公司有明确意图和能力持有至到期的非衍生金融资产。持</w:t>
      </w:r>
      <w:r>
        <w:rPr>
          <w:spacing w:val="-66"/>
        </w:rPr>
        <w:t> </w:t>
      </w:r>
      <w:r>
        <w:rPr>
          <w:spacing w:val="-66"/>
        </w:rPr>
      </w:r>
      <w:r>
        <w:rPr>
          <w:spacing w:val="-2"/>
        </w:rPr>
        <w:t>有至到期投资采用实际利率法，按照摊余成本进行后续计量，其终止确认、发生减值或摊销产生的利得或损失，均计入当期</w:t>
      </w:r>
      <w:r>
        <w:rPr>
          <w:spacing w:val="-66"/>
        </w:rPr>
        <w:t> </w:t>
      </w:r>
      <w:r>
        <w:rPr>
          <w:spacing w:val="-66"/>
        </w:rPr>
      </w:r>
      <w:r>
        <w:rPr/>
        <w:t>损益。</w:t>
      </w:r>
    </w:p>
    <w:p>
      <w:pPr>
        <w:pStyle w:val="BodyText"/>
        <w:spacing w:line="316" w:lineRule="auto" w:before="17"/>
        <w:ind w:right="0"/>
        <w:jc w:val="left"/>
      </w:pPr>
      <w:r>
        <w:rPr/>
        <w:t>贷款和应收款项 </w:t>
      </w:r>
      <w:r>
        <w:rPr>
          <w:spacing w:val="-2"/>
        </w:rPr>
        <w:t>贷款和应收款项，是指在活跃市场中没有报价、回收金额固定或可确定的非衍生金融资产，包括发放贷款及垫款，应收票据</w:t>
      </w:r>
      <w:r>
        <w:rPr>
          <w:spacing w:val="-66"/>
        </w:rPr>
        <w:t> </w:t>
      </w:r>
      <w:r>
        <w:rPr>
          <w:spacing w:val="-66"/>
        </w:rPr>
      </w:r>
      <w:r>
        <w:rPr>
          <w:spacing w:val="-2"/>
        </w:rPr>
        <w:t>及应收账款和其他应收款等（附注五、</w:t>
      </w:r>
      <w:r>
        <w:rPr>
          <w:rFonts w:ascii="宋体" w:hAnsi="宋体" w:cs="宋体" w:eastAsia="宋体" w:hint="default"/>
          <w:spacing w:val="-2"/>
        </w:rPr>
        <w:t>11</w:t>
      </w:r>
      <w:r>
        <w:rPr>
          <w:spacing w:val="-2"/>
        </w:rPr>
        <w:t>）。贷款和应收款项采用实际利率法，按摊余成本进行后续计量，在终止确认、发</w:t>
      </w:r>
      <w:r>
        <w:rPr>
          <w:spacing w:val="-68"/>
        </w:rPr>
        <w:t> </w:t>
      </w:r>
      <w:r>
        <w:rPr>
          <w:spacing w:val="-68"/>
        </w:rPr>
      </w:r>
      <w:r>
        <w:rPr/>
        <w:t>生减值或摊销时产生的利得或损失，计入当期损益。</w:t>
      </w:r>
    </w:p>
    <w:p>
      <w:pPr>
        <w:pStyle w:val="BodyText"/>
        <w:spacing w:line="316" w:lineRule="auto" w:before="19"/>
        <w:ind w:right="0"/>
        <w:jc w:val="left"/>
      </w:pPr>
      <w:r>
        <w:rPr/>
        <w:t>可供出售金融资产 </w:t>
      </w:r>
      <w:r>
        <w:rPr>
          <w:spacing w:val="-2"/>
        </w:rPr>
        <w:t>可供出售金融资产，是指初始确认时即指定为可供出售的非衍生金融资产，以及除上述金融资产类别以外的金融资产。可供</w:t>
      </w:r>
      <w:r>
        <w:rPr>
          <w:spacing w:val="-66"/>
        </w:rPr>
        <w:t> </w:t>
      </w:r>
      <w:r>
        <w:rPr>
          <w:spacing w:val="-66"/>
        </w:rPr>
      </w:r>
      <w:r>
        <w:rPr>
          <w:spacing w:val="-2"/>
        </w:rPr>
        <w:t>出售金融资产采用公允价值进行后续计量，其折溢价采用实际利率法摊销并确认为利息收入。除减值损失及外币货币性金融</w:t>
      </w:r>
      <w:r>
        <w:rPr>
          <w:spacing w:val="-64"/>
        </w:rPr>
        <w:t> </w:t>
      </w:r>
      <w:r>
        <w:rPr>
          <w:spacing w:val="-64"/>
        </w:rPr>
      </w:r>
      <w:r>
        <w:rPr>
          <w:spacing w:val="-4"/>
        </w:rPr>
        <w:t>资产的汇兑差额确认为当期损益外，可供出售金融资产的公允价值变动确认为其他综合收益，在该金融资产终止确认时转出，</w:t>
      </w:r>
      <w:r>
        <w:rPr>
          <w:spacing w:val="-44"/>
        </w:rPr>
        <w:t> </w:t>
      </w:r>
      <w:r>
        <w:rPr>
          <w:spacing w:val="-44"/>
        </w:rPr>
      </w:r>
      <w:r>
        <w:rPr/>
        <w:t>计入当期损益。与可供出售金融资产相关的股利或利息收入，计入当期损益。 </w:t>
      </w:r>
      <w:r>
        <w:rPr>
          <w:spacing w:val="-2"/>
        </w:rPr>
        <w:t>对于在活跃市场中没有报价且其公允价值不能可靠计量的权益工具投资，以及与该权益工具挂钩并须通过交付该权益工具结</w:t>
      </w:r>
      <w:r>
        <w:rPr>
          <w:spacing w:val="-64"/>
        </w:rPr>
        <w:t> </w:t>
      </w:r>
      <w:r>
        <w:rPr>
          <w:spacing w:val="-64"/>
        </w:rPr>
      </w:r>
      <w:r>
        <w:rPr/>
        <w:t>算的衍生金融资产，按成本计量。</w:t>
      </w:r>
    </w:p>
    <w:p>
      <w:pPr>
        <w:pStyle w:val="BodyText"/>
        <w:spacing w:line="316" w:lineRule="auto" w:before="19"/>
        <w:ind w:right="0"/>
        <w:jc w:val="left"/>
      </w:pPr>
      <w:r>
        <w:rPr/>
        <w:t>（</w:t>
      </w:r>
      <w:r>
        <w:rPr>
          <w:rFonts w:ascii="宋体" w:hAnsi="宋体" w:cs="宋体" w:eastAsia="宋体" w:hint="default"/>
        </w:rPr>
        <w:t>3</w:t>
      </w:r>
      <w:r>
        <w:rPr/>
        <w:t>）金融负债分类和计量 </w:t>
      </w:r>
      <w:r>
        <w:rPr>
          <w:spacing w:val="-2"/>
        </w:rPr>
        <w:t>本公司的金融负债于初始确认时分类为：以公允价值计量且其变动计入当期损益的金融负债、其他金融负债。对于未划分为</w:t>
      </w:r>
      <w:r>
        <w:rPr>
          <w:spacing w:val="-65"/>
        </w:rPr>
        <w:t> </w:t>
      </w:r>
      <w:r>
        <w:rPr>
          <w:spacing w:val="-65"/>
        </w:rPr>
      </w:r>
      <w:r>
        <w:rPr/>
        <w:t>以公允价值计量且其变动计入当期损益的金融负债的，相关交易费用计入其初始确认金额。 以公允价值计量且其变动计入当期损益的金融负债 </w:t>
      </w:r>
      <w:r>
        <w:rPr>
          <w:spacing w:val="-2"/>
        </w:rPr>
        <w:t>以公允价值计量且其变动计入当期损益的金融负债，包括交易性金融负债和初始确认时指定为以公允价值计量且其变动计入</w:t>
      </w:r>
      <w:r>
        <w:rPr>
          <w:spacing w:val="-64"/>
        </w:rPr>
        <w:t> </w:t>
      </w:r>
      <w:r>
        <w:rPr>
          <w:spacing w:val="-64"/>
        </w:rPr>
      </w:r>
      <w:r>
        <w:rPr>
          <w:spacing w:val="-2"/>
        </w:rPr>
        <w:t>当期损益的金融负债。对于此类金融负债，按照公允价值进行后续计量，公允价值变动形成的利得或损失以及与该等金融负</w:t>
      </w:r>
      <w:r>
        <w:rPr>
          <w:spacing w:val="-66"/>
        </w:rPr>
        <w:t> </w:t>
      </w:r>
      <w:r>
        <w:rPr>
          <w:spacing w:val="-66"/>
        </w:rPr>
      </w:r>
      <w:r>
        <w:rPr/>
        <w:t>债相关的股利和利息支出计入当期损益。</w:t>
      </w:r>
    </w:p>
    <w:p>
      <w:pPr>
        <w:pStyle w:val="BodyText"/>
        <w:spacing w:line="240" w:lineRule="auto" w:before="19"/>
        <w:ind w:right="0"/>
        <w:jc w:val="left"/>
      </w:pPr>
      <w:r>
        <w:rPr/>
        <w:t>其他金融负债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与在活跃市场中没有报价、公允价值不能可靠计量的权益工具挂钩并须通过交付该权益工具结算的衍生金融负债，按照成本</w:t>
      </w:r>
      <w:r>
        <w:rPr>
          <w:spacing w:val="-63"/>
        </w:rPr>
        <w:t> </w:t>
      </w:r>
      <w:r>
        <w:rPr>
          <w:spacing w:val="-63"/>
        </w:rPr>
      </w:r>
      <w:r>
        <w:rPr>
          <w:spacing w:val="-4"/>
        </w:rPr>
        <w:t>进行后续计量。其他金融负债采用实际利率法，按摊余成本进行后续计量，终止确认或摊销产生的利得或损失计入当期损益。</w:t>
      </w:r>
      <w:r>
        <w:rPr>
          <w:spacing w:val="-44"/>
        </w:rPr>
        <w:t> </w:t>
      </w:r>
      <w:r>
        <w:rPr>
          <w:spacing w:val="-44"/>
        </w:rPr>
      </w:r>
      <w:r>
        <w:rPr/>
        <w:t>金融负债与权益工具的区分</w:t>
      </w:r>
    </w:p>
    <w:p>
      <w:pPr>
        <w:pStyle w:val="BodyText"/>
        <w:spacing w:line="240" w:lineRule="auto" w:before="19"/>
        <w:ind w:right="0"/>
        <w:jc w:val="left"/>
      </w:pPr>
      <w:r>
        <w:rPr/>
        <w:t>金融负债，是指符合下列条件之一的负债：</w:t>
      </w:r>
    </w:p>
    <w:p>
      <w:pPr>
        <w:pStyle w:val="BodyText"/>
        <w:spacing w:line="240" w:lineRule="auto" w:before="77"/>
        <w:ind w:right="0"/>
        <w:jc w:val="left"/>
      </w:pPr>
      <w:r>
        <w:rPr/>
        <w:t>①向其他方交付现金或其他金融资产的合同义务。</w:t>
      </w:r>
    </w:p>
    <w:p>
      <w:pPr>
        <w:pStyle w:val="BodyText"/>
        <w:spacing w:line="240" w:lineRule="auto" w:before="76"/>
        <w:ind w:right="0"/>
        <w:jc w:val="left"/>
      </w:pPr>
      <w:r>
        <w:rPr/>
        <w:t>②在潜在不利条件下，与其他方交换金融资产或金融负债的合同义务。</w:t>
      </w:r>
    </w:p>
    <w:p>
      <w:pPr>
        <w:pStyle w:val="BodyText"/>
        <w:spacing w:line="240" w:lineRule="auto" w:before="76"/>
        <w:ind w:right="0"/>
        <w:jc w:val="left"/>
      </w:pPr>
      <w:r>
        <w:rPr/>
        <w:t>③将来须用或可用企业自身权益工具进行结算的非衍生工具合同，且企业根据该合同将交付可变数量的自身权益工具。</w:t>
      </w:r>
    </w:p>
    <w:p>
      <w:pPr>
        <w:pStyle w:val="BodyText"/>
        <w:spacing w:line="316" w:lineRule="auto" w:before="76"/>
        <w:ind w:right="0"/>
        <w:jc w:val="left"/>
      </w:pPr>
      <w:r>
        <w:rPr>
          <w:spacing w:val="-2"/>
        </w:rPr>
        <w:t>④将来须用或可用企业自身权益工具进行结算的衍生工具合同，但以固定数量的自身权益工具交换固定金额的现金或其他金</w:t>
      </w:r>
      <w:r>
        <w:rPr>
          <w:spacing w:val="-63"/>
        </w:rPr>
        <w:t> </w:t>
      </w:r>
      <w:r>
        <w:rPr>
          <w:spacing w:val="-63"/>
        </w:rPr>
      </w:r>
      <w:r>
        <w:rPr/>
        <w:t>融资产的衍生工具合同除外。</w:t>
      </w:r>
    </w:p>
    <w:p>
      <w:pPr>
        <w:pStyle w:val="BodyText"/>
        <w:spacing w:line="316" w:lineRule="auto" w:before="19"/>
        <w:ind w:right="0"/>
        <w:jc w:val="left"/>
      </w:pPr>
      <w:r>
        <w:rPr/>
        <w:t>权益工具，是指能证明拥有某个企业在扣除所有负债后的资产中剩余权益的合同。 如果本公司不能无条件地避免以交付现金或其他金融资产来履行一项合同义务，则该合同义务符合金融负债的定义。 </w:t>
      </w:r>
      <w:r>
        <w:rPr>
          <w:spacing w:val="-2"/>
        </w:rPr>
        <w:t>如果一项金融工具须用或可用本公司自身权益工具进行结算，需要考虑用于结算该工具的本公司自身权益工具，是作为现金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6"/>
        </w:rPr>
        <w:t> </w:t>
      </w:r>
      <w:r>
        <w:rPr>
          <w:spacing w:val="-66"/>
        </w:rPr>
      </w:r>
      <w:r>
        <w:rPr/>
        <w:t>具是本公司的金融负债；如果是后者，该工具是本公司的权益工具。</w:t>
      </w:r>
    </w:p>
    <w:p>
      <w:pPr>
        <w:pStyle w:val="BodyText"/>
        <w:spacing w:line="316" w:lineRule="auto" w:before="19"/>
        <w:ind w:right="0"/>
        <w:jc w:val="left"/>
      </w:pPr>
      <w:r>
        <w:rPr/>
        <w:t>（</w:t>
      </w:r>
      <w:r>
        <w:rPr>
          <w:rFonts w:ascii="宋体" w:hAnsi="宋体" w:cs="宋体" w:eastAsia="宋体" w:hint="default"/>
        </w:rPr>
        <w:t>4</w:t>
      </w:r>
      <w:r>
        <w:rPr/>
        <w:t>）衍生金融工具及嵌入衍生工具 </w:t>
      </w:r>
      <w:r>
        <w:rPr>
          <w:spacing w:val="-2"/>
        </w:rPr>
        <w:t>本公司衍生金融工具初始以衍生交易合同签订当日的公允价值进行计量，并以其公允价值进行后续计量。公允价值为正数的</w:t>
      </w:r>
      <w:r>
        <w:rPr>
          <w:spacing w:val="-64"/>
        </w:rPr>
        <w:t> </w:t>
      </w:r>
      <w:r>
        <w:rPr>
          <w:spacing w:val="-64"/>
        </w:rPr>
      </w:r>
      <w:r>
        <w:rPr>
          <w:spacing w:val="-2"/>
        </w:rPr>
        <w:t>衍生金融工具确认为一项资产，公允价值为负数的确认为一项负债。因公允价值变动而产生的任何不符合套期会计规定的利</w:t>
      </w:r>
      <w:r>
        <w:rPr>
          <w:spacing w:val="-64"/>
        </w:rPr>
        <w:t> </w:t>
      </w:r>
      <w:r>
        <w:rPr>
          <w:spacing w:val="-64"/>
        </w:rPr>
      </w:r>
      <w:r>
        <w:rPr/>
        <w:t>得或损失，直接计入当期损益。 </w:t>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spacing w:line="240" w:lineRule="auto" w:before="13"/>
        <w:rPr>
          <w:rFonts w:ascii="宋体" w:hAnsi="宋体" w:cs="宋体" w:eastAsia="宋体" w:hint="default"/>
          <w:sz w:val="17"/>
          <w:szCs w:val="17"/>
        </w:rPr>
      </w:pPr>
    </w:p>
    <w:p>
      <w:pPr>
        <w:pStyle w:val="BodyText"/>
        <w:spacing w:line="537" w:lineRule="auto"/>
        <w:ind w:right="5622"/>
        <w:jc w:val="left"/>
      </w:pPr>
      <w:r>
        <w:rPr/>
        <w:t>（</w:t>
      </w:r>
      <w:r>
        <w:rPr>
          <w:rFonts w:ascii="宋体" w:hAnsi="宋体" w:cs="宋体" w:eastAsia="宋体" w:hint="default"/>
        </w:rPr>
        <w:t>5</w:t>
      </w:r>
      <w:r>
        <w:rPr/>
        <w:t>）金融工具的公允价值 金融资产和金融负债的公允价值确定方法见附注五、</w:t>
      </w:r>
      <w:r>
        <w:rPr>
          <w:rFonts w:ascii="宋体" w:hAnsi="宋体" w:cs="宋体" w:eastAsia="宋体" w:hint="default"/>
        </w:rPr>
        <w:t>10</w:t>
      </w:r>
      <w:r>
        <w:rPr/>
        <w:t>、（</w:t>
      </w:r>
      <w:r>
        <w:rPr>
          <w:rFonts w:ascii="宋体" w:hAnsi="宋体" w:cs="宋体" w:eastAsia="宋体" w:hint="default"/>
        </w:rPr>
        <w:t>9</w:t>
      </w:r>
      <w:r>
        <w:rPr/>
        <w:t>）。</w:t>
      </w:r>
    </w:p>
    <w:p>
      <w:pPr>
        <w:pStyle w:val="BodyText"/>
        <w:spacing w:line="240" w:lineRule="auto" w:before="69"/>
        <w:ind w:right="0"/>
        <w:jc w:val="left"/>
      </w:pPr>
      <w:r>
        <w:rPr/>
        <w:t>（</w:t>
      </w:r>
      <w:r>
        <w:rPr>
          <w:rFonts w:ascii="宋体" w:hAnsi="宋体" w:cs="宋体" w:eastAsia="宋体" w:hint="default"/>
        </w:rPr>
        <w:t>6</w:t>
      </w:r>
      <w:r>
        <w:rPr/>
        <w:t>）金融资产减值</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除了以公允价值计量且其变动计入当期损益的金融资产外，本公司于资产负债表日对其他金融资产的账面价值进行检查，有</w:t>
      </w:r>
      <w:r>
        <w:rPr>
          <w:spacing w:val="-64"/>
        </w:rPr>
        <w:t> </w:t>
      </w:r>
      <w:r>
        <w:rPr>
          <w:spacing w:val="-64"/>
        </w:rPr>
      </w:r>
      <w:r>
        <w:rPr>
          <w:spacing w:val="-2"/>
        </w:rPr>
        <w:t>客观证据表明该金融资产发生减值的，计提减值准备。表明金融资产发生减值的客观证据，是指金融资产初始确认后实际发</w:t>
      </w:r>
      <w:r>
        <w:rPr>
          <w:spacing w:val="-66"/>
        </w:rPr>
        <w:t> </w:t>
      </w:r>
      <w:r>
        <w:rPr>
          <w:spacing w:val="-66"/>
        </w:rPr>
      </w:r>
      <w:r>
        <w:rPr/>
        <w:t>生的、对该金融资产的预计未来现金流量有影响，且企业能够对该影响进行可靠计量的事项。</w:t>
      </w:r>
    </w:p>
    <w:p>
      <w:pPr>
        <w:spacing w:line="240" w:lineRule="auto" w:before="12"/>
        <w:rPr>
          <w:rFonts w:ascii="宋体" w:hAnsi="宋体" w:cs="宋体" w:eastAsia="宋体" w:hint="default"/>
          <w:sz w:val="17"/>
          <w:szCs w:val="17"/>
        </w:rPr>
      </w:pPr>
    </w:p>
    <w:p>
      <w:pPr>
        <w:pStyle w:val="BodyText"/>
        <w:spacing w:line="240" w:lineRule="auto"/>
        <w:ind w:right="0"/>
        <w:jc w:val="left"/>
      </w:pPr>
      <w:r>
        <w:rPr/>
        <w:t>金融资产发生减值的客观证据，包括下列可观察到的情形：</w:t>
      </w:r>
    </w:p>
    <w:p>
      <w:pPr>
        <w:spacing w:line="240" w:lineRule="auto" w:before="5"/>
        <w:rPr>
          <w:rFonts w:ascii="宋体" w:hAnsi="宋体" w:cs="宋体" w:eastAsia="宋体" w:hint="default"/>
          <w:sz w:val="22"/>
          <w:szCs w:val="22"/>
        </w:rPr>
      </w:pPr>
    </w:p>
    <w:p>
      <w:pPr>
        <w:pStyle w:val="BodyText"/>
        <w:spacing w:line="240" w:lineRule="auto"/>
        <w:ind w:right="0"/>
        <w:jc w:val="left"/>
      </w:pPr>
      <w:r>
        <w:rPr/>
        <w:t>①发行方或债务人发生严重财务困难；</w:t>
      </w:r>
    </w:p>
    <w:p>
      <w:pPr>
        <w:spacing w:line="240" w:lineRule="auto" w:before="5"/>
        <w:rPr>
          <w:rFonts w:ascii="宋体" w:hAnsi="宋体" w:cs="宋体" w:eastAsia="宋体" w:hint="default"/>
          <w:sz w:val="22"/>
          <w:szCs w:val="22"/>
        </w:rPr>
      </w:pPr>
    </w:p>
    <w:p>
      <w:pPr>
        <w:pStyle w:val="BodyText"/>
        <w:spacing w:line="240" w:lineRule="auto"/>
        <w:ind w:right="0"/>
        <w:jc w:val="left"/>
      </w:pPr>
      <w:r>
        <w:rPr/>
        <w:t>②债务人违反了合同条款，如偿付利息或本金发生违约或逾期等；</w:t>
      </w:r>
    </w:p>
    <w:p>
      <w:pPr>
        <w:spacing w:line="240" w:lineRule="auto" w:before="5"/>
        <w:rPr>
          <w:rFonts w:ascii="宋体" w:hAnsi="宋体" w:cs="宋体" w:eastAsia="宋体" w:hint="default"/>
          <w:sz w:val="22"/>
          <w:szCs w:val="22"/>
        </w:rPr>
      </w:pPr>
    </w:p>
    <w:p>
      <w:pPr>
        <w:pStyle w:val="BodyText"/>
        <w:spacing w:line="240" w:lineRule="auto"/>
        <w:ind w:right="0"/>
        <w:jc w:val="left"/>
      </w:pPr>
      <w:r>
        <w:rPr/>
        <w:t>③本公司出于经济或法律等方面因素的考虑，对发生财务困难的债务人作出让步；</w:t>
      </w:r>
    </w:p>
    <w:p>
      <w:pPr>
        <w:spacing w:line="240" w:lineRule="auto" w:before="5"/>
        <w:rPr>
          <w:rFonts w:ascii="宋体" w:hAnsi="宋体" w:cs="宋体" w:eastAsia="宋体" w:hint="default"/>
          <w:sz w:val="22"/>
          <w:szCs w:val="22"/>
        </w:rPr>
      </w:pPr>
    </w:p>
    <w:p>
      <w:pPr>
        <w:pStyle w:val="BodyText"/>
        <w:spacing w:line="240" w:lineRule="auto"/>
        <w:ind w:right="0"/>
        <w:jc w:val="left"/>
      </w:pPr>
      <w:r>
        <w:rPr/>
        <w:t>④债务人很可能倒闭或者进行其他财务重组；</w:t>
      </w:r>
    </w:p>
    <w:p>
      <w:pPr>
        <w:spacing w:line="240" w:lineRule="auto" w:before="5"/>
        <w:rPr>
          <w:rFonts w:ascii="宋体" w:hAnsi="宋体" w:cs="宋体" w:eastAsia="宋体" w:hint="default"/>
          <w:sz w:val="22"/>
          <w:szCs w:val="22"/>
        </w:rPr>
      </w:pPr>
    </w:p>
    <w:p>
      <w:pPr>
        <w:pStyle w:val="BodyText"/>
        <w:spacing w:line="240" w:lineRule="auto"/>
        <w:ind w:right="0"/>
        <w:jc w:val="left"/>
      </w:pPr>
      <w:r>
        <w:rPr/>
        <w:t>⑤因发行方发生重大财务困难，导致金融资产无法在活跃市场继续交易；</w:t>
      </w:r>
    </w:p>
    <w:p>
      <w:pPr>
        <w:spacing w:line="240" w:lineRule="auto" w:before="5"/>
        <w:rPr>
          <w:rFonts w:ascii="宋体" w:hAnsi="宋体" w:cs="宋体" w:eastAsia="宋体" w:hint="default"/>
          <w:sz w:val="22"/>
          <w:szCs w:val="22"/>
        </w:rPr>
      </w:pPr>
    </w:p>
    <w:p>
      <w:pPr>
        <w:pStyle w:val="BodyText"/>
        <w:spacing w:line="316" w:lineRule="auto"/>
        <w:ind w:right="0"/>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产自初始确认以来的预计未来现金流量确已减少且可计量，包括：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4" w:right="0"/>
        <w:jc w:val="left"/>
      </w:pPr>
      <w:r>
        <w:rPr>
          <w:rFonts w:ascii="宋体" w:hAnsi="宋体" w:cs="宋体" w:eastAsia="宋体" w:hint="default"/>
        </w:rPr>
        <w:t>- </w:t>
      </w:r>
      <w:r>
        <w:rPr/>
        <w:t>该组金融资产的债务人支付能力逐步恶化；</w:t>
      </w:r>
    </w:p>
    <w:p>
      <w:pPr>
        <w:spacing w:line="240" w:lineRule="auto" w:before="5"/>
        <w:rPr>
          <w:rFonts w:ascii="宋体" w:hAnsi="宋体" w:cs="宋体" w:eastAsia="宋体" w:hint="default"/>
          <w:sz w:val="22"/>
          <w:szCs w:val="22"/>
        </w:rPr>
      </w:pPr>
    </w:p>
    <w:p>
      <w:pPr>
        <w:pStyle w:val="BodyText"/>
        <w:spacing w:line="240" w:lineRule="auto"/>
        <w:ind w:left="574" w:right="0"/>
        <w:jc w:val="left"/>
      </w:pPr>
      <w:r>
        <w:rPr>
          <w:rFonts w:ascii="宋体" w:hAnsi="宋体" w:cs="宋体" w:eastAsia="宋体" w:hint="default"/>
        </w:rPr>
        <w:t>- </w:t>
      </w:r>
      <w:r>
        <w:rPr/>
        <w:t>债务人所在国家或地区经济出现了可能导致该组金融资产无法支付的状况；</w:t>
      </w:r>
    </w:p>
    <w:p>
      <w:pPr>
        <w:spacing w:line="240" w:lineRule="auto" w:before="5"/>
        <w:rPr>
          <w:rFonts w:ascii="宋体" w:hAnsi="宋体" w:cs="宋体" w:eastAsia="宋体" w:hint="default"/>
          <w:sz w:val="22"/>
          <w:szCs w:val="22"/>
        </w:rPr>
      </w:pPr>
    </w:p>
    <w:p>
      <w:pPr>
        <w:pStyle w:val="BodyText"/>
        <w:spacing w:line="240" w:lineRule="auto"/>
        <w:ind w:right="0"/>
        <w:jc w:val="both"/>
      </w:pPr>
      <w:r>
        <w:rPr/>
        <w:t>⑦债务人经营所处的技术、市场、经济或法律环境等发生重大不利变化，使权益工具投资人可能无法收回投资成本；</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⑧权益工具投资的公允价值发生严重或非暂时性下跌，如权益工具投资于资产负债表日的公允价值低于其初始投资成本超过</w:t>
      </w:r>
      <w:r>
        <w:rPr>
          <w:spacing w:val="-64"/>
        </w:rPr>
        <w:t> </w:t>
      </w:r>
      <w:r>
        <w:rPr>
          <w:spacing w:val="-64"/>
        </w:rPr>
      </w:r>
      <w:r>
        <w:rPr>
          <w:rFonts w:ascii="宋体" w:hAnsi="宋体" w:cs="宋体" w:eastAsia="宋体" w:hint="default"/>
        </w:rPr>
        <w:t>20%</w:t>
      </w:r>
      <w:r>
        <w:rPr/>
        <w:t>（含</w:t>
      </w:r>
      <w:r>
        <w:rPr>
          <w:rFonts w:ascii="宋体" w:hAnsi="宋体" w:cs="宋体" w:eastAsia="宋体" w:hint="default"/>
        </w:rPr>
        <w:t>20%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w:t>
      </w:r>
    </w:p>
    <w:p>
      <w:pPr>
        <w:spacing w:line="240" w:lineRule="auto" w:before="12"/>
        <w:rPr>
          <w:rFonts w:ascii="宋体" w:hAnsi="宋体" w:cs="宋体" w:eastAsia="宋体" w:hint="default"/>
          <w:sz w:val="17"/>
          <w:szCs w:val="17"/>
        </w:rPr>
      </w:pPr>
    </w:p>
    <w:p>
      <w:pPr>
        <w:pStyle w:val="BodyText"/>
        <w:spacing w:line="316" w:lineRule="auto"/>
        <w:ind w:right="1132"/>
        <w:jc w:val="both"/>
      </w:pPr>
      <w:r>
        <w:rPr>
          <w:spacing w:val="-2"/>
        </w:rPr>
        <w:t>低于其初始投资成本持续时间超过</w:t>
      </w:r>
      <w:r>
        <w:rPr>
          <w:rFonts w:ascii="宋体" w:hAnsi="宋体" w:cs="宋体" w:eastAsia="宋体" w:hint="default"/>
          <w:spacing w:val="-2"/>
        </w:rPr>
        <w:t>12</w:t>
      </w:r>
      <w:r>
        <w:rPr>
          <w:spacing w:val="-2"/>
        </w:rPr>
        <w:t>个月（含</w:t>
      </w:r>
      <w:r>
        <w:rPr>
          <w:rFonts w:ascii="宋体" w:hAnsi="宋体" w:cs="宋体" w:eastAsia="宋体" w:hint="default"/>
          <w:spacing w:val="-2"/>
        </w:rPr>
        <w:t>12</w:t>
      </w:r>
      <w:r>
        <w:rPr>
          <w:spacing w:val="-2"/>
        </w:rPr>
        <w:t>个月）是指，权益工具投资公允价值月度均值连续</w:t>
      </w:r>
      <w:r>
        <w:rPr>
          <w:rFonts w:ascii="宋体" w:hAnsi="宋体" w:cs="宋体" w:eastAsia="宋体" w:hint="default"/>
          <w:spacing w:val="-2"/>
        </w:rPr>
        <w:t>12</w:t>
      </w:r>
      <w:r>
        <w:rPr>
          <w:spacing w:val="-2"/>
        </w:rPr>
        <w:t>个月均低于其初始投资</w:t>
      </w:r>
      <w:r>
        <w:rPr>
          <w:spacing w:val="-62"/>
        </w:rPr>
        <w:t> </w:t>
      </w:r>
      <w:r>
        <w:rPr/>
        <w:t>成本。</w:t>
      </w:r>
    </w:p>
    <w:p>
      <w:pPr>
        <w:spacing w:line="240" w:lineRule="auto" w:before="12"/>
        <w:rPr>
          <w:rFonts w:ascii="宋体" w:hAnsi="宋体" w:cs="宋体" w:eastAsia="宋体" w:hint="default"/>
          <w:sz w:val="17"/>
          <w:szCs w:val="17"/>
        </w:rPr>
      </w:pPr>
    </w:p>
    <w:p>
      <w:pPr>
        <w:pStyle w:val="BodyText"/>
        <w:spacing w:line="537" w:lineRule="auto"/>
        <w:ind w:right="7332"/>
        <w:jc w:val="left"/>
      </w:pPr>
      <w:r>
        <w:rPr/>
        <w:t>⑨其他表明金融资产发生减值的客观证据。 以摊余成本计量的金融资产</w:t>
      </w:r>
    </w:p>
    <w:p>
      <w:pPr>
        <w:pStyle w:val="BodyText"/>
        <w:spacing w:line="316" w:lineRule="auto" w:before="69"/>
        <w:ind w:right="1131"/>
        <w:jc w:val="both"/>
      </w:pPr>
      <w:r>
        <w:rPr>
          <w:spacing w:val="-2"/>
        </w:rPr>
        <w:t>如果有客观证据表明该金融资产发生减值，则将该金融资产的账面价值减记至预计未来现金流量（不包括尚未发生的未来信</w:t>
      </w:r>
      <w:r>
        <w:rPr>
          <w:spacing w:val="-64"/>
        </w:rPr>
        <w:t> </w:t>
      </w:r>
      <w:r>
        <w:rPr>
          <w:spacing w:val="-64"/>
        </w:rPr>
      </w:r>
      <w:r>
        <w:rPr>
          <w:spacing w:val="-2"/>
        </w:rPr>
        <w:t>用损失）现值，减记金额计入当期损益。预计未来现金流量现值，按照该金融资产原实际利率折现确定，并考虑相关担保物</w:t>
      </w:r>
      <w:r>
        <w:rPr>
          <w:spacing w:val="-66"/>
        </w:rPr>
        <w:t> </w:t>
      </w:r>
      <w:r>
        <w:rPr>
          <w:spacing w:val="-66"/>
        </w:rPr>
      </w:r>
      <w:r>
        <w:rPr/>
        <w:t>的价值。</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对单项金额重大的金融资产单独进行减值测试，如有客观证据表明其已发生减值，确认减值损失，计入当期损益；对单项金</w:t>
      </w:r>
      <w:r>
        <w:rPr>
          <w:spacing w:val="-66"/>
        </w:rPr>
        <w:t> </w:t>
      </w:r>
      <w:r>
        <w:rPr>
          <w:spacing w:val="-66"/>
        </w:rPr>
      </w:r>
      <w:r>
        <w:rPr/>
        <w:t>额不重大的金融资产，单独进行减值测试或包括在具有类似信用风险特征的金融资产组合中进行减值测试。</w:t>
      </w:r>
    </w:p>
    <w:p>
      <w:pPr>
        <w:spacing w:line="240" w:lineRule="auto" w:before="12"/>
        <w:rPr>
          <w:rFonts w:ascii="宋体" w:hAnsi="宋体" w:cs="宋体" w:eastAsia="宋体" w:hint="default"/>
          <w:sz w:val="17"/>
          <w:szCs w:val="17"/>
        </w:rPr>
      </w:pPr>
    </w:p>
    <w:p>
      <w:pPr>
        <w:pStyle w:val="BodyText"/>
        <w:spacing w:line="316" w:lineRule="auto"/>
        <w:ind w:right="1132"/>
        <w:jc w:val="both"/>
      </w:pPr>
      <w:r>
        <w:rPr>
          <w:spacing w:val="-2"/>
        </w:rPr>
        <w:t>单独测试未发生减值的金融资产（包括单项金额重大和不重大的金融资产），包括在具有类似信用风险特征的金融资产组合</w:t>
      </w:r>
      <w:r>
        <w:rPr>
          <w:spacing w:val="-66"/>
        </w:rPr>
        <w:t> </w:t>
      </w:r>
      <w:r>
        <w:rPr>
          <w:spacing w:val="-66"/>
        </w:rPr>
      </w:r>
      <w:r>
        <w:rPr/>
        <w:t>中再进行减值测试；已单项确认减值损失的金融资产，不包括在具有类似信用风险特征的金融资产组合中进行减值测试。</w:t>
      </w:r>
    </w:p>
    <w:p>
      <w:pPr>
        <w:spacing w:line="240" w:lineRule="auto" w:before="13"/>
        <w:rPr>
          <w:rFonts w:ascii="宋体" w:hAnsi="宋体" w:cs="宋体" w:eastAsia="宋体" w:hint="default"/>
          <w:sz w:val="17"/>
          <w:szCs w:val="17"/>
        </w:rPr>
      </w:pPr>
    </w:p>
    <w:p>
      <w:pPr>
        <w:pStyle w:val="BodyText"/>
        <w:spacing w:line="316" w:lineRule="auto"/>
        <w:ind w:right="1131"/>
        <w:jc w:val="both"/>
      </w:pPr>
      <w:r>
        <w:rPr>
          <w:spacing w:val="-2"/>
        </w:rPr>
        <w:t>本公司对以摊余成本计量的金融资产确认减值损失后，如有客观证据表明该金融资产价值已恢复，且客观上与确认该损失后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r>
        <w:rPr>
          <w:spacing w:val="-66"/>
        </w:rPr>
        <w:t> </w:t>
      </w:r>
      <w:r>
        <w:rPr>
          <w:spacing w:val="-66"/>
        </w:rPr>
      </w:r>
      <w:r>
        <w:rPr/>
        <w:t>下该金融资产在转回日的摊余成本。</w:t>
      </w:r>
    </w:p>
    <w:p>
      <w:pPr>
        <w:spacing w:line="240" w:lineRule="auto" w:before="12"/>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如果有客观证据表明该金融资产发生减值，原直接计入其他综合收益的因公允价值下降形成的累计损失，予以转出，计入当</w:t>
      </w:r>
      <w:r>
        <w:rPr>
          <w:spacing w:val="-66"/>
        </w:rPr>
        <w:t> </w:t>
      </w:r>
      <w:r>
        <w:rPr>
          <w:spacing w:val="-66"/>
        </w:rPr>
      </w:r>
      <w:r>
        <w:rPr>
          <w:spacing w:val="-2"/>
        </w:rPr>
        <w:t>期损益。该转出的累计损失，为可供出售金融资产的初始取得成本扣除已收回本金和已摊销金额、当前公允价值和原已计入</w:t>
      </w:r>
      <w:r>
        <w:rPr>
          <w:spacing w:val="-66"/>
        </w:rPr>
        <w:t> </w:t>
      </w:r>
      <w:r>
        <w:rPr>
          <w:spacing w:val="-66"/>
        </w:rPr>
      </w:r>
      <w:r>
        <w:rPr/>
        <w:t>损益的减值损失后的余额。</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有关的，原确认的减值损失予以转回，计入当期损益。可供出售权益工具投资发生的减值损失，不通过损益转回。</w:t>
      </w:r>
    </w:p>
    <w:p>
      <w:pPr>
        <w:spacing w:line="240" w:lineRule="auto" w:before="12"/>
        <w:rPr>
          <w:rFonts w:ascii="宋体" w:hAnsi="宋体" w:cs="宋体" w:eastAsia="宋体" w:hint="default"/>
          <w:sz w:val="17"/>
          <w:szCs w:val="17"/>
        </w:rPr>
      </w:pPr>
    </w:p>
    <w:p>
      <w:pPr>
        <w:pStyle w:val="BodyText"/>
        <w:spacing w:line="240" w:lineRule="auto"/>
        <w:ind w:right="0"/>
        <w:jc w:val="both"/>
      </w:pPr>
      <w:r>
        <w:rPr/>
        <w:t>以成本计量的金融资产</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在活跃市场中没有报价且其公允价值不能可靠计量的权益工具投资，或与该权益工具挂钩并须通过交付该权益工具结算的衍</w:t>
      </w:r>
      <w:r>
        <w:rPr>
          <w:spacing w:val="-64"/>
        </w:rPr>
        <w:t> </w:t>
      </w:r>
      <w:r>
        <w:rPr>
          <w:spacing w:val="-64"/>
        </w:rPr>
      </w:r>
      <w:r>
        <w:rPr>
          <w:spacing w:val="-2"/>
        </w:rPr>
        <w:t>生金融资产发生减值时，将该金融资产的账面价值，与按照类似金融资产当时市场收益率对未来现金流量折现确定的现值之</w:t>
      </w:r>
      <w:r>
        <w:rPr>
          <w:spacing w:val="-64"/>
        </w:rPr>
        <w:t> </w:t>
      </w:r>
      <w:r>
        <w:rPr>
          <w:spacing w:val="-64"/>
        </w:rPr>
      </w:r>
      <w:r>
        <w:rPr/>
        <w:t>间的差额，确认为减值损失，计入当期损益。发生的减值损失一经确认，不得转回。</w:t>
      </w:r>
    </w:p>
    <w:p>
      <w:pPr>
        <w:spacing w:line="240" w:lineRule="auto" w:before="13"/>
        <w:rPr>
          <w:rFonts w:ascii="宋体" w:hAnsi="宋体" w:cs="宋体" w:eastAsia="宋体" w:hint="default"/>
          <w:sz w:val="17"/>
          <w:szCs w:val="17"/>
        </w:rPr>
      </w:pPr>
    </w:p>
    <w:p>
      <w:pPr>
        <w:pStyle w:val="BodyText"/>
        <w:spacing w:line="537" w:lineRule="auto"/>
        <w:ind w:right="3552"/>
        <w:jc w:val="left"/>
      </w:pPr>
      <w:r>
        <w:rPr/>
        <w:t>（</w:t>
      </w:r>
      <w:r>
        <w:rPr>
          <w:rFonts w:ascii="宋体" w:hAnsi="宋体" w:cs="宋体" w:eastAsia="宋体" w:hint="default"/>
        </w:rPr>
        <w:t>7</w:t>
      </w:r>
      <w:r>
        <w:rPr/>
        <w:t>）金融资产转移 金融资产转移，是指将金融资产让与或交付给该金融资产发行方以外的另一方（转入方）。</w:t>
      </w:r>
    </w:p>
    <w:p>
      <w:pPr>
        <w:pStyle w:val="BodyText"/>
        <w:spacing w:line="240" w:lineRule="auto" w:before="69"/>
        <w:ind w:right="0"/>
        <w:jc w:val="both"/>
      </w:pPr>
      <w:r>
        <w:rPr/>
        <w:t>本公司已将金融资产所有权上几乎所有的风险和报酬转移给转入方的，终止确认该金融资产；保留了金融资产所有权上几乎</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所有的风险和报酬的，不终止确认该金融资产。</w:t>
      </w:r>
    </w:p>
    <w:p>
      <w:pPr>
        <w:spacing w:line="240" w:lineRule="auto" w:before="5"/>
        <w:rPr>
          <w:rFonts w:ascii="宋体" w:hAnsi="宋体" w:cs="宋体" w:eastAsia="宋体" w:hint="default"/>
          <w:sz w:val="22"/>
          <w:szCs w:val="22"/>
        </w:rPr>
      </w:pPr>
    </w:p>
    <w:p>
      <w:pPr>
        <w:pStyle w:val="BodyText"/>
        <w:spacing w:line="319" w:lineRule="auto"/>
        <w:ind w:right="0"/>
        <w:jc w:val="left"/>
      </w:pPr>
      <w:r>
        <w:rPr>
          <w:spacing w:val="-4"/>
        </w:rPr>
        <w:t>本公司既没有转移也没有保留金融资产所有权上几乎所有的风险和报酬的，分别下列情况处理：放弃了对该金融资产控制的，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240" w:lineRule="auto"/>
        <w:ind w:right="0"/>
        <w:jc w:val="both"/>
      </w:pPr>
      <w:r>
        <w:rPr/>
        <w:t>（</w:t>
      </w:r>
      <w:r>
        <w:rPr>
          <w:rFonts w:ascii="宋体" w:hAnsi="宋体" w:cs="宋体" w:eastAsia="宋体" w:hint="default"/>
        </w:rPr>
        <w:t>8</w:t>
      </w:r>
      <w:r>
        <w:rPr/>
        <w:t>）金融资产和金融负债的抵销</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5"/>
        </w:rPr>
        <w:t> </w:t>
      </w:r>
      <w:r>
        <w:rPr>
          <w:spacing w:val="-65"/>
        </w:rPr>
      </w:r>
      <w:r>
        <w:rPr/>
        <w:t>和金融负债在资产负债表内分别列示，不予相互抵销。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537" w:lineRule="auto"/>
        <w:ind w:right="1131"/>
        <w:jc w:val="both"/>
      </w:pPr>
      <w:r>
        <w:rPr/>
        <w:t>（</w:t>
      </w:r>
      <w:r>
        <w:rPr>
          <w:rFonts w:ascii="宋体" w:hAnsi="宋体" w:cs="宋体" w:eastAsia="宋体" w:hint="default"/>
        </w:rPr>
        <w:t>9</w:t>
      </w:r>
      <w:r>
        <w:rPr/>
        <w:t>）公允价值计量 公允价值是指市场参与者在计量日发生的有序交易中，出售一项资产所能收到或者转移一项负债所需支付的价格。</w:t>
      </w:r>
    </w:p>
    <w:p>
      <w:pPr>
        <w:pStyle w:val="BodyText"/>
        <w:spacing w:line="316" w:lineRule="auto" w:before="69"/>
        <w:ind w:right="1131"/>
        <w:jc w:val="both"/>
      </w:pPr>
      <w:r>
        <w:rPr>
          <w:spacing w:val="-2"/>
        </w:rPr>
        <w:t>本公司以公允价值计量相关资产或负债，假定出售资产或者转移负债的有序交易在相关资产或负债的主要市场进行；不存在</w:t>
      </w:r>
      <w:r>
        <w:rPr>
          <w:spacing w:val="-64"/>
        </w:rPr>
        <w:t> </w:t>
      </w:r>
      <w:r>
        <w:rPr>
          <w:spacing w:val="-64"/>
        </w:rPr>
      </w:r>
      <w:r>
        <w:rPr>
          <w:spacing w:val="-2"/>
        </w:rPr>
        <w:t>主要市场的，本公司假定该交易在相关资产或负债的最有利市场进行。主要市场（或最有利市场）是本公司在计量日能够进</w:t>
      </w:r>
      <w:r>
        <w:rPr>
          <w:spacing w:val="-66"/>
        </w:rPr>
        <w:t> </w:t>
      </w:r>
      <w:r>
        <w:rPr>
          <w:spacing w:val="-66"/>
        </w:rPr>
      </w:r>
      <w:r>
        <w:rPr/>
        <w:t>入的交易市场。本公司采用市场参与者在对该资产或负债定价时为实现其经济利益最大化所使用的假设。</w:t>
      </w:r>
    </w:p>
    <w:p>
      <w:pPr>
        <w:spacing w:line="240" w:lineRule="auto" w:before="12"/>
        <w:rPr>
          <w:rFonts w:ascii="宋体" w:hAnsi="宋体" w:cs="宋体" w:eastAsia="宋体" w:hint="default"/>
          <w:sz w:val="17"/>
          <w:szCs w:val="17"/>
        </w:rPr>
      </w:pPr>
    </w:p>
    <w:p>
      <w:pPr>
        <w:pStyle w:val="BodyText"/>
        <w:spacing w:line="319" w:lineRule="auto"/>
        <w:ind w:right="1132"/>
        <w:jc w:val="both"/>
      </w:pPr>
      <w:r>
        <w:rPr>
          <w:spacing w:val="-2"/>
        </w:rPr>
        <w:t>存在活跃市场的金融资产或金融负债，本公司采用活跃市场中的报价确定其公允价值。金融工具不存在活跃市场的，本公司</w:t>
      </w:r>
      <w:r>
        <w:rPr>
          <w:spacing w:val="-66"/>
        </w:rPr>
        <w:t> </w:t>
      </w:r>
      <w:r>
        <w:rPr>
          <w:spacing w:val="-66"/>
        </w:rPr>
      </w:r>
      <w:r>
        <w:rPr/>
        <w:t>采用估值技术确定其公允价值。</w:t>
      </w:r>
    </w:p>
    <w:p>
      <w:pPr>
        <w:spacing w:line="240" w:lineRule="auto" w:before="11"/>
        <w:rPr>
          <w:rFonts w:ascii="宋体" w:hAnsi="宋体" w:cs="宋体" w:eastAsia="宋体" w:hint="default"/>
          <w:sz w:val="17"/>
          <w:szCs w:val="17"/>
        </w:rPr>
      </w:pPr>
    </w:p>
    <w:p>
      <w:pPr>
        <w:pStyle w:val="BodyText"/>
        <w:spacing w:line="316" w:lineRule="auto"/>
        <w:ind w:right="1132"/>
        <w:jc w:val="both"/>
      </w:pPr>
      <w:r>
        <w:rPr>
          <w:spacing w:val="-2"/>
        </w:rPr>
        <w:t>以公允价值计量非金融资产的，考虑市场参与者将该资产用于最佳用途产生经济利益的能力，或者将该资产出售给能够用于</w:t>
      </w:r>
      <w:r>
        <w:rPr>
          <w:spacing w:val="-64"/>
        </w:rPr>
        <w:t> </w:t>
      </w:r>
      <w:r>
        <w:rPr>
          <w:spacing w:val="-64"/>
        </w:rPr>
      </w:r>
      <w:r>
        <w:rPr/>
        <w:t>最佳用途的其他市场参与者产生经济利益的能力。</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本公司采用在当前情况下适用并且有足够可利用数据和其他信息支持的估值技术，优先使用相关可观察输入值，只有在可观</w:t>
      </w:r>
      <w:r>
        <w:rPr>
          <w:spacing w:val="-64"/>
        </w:rPr>
        <w:t> </w:t>
      </w:r>
      <w:r>
        <w:rPr>
          <w:spacing w:val="-64"/>
        </w:rPr>
      </w:r>
      <w:r>
        <w:rPr/>
        <w:t>察输入值无法取得或取得不切实可行的情况下，才使用不可观察输入值。</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在财务报表中以公允价值计量或披露的资产和负债，根据对公允价值计量整体而言具有重要意义的最低层次输入值，确定所</w:t>
      </w:r>
      <w:r>
        <w:rPr>
          <w:spacing w:val="-64"/>
        </w:rPr>
        <w:t> </w:t>
      </w:r>
      <w:r>
        <w:rPr>
          <w:spacing w:val="-64"/>
        </w:rPr>
      </w:r>
      <w:r>
        <w:rPr>
          <w:spacing w:val="-2"/>
        </w:rPr>
        <w:t>属的公允价值层次：第一层次输入值，是在计量日能够取得的相同资产或负债在活跃市场上未经调整的报价；第二层次输入</w:t>
      </w:r>
      <w:r>
        <w:rPr>
          <w:spacing w:val="-66"/>
        </w:rPr>
        <w:t> </w:t>
      </w:r>
      <w:r>
        <w:rPr>
          <w:spacing w:val="-66"/>
        </w:rPr>
      </w:r>
      <w:r>
        <w:rPr>
          <w:spacing w:val="-2"/>
        </w:rPr>
        <w:t>值，是除第一层次输入值外相关资产或负债直接或间接可观察的输入值；第三层次输入值，是相关资产或负债的不可观察输</w:t>
      </w:r>
      <w:r>
        <w:rPr>
          <w:spacing w:val="-66"/>
        </w:rPr>
        <w:t> </w:t>
      </w:r>
      <w:r>
        <w:rPr>
          <w:spacing w:val="-66"/>
        </w:rPr>
      </w:r>
      <w:r>
        <w:rPr/>
        <w:t>入值。</w:t>
      </w:r>
    </w:p>
    <w:p>
      <w:pPr>
        <w:spacing w:line="240" w:lineRule="auto" w:before="12"/>
        <w:rPr>
          <w:rFonts w:ascii="宋体" w:hAnsi="宋体" w:cs="宋体" w:eastAsia="宋体" w:hint="default"/>
          <w:sz w:val="17"/>
          <w:szCs w:val="17"/>
        </w:rPr>
      </w:pPr>
    </w:p>
    <w:p>
      <w:pPr>
        <w:pStyle w:val="BodyText"/>
        <w:spacing w:line="316" w:lineRule="auto"/>
        <w:ind w:right="1132"/>
        <w:jc w:val="both"/>
      </w:pPr>
      <w:r>
        <w:rPr>
          <w:spacing w:val="-2"/>
        </w:rPr>
        <w:t>每个资产负债表日，本公司对在财务报表中确认的持续以公允价值计量的资产和负债进行重新评估，以确定是否在公允价值</w:t>
      </w:r>
      <w:r>
        <w:rPr>
          <w:spacing w:val="-64"/>
        </w:rPr>
        <w:t> </w:t>
      </w:r>
      <w:r>
        <w:rPr>
          <w:spacing w:val="-64"/>
        </w:rPr>
      </w:r>
      <w:r>
        <w:rPr/>
        <w:t>计量层次之间发生转换。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11、应收票据及应收账款" w:id="187"/>
      <w:bookmarkEnd w:id="187"/>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单项金额重大并单独计提坏账准备的应收款项" w:id="188"/>
      <w:bookmarkEnd w:id="18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9"/>
      <w:bookmarkEnd w:id="18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以历史损失率为基础估计未来现金流量</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以历史损失率为基础估计未来现金流量</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90"/>
      <w:bookmarkEnd w:id="19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91"/>
      <w:bookmarkEnd w:id="191"/>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否</w:t>
      </w:r>
    </w:p>
    <w:p>
      <w:pPr>
        <w:pStyle w:val="BodyText"/>
        <w:spacing w:line="508" w:lineRule="auto" w:before="115"/>
        <w:ind w:right="7692"/>
        <w:jc w:val="left"/>
      </w:pPr>
      <w:r>
        <w:rPr/>
        <w:t>（</w:t>
      </w:r>
      <w:r>
        <w:rPr>
          <w:rFonts w:ascii="Times New Roman" w:hAnsi="Times New Roman" w:cs="Times New Roman" w:eastAsia="Times New Roman" w:hint="default"/>
        </w:rPr>
        <w:t>1</w:t>
      </w:r>
      <w:r>
        <w:rPr/>
        <w:t>）存货的分类 本公司存货分为库存商品、发出商品。</w:t>
      </w:r>
    </w:p>
    <w:p>
      <w:pPr>
        <w:pStyle w:val="BodyText"/>
        <w:spacing w:line="508" w:lineRule="auto" w:before="91"/>
        <w:ind w:right="3912"/>
        <w:jc w:val="left"/>
      </w:pPr>
      <w:r>
        <w:rPr/>
        <w:t>（</w:t>
      </w:r>
      <w:r>
        <w:rPr>
          <w:rFonts w:ascii="Times New Roman" w:hAnsi="Times New Roman" w:cs="Times New Roman" w:eastAsia="Times New Roman" w:hint="default"/>
        </w:rPr>
        <w:t>2</w:t>
      </w:r>
      <w:r>
        <w:rPr/>
        <w:t>）发出存货的计价方法 本公司存货取得时按实际成本计价。库存商品、发出商品发出时采用先进先出法计价。</w:t>
      </w:r>
    </w:p>
    <w:p>
      <w:pPr>
        <w:pStyle w:val="BodyText"/>
        <w:spacing w:line="240" w:lineRule="auto" w:before="91"/>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资产负债表日，存货成本高于其可变现净值的，计提存货跌价准备。本公司通常按照类别存货项目计提存货跌价准备，资产</w:t>
      </w:r>
      <w:r>
        <w:rPr>
          <w:spacing w:val="-66"/>
        </w:rPr>
        <w:t> </w:t>
      </w:r>
      <w:r>
        <w:rPr>
          <w:spacing w:val="-66"/>
        </w:rPr>
      </w:r>
      <w:r>
        <w:rPr/>
        <w:t>负债表日，以前减记存货价值的影响因素已经消失的，存货跌价准备在原已计提的金额内转回。</w:t>
      </w:r>
    </w:p>
    <w:p>
      <w:pPr>
        <w:spacing w:line="240" w:lineRule="auto" w:before="12"/>
        <w:rPr>
          <w:rFonts w:ascii="宋体" w:hAnsi="宋体" w:cs="宋体" w:eastAsia="宋体" w:hint="default"/>
          <w:sz w:val="17"/>
          <w:szCs w:val="17"/>
        </w:rPr>
      </w:pPr>
    </w:p>
    <w:p>
      <w:pPr>
        <w:pStyle w:val="BodyText"/>
        <w:spacing w:line="508" w:lineRule="auto"/>
        <w:ind w:right="7692"/>
        <w:jc w:val="left"/>
      </w:pPr>
      <w:r>
        <w:rPr/>
        <w:t>（</w:t>
      </w:r>
      <w:r>
        <w:rPr>
          <w:rFonts w:ascii="Times New Roman" w:hAnsi="Times New Roman" w:cs="Times New Roman" w:eastAsia="Times New Roman" w:hint="default"/>
        </w:rPr>
        <w:t>4</w:t>
      </w:r>
      <w:r>
        <w:rPr/>
        <w:t>）存货的盘存制度 本公司存货盘存制度采用永续盘存制。</w:t>
      </w:r>
    </w:p>
    <w:p>
      <w:pPr>
        <w:spacing w:line="240" w:lineRule="auto" w:before="6"/>
        <w:rPr>
          <w:rFonts w:ascii="宋体" w:hAnsi="宋体" w:cs="宋体" w:eastAsia="宋体" w:hint="default"/>
          <w:sz w:val="13"/>
          <w:szCs w:val="13"/>
        </w:rPr>
      </w:pPr>
    </w:p>
    <w:p>
      <w:pPr>
        <w:pStyle w:val="Heading8"/>
        <w:spacing w:line="240" w:lineRule="auto"/>
        <w:ind w:right="0"/>
        <w:jc w:val="both"/>
        <w:rPr>
          <w:b w:val="0"/>
          <w:bCs w:val="0"/>
        </w:rPr>
      </w:pPr>
      <w:bookmarkStart w:name="13、持有待售资产" w:id="192"/>
      <w:bookmarkEnd w:id="19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18"/>
          <w:szCs w:val="18"/>
        </w:rPr>
      </w:pPr>
    </w:p>
    <w:p>
      <w:pPr>
        <w:pStyle w:val="BodyText"/>
        <w:spacing w:line="590" w:lineRule="auto" w:before="128"/>
        <w:ind w:right="1212"/>
        <w:jc w:val="left"/>
      </w:pPr>
      <w:bookmarkStart w:name="14、长期股权投资" w:id="193"/>
      <w:bookmarkEnd w:id="193"/>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长期股权投资包括对子公司和联营企业的权益性投资。本公司能够对被投资单位施加重大影响的，为本公司的联营企业。</w:t>
      </w:r>
    </w:p>
    <w:p>
      <w:pPr>
        <w:pStyle w:val="BodyText"/>
        <w:spacing w:line="240" w:lineRule="auto" w:before="29"/>
        <w:ind w:right="0"/>
        <w:jc w:val="both"/>
      </w:pPr>
      <w:r>
        <w:rPr/>
        <w:t>（</w:t>
      </w:r>
      <w:r>
        <w:rPr>
          <w:rFonts w:ascii="Times New Roman" w:hAnsi="Times New Roman" w:cs="Times New Roman" w:eastAsia="Times New Roman" w:hint="default"/>
        </w:rPr>
        <w:t>1</w:t>
      </w:r>
      <w:r>
        <w:rPr/>
        <w:t>）初始投资成本确定</w:t>
      </w:r>
    </w:p>
    <w:p>
      <w:pPr>
        <w:spacing w:line="240" w:lineRule="auto" w:before="4"/>
        <w:rPr>
          <w:rFonts w:ascii="宋体" w:hAnsi="宋体" w:cs="宋体" w:eastAsia="宋体" w:hint="default"/>
          <w:sz w:val="21"/>
          <w:szCs w:val="21"/>
        </w:rPr>
      </w:pPr>
    </w:p>
    <w:p>
      <w:pPr>
        <w:pStyle w:val="BodyText"/>
        <w:spacing w:line="316" w:lineRule="auto"/>
        <w:ind w:right="1132"/>
        <w:jc w:val="both"/>
      </w:pP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对于其他方式取得的长期股权投资：支付现金取得的长期股权投资，按照实际支付的购买价款作为初始投资成本；发行权益</w:t>
      </w:r>
      <w:r>
        <w:rPr>
          <w:spacing w:val="-66"/>
        </w:rPr>
        <w:t> </w:t>
      </w:r>
      <w:r>
        <w:rPr>
          <w:spacing w:val="-66"/>
        </w:rPr>
      </w:r>
      <w:r>
        <w:rPr/>
        <w:t>性证券取得的长期股权投资，以发行权益性证券的公允价值作为初始投资成本。</w:t>
      </w:r>
    </w:p>
    <w:p>
      <w:pPr>
        <w:spacing w:line="240" w:lineRule="auto" w:before="12"/>
        <w:rPr>
          <w:rFonts w:ascii="宋体" w:hAnsi="宋体" w:cs="宋体" w:eastAsia="宋体" w:hint="default"/>
          <w:sz w:val="17"/>
          <w:szCs w:val="17"/>
        </w:rPr>
      </w:pPr>
    </w:p>
    <w:p>
      <w:pPr>
        <w:pStyle w:val="BodyText"/>
        <w:spacing w:line="508" w:lineRule="auto"/>
        <w:ind w:right="0"/>
        <w:jc w:val="left"/>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对子公司的投资，采用成本法核算，除非投资符合持有待售的条件；对联营企业的投资，采用权益法核算。</w:t>
      </w:r>
    </w:p>
    <w:p>
      <w:pPr>
        <w:pStyle w:val="BodyText"/>
        <w:spacing w:line="316" w:lineRule="auto" w:before="91"/>
        <w:ind w:right="0"/>
        <w:jc w:val="left"/>
      </w:pP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w:t>
      </w:r>
    </w:p>
    <w:p>
      <w:pPr>
        <w:spacing w:line="240" w:lineRule="auto" w:before="12"/>
        <w:rPr>
          <w:rFonts w:ascii="宋体" w:hAnsi="宋体" w:cs="宋体" w:eastAsia="宋体" w:hint="default"/>
          <w:sz w:val="17"/>
          <w:szCs w:val="17"/>
        </w:rPr>
      </w:pPr>
    </w:p>
    <w:p>
      <w:pPr>
        <w:pStyle w:val="BodyText"/>
        <w:spacing w:line="319" w:lineRule="auto"/>
        <w:ind w:right="1130"/>
        <w:jc w:val="both"/>
      </w:pPr>
      <w:r>
        <w:rPr>
          <w:spacing w:val="-2"/>
        </w:rPr>
        <w:t>采用权益法核算的长期股权投资，初始投资成本大于投资时应享有被投资单位可辨认净资产公允价值份额的，不调整长期股</w:t>
      </w:r>
      <w:r>
        <w:rPr>
          <w:spacing w:val="-63"/>
        </w:rPr>
        <w:t> </w:t>
      </w:r>
      <w:r>
        <w:rPr>
          <w:spacing w:val="-63"/>
        </w:rPr>
      </w:r>
      <w:r>
        <w:rPr>
          <w:spacing w:val="-2"/>
        </w:rPr>
        <w:t>权投资的投资成本；初始投资成本小于投资时应享有被投资单位可辨认净资产公允价值份额的，对长期股权投资的账面价值</w:t>
      </w:r>
      <w:r>
        <w:rPr>
          <w:spacing w:val="-64"/>
        </w:rPr>
        <w:t> </w:t>
      </w:r>
      <w:r>
        <w:rPr>
          <w:spacing w:val="-64"/>
        </w:rPr>
      </w:r>
      <w:r>
        <w:rPr/>
        <w:t>进行调整，差额计入投资当期的损益。</w:t>
      </w:r>
    </w:p>
    <w:p>
      <w:pPr>
        <w:spacing w:line="240" w:lineRule="auto" w:before="11"/>
        <w:rPr>
          <w:rFonts w:ascii="宋体" w:hAnsi="宋体" w:cs="宋体" w:eastAsia="宋体" w:hint="default"/>
          <w:sz w:val="17"/>
          <w:szCs w:val="17"/>
        </w:rPr>
      </w:pPr>
    </w:p>
    <w:p>
      <w:pPr>
        <w:pStyle w:val="BodyText"/>
        <w:spacing w:line="316" w:lineRule="auto"/>
        <w:ind w:right="0"/>
        <w:jc w:val="left"/>
      </w:pP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权投资的账面价值；被投资单位除净损益、其他综合收益和利润分配以外所有者权益的其他变动，调整长期股权投资的账面</w:t>
      </w:r>
      <w:r>
        <w:rPr>
          <w:spacing w:val="-66"/>
        </w:rPr>
        <w:t> </w:t>
      </w:r>
      <w:r>
        <w:rPr>
          <w:spacing w:val="-66"/>
        </w:rPr>
      </w:r>
      <w:r>
        <w:rPr>
          <w:spacing w:val="-2"/>
        </w:rPr>
        <w:t>价值并计入资本公积（其他资本公积）。在确认应享有被投资单位净损益的份额时，以取得投资时被投资单位各项可辨认资</w:t>
      </w:r>
      <w:r>
        <w:rPr>
          <w:spacing w:val="-66"/>
        </w:rPr>
        <w:t> </w:t>
      </w:r>
      <w:r>
        <w:rPr>
          <w:spacing w:val="-66"/>
        </w:rPr>
      </w:r>
      <w:r>
        <w:rPr/>
        <w:t>产等的公允价值为基础，并按照本公司的会计政策及会计期间，对被投资单位的净利润进行调整后确认。</w:t>
      </w:r>
    </w:p>
    <w:p>
      <w:pPr>
        <w:spacing w:line="240" w:lineRule="auto" w:before="13"/>
        <w:rPr>
          <w:rFonts w:ascii="宋体" w:hAnsi="宋体" w:cs="宋体" w:eastAsia="宋体" w:hint="default"/>
          <w:sz w:val="17"/>
          <w:szCs w:val="17"/>
        </w:rPr>
      </w:pPr>
    </w:p>
    <w:p>
      <w:pPr>
        <w:pStyle w:val="BodyText"/>
        <w:spacing w:line="316" w:lineRule="auto"/>
        <w:ind w:right="1131"/>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6"/>
        </w:rPr>
        <w:t> </w:t>
      </w:r>
      <w:r>
        <w:rPr>
          <w:spacing w:val="-66"/>
        </w:rPr>
      </w:r>
      <w:r>
        <w:rPr/>
        <w:t>其他综合收益的累计公允价值变动转入改按权益法核算的当期损益。</w:t>
      </w:r>
    </w:p>
    <w:p>
      <w:pPr>
        <w:spacing w:line="240" w:lineRule="auto" w:before="12"/>
        <w:rPr>
          <w:rFonts w:ascii="宋体" w:hAnsi="宋体" w:cs="宋体" w:eastAsia="宋体" w:hint="default"/>
          <w:sz w:val="17"/>
          <w:szCs w:val="17"/>
        </w:rPr>
      </w:pPr>
    </w:p>
    <w:p>
      <w:pPr>
        <w:pStyle w:val="BodyText"/>
        <w:spacing w:line="312" w:lineRule="auto"/>
        <w:ind w:right="1131"/>
        <w:jc w:val="both"/>
      </w:pPr>
      <w:r>
        <w:rPr>
          <w:spacing w:val="-2"/>
        </w:rPr>
        <w:t>因处置部分股权投资等原因丧失了对被投资单位的共同控制或重大影响的，处置后的剩余股权在丧失共同控制或重大影响之</w:t>
      </w:r>
      <w:r>
        <w:rPr>
          <w:spacing w:val="-63"/>
        </w:rPr>
        <w:t> </w:t>
      </w:r>
      <w:r>
        <w:rPr>
          <w:spacing w:val="-63"/>
        </w:rPr>
      </w:r>
      <w:r>
        <w:rPr>
          <w:spacing w:val="-2"/>
        </w:rPr>
        <w:t>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金融工具确认和计量》进行会计处理，公允价值与账面价值之间的差额计入当期损益。原股</w:t>
      </w:r>
      <w:r>
        <w:rPr>
          <w:spacing w:val="-64"/>
        </w:rPr>
        <w:t> </w:t>
      </w:r>
      <w:r>
        <w:rPr>
          <w:spacing w:val="-64"/>
        </w:rPr>
      </w:r>
      <w:r>
        <w:rPr>
          <w:spacing w:val="-2"/>
        </w:rPr>
        <w:t>权投资因采用权益法核算而确认的其他综合收益，在终止采用权益法核算时采用与被投资单位直接处置相关资产或负债相同</w:t>
      </w:r>
      <w:r>
        <w:rPr>
          <w:spacing w:val="-64"/>
        </w:rPr>
        <w:t> </w:t>
      </w:r>
      <w:r>
        <w:rPr>
          <w:spacing w:val="-64"/>
        </w:rPr>
      </w:r>
      <w:r>
        <w:rPr/>
        <w:t>的基础进行会计处理；原股权投资相关的其他所有者权益变动转入当期损益。</w:t>
      </w:r>
    </w:p>
    <w:p>
      <w:pPr>
        <w:spacing w:line="240" w:lineRule="auto" w:before="3"/>
        <w:rPr>
          <w:rFonts w:ascii="宋体" w:hAnsi="宋体" w:cs="宋体" w:eastAsia="宋体" w:hint="default"/>
          <w:sz w:val="18"/>
          <w:szCs w:val="18"/>
        </w:rPr>
      </w:pPr>
    </w:p>
    <w:p>
      <w:pPr>
        <w:pStyle w:val="BodyText"/>
        <w:spacing w:line="312" w:lineRule="auto"/>
        <w:ind w:right="1131"/>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5"/>
        </w:rPr>
        <w:t> </w:t>
      </w:r>
      <w:r>
        <w:rPr>
          <w:spacing w:val="-65"/>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4"/>
        </w:rPr>
        <w:t> </w:t>
      </w:r>
      <w:r>
        <w:rPr>
          <w:spacing w:val="-64"/>
        </w:rPr>
      </w:r>
      <w:r>
        <w:rPr/>
        <w:t>制之日的公允价值与账面价值之间的差额计入当期损益。</w:t>
      </w:r>
    </w:p>
    <w:p>
      <w:pPr>
        <w:spacing w:line="240" w:lineRule="auto" w:before="3"/>
        <w:rPr>
          <w:rFonts w:ascii="宋体" w:hAnsi="宋体" w:cs="宋体" w:eastAsia="宋体" w:hint="default"/>
          <w:sz w:val="18"/>
          <w:szCs w:val="18"/>
        </w:rPr>
      </w:pPr>
    </w:p>
    <w:p>
      <w:pPr>
        <w:pStyle w:val="BodyText"/>
        <w:spacing w:line="316" w:lineRule="auto"/>
        <w:ind w:right="1131"/>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spacing w:line="240" w:lineRule="auto" w:before="12"/>
        <w:rPr>
          <w:rFonts w:ascii="宋体" w:hAnsi="宋体" w:cs="宋体" w:eastAsia="宋体" w:hint="default"/>
          <w:sz w:val="17"/>
          <w:szCs w:val="17"/>
        </w:rPr>
      </w:pPr>
    </w:p>
    <w:p>
      <w:pPr>
        <w:pStyle w:val="BodyText"/>
        <w:spacing w:line="316" w:lineRule="auto"/>
        <w:ind w:right="1132"/>
        <w:jc w:val="both"/>
      </w:pPr>
      <w:r>
        <w:rPr>
          <w:spacing w:val="-2"/>
        </w:rPr>
        <w:t>本公司与联营企业之间发生的未实现内部交易损益按照持股比例计算归属于本公司的部分，在抵销基础上确认投资损益。但</w:t>
      </w:r>
      <w:r>
        <w:rPr>
          <w:spacing w:val="-64"/>
        </w:rPr>
        <w:t> </w:t>
      </w:r>
      <w:r>
        <w:rPr>
          <w:spacing w:val="-64"/>
        </w:rPr>
      </w:r>
      <w:r>
        <w:rPr/>
        <w:t>本公司与被投资单位发生的未实现内部交易损失，属于所转让资产减值损失的，不予以抵销。</w:t>
      </w:r>
    </w:p>
    <w:p>
      <w:pPr>
        <w:spacing w:line="240" w:lineRule="auto" w:before="13"/>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4"/>
        <w:rPr>
          <w:rFonts w:ascii="宋体" w:hAnsi="宋体" w:cs="宋体" w:eastAsia="宋体" w:hint="default"/>
          <w:sz w:val="21"/>
          <w:szCs w:val="21"/>
        </w:rPr>
      </w:pPr>
    </w:p>
    <w:p>
      <w:pPr>
        <w:pStyle w:val="BodyText"/>
        <w:spacing w:line="316" w:lineRule="auto"/>
        <w:ind w:right="1131"/>
        <w:jc w:val="both"/>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6"/>
        </w:rPr>
        <w:t> </w:t>
      </w:r>
      <w:r>
        <w:rPr>
          <w:spacing w:val="-66"/>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spacing w:line="240" w:lineRule="auto" w:before="12"/>
        <w:rPr>
          <w:rFonts w:ascii="宋体" w:hAnsi="宋体" w:cs="宋体" w:eastAsia="宋体" w:hint="default"/>
          <w:sz w:val="17"/>
          <w:szCs w:val="17"/>
        </w:rPr>
      </w:pPr>
    </w:p>
    <w:p>
      <w:pPr>
        <w:pStyle w:val="BodyText"/>
        <w:spacing w:line="307" w:lineRule="auto"/>
        <w:ind w:right="1131"/>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的表决权股份时，一般认为对被投资单位具</w:t>
      </w:r>
      <w:r>
        <w:rPr>
          <w:spacing w:val="-84"/>
        </w:rPr>
        <w:t> </w:t>
      </w:r>
      <w:r>
        <w:rPr>
          <w:spacing w:val="-84"/>
        </w:rPr>
      </w:r>
      <w:r>
        <w:rPr>
          <w:spacing w:val="-2"/>
        </w:rPr>
        <w:t>有重大影响，除非有明确证据表明该种情况下不能参与被投资单位的生产经营决策，不形成重大影响；本公司拥有被投资单</w:t>
      </w:r>
      <w:r>
        <w:rPr>
          <w:spacing w:val="-66"/>
        </w:rPr>
        <w:t> </w:t>
      </w:r>
      <w:r>
        <w:rPr>
          <w:spacing w:val="-66"/>
        </w:rPr>
      </w:r>
      <w:r>
        <w:rPr>
          <w:spacing w:val="-1"/>
        </w:rPr>
        <w:t>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（不含）以下的表决权股份时，一般不认为对被投资单位具有重大影响，除非有明确证据表明该种情况下能够参与被</w:t>
      </w:r>
      <w:r>
        <w:rPr/>
        <w:t> 投资单位的生产经营决策，形成重大影响。</w:t>
      </w:r>
    </w:p>
    <w:p>
      <w:pPr>
        <w:spacing w:line="240" w:lineRule="auto" w:before="7"/>
        <w:rPr>
          <w:rFonts w:ascii="宋体" w:hAnsi="宋体" w:cs="宋体" w:eastAsia="宋体" w:hint="default"/>
          <w:sz w:val="18"/>
          <w:szCs w:val="18"/>
        </w:rPr>
      </w:pPr>
    </w:p>
    <w:p>
      <w:pPr>
        <w:pStyle w:val="BodyText"/>
        <w:spacing w:line="508" w:lineRule="auto"/>
        <w:ind w:right="5532"/>
        <w:jc w:val="left"/>
      </w:pPr>
      <w:r>
        <w:rPr/>
        <w:t>（</w:t>
      </w:r>
      <w:r>
        <w:rPr>
          <w:rFonts w:ascii="Times New Roman" w:hAnsi="Times New Roman" w:cs="Times New Roman" w:eastAsia="Times New Roman" w:hint="default"/>
        </w:rPr>
        <w:t>4</w:t>
      </w:r>
      <w:r>
        <w:rPr/>
        <w:t>）减值测试方法及减值准备计提方法 对子公司及联营企业的投资，计提资产减值的方法见附注五、</w:t>
      </w:r>
      <w:r>
        <w:rPr>
          <w:rFonts w:ascii="Times New Roman" w:hAnsi="Times New Roman" w:cs="Times New Roman" w:eastAsia="Times New Roman" w:hint="default"/>
        </w:rPr>
        <w:t>22</w:t>
      </w:r>
      <w:r>
        <w:rPr/>
        <w:t>。</w:t>
      </w:r>
    </w:p>
    <w:p>
      <w:pPr>
        <w:spacing w:after="0" w:line="5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5、投资性房地产" w:id="194"/>
      <w:bookmarkEnd w:id="19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16、固定资产" w:id="195"/>
      <w:bookmarkEnd w:id="19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jc w:val="both"/>
      </w:pPr>
      <w:r>
        <w:rPr>
          <w:spacing w:val="-2"/>
        </w:rPr>
        <w:t>本公司固定资产是指为生产商品、提供劳务、出租或经营管理而持有的，使用寿命超过一个会计年度的有形资产。与该固定</w:t>
      </w:r>
      <w:r>
        <w:rPr>
          <w:spacing w:val="-66"/>
        </w:rPr>
        <w:t> </w:t>
      </w:r>
      <w:r>
        <w:rPr>
          <w:spacing w:val="-66"/>
        </w:rPr>
      </w:r>
      <w:r>
        <w:rPr>
          <w:spacing w:val="-2"/>
        </w:rPr>
        <w:t>资产有关的经济利益很可能流入企业，并且该固定资产的成本能够可靠地计量时，固定资产才能予以确认。本公司固定资产</w:t>
      </w:r>
      <w:r>
        <w:rPr>
          <w:spacing w:val="-66"/>
        </w:rPr>
        <w:t> </w:t>
      </w:r>
      <w:r>
        <w:rPr>
          <w:spacing w:val="-66"/>
        </w:rPr>
      </w:r>
      <w:r>
        <w:rPr/>
        <w:t>按照取得时的实际成本进行初始计量。</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 -9.50</w:t>
            </w:r>
            <w:r>
              <w:rPr>
                <w:rFonts w:ascii="Times New Roman"/>
                <w:spacing w:val="-2"/>
                <w:sz w:val="18"/>
              </w:rPr>
              <w:t> </w:t>
            </w: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9.50 %</w:t>
            </w:r>
          </w:p>
        </w:tc>
      </w:tr>
    </w:tbl>
    <w:p>
      <w:pPr>
        <w:spacing w:line="240" w:lineRule="auto" w:before="8"/>
        <w:rPr>
          <w:rFonts w:ascii="宋体" w:hAnsi="宋体" w:cs="宋体" w:eastAsia="宋体" w:hint="default"/>
          <w:b/>
          <w:bCs/>
          <w:sz w:val="6"/>
          <w:szCs w:val="6"/>
        </w:rPr>
      </w:pPr>
    </w:p>
    <w:p>
      <w:pPr>
        <w:pStyle w:val="BodyText"/>
        <w:spacing w:line="316" w:lineRule="auto" w:before="44"/>
        <w:ind w:right="0"/>
        <w:jc w:val="left"/>
      </w:pPr>
      <w:r>
        <w:rPr>
          <w:spacing w:val="-2"/>
        </w:rPr>
        <w:t>本公司采用年限平均法计提折旧。固定资产自达到预定可使用状态时开始计提折旧，终止确认时或划分为持有待售非流动资</w:t>
      </w:r>
      <w:r>
        <w:rPr>
          <w:spacing w:val="-64"/>
        </w:rPr>
        <w:t> </w:t>
      </w:r>
      <w:r>
        <w:rPr>
          <w:spacing w:val="-64"/>
        </w:rPr>
      </w:r>
      <w:r>
        <w:rPr/>
        <w:t>产时停止计提折旧。在不考虑减值准备的情况下，按固定资产类别、预计使用寿命和预计残值。</w:t>
      </w:r>
    </w:p>
    <w:p>
      <w:pPr>
        <w:spacing w:line="240" w:lineRule="auto" w:before="13"/>
        <w:rPr>
          <w:rFonts w:ascii="宋体" w:hAnsi="宋体" w:cs="宋体" w:eastAsia="宋体" w:hint="default"/>
          <w:sz w:val="17"/>
          <w:szCs w:val="17"/>
        </w:rPr>
      </w:pPr>
    </w:p>
    <w:p>
      <w:pPr>
        <w:pStyle w:val="BodyText"/>
        <w:spacing w:line="523" w:lineRule="auto"/>
        <w:ind w:right="0"/>
        <w:jc w:val="left"/>
      </w:pPr>
      <w:r>
        <w:rPr/>
        <w:t>其中，已计提减值准备的固定资产，还应扣除已计提的固定资产减值准备累计金额计算确定折旧率。 固定资产的减值测试方法、减值准备计提方法见附注五、</w:t>
      </w:r>
      <w:r>
        <w:rPr>
          <w:rFonts w:ascii="Times New Roman" w:hAnsi="Times New Roman" w:cs="Times New Roman" w:eastAsia="Times New Roman" w:hint="default"/>
        </w:rPr>
        <w:t>22</w:t>
      </w:r>
      <w:r>
        <w:rPr/>
        <w:t>。 每年年度终了，本公司对固定资产的使用寿命、预计净残值和折旧方法进行复核。</w:t>
      </w:r>
    </w:p>
    <w:p>
      <w:pPr>
        <w:pStyle w:val="BodyText"/>
        <w:spacing w:line="316" w:lineRule="auto" w:before="80"/>
        <w:ind w:right="1118"/>
        <w:jc w:val="left"/>
      </w:pPr>
      <w:r>
        <w:rPr>
          <w:spacing w:val="-2"/>
        </w:rPr>
        <w:t>使用寿命预计数与原先估计数有差异的，调整固定资产使用寿命；预计净残值预计数与原先估计数有差异的，调整预计净残</w:t>
      </w:r>
      <w:r>
        <w:rPr>
          <w:spacing w:val="-66"/>
        </w:rPr>
        <w:t> </w:t>
      </w:r>
      <w:r>
        <w:rPr>
          <w:spacing w:val="-66"/>
        </w:rPr>
      </w:r>
      <w:r>
        <w:rPr/>
        <w:t>值。</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本公司对固定资产进行定期检查发生的大修理费用，有确凿证据表明符合固定资产确认条件的部分，计入固定资产成本，不</w:t>
      </w:r>
      <w:r>
        <w:rPr>
          <w:spacing w:val="-66"/>
        </w:rPr>
        <w:t> </w:t>
      </w:r>
      <w:r>
        <w:rPr>
          <w:spacing w:val="-66"/>
        </w:rPr>
      </w:r>
      <w:r>
        <w:rPr/>
        <w:t>符合固定资产确认条件的计入当期损益。固定资产在定期大修理间隔期间，照提折旧。</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融资租入固定资产的认定依据、计价和折旧方法" w:id="198"/>
      <w:bookmarkEnd w:id="19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jc w:val="left"/>
      </w:pPr>
      <w:r>
        <w:rPr>
          <w:spacing w:val="-2"/>
        </w:rPr>
        <w:t>当本公司租入的固定资产符合下列一项或数项标准时，确认为融资租入固定资产：①在租赁期届满时，租赁资产的所有权转</w:t>
      </w:r>
      <w:r>
        <w:rPr>
          <w:spacing w:val="-65"/>
        </w:rPr>
        <w:t> </w:t>
      </w:r>
      <w:r>
        <w:rPr>
          <w:spacing w:val="-65"/>
        </w:rPr>
      </w:r>
      <w:r>
        <w:rPr>
          <w:spacing w:val="-2"/>
        </w:rPr>
        <w:t>移给本公司。②本公司有购买租赁资产的选择权，所订立的购买价款预计将远低于行使选择权时租赁资产的公允价值，因而</w:t>
      </w:r>
      <w:r>
        <w:rPr>
          <w:spacing w:val="-66"/>
        </w:rPr>
        <w:t> </w:t>
      </w:r>
      <w:r>
        <w:rPr>
          <w:spacing w:val="-66"/>
        </w:rPr>
      </w:r>
      <w:r>
        <w:rPr>
          <w:spacing w:val="-2"/>
        </w:rPr>
        <w:t>在租赁开始日就可以合理确定本公司将会行使这种选择权。③即使资产的所有权不转移，但租赁期占租赁资产使用寿命的大</w:t>
      </w:r>
      <w:r>
        <w:rPr>
          <w:spacing w:val="-63"/>
        </w:rPr>
        <w:t> </w:t>
      </w:r>
      <w:r>
        <w:rPr>
          <w:spacing w:val="-63"/>
        </w:rPr>
      </w:r>
      <w:r>
        <w:rPr>
          <w:spacing w:val="-2"/>
        </w:rPr>
        <w:t>部分。④本公司在租赁开始日的最低租赁付款额现值，几乎相当于租赁开始日租赁资产公允价值。⑤租赁资产性质特殊，如</w:t>
      </w:r>
      <w:r>
        <w:rPr>
          <w:spacing w:val="-64"/>
        </w:rPr>
        <w:t> </w:t>
      </w:r>
      <w:r>
        <w:rPr>
          <w:spacing w:val="-64"/>
        </w:rPr>
      </w:r>
      <w:r>
        <w:rPr>
          <w:spacing w:val="-2"/>
        </w:rPr>
        <w:t>果不作较大改造，只有本公司才能使用。融资租赁租入的固定资产，按租赁开始日租赁资产公允价值与最低租赁付款额的现</w:t>
      </w:r>
      <w:r>
        <w:rPr>
          <w:spacing w:val="-66"/>
        </w:rPr>
        <w:t> </w:t>
      </w:r>
      <w:r>
        <w:rPr>
          <w:spacing w:val="-66"/>
        </w:rPr>
      </w:r>
      <w:r>
        <w:rPr>
          <w:spacing w:val="-2"/>
        </w:rPr>
        <w:t>值两者中较低者，作为入账价值。最低租赁付款额作为长期应付款的入账价值，其差额作为未确认融资费用。在租赁谈判和</w:t>
      </w:r>
      <w:r>
        <w:rPr>
          <w:spacing w:val="-66"/>
        </w:rPr>
        <w:t> </w:t>
      </w:r>
      <w:r>
        <w:rPr>
          <w:spacing w:val="-66"/>
        </w:rPr>
      </w:r>
      <w:r>
        <w:rPr/>
        <w:t>签订租赁合同过程中发生的，可归属于租赁项目的手续费、律师费、差旅费、印花税等初始直接费用，计入租入资产价值。 </w:t>
      </w:r>
      <w:r>
        <w:rPr>
          <w:spacing w:val="-2"/>
        </w:rPr>
        <w:t>未确认融资费用在租赁期内各个期间采用实际利率法进行分摊。融资租入的固定资产采用与自有固定资产一致的政策计提租</w:t>
      </w:r>
      <w:r>
        <w:rPr>
          <w:spacing w:val="-64"/>
        </w:rPr>
        <w:t> </w:t>
      </w:r>
      <w:r>
        <w:rPr>
          <w:spacing w:val="-64"/>
        </w:rPr>
      </w:r>
      <w:r>
        <w:rPr>
          <w:spacing w:val="-2"/>
        </w:rPr>
        <w:t>赁资产折旧。能够合理确定租赁期届满时将会取得租赁资产所有权的，在租赁资产尚可使用年限内计提折旧；无法合理确定</w:t>
      </w:r>
      <w:r>
        <w:rPr>
          <w:spacing w:val="-66"/>
        </w:rPr>
        <w:t> </w:t>
      </w:r>
      <w:r>
        <w:rPr>
          <w:spacing w:val="-66"/>
        </w:rPr>
      </w:r>
      <w:r>
        <w:rPr/>
        <w:t>租赁期届满时能够取得租赁资产所有权的，在租赁期与租赁资产尚可使用年限两者中较短的期间内计提折旧。</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在建工程" w:id="199"/>
      <w:bookmarkEnd w:id="19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8、借款费用" w:id="200"/>
      <w:bookmarkEnd w:id="20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本公司发生的借款费用，可直接归属于符合资本化条件的资产的购建或者生产的，予以资本化，计入相关资产成本；其他借</w:t>
      </w:r>
      <w:r>
        <w:rPr>
          <w:spacing w:val="-65"/>
        </w:rPr>
        <w:t> </w:t>
      </w:r>
      <w:r>
        <w:rPr>
          <w:spacing w:val="-65"/>
        </w:rPr>
      </w:r>
      <w:r>
        <w:rPr/>
        <w:t>款费用，在发生时根据其发生额确认为费用，计入当期损益。借款费用同时满足下列条件的，开始资本化：</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①资产支出已经发生，资产支出包括为购建或者生产符合资本化条件的资产而以支付现金、转移非现金资产或者承担带息债</w:t>
      </w:r>
      <w:r>
        <w:rPr>
          <w:spacing w:val="-64"/>
        </w:rPr>
        <w:t> </w:t>
      </w:r>
      <w:r>
        <w:rPr>
          <w:spacing w:val="-64"/>
        </w:rPr>
      </w:r>
      <w:r>
        <w:rPr/>
        <w:t>务形式发生的支出；</w:t>
      </w:r>
    </w:p>
    <w:p>
      <w:pPr>
        <w:spacing w:line="240" w:lineRule="auto" w:before="12"/>
        <w:rPr>
          <w:rFonts w:ascii="宋体" w:hAnsi="宋体" w:cs="宋体" w:eastAsia="宋体" w:hint="default"/>
          <w:sz w:val="17"/>
          <w:szCs w:val="17"/>
        </w:rPr>
      </w:pPr>
    </w:p>
    <w:p>
      <w:pPr>
        <w:pStyle w:val="BodyText"/>
        <w:spacing w:line="240" w:lineRule="auto"/>
        <w:ind w:right="0"/>
        <w:jc w:val="left"/>
      </w:pPr>
      <w:r>
        <w:rPr/>
        <w:t>②</w:t>
      </w:r>
      <w:r>
        <w:rPr>
          <w:spacing w:val="-19"/>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right="0"/>
        <w:jc w:val="left"/>
      </w:pPr>
      <w:r>
        <w:rPr/>
        <w:t>③</w:t>
      </w:r>
      <w:r>
        <w:rPr>
          <w:spacing w:val="-19"/>
        </w:rPr>
        <w:t> </w:t>
      </w:r>
      <w:r>
        <w:rPr/>
        <w:t>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right="0"/>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本公司购建或者生产符合资本化条件的资产达到预定可使用或者可销售状态时，借款费用停止资本化。在符合资本化条件的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3"/>
        <w:rPr>
          <w:rFonts w:ascii="宋体" w:hAnsi="宋体" w:cs="宋体" w:eastAsia="宋体" w:hint="default"/>
          <w:sz w:val="17"/>
          <w:szCs w:val="17"/>
        </w:rPr>
      </w:pPr>
    </w:p>
    <w:p>
      <w:pPr>
        <w:pStyle w:val="BodyText"/>
        <w:spacing w:line="300" w:lineRule="auto"/>
        <w:ind w:right="1122"/>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2"/>
        </w:rPr>
        <w:t> </w:t>
      </w:r>
      <w:r>
        <w:rPr>
          <w:spacing w:val="-82"/>
        </w:rPr>
      </w:r>
      <w:r>
        <w:rPr/>
        <w:t>常中断期间的借款费用继续资本化。</w:t>
      </w:r>
    </w:p>
    <w:p>
      <w:pPr>
        <w:spacing w:line="240" w:lineRule="auto" w:before="12"/>
        <w:rPr>
          <w:rFonts w:ascii="宋体" w:hAnsi="宋体" w:cs="宋体" w:eastAsia="宋体" w:hint="default"/>
          <w:sz w:val="18"/>
          <w:szCs w:val="18"/>
        </w:rPr>
      </w:pPr>
    </w:p>
    <w:p>
      <w:pPr>
        <w:pStyle w:val="BodyText"/>
        <w:spacing w:line="240" w:lineRule="auto"/>
        <w:ind w:right="0"/>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21"/>
          <w:szCs w:val="21"/>
        </w:rPr>
      </w:pPr>
    </w:p>
    <w:p>
      <w:pPr>
        <w:pStyle w:val="BodyText"/>
        <w:spacing w:line="316" w:lineRule="auto"/>
        <w:ind w:right="1032"/>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w:t>
      </w:r>
      <w:r>
        <w:rPr/>
        <w:t> 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right="0"/>
        <w:jc w:val="left"/>
      </w:pPr>
      <w:r>
        <w:rPr/>
        <w:t>资本化期间内，外币专门借款的汇兑差额全部予以资本化；外币一般借款的汇兑差额计入当期损益。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9、生物资产" w:id="201"/>
      <w:bookmarkEnd w:id="20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0、油气资产" w:id="202"/>
      <w:bookmarkEnd w:id="20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1、无形资产" w:id="203"/>
      <w:bookmarkEnd w:id="20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204"/>
      <w:bookmarkEnd w:id="20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本公司无形资产包括专利权、非专利技术、域名、商标、客户关系、技术研发、特许权和软件等。</w:t>
      </w:r>
    </w:p>
    <w:p>
      <w:pPr>
        <w:spacing w:line="240" w:lineRule="auto" w:before="5"/>
        <w:rPr>
          <w:rFonts w:ascii="宋体" w:hAnsi="宋体" w:cs="宋体" w:eastAsia="宋体" w:hint="default"/>
          <w:sz w:val="22"/>
          <w:szCs w:val="22"/>
        </w:rPr>
      </w:pPr>
    </w:p>
    <w:p>
      <w:pPr>
        <w:pStyle w:val="BodyText"/>
        <w:spacing w:line="316" w:lineRule="auto"/>
        <w:ind w:right="1043"/>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 采用直线法摊销；使用寿命不确定的无形资产，不作摊销。</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使用寿命有限的无形资产摊销方法如下：</w:t>
      </w:r>
    </w:p>
    <w:p>
      <w:pPr>
        <w:spacing w:line="240" w:lineRule="auto" w:before="7"/>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3802"/>
        <w:gridCol w:w="2522"/>
        <w:gridCol w:w="2957"/>
      </w:tblGrid>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8-10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8-10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1-10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1-10</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8"/>
        <w:rPr>
          <w:rFonts w:ascii="宋体" w:hAnsi="宋体" w:cs="宋体" w:eastAsia="宋体" w:hint="default"/>
          <w:sz w:val="6"/>
          <w:szCs w:val="6"/>
        </w:rPr>
      </w:pPr>
    </w:p>
    <w:p>
      <w:pPr>
        <w:pStyle w:val="BodyText"/>
        <w:spacing w:line="316" w:lineRule="auto" w:before="44"/>
        <w:ind w:right="0"/>
        <w:jc w:val="left"/>
      </w:pPr>
      <w:r>
        <w:rPr>
          <w:spacing w:val="-4"/>
        </w:rPr>
        <w:t>本公司于每年年度终了，对使用寿命有限的无形资产的使用寿命及摊销方法进行复核，与以前估计不同的，调整原先估计数，</w:t>
      </w:r>
      <w:r>
        <w:rPr>
          <w:spacing w:val="-43"/>
        </w:rPr>
        <w:t> </w:t>
      </w:r>
      <w:r>
        <w:rPr>
          <w:spacing w:val="-43"/>
        </w:rPr>
      </w:r>
      <w:r>
        <w:rPr/>
        <w:t>并按会计估计变更处理。</w:t>
      </w:r>
    </w:p>
    <w:p>
      <w:pPr>
        <w:spacing w:line="240" w:lineRule="auto" w:before="12"/>
        <w:rPr>
          <w:rFonts w:ascii="宋体" w:hAnsi="宋体" w:cs="宋体" w:eastAsia="宋体" w:hint="default"/>
          <w:sz w:val="17"/>
          <w:szCs w:val="17"/>
        </w:rPr>
      </w:pPr>
    </w:p>
    <w:p>
      <w:pPr>
        <w:pStyle w:val="BodyText"/>
        <w:spacing w:line="537" w:lineRule="auto"/>
        <w:ind w:right="1392"/>
        <w:jc w:val="left"/>
      </w:pPr>
      <w:r>
        <w:rPr/>
        <w:t>资产负债表日预计某项无形资产已经不能给企业带来未来经济利益的，将该项无形资产的账面价值全部转入当期损益。 无形资产计提资产减值方法见附注五、</w:t>
      </w:r>
      <w:r>
        <w:rPr>
          <w:rFonts w:ascii="Times New Roman" w:hAnsi="Times New Roman" w:cs="Times New Roman" w:eastAsia="Times New Roman" w:hint="default"/>
        </w:rPr>
        <w:t>22</w:t>
      </w:r>
      <w:r>
        <w:rPr/>
        <w:t>。</w:t>
      </w:r>
    </w:p>
    <w:p>
      <w:pPr>
        <w:spacing w:line="532" w:lineRule="auto" w:before="91"/>
        <w:ind w:left="154" w:right="4812" w:firstLine="0"/>
        <w:jc w:val="left"/>
        <w:rPr>
          <w:rFonts w:ascii="宋体" w:hAnsi="宋体" w:cs="宋体" w:eastAsia="宋体" w:hint="default"/>
          <w:sz w:val="18"/>
          <w:szCs w:val="18"/>
        </w:rPr>
      </w:pPr>
      <w:bookmarkStart w:name="（2）内部研究开发支出会计政策"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18"/>
          <w:szCs w:val="18"/>
        </w:rPr>
        <w:t>本公司将内部研究开发项目的支出，区分为研究阶段支出和开发阶段支出。 研究阶段的支出，于发生时计入当期损益。</w:t>
      </w:r>
    </w:p>
    <w:p>
      <w:pPr>
        <w:pStyle w:val="BodyText"/>
        <w:spacing w:line="316" w:lineRule="auto" w:before="73"/>
        <w:ind w:right="0"/>
        <w:jc w:val="left"/>
      </w:pPr>
      <w:r>
        <w:rPr>
          <w:spacing w:val="-4"/>
        </w:rPr>
        <w:t>开发阶段的支出，同时满足下列条件的，才能予以资本化，即：完成该无形资产以使其能够使用或出售在技术上具有可行性；</w:t>
      </w:r>
      <w:r>
        <w:rPr>
          <w:spacing w:val="-46"/>
        </w:rPr>
        <w:t> </w:t>
      </w:r>
      <w:r>
        <w:rPr>
          <w:spacing w:val="-46"/>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6"/>
        </w:rPr>
        <w:t> </w:t>
      </w:r>
      <w:r>
        <w:rPr>
          <w:spacing w:val="-66"/>
        </w:rPr>
      </w:r>
      <w:r>
        <w:rPr>
          <w:spacing w:val="-2"/>
        </w:rPr>
        <w:t>完成该无形资产的开发，并有能力使用或出售该无形资产；归属于该无形资产开发阶段的支出能够可靠地计量。不满足上述</w:t>
      </w:r>
      <w:r>
        <w:rPr>
          <w:spacing w:val="-66"/>
        </w:rPr>
        <w:t> </w:t>
      </w:r>
      <w:r>
        <w:rPr>
          <w:spacing w:val="-66"/>
        </w:rPr>
      </w:r>
      <w:r>
        <w:rPr/>
        <w:t>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right="2112"/>
        <w:jc w:val="left"/>
      </w:pPr>
      <w:r>
        <w:rPr/>
        <w:t>本公司研究开发项目在满足上述条件，通过技术可行性及经济可行性研究，形成项目立项后，进入开发阶段。 已资本化的开发阶段的支出在资产负债表上列示为开发支出，自该项目达到预定用途之日转为无形资产。</w:t>
      </w:r>
    </w:p>
    <w:p>
      <w:pPr>
        <w:pStyle w:val="Heading4"/>
        <w:spacing w:line="240" w:lineRule="auto" w:before="129"/>
        <w:ind w:right="0"/>
        <w:jc w:val="left"/>
        <w:rPr>
          <w:b w:val="0"/>
          <w:bCs w:val="0"/>
        </w:rPr>
      </w:pPr>
      <w:bookmarkStart w:name="22、长期资产减值" w:id="206"/>
      <w:bookmarkEnd w:id="20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对子公司、联营企业的长期股权投资、固定资产、无形资产和商誉等（递延所得税资产、金融资产除外）的资产减值，按以</w:t>
      </w:r>
      <w:r>
        <w:rPr>
          <w:spacing w:val="-72"/>
        </w:rPr>
        <w:t> </w:t>
      </w:r>
      <w:r>
        <w:rPr>
          <w:spacing w:val="-72"/>
        </w:rPr>
      </w:r>
      <w:r>
        <w:rPr/>
        <w:t>下方法确定：</w:t>
      </w:r>
    </w:p>
    <w:p>
      <w:pPr>
        <w:spacing w:line="240" w:lineRule="auto" w:before="12"/>
        <w:rPr>
          <w:rFonts w:ascii="宋体" w:hAnsi="宋体" w:cs="宋体" w:eastAsia="宋体" w:hint="default"/>
          <w:sz w:val="17"/>
          <w:szCs w:val="17"/>
        </w:rPr>
      </w:pPr>
    </w:p>
    <w:p>
      <w:pPr>
        <w:pStyle w:val="BodyText"/>
        <w:spacing w:line="319" w:lineRule="auto"/>
        <w:ind w:right="1131"/>
        <w:jc w:val="both"/>
      </w:pPr>
      <w:r>
        <w:rPr>
          <w:spacing w:val="-2"/>
        </w:rPr>
        <w:t>于资产负债表日判断资产是否存在可能发生减值的迹象，存在减值迹象的，本公司将估计其可收回金额，进行减值测试。对</w:t>
      </w:r>
      <w:r>
        <w:rPr>
          <w:spacing w:val="-66"/>
        </w:rPr>
        <w:t> </w:t>
      </w:r>
      <w:r>
        <w:rPr>
          <w:spacing w:val="-66"/>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line="240" w:lineRule="auto" w:before="11"/>
        <w:rPr>
          <w:rFonts w:ascii="宋体" w:hAnsi="宋体" w:cs="宋体" w:eastAsia="宋体" w:hint="default"/>
          <w:sz w:val="17"/>
          <w:szCs w:val="17"/>
        </w:rPr>
      </w:pPr>
    </w:p>
    <w:p>
      <w:pPr>
        <w:pStyle w:val="BodyText"/>
        <w:spacing w:line="316" w:lineRule="auto"/>
        <w:ind w:right="1131"/>
        <w:jc w:val="both"/>
      </w:pPr>
      <w:r>
        <w:rPr>
          <w:spacing w:val="-2"/>
        </w:rPr>
        <w:t>可收回金额根据资产的公允价值减去处置费用后的净额与资产预计未来现金流量的现值两者之间较高者确定。本公司以单项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当资产或资产组的可收回金额低于其账面价值时，本公司将其账面价值减记至可收回金额，减记的金额计入当期损益，同时</w:t>
      </w:r>
      <w:r>
        <w:rPr>
          <w:spacing w:val="-66"/>
        </w:rPr>
        <w:t> </w:t>
      </w:r>
      <w:r>
        <w:rPr>
          <w:spacing w:val="-66"/>
        </w:rPr>
      </w:r>
      <w:r>
        <w:rPr/>
        <w:t>计提相应的资产减值准备。</w:t>
      </w:r>
    </w:p>
    <w:p>
      <w:pPr>
        <w:spacing w:line="240" w:lineRule="auto" w:before="12"/>
        <w:rPr>
          <w:rFonts w:ascii="宋体" w:hAnsi="宋体" w:cs="宋体" w:eastAsia="宋体" w:hint="default"/>
          <w:sz w:val="17"/>
          <w:szCs w:val="17"/>
        </w:rPr>
      </w:pPr>
    </w:p>
    <w:p>
      <w:pPr>
        <w:pStyle w:val="BodyText"/>
        <w:spacing w:line="319" w:lineRule="auto"/>
        <w:ind w:right="1132"/>
        <w:jc w:val="both"/>
      </w:pPr>
      <w:r>
        <w:rPr>
          <w:spacing w:val="-2"/>
        </w:rPr>
        <w:t>就商誉的减值测试而言，对于因企业合并形成的商誉的账面价值，自购买日起按照合理的方法分摊至相关的资产组；难以分</w:t>
      </w:r>
      <w:r>
        <w:rPr>
          <w:spacing w:val="-66"/>
        </w:rPr>
        <w:t> </w:t>
      </w:r>
      <w:r>
        <w:rPr>
          <w:spacing w:val="-66"/>
        </w:rPr>
      </w:r>
      <w:r>
        <w:rPr>
          <w:spacing w:val="-2"/>
        </w:rPr>
        <w:t>摊至相关的资产组的，将其分摊至相关的资产组组合。相关的资产组或资产组组合，是能够从企业合并的协同效应中受益的</w:t>
      </w:r>
      <w:r>
        <w:rPr>
          <w:spacing w:val="-66"/>
        </w:rPr>
        <w:t> </w:t>
      </w:r>
      <w:r>
        <w:rPr>
          <w:spacing w:val="-66"/>
        </w:rPr>
      </w:r>
      <w:r>
        <w:rPr/>
        <w:t>资产组或者资产组组合，且不大于本公司确定的报告分部。</w:t>
      </w:r>
    </w:p>
    <w:p>
      <w:pPr>
        <w:spacing w:line="240" w:lineRule="auto" w:before="11"/>
        <w:rPr>
          <w:rFonts w:ascii="宋体" w:hAnsi="宋体" w:cs="宋体" w:eastAsia="宋体" w:hint="default"/>
          <w:sz w:val="17"/>
          <w:szCs w:val="17"/>
        </w:rPr>
      </w:pPr>
    </w:p>
    <w:p>
      <w:pPr>
        <w:pStyle w:val="BodyText"/>
        <w:spacing w:line="316" w:lineRule="auto"/>
        <w:ind w:right="1131"/>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6"/>
        </w:rPr>
        <w:t> </w:t>
      </w:r>
      <w:r>
        <w:rPr>
          <w:spacing w:val="-66"/>
        </w:rPr>
      </w:r>
      <w:r>
        <w:rPr/>
        <w:t>可收回金额，如可收回金额低于账面价值的，确认商誉的减值损失。</w:t>
      </w:r>
    </w:p>
    <w:p>
      <w:pPr>
        <w:spacing w:line="240" w:lineRule="auto" w:before="12"/>
        <w:rPr>
          <w:rFonts w:ascii="宋体" w:hAnsi="宋体" w:cs="宋体" w:eastAsia="宋体" w:hint="default"/>
          <w:sz w:val="17"/>
          <w:szCs w:val="17"/>
        </w:rPr>
      </w:pPr>
    </w:p>
    <w:p>
      <w:pPr>
        <w:pStyle w:val="BodyText"/>
        <w:spacing w:line="240" w:lineRule="auto"/>
        <w:ind w:right="0"/>
        <w:jc w:val="both"/>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3、长期待摊费用" w:id="207"/>
      <w:bookmarkEnd w:id="20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jc w:val="both"/>
      </w:pPr>
      <w:r>
        <w:rPr>
          <w:spacing w:val="-4"/>
        </w:rPr>
        <w:t>本公司发生的长期待摊费用按实际成本计价，并按预计受益期限分期摊销。对不能使以后会计期间受益的长期待摊费用项目，</w:t>
      </w:r>
      <w:r>
        <w:rPr>
          <w:spacing w:val="-44"/>
        </w:rPr>
        <w:t> </w:t>
      </w:r>
      <w:r>
        <w:rPr>
          <w:spacing w:val="-44"/>
        </w:rPr>
      </w:r>
      <w:r>
        <w:rPr/>
        <w:t>其摊余价值全部计入当期损益。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4、职工薪酬" w:id="208"/>
      <w:bookmarkEnd w:id="20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短期薪酬的会计处理方法" w:id="209"/>
      <w:bookmarkEnd w:id="20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spacing w:val="-2"/>
        </w:rPr>
        <w:t>职工薪酬，是指企业为获得职工提供的服务或解除劳动关系而给予的各种形式的报酬或补偿。职工薪酬包括短期薪酬、离职</w:t>
      </w:r>
      <w:r>
        <w:rPr>
          <w:spacing w:val="-66"/>
        </w:rPr>
        <w:t> </w:t>
      </w:r>
      <w:r>
        <w:rPr>
          <w:spacing w:val="-66"/>
        </w:rPr>
      </w:r>
      <w:r>
        <w:rPr>
          <w:spacing w:val="-2"/>
        </w:rPr>
        <w:t>后福利、辞退福利和其他长期职工福利。企业提供给职工配偶、子女、受赡养人、已故员工遗属及其他受益人等的福利，也</w:t>
      </w:r>
      <w:r>
        <w:rPr>
          <w:spacing w:val="-67"/>
        </w:rPr>
        <w:t> </w:t>
      </w:r>
      <w:r>
        <w:rPr>
          <w:spacing w:val="-67"/>
        </w:rPr>
      </w:r>
      <w:r>
        <w:rPr/>
        <w:t>属于职工薪酬。根据流动性，职工薪酬分别列示于资产负债表的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w:t>
      </w:r>
    </w:p>
    <w:p>
      <w:pPr>
        <w:spacing w:line="240" w:lineRule="auto" w:before="4"/>
        <w:rPr>
          <w:rFonts w:ascii="宋体" w:hAnsi="宋体" w:cs="宋体" w:eastAsia="宋体" w:hint="default"/>
          <w:sz w:val="16"/>
          <w:szCs w:val="16"/>
        </w:rPr>
      </w:pPr>
    </w:p>
    <w:p>
      <w:pPr>
        <w:pStyle w:val="BodyText"/>
        <w:spacing w:line="316" w:lineRule="auto"/>
        <w:ind w:right="1131"/>
        <w:jc w:val="both"/>
      </w:pPr>
      <w:r>
        <w:rPr>
          <w:spacing w:val="-2"/>
        </w:rPr>
        <w:t>本公司在职工提供服务的会计期间，将实际发生的职工工资、奖金、按规定的基准和比例为职工缴纳的医疗保险费、工伤保</w:t>
      </w:r>
      <w:r>
        <w:rPr>
          <w:spacing w:val="-66"/>
        </w:rPr>
        <w:t> </w:t>
      </w:r>
      <w:r>
        <w:rPr>
          <w:spacing w:val="-66"/>
        </w:rPr>
      </w:r>
      <w:r>
        <w:rPr>
          <w:spacing w:val="-2"/>
        </w:rPr>
        <w:t>险费和生育保险费等社会保险费和住房公积金，确认为负债，并计入当期损益或相关资产成本。如果该负债预期在职工提供</w:t>
      </w:r>
      <w:r>
        <w:rPr>
          <w:spacing w:val="-65"/>
        </w:rPr>
        <w:t> </w:t>
      </w:r>
      <w:r>
        <w:rPr>
          <w:spacing w:val="-65"/>
        </w:rPr>
      </w:r>
      <w:r>
        <w:rPr/>
        <w:t>相关服务的年度报告期结束后十二个月内不能完全支付，且财务影响重大的，则该负债将以折现后的金额计量。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2）离职后福利的会计处理方法" w:id="210"/>
      <w:bookmarkEnd w:id="21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离职后福利计划包括设定提存计划和设定受益计划。其中，设定提存计划，是指向独立的基金缴存固定费用后，企业不再承</w:t>
      </w:r>
      <w:r>
        <w:rPr>
          <w:spacing w:val="-66"/>
        </w:rPr>
        <w:t> </w:t>
      </w:r>
      <w:r>
        <w:rPr>
          <w:spacing w:val="-66"/>
        </w:rPr>
      </w:r>
      <w:r>
        <w:rPr/>
        <w:t>担进一步支付义务的离职后福利计划；设定受益计划，是指除设定提存计划以外的离职后福利计划。</w:t>
      </w:r>
    </w:p>
    <w:p>
      <w:pPr>
        <w:spacing w:line="240" w:lineRule="auto" w:before="12"/>
        <w:rPr>
          <w:rFonts w:ascii="宋体" w:hAnsi="宋体" w:cs="宋体" w:eastAsia="宋体" w:hint="default"/>
          <w:sz w:val="17"/>
          <w:szCs w:val="17"/>
        </w:rPr>
      </w:pPr>
    </w:p>
    <w:p>
      <w:pPr>
        <w:pStyle w:val="BodyText"/>
        <w:spacing w:line="537" w:lineRule="auto"/>
        <w:ind w:right="6972"/>
        <w:jc w:val="left"/>
      </w:pPr>
      <w:r>
        <w:rPr/>
        <w:t>设定提存计划 设定提存计划包括基本养老保险、失业保险等。</w:t>
      </w:r>
    </w:p>
    <w:p>
      <w:pPr>
        <w:pStyle w:val="BodyText"/>
        <w:spacing w:line="537" w:lineRule="auto" w:before="69"/>
        <w:ind w:right="1752"/>
        <w:jc w:val="left"/>
      </w:pPr>
      <w:r>
        <w:rPr/>
        <w:t>在职工提供服务的会计期间，根据设定提存计划计算的应缴存金额确认为负债，并计入当期损益或相关资产成本。 设定受益计划</w:t>
      </w:r>
    </w:p>
    <w:p>
      <w:pPr>
        <w:pStyle w:val="BodyText"/>
        <w:spacing w:line="240" w:lineRule="auto" w:before="69"/>
        <w:ind w:right="0"/>
        <w:jc w:val="both"/>
      </w:pPr>
      <w:r>
        <w:rPr/>
        <w:t>本公司目前无设定受益计划。</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3）辞退福利的会计处理方法" w:id="211"/>
      <w:bookmarkEnd w:id="21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本公司向职工提供辞退福利的，在下列两者孰早日确认辞退福利产生的职工薪酬负债，并计入当期损益：本公司不能单方面</w:t>
      </w:r>
      <w:r>
        <w:rPr>
          <w:spacing w:val="-66"/>
        </w:rPr>
        <w:t> </w:t>
      </w:r>
      <w:r>
        <w:rPr>
          <w:spacing w:val="-66"/>
        </w:rPr>
      </w:r>
      <w:r>
        <w:rPr/>
        <w:t>撤回因解除劳动关系计划或裁减建议所提供的辞退福利时；本公司确认与涉及支付辞退福利的重组相关的成本或费用时。</w:t>
      </w:r>
    </w:p>
    <w:p>
      <w:pPr>
        <w:spacing w:line="240" w:lineRule="auto" w:before="13"/>
        <w:rPr>
          <w:rFonts w:ascii="宋体" w:hAnsi="宋体" w:cs="宋体" w:eastAsia="宋体" w:hint="default"/>
          <w:sz w:val="17"/>
          <w:szCs w:val="17"/>
        </w:rPr>
      </w:pPr>
    </w:p>
    <w:p>
      <w:pPr>
        <w:pStyle w:val="BodyText"/>
        <w:spacing w:line="316" w:lineRule="auto"/>
        <w:ind w:right="1131"/>
        <w:jc w:val="both"/>
      </w:pPr>
      <w:r>
        <w:rPr>
          <w:spacing w:val="-2"/>
        </w:rPr>
        <w:t>实行职工内部退休计划的，在正式退休日之前的经济补偿，属于辞退福利，自职工停止提供服务日至正常退休日期间，拟支</w:t>
      </w:r>
      <w:r>
        <w:rPr>
          <w:spacing w:val="-66"/>
        </w:rPr>
        <w:t> </w:t>
      </w:r>
      <w:r>
        <w:rPr>
          <w:spacing w:val="-66"/>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4）其他长期职工福利的会计处理方法" w:id="212"/>
      <w:bookmarkEnd w:id="21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本公司向职工提供的其他长期职工福利，符合设定提存计划条件的，按照上述关于设定提存计划的有关规定进行处理。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bookmarkStart w:name="25、预计负债" w:id="213"/>
      <w:bookmarkEnd w:id="21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如果与或有事项相关的义务同时符合以下条件，本公司将其确认为预计负债：</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2</w:t>
      </w:r>
      <w:r>
        <w:rPr/>
        <w:t>）该义务的履行很可能导致经济利益流出本公司；</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3</w:t>
      </w:r>
      <w:r>
        <w:rPr/>
        <w:t>）该义务的金额能够可靠地计量。</w:t>
      </w:r>
    </w:p>
    <w:p>
      <w:pPr>
        <w:spacing w:line="240" w:lineRule="auto" w:before="4"/>
        <w:rPr>
          <w:rFonts w:ascii="宋体" w:hAnsi="宋体" w:cs="宋体" w:eastAsia="宋体" w:hint="default"/>
          <w:sz w:val="21"/>
          <w:szCs w:val="21"/>
        </w:rPr>
      </w:pPr>
    </w:p>
    <w:p>
      <w:pPr>
        <w:pStyle w:val="BodyText"/>
        <w:spacing w:line="316" w:lineRule="auto"/>
        <w:ind w:right="1130"/>
        <w:jc w:val="both"/>
      </w:pPr>
      <w:r>
        <w:rPr>
          <w:spacing w:val="-2"/>
        </w:rPr>
        <w:t>预计负债按照履行相关现时义务所需支出的最佳估计数进行初始计量，并综合考虑与或有事项有关的风险、不确定性和货币</w:t>
      </w:r>
      <w:r>
        <w:rPr>
          <w:spacing w:val="-63"/>
        </w:rPr>
        <w:t> </w:t>
      </w:r>
      <w:r>
        <w:rPr>
          <w:spacing w:val="-63"/>
        </w:rPr>
      </w:r>
      <w:r>
        <w:rPr>
          <w:spacing w:val="-2"/>
        </w:rPr>
        <w:t>时间价值等因素。货币时间价值影响重大的，通过对相关未来现金流出进行折现后确定最佳估计数。本公司于资产负债表日</w:t>
      </w:r>
      <w:r>
        <w:rPr>
          <w:spacing w:val="-66"/>
        </w:rPr>
        <w:t> </w:t>
      </w:r>
      <w:r>
        <w:rPr>
          <w:spacing w:val="-66"/>
        </w:rPr>
      </w:r>
      <w:r>
        <w:rPr/>
        <w:t>对预计负债的账面价值进行复核，并对账面价值进行调整以反映当前最佳估计数。</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4"/>
        <w:spacing w:line="240" w:lineRule="auto"/>
        <w:ind w:right="0"/>
        <w:jc w:val="both"/>
        <w:rPr>
          <w:b w:val="0"/>
          <w:bCs w:val="0"/>
        </w:rPr>
      </w:pPr>
      <w:bookmarkStart w:name="26、股份支付" w:id="214"/>
      <w:bookmarkEnd w:id="21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right="5172"/>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508" w:lineRule="auto" w:before="91"/>
        <w:ind w:right="0"/>
        <w:jc w:val="left"/>
      </w:pPr>
      <w:r>
        <w:rPr/>
        <w:t>（</w:t>
      </w:r>
      <w:r>
        <w:rPr>
          <w:rFonts w:ascii="Times New Roman" w:hAnsi="Times New Roman" w:cs="Times New Roman" w:eastAsia="Times New Roman" w:hint="default"/>
        </w:rPr>
        <w:t>2</w:t>
      </w:r>
      <w:r>
        <w:rPr/>
        <w:t>）权益工具公允价值的确定方法 </w:t>
      </w:r>
      <w:r>
        <w:rPr>
          <w:spacing w:val="-2"/>
        </w:rPr>
        <w:t>本公司对于授予的存在活跃市场的期权等权益工具，按照活跃市场中的报价确定其公允价值。对于授予的不存在活跃市场的</w:t>
      </w:r>
    </w:p>
    <w:p>
      <w:pPr>
        <w:spacing w:after="0" w:line="50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期权等权益工具，采用期权定价模型等确定其公允价值。选用的期权定价模型考虑以下因素：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w:t>
      </w:r>
      <w:r>
        <w:rPr>
          <w:spacing w:val="-68"/>
        </w:rPr>
        <w:t> </w:t>
      </w:r>
      <w:r>
        <w:rPr/>
        <w:t>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spacing w:line="240" w:lineRule="auto" w:before="7"/>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4"/>
        <w:rPr>
          <w:rFonts w:ascii="宋体" w:hAnsi="宋体" w:cs="宋体" w:eastAsia="宋体" w:hint="default"/>
          <w:sz w:val="21"/>
          <w:szCs w:val="21"/>
        </w:rPr>
      </w:pPr>
    </w:p>
    <w:p>
      <w:pPr>
        <w:pStyle w:val="BodyText"/>
        <w:spacing w:line="316" w:lineRule="auto"/>
        <w:ind w:right="1132"/>
        <w:jc w:val="both"/>
      </w:pPr>
      <w:r>
        <w:rPr>
          <w:spacing w:val="-2"/>
        </w:rPr>
        <w:t>等待期内每个资产负债表日，本公司根据最新取得的可行权职工人数变动等后续信息作出最佳估计，修正预计可行权的权益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4</w:t>
      </w:r>
      <w:r>
        <w:rPr/>
        <w:t>）实施、修改、终止股份支付计划的相关会计处理</w:t>
      </w:r>
    </w:p>
    <w:p>
      <w:pPr>
        <w:spacing w:line="240" w:lineRule="auto" w:before="4"/>
        <w:rPr>
          <w:rFonts w:ascii="宋体" w:hAnsi="宋体" w:cs="宋体" w:eastAsia="宋体" w:hint="default"/>
          <w:sz w:val="21"/>
          <w:szCs w:val="21"/>
        </w:rPr>
      </w:pPr>
    </w:p>
    <w:p>
      <w:pPr>
        <w:pStyle w:val="BodyText"/>
        <w:spacing w:line="316" w:lineRule="auto"/>
        <w:ind w:right="1131"/>
        <w:jc w:val="both"/>
      </w:pPr>
      <w:r>
        <w:rPr>
          <w:spacing w:val="-2"/>
        </w:rPr>
        <w:t>以权益结算的股份支付，按授予职工权益工具的公允价值计量。授予后立即可行权的，在授予日按照权益工具的公允价值计</w:t>
      </w:r>
      <w:r>
        <w:rPr>
          <w:spacing w:val="-66"/>
        </w:rPr>
        <w:t> </w:t>
      </w:r>
      <w:r>
        <w:rPr>
          <w:spacing w:val="-66"/>
        </w:rPr>
      </w:r>
      <w:r>
        <w:rPr>
          <w:spacing w:val="-2"/>
        </w:rPr>
        <w:t>入相关成本或费用，相应增加资本公积。在完成等待期内的服务或达到规定业绩条件才可行权的，在等待期内的每个资产负</w:t>
      </w:r>
      <w:r>
        <w:rPr>
          <w:spacing w:val="-66"/>
        </w:rPr>
        <w:t> </w:t>
      </w:r>
      <w:r>
        <w:rPr>
          <w:spacing w:val="-66"/>
        </w:rPr>
      </w:r>
      <w:r>
        <w:rPr>
          <w:spacing w:val="-2"/>
        </w:rPr>
        <w:t>债表日，以对可行权权益工具数量的最佳估计为基础，按照权益工具授予日的公允价值，将当期取得的服务计入相关成本或</w:t>
      </w:r>
      <w:r>
        <w:rPr>
          <w:spacing w:val="-66"/>
        </w:rPr>
        <w:t> </w:t>
      </w:r>
      <w:r>
        <w:rPr>
          <w:spacing w:val="-66"/>
        </w:rPr>
      </w:r>
      <w:r>
        <w:rPr/>
        <w:t>费用和资本公积。在可行权日之后不再对已确认的相关成本或费用和所有者权益总额进行调整。</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以现金结算的股份支付，按照本公司承担的以股份或其他权益工具为基础计算确定的负债的公允价值计量。授予后立即可行</w:t>
      </w:r>
      <w:r>
        <w:rPr>
          <w:spacing w:val="-64"/>
        </w:rPr>
        <w:t> </w:t>
      </w:r>
      <w:r>
        <w:rPr>
          <w:spacing w:val="-64"/>
        </w:rPr>
      </w:r>
      <w:r>
        <w:rPr>
          <w:spacing w:val="-2"/>
        </w:rPr>
        <w:t>权的，在授予日以本公司承担负债的公允价值计入相关成本或费用，相应增加负债。在完成等待期内的服务或达到规定业绩</w:t>
      </w:r>
      <w:r>
        <w:rPr>
          <w:spacing w:val="-66"/>
        </w:rPr>
        <w:t> </w:t>
      </w:r>
      <w:r>
        <w:rPr>
          <w:spacing w:val="-66"/>
        </w:rPr>
      </w:r>
      <w:r>
        <w:rPr>
          <w:spacing w:val="-2"/>
        </w:rPr>
        <w:t>条件以后才可行权的以现金结算的股份支付，在等待期内的每个资产负债表日，以对可行权情况的最佳估计为基础，按照本</w:t>
      </w:r>
      <w:r>
        <w:rPr>
          <w:spacing w:val="-66"/>
        </w:rPr>
        <w:t> </w:t>
      </w:r>
      <w:r>
        <w:rPr>
          <w:spacing w:val="-66"/>
        </w:rPr>
      </w:r>
      <w:r>
        <w:rPr>
          <w:spacing w:val="-2"/>
        </w:rPr>
        <w:t>公司承担负债的公允价值金额，将当期取得的服务计入成本或费用和相应的负债。在相关负债结算前的每个资产负债表日以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w:t>
      </w:r>
    </w:p>
    <w:p>
      <w:pPr>
        <w:spacing w:line="240" w:lineRule="auto" w:before="12"/>
        <w:rPr>
          <w:rFonts w:ascii="宋体" w:hAnsi="宋体" w:cs="宋体" w:eastAsia="宋体" w:hint="default"/>
          <w:sz w:val="17"/>
          <w:szCs w:val="17"/>
        </w:rPr>
      </w:pPr>
    </w:p>
    <w:p>
      <w:pPr>
        <w:pStyle w:val="BodyText"/>
        <w:spacing w:line="319" w:lineRule="auto"/>
        <w:ind w:right="1130"/>
        <w:jc w:val="both"/>
      </w:pPr>
      <w:r>
        <w:rPr>
          <w:spacing w:val="-2"/>
        </w:rPr>
        <w:t>本公司对股份支付计划进行修改时，若修改增加了所授予权益工具的公允价值，按照权益工具公允价值的增加相应地确认取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6"/>
        </w:rPr>
        <w:t> </w:t>
      </w:r>
      <w:r>
        <w:rPr>
          <w:spacing w:val="-66"/>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6"/>
        </w:rPr>
        <w:t> </w:t>
      </w:r>
      <w:r>
        <w:rPr>
          <w:spacing w:val="-66"/>
        </w:rPr>
      </w:r>
      <w:r>
        <w:rPr/>
        <w:t>非本公司取消了部分或全部已授予的权益工具。</w:t>
      </w:r>
    </w:p>
    <w:p>
      <w:pPr>
        <w:spacing w:line="240" w:lineRule="auto" w:before="11"/>
        <w:rPr>
          <w:rFonts w:ascii="宋体" w:hAnsi="宋体" w:cs="宋体" w:eastAsia="宋体" w:hint="default"/>
          <w:sz w:val="17"/>
          <w:szCs w:val="17"/>
        </w:rPr>
      </w:pPr>
    </w:p>
    <w:p>
      <w:pPr>
        <w:pStyle w:val="BodyText"/>
        <w:spacing w:line="316" w:lineRule="auto"/>
        <w:ind w:right="1130"/>
        <w:jc w:val="both"/>
      </w:pPr>
      <w:r>
        <w:rPr>
          <w:spacing w:val="-2"/>
        </w:rPr>
        <w:t>在等待期内，如果取消了授予的权益工具（因未满足可行权条件的非市场条件而被取消的除外），本公司对取消所授予的权</w:t>
      </w:r>
      <w:r>
        <w:rPr>
          <w:spacing w:val="-65"/>
        </w:rPr>
        <w:t> </w:t>
      </w:r>
      <w:r>
        <w:rPr>
          <w:spacing w:val="-65"/>
        </w:rPr>
      </w:r>
      <w:r>
        <w:rPr>
          <w:spacing w:val="-2"/>
        </w:rPr>
        <w:t>益性工具作为加速行权处理，将剩余等待期内应确认的金额立即计入当期损益，同时确认资本公积。职工或其他方能够选择</w:t>
      </w:r>
      <w:r>
        <w:rPr>
          <w:spacing w:val="-66"/>
        </w:rPr>
        <w:t> </w:t>
      </w:r>
      <w:r>
        <w:rPr>
          <w:spacing w:val="-66"/>
        </w:rPr>
      </w:r>
      <w:r>
        <w:rPr/>
        <w:t>满足非可行权条件但在等待期内未满足的，本公司将其作为授予权益工具的取消处理。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27、优先股、永续债等其他金融工具" w:id="215"/>
      <w:bookmarkEnd w:id="21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8、收入" w:id="216"/>
      <w:bookmarkEnd w:id="21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right="0"/>
        <w:jc w:val="both"/>
      </w:pPr>
      <w:r>
        <w:rPr/>
        <w:t>（</w:t>
      </w:r>
      <w:r>
        <w:rPr>
          <w:rFonts w:ascii="Times New Roman" w:hAnsi="Times New Roman" w:cs="Times New Roman" w:eastAsia="Times New Roman" w:hint="default"/>
        </w:rPr>
        <w:t>1</w:t>
      </w:r>
      <w:r>
        <w:rPr/>
        <w:t>）一般原则</w:t>
      </w:r>
    </w:p>
    <w:p>
      <w:pPr>
        <w:spacing w:line="240" w:lineRule="auto" w:before="4"/>
        <w:rPr>
          <w:rFonts w:ascii="宋体" w:hAnsi="宋体" w:cs="宋体" w:eastAsia="宋体" w:hint="default"/>
          <w:sz w:val="21"/>
          <w:szCs w:val="21"/>
        </w:rPr>
      </w:pPr>
    </w:p>
    <w:p>
      <w:pPr>
        <w:pStyle w:val="BodyText"/>
        <w:spacing w:line="240" w:lineRule="auto"/>
        <w:ind w:right="0"/>
        <w:jc w:val="both"/>
      </w:pPr>
      <w:r>
        <w:rPr/>
        <w:t>①销售商品</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r>
        <w:rPr>
          <w:spacing w:val="-66"/>
        </w:rPr>
        <w:t> </w:t>
      </w:r>
      <w:r>
        <w:rPr>
          <w:spacing w:val="-66"/>
        </w:rPr>
      </w:r>
      <w:r>
        <w:rPr/>
        <w:t>时，确认商品销售收入的实现。</w:t>
      </w:r>
    </w:p>
    <w:p>
      <w:pPr>
        <w:spacing w:line="240" w:lineRule="auto" w:before="12"/>
        <w:rPr>
          <w:rFonts w:ascii="宋体" w:hAnsi="宋体" w:cs="宋体" w:eastAsia="宋体" w:hint="default"/>
          <w:sz w:val="17"/>
          <w:szCs w:val="17"/>
        </w:rPr>
      </w:pPr>
    </w:p>
    <w:p>
      <w:pPr>
        <w:pStyle w:val="BodyText"/>
        <w:spacing w:line="240" w:lineRule="auto"/>
        <w:ind w:right="0"/>
        <w:jc w:val="both"/>
      </w:pPr>
      <w:r>
        <w:rPr/>
        <w:t>②提供劳务</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对在提供劳务交易的结果能够可靠估计的情况下，本公司于资产负债表日按完工百分比法确认收入。</w:t>
      </w:r>
    </w:p>
    <w:p>
      <w:pPr>
        <w:pStyle w:val="BodyText"/>
        <w:spacing w:line="528" w:lineRule="exact" w:before="80"/>
        <w:ind w:right="0"/>
        <w:jc w:val="left"/>
      </w:pPr>
      <w:r>
        <w:rPr/>
        <w:t>劳务交易的完工进度按已经发生的劳务成本占估计总成本的比例确定。 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w:t>
      </w:r>
    </w:p>
    <w:p>
      <w:pPr>
        <w:pStyle w:val="BodyText"/>
        <w:spacing w:line="246" w:lineRule="exact"/>
        <w:ind w:right="0"/>
        <w:jc w:val="left"/>
      </w:pP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如果提供劳务交易的结果不能够可靠估计，则按已经发生并预计能够得到补偿的劳务成本金额确认提供的劳务收入，并将已</w:t>
      </w:r>
      <w:r>
        <w:rPr>
          <w:spacing w:val="-63"/>
        </w:rPr>
        <w:t> </w:t>
      </w:r>
      <w:r>
        <w:rPr>
          <w:spacing w:val="-63"/>
        </w:rPr>
      </w:r>
      <w:r>
        <w:rPr/>
        <w:t>发生的劳务成本作为当期费用。已经发生的劳务成本如预计不能得到补偿的，则不确认收入。</w:t>
      </w:r>
    </w:p>
    <w:p>
      <w:pPr>
        <w:spacing w:line="240" w:lineRule="auto" w:before="12"/>
        <w:rPr>
          <w:rFonts w:ascii="宋体" w:hAnsi="宋体" w:cs="宋体" w:eastAsia="宋体" w:hint="default"/>
          <w:sz w:val="17"/>
          <w:szCs w:val="17"/>
        </w:rPr>
      </w:pPr>
    </w:p>
    <w:p>
      <w:pPr>
        <w:pStyle w:val="BodyText"/>
        <w:spacing w:line="537" w:lineRule="auto"/>
        <w:ind w:right="3192"/>
        <w:jc w:val="left"/>
      </w:pPr>
      <w:r>
        <w:rPr/>
        <w:t>③让渡资产使用权 与资产使用权让渡相关的经济利益能够流入及收入的金额能够可靠地计量时，本公司确认收入。</w:t>
      </w:r>
    </w:p>
    <w:p>
      <w:pPr>
        <w:pStyle w:val="BodyText"/>
        <w:spacing w:line="537" w:lineRule="auto" w:before="69"/>
        <w:ind w:right="6972"/>
        <w:jc w:val="left"/>
      </w:pPr>
      <w:r>
        <w:rPr/>
        <w:t>④使用费收入 根据有关合同或协议，按权责发生制确认收入。</w:t>
      </w:r>
    </w:p>
    <w:p>
      <w:pPr>
        <w:pStyle w:val="BodyText"/>
        <w:spacing w:line="537" w:lineRule="auto" w:before="69"/>
        <w:ind w:right="6072"/>
        <w:jc w:val="left"/>
      </w:pPr>
      <w:r>
        <w:rPr/>
        <w:t>⑤利息收入 按照他人使用本公司货币资金的时间和实际利率计算确定。</w:t>
      </w:r>
    </w:p>
    <w:p>
      <w:pPr>
        <w:pStyle w:val="BodyText"/>
        <w:spacing w:line="508" w:lineRule="auto" w:before="69"/>
        <w:ind w:right="8052"/>
        <w:jc w:val="left"/>
      </w:pPr>
      <w:r>
        <w:rPr/>
        <w:t>（</w:t>
      </w:r>
      <w:r>
        <w:rPr>
          <w:rFonts w:ascii="Times New Roman" w:hAnsi="Times New Roman" w:cs="Times New Roman" w:eastAsia="Times New Roman" w:hint="default"/>
        </w:rPr>
        <w:t>2</w:t>
      </w:r>
      <w:r>
        <w:rPr/>
        <w:t>）具体方法 本公司收入确认的具体方法如下：</w:t>
      </w:r>
    </w:p>
    <w:p>
      <w:pPr>
        <w:pStyle w:val="BodyText"/>
        <w:spacing w:line="240" w:lineRule="auto" w:before="91"/>
        <w:ind w:right="0"/>
        <w:jc w:val="left"/>
      </w:pPr>
      <w:r>
        <w:rPr/>
        <w:t>①互联网媒体业务</w:t>
      </w:r>
    </w:p>
    <w:p>
      <w:pPr>
        <w:spacing w:line="240" w:lineRule="auto" w:before="5"/>
        <w:rPr>
          <w:rFonts w:ascii="宋体" w:hAnsi="宋体" w:cs="宋体" w:eastAsia="宋体" w:hint="default"/>
          <w:sz w:val="22"/>
          <w:szCs w:val="22"/>
        </w:rPr>
      </w:pPr>
    </w:p>
    <w:p>
      <w:pPr>
        <w:pStyle w:val="BodyText"/>
        <w:spacing w:line="316" w:lineRule="auto"/>
        <w:ind w:right="1032"/>
        <w:jc w:val="left"/>
      </w:pPr>
      <w:r>
        <w:rPr/>
        <w:t>本公司依托自有流量和技术平台提供广告投放及互联网应用分发服务，营业收入基于广告实际投放量及互联网应用分发量， </w:t>
      </w:r>
      <w:r>
        <w:rPr>
          <w:spacing w:val="-2"/>
        </w:rPr>
        <w:t>按照合同约定的计算方式（通常包括点击、下载、激活、展示等）经与客户（广告主或代理商）核对后，依据双方确认的结</w:t>
      </w:r>
      <w:r>
        <w:rPr>
          <w:spacing w:val="-67"/>
        </w:rPr>
        <w:t> </w:t>
      </w:r>
      <w:r>
        <w:rPr>
          <w:spacing w:val="-67"/>
        </w:rPr>
      </w:r>
      <w:r>
        <w:rPr>
          <w:spacing w:val="-2"/>
        </w:rPr>
        <w:t>算单确认收入；营业成本按合同约定的结算方式（通常包括分成、点击、下载、激活、展示等）经与媒体核对后，依据双方</w:t>
      </w:r>
      <w:r>
        <w:rPr>
          <w:spacing w:val="-67"/>
        </w:rPr>
        <w:t> </w:t>
      </w:r>
      <w:r>
        <w:rPr>
          <w:spacing w:val="-67"/>
        </w:rPr>
      </w:r>
      <w:r>
        <w:rPr/>
        <w:t>确认的结算金额确认成本。</w:t>
      </w:r>
    </w:p>
    <w:p>
      <w:pPr>
        <w:spacing w:line="240" w:lineRule="auto" w:before="12"/>
        <w:rPr>
          <w:rFonts w:ascii="宋体" w:hAnsi="宋体" w:cs="宋体" w:eastAsia="宋体" w:hint="default"/>
          <w:sz w:val="17"/>
          <w:szCs w:val="17"/>
        </w:rPr>
      </w:pPr>
    </w:p>
    <w:p>
      <w:pPr>
        <w:pStyle w:val="BodyText"/>
        <w:spacing w:line="240" w:lineRule="auto"/>
        <w:ind w:right="0"/>
        <w:jc w:val="left"/>
      </w:pPr>
      <w:r>
        <w:rPr/>
        <w:t>②数字营销业务</w:t>
      </w:r>
    </w:p>
    <w:p>
      <w:pPr>
        <w:spacing w:line="240" w:lineRule="auto" w:before="5"/>
        <w:rPr>
          <w:rFonts w:ascii="宋体" w:hAnsi="宋体" w:cs="宋体" w:eastAsia="宋体" w:hint="default"/>
          <w:sz w:val="22"/>
          <w:szCs w:val="22"/>
        </w:rPr>
      </w:pPr>
    </w:p>
    <w:p>
      <w:pPr>
        <w:pStyle w:val="BodyText"/>
        <w:spacing w:line="316" w:lineRule="auto"/>
        <w:ind w:right="1032"/>
        <w:jc w:val="left"/>
      </w:pPr>
      <w:r>
        <w:rPr>
          <w:spacing w:val="-2"/>
        </w:rPr>
        <w:t>本公司提供广告投放代理服务，本公司分别与媒体和客户核对该媒体的广告有效投放量，并结合合同条款预估媒体返点和客</w:t>
      </w:r>
      <w:r>
        <w:rPr>
          <w:spacing w:val="-64"/>
        </w:rPr>
        <w:t> </w:t>
      </w:r>
      <w:r>
        <w:rPr>
          <w:spacing w:val="-64"/>
        </w:rPr>
      </w:r>
      <w:r>
        <w:rPr/>
        <w:t>户返点。根据合同的约定，需经双方确认具体结算数量的，以结算数量乘以合同中约定的单价确认收入；固定费用结算的， 按照公司已提供服务并经客户确认的进度确认收入。涉及商业折扣的，按照扣除商业折扣后的金额确认收入。</w:t>
      </w:r>
    </w:p>
    <w:p>
      <w:pPr>
        <w:spacing w:line="240" w:lineRule="auto" w:before="12"/>
        <w:rPr>
          <w:rFonts w:ascii="宋体" w:hAnsi="宋体" w:cs="宋体" w:eastAsia="宋体" w:hint="default"/>
          <w:sz w:val="17"/>
          <w:szCs w:val="17"/>
        </w:rPr>
      </w:pPr>
    </w:p>
    <w:p>
      <w:pPr>
        <w:pStyle w:val="BodyText"/>
        <w:spacing w:line="537" w:lineRule="auto"/>
        <w:ind w:right="9492"/>
        <w:jc w:val="left"/>
      </w:pPr>
      <w:r>
        <w:rPr/>
        <w:t>③其他业务 互联网游戏业务</w:t>
      </w:r>
    </w:p>
    <w:p>
      <w:pPr>
        <w:pStyle w:val="BodyText"/>
        <w:spacing w:line="316" w:lineRule="auto" w:before="69"/>
        <w:ind w:right="1050"/>
        <w:jc w:val="both"/>
      </w:pPr>
      <w:r>
        <w:rPr>
          <w:spacing w:val="-2"/>
        </w:rPr>
        <w:t>自主运营模式下的游戏服务收入，公司通过自主研发获得网络游戏产品的经营权后，利用其自有游戏平台发布并运营游戏产</w:t>
      </w:r>
      <w:r>
        <w:rPr>
          <w:spacing w:val="-64"/>
        </w:rPr>
        <w:t> </w:t>
      </w:r>
      <w:r>
        <w:rPr>
          <w:spacing w:val="-64"/>
        </w:rPr>
      </w:r>
      <w:r>
        <w:rPr>
          <w:spacing w:val="-2"/>
        </w:rPr>
        <w:t>品，全面负责游戏产品的推广、客户服务、技术支持和维护等工作。游戏玩家直接在上述平台注册并进入游戏，通过对游戏</w:t>
      </w:r>
      <w:r>
        <w:rPr>
          <w:spacing w:val="-66"/>
        </w:rPr>
        <w:t> </w:t>
      </w:r>
      <w:r>
        <w:rPr>
          <w:spacing w:val="-66"/>
        </w:rPr>
      </w:r>
      <w:r>
        <w:rPr/>
        <w:t>充值获得游戏内的虚拟货币，使用虚拟货币进行游戏道具的购买，公司将游戏玩家实际充值并消费的金额确认为营业收入。</w:t>
      </w:r>
    </w:p>
    <w:p>
      <w:pPr>
        <w:spacing w:line="240" w:lineRule="auto" w:before="13"/>
        <w:rPr>
          <w:rFonts w:ascii="宋体" w:hAnsi="宋体" w:cs="宋体" w:eastAsia="宋体" w:hint="default"/>
          <w:sz w:val="17"/>
          <w:szCs w:val="17"/>
        </w:rPr>
      </w:pPr>
    </w:p>
    <w:p>
      <w:pPr>
        <w:pStyle w:val="BodyText"/>
        <w:spacing w:line="316" w:lineRule="auto"/>
        <w:ind w:right="1131"/>
        <w:jc w:val="both"/>
      </w:pPr>
      <w:r>
        <w:rPr>
          <w:spacing w:val="-2"/>
        </w:rPr>
        <w:t>联合运营模式下的游戏服务收入，联合运营模式指将网络游戏产品与第三方游戏平台公司进行合作，共同联合运营的一种网</w:t>
      </w:r>
      <w:r>
        <w:rPr>
          <w:spacing w:val="-64"/>
        </w:rPr>
        <w:t> </w:t>
      </w:r>
      <w:r>
        <w:rPr>
          <w:spacing w:val="-64"/>
        </w:rPr>
      </w:r>
      <w:r>
        <w:rPr>
          <w:spacing w:val="-2"/>
        </w:rPr>
        <w:t>络游戏运营方式。游戏玩家需要注册成为第三方游戏平台公司的用户，在第三方平台公司的充值系统中进行充值从而获得虚</w:t>
      </w:r>
      <w:r>
        <w:rPr>
          <w:spacing w:val="-64"/>
        </w:rPr>
        <w:t> </w:t>
      </w:r>
      <w:r>
        <w:rPr>
          <w:spacing w:val="-64"/>
        </w:rPr>
      </w:r>
      <w:r>
        <w:rPr>
          <w:spacing w:val="-2"/>
        </w:rPr>
        <w:t>拟货币后，再在游戏中购买虚拟道具。在联合运营模式下，通常第三方游戏平台公司负责网络游戏平台的提供和推广、充值</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服务以及计费系统的管理，公司负责游戏版本的更新及技术支持和维护，并提供客户服务。公司同时与多个游戏平台公司合</w:t>
      </w:r>
      <w:r>
        <w:rPr>
          <w:spacing w:val="-66"/>
        </w:rPr>
        <w:t> </w:t>
      </w:r>
      <w:r>
        <w:rPr>
          <w:spacing w:val="-66"/>
        </w:rPr>
      </w:r>
      <w:r>
        <w:rPr>
          <w:spacing w:val="-2"/>
        </w:rPr>
        <w:t>作，这些平台的折扣力度各不相同，公司无法追踪这些玩家在平台实际支付的金额，公司按照与第三方游戏平台公司合作协</w:t>
      </w:r>
      <w:r>
        <w:rPr>
          <w:spacing w:val="-66"/>
        </w:rPr>
        <w:t> </w:t>
      </w:r>
      <w:r>
        <w:rPr>
          <w:spacing w:val="-66"/>
        </w:rPr>
      </w:r>
      <w:r>
        <w:rPr/>
        <w:t>议所计算的分成金额确认收入。</w:t>
      </w:r>
    </w:p>
    <w:p>
      <w:pPr>
        <w:spacing w:line="240" w:lineRule="auto" w:before="13"/>
        <w:rPr>
          <w:rFonts w:ascii="宋体" w:hAnsi="宋体" w:cs="宋体" w:eastAsia="宋体" w:hint="default"/>
          <w:sz w:val="17"/>
          <w:szCs w:val="17"/>
        </w:rPr>
      </w:pPr>
    </w:p>
    <w:p>
      <w:pPr>
        <w:pStyle w:val="BodyText"/>
        <w:spacing w:line="537" w:lineRule="auto"/>
        <w:ind w:right="8052"/>
        <w:jc w:val="left"/>
      </w:pPr>
      <w:r>
        <w:rPr/>
        <w:t>互联网金融业务 利息收入，按照实际利率法确认。</w:t>
      </w:r>
    </w:p>
    <w:p>
      <w:pPr>
        <w:pStyle w:val="BodyText"/>
        <w:spacing w:line="316" w:lineRule="auto" w:before="69"/>
        <w:ind w:right="1131"/>
        <w:jc w:val="both"/>
      </w:pPr>
      <w:r>
        <w:rPr>
          <w:spacing w:val="-2"/>
        </w:rPr>
        <w:t>实际利率法，是指按照金融资产或金融负债的实际利率计算其摊余成本及各期利息收入或利息支出的方法。实际利率，是指</w:t>
      </w:r>
      <w:r>
        <w:rPr>
          <w:spacing w:val="-66"/>
        </w:rPr>
        <w:t> </w:t>
      </w:r>
      <w:r>
        <w:rPr>
          <w:spacing w:val="-66"/>
        </w:rPr>
      </w:r>
      <w:r>
        <w:rPr>
          <w:spacing w:val="-2"/>
        </w:rPr>
        <w:t>将金融资产或金融负债在预期存续期间或适用的更短期间内的未来现金流量，折现为该金融资产或金融负债当前账面价值所</w:t>
      </w:r>
      <w:r>
        <w:rPr>
          <w:spacing w:val="-64"/>
        </w:rPr>
        <w:t> </w:t>
      </w:r>
      <w:r>
        <w:rPr>
          <w:spacing w:val="-64"/>
        </w:rPr>
      </w:r>
      <w:r>
        <w:rPr>
          <w:spacing w:val="-2"/>
        </w:rPr>
        <w:t>使用的利率。在确定实际利率时，本公司在考虑金融资产或金融负债所有合同条款的基础上预计未来现金流量，但不考虑未</w:t>
      </w:r>
      <w:r>
        <w:rPr>
          <w:spacing w:val="-66"/>
        </w:rPr>
        <w:t> </w:t>
      </w:r>
      <w:r>
        <w:rPr>
          <w:spacing w:val="-66"/>
        </w:rPr>
      </w:r>
      <w:r>
        <w:rPr>
          <w:spacing w:val="-2"/>
        </w:rPr>
        <w:t>来信用损失。本公司支付或收取的、属于实际利率组成部分的各项收费、交易费用及溢价或折价等，在确定实际利率时予以</w:t>
      </w:r>
      <w:r>
        <w:rPr>
          <w:spacing w:val="-66"/>
        </w:rPr>
        <w:t> </w:t>
      </w:r>
      <w:r>
        <w:rPr>
          <w:spacing w:val="-66"/>
        </w:rPr>
      </w:r>
      <w:r>
        <w:rPr/>
        <w:t>考虑。</w:t>
      </w:r>
    </w:p>
    <w:p>
      <w:pPr>
        <w:spacing w:line="240" w:lineRule="auto" w:before="12"/>
        <w:rPr>
          <w:rFonts w:ascii="宋体" w:hAnsi="宋体" w:cs="宋体" w:eastAsia="宋体" w:hint="default"/>
          <w:sz w:val="17"/>
          <w:szCs w:val="17"/>
        </w:rPr>
      </w:pPr>
    </w:p>
    <w:p>
      <w:pPr>
        <w:pStyle w:val="BodyText"/>
        <w:spacing w:line="537" w:lineRule="auto"/>
        <w:ind w:right="1572"/>
        <w:jc w:val="left"/>
      </w:pPr>
      <w:r>
        <w:rPr/>
        <w:t>金融资产发生减值后，利息收入应当按照确定减值损失时对未来现金流量进行折现采用的折现率作为利率计算确认。 手续费及佣金收入，按权责发生制原则在提供相关服务时确认。</w:t>
      </w:r>
    </w:p>
    <w:p>
      <w:pPr>
        <w:pStyle w:val="BodyText"/>
        <w:spacing w:line="537" w:lineRule="auto" w:before="69"/>
        <w:ind w:right="5172"/>
        <w:jc w:val="left"/>
      </w:pPr>
      <w:r>
        <w:rPr/>
        <w:t>新零售销售业务 代销收入，本公司在收到代销清单且商品被终端客户签收时确认收入。</w:t>
      </w:r>
    </w:p>
    <w:p>
      <w:pPr>
        <w:pStyle w:val="BodyText"/>
        <w:spacing w:line="240" w:lineRule="auto" w:before="69"/>
        <w:ind w:right="0"/>
        <w:jc w:val="both"/>
      </w:pPr>
      <w:r>
        <w:rPr/>
        <w:t>包销收入，本公司在商品经过经销商验收合格并取得经销商出具的商品采购入库单时确认收入。</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9、政府补助" w:id="217"/>
      <w:bookmarkEnd w:id="21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政府补助在满足政府补助所附条件并能够收到时确认。</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对于货币性资产的政府补助，按照收到或应收的金额计量。对于非货币性资产的政府补助，按照公允价值计量；公允价值不</w:t>
      </w:r>
      <w:r>
        <w:rPr>
          <w:spacing w:val="-66"/>
        </w:rPr>
        <w:t> </w:t>
      </w:r>
      <w:r>
        <w:rPr>
          <w:spacing w:val="-66"/>
        </w:rPr>
      </w:r>
      <w:r>
        <w:rPr/>
        <w:t>能够可靠取得的，按照名义金额</w:t>
      </w:r>
      <w:r>
        <w:rPr>
          <w:rFonts w:ascii="Times New Roman" w:hAnsi="Times New Roman" w:cs="Times New Roman" w:eastAsia="Times New Roman" w:hint="default"/>
        </w:rPr>
        <w:t>1</w:t>
      </w:r>
      <w:r>
        <w:rPr/>
        <w:t>元计量。</w:t>
      </w:r>
    </w:p>
    <w:p>
      <w:pPr>
        <w:spacing w:line="240" w:lineRule="auto" w:before="6"/>
        <w:rPr>
          <w:rFonts w:ascii="宋体" w:hAnsi="宋体" w:cs="宋体" w:eastAsia="宋体" w:hint="default"/>
          <w:sz w:val="16"/>
          <w:szCs w:val="16"/>
        </w:rPr>
      </w:pPr>
    </w:p>
    <w:p>
      <w:pPr>
        <w:pStyle w:val="BodyText"/>
        <w:spacing w:line="316" w:lineRule="auto"/>
        <w:ind w:right="1043"/>
        <w:jc w:val="both"/>
      </w:pPr>
      <w:r>
        <w:rPr>
          <w:spacing w:val="-2"/>
        </w:rPr>
        <w:t>与资产相关的政府补助，是指本公司取得的、用于购建或以其他方式形成长期资产的政府补助；除此之外，作为与收益相关</w:t>
      </w:r>
      <w:r>
        <w:rPr>
          <w:spacing w:val="-66"/>
        </w:rPr>
        <w:t> </w:t>
      </w:r>
      <w:r>
        <w:rPr>
          <w:spacing w:val="-66"/>
        </w:rPr>
      </w:r>
      <w:r>
        <w:rPr/>
        <w:t>的政府补助。</w:t>
      </w:r>
    </w:p>
    <w:p>
      <w:pPr>
        <w:spacing w:line="240" w:lineRule="auto" w:before="12"/>
        <w:rPr>
          <w:rFonts w:ascii="宋体" w:hAnsi="宋体" w:cs="宋体" w:eastAsia="宋体" w:hint="default"/>
          <w:sz w:val="17"/>
          <w:szCs w:val="17"/>
        </w:rPr>
      </w:pPr>
    </w:p>
    <w:p>
      <w:pPr>
        <w:pStyle w:val="BodyText"/>
        <w:spacing w:line="316" w:lineRule="auto"/>
        <w:ind w:right="1043"/>
        <w:jc w:val="both"/>
      </w:pP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与资产相关的政府补助，确认为递延收益在相关资产使用期限内按照合理、系统的方法分期计入损益。与收益相关的政府补</w:t>
      </w:r>
      <w:r>
        <w:rPr>
          <w:spacing w:val="-66"/>
        </w:rPr>
        <w:t> </w:t>
      </w:r>
      <w:r>
        <w:rPr>
          <w:spacing w:val="-66"/>
        </w:rPr>
      </w:r>
      <w:r>
        <w:rPr>
          <w:spacing w:val="-2"/>
        </w:rPr>
        <w:t>助，用于补偿已发生的相关成本费用或损失的，计入当期损益；用于补偿以后期间的相关成本费用或损失的，则计入递延收</w:t>
      </w:r>
      <w:r>
        <w:rPr>
          <w:spacing w:val="-66"/>
        </w:rPr>
        <w:t> </w:t>
      </w:r>
      <w:r>
        <w:rPr>
          <w:spacing w:val="-66"/>
        </w:rPr>
      </w:r>
      <w:r>
        <w:rPr>
          <w:spacing w:val="-2"/>
        </w:rPr>
        <w:t>益，于相关成本费用或损失确认期间计入当期损益。按照名义金额计量的政府补助，直接计入当期损益。本公司对相同或类</w:t>
      </w:r>
      <w:r>
        <w:rPr>
          <w:spacing w:val="-66"/>
        </w:rPr>
        <w:t> </w:t>
      </w:r>
      <w:r>
        <w:rPr>
          <w:spacing w:val="-66"/>
        </w:rPr>
      </w:r>
      <w:r>
        <w:rPr/>
        <w:t>似的政府补助业务，采用一致的方法处理。</w:t>
      </w:r>
    </w:p>
    <w:p>
      <w:pPr>
        <w:spacing w:line="240" w:lineRule="auto" w:before="12"/>
        <w:rPr>
          <w:rFonts w:ascii="宋体" w:hAnsi="宋体" w:cs="宋体" w:eastAsia="宋体" w:hint="default"/>
          <w:sz w:val="17"/>
          <w:szCs w:val="17"/>
        </w:rPr>
      </w:pPr>
    </w:p>
    <w:p>
      <w:pPr>
        <w:pStyle w:val="BodyText"/>
        <w:spacing w:line="240" w:lineRule="auto"/>
        <w:ind w:right="0"/>
        <w:jc w:val="both"/>
      </w:pPr>
      <w:r>
        <w:rPr/>
        <w:t>与日常活动相关的政府补助，按照经济业务实质，计入其他收益。与日常活动无关的政府补助，计入营业外收支。</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已确认的政府补助需要返还时，存在相关递延收益余额的，冲减相关递延收益账面余额，超出部分计入当期损益；属于其他</w:t>
      </w:r>
      <w:r>
        <w:rPr>
          <w:spacing w:val="-66"/>
        </w:rPr>
        <w:t> </w:t>
      </w:r>
      <w:r>
        <w:rPr>
          <w:spacing w:val="-66"/>
        </w:rPr>
      </w:r>
      <w:r>
        <w:rPr/>
        <w:t>情况的，直接计入当期损益。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0、递延所得税资产/递延所得税负债" w:id="218"/>
      <w:bookmarkEnd w:id="21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jc w:val="both"/>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w:t>
      </w:r>
    </w:p>
    <w:p>
      <w:pPr>
        <w:spacing w:line="240" w:lineRule="auto" w:before="13"/>
        <w:rPr>
          <w:rFonts w:ascii="宋体" w:hAnsi="宋体" w:cs="宋体" w:eastAsia="宋体" w:hint="default"/>
          <w:sz w:val="17"/>
          <w:szCs w:val="17"/>
        </w:rPr>
      </w:pPr>
    </w:p>
    <w:p>
      <w:pPr>
        <w:pStyle w:val="BodyText"/>
        <w:spacing w:line="537" w:lineRule="auto"/>
        <w:ind w:right="1050"/>
        <w:jc w:val="both"/>
      </w:pPr>
      <w:r>
        <w:rPr/>
        <w:t>本公司根据资产、负债于资产负债表日的账面价值与计税基础之间的暂时性差异，采用资产负债表债务法确认递延所得税。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00" w:lineRule="auto" w:before="69"/>
        <w:ind w:right="1131"/>
        <w:jc w:val="both"/>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w:t>
      </w:r>
      <w:r>
        <w:rPr>
          <w:spacing w:val="-83"/>
        </w:rPr>
        <w:t> </w:t>
      </w:r>
      <w:r>
        <w:rPr>
          <w:spacing w:val="-83"/>
        </w:rPr>
      </w:r>
      <w:r>
        <w:rPr/>
        <w:t>既不影响会计利润也不影响应纳税所得额；</w:t>
      </w:r>
    </w:p>
    <w:p>
      <w:pPr>
        <w:spacing w:line="240" w:lineRule="auto" w:before="12"/>
        <w:rPr>
          <w:rFonts w:ascii="宋体" w:hAnsi="宋体" w:cs="宋体" w:eastAsia="宋体" w:hint="default"/>
          <w:sz w:val="18"/>
          <w:szCs w:val="18"/>
        </w:rPr>
      </w:pPr>
    </w:p>
    <w:p>
      <w:pPr>
        <w:pStyle w:val="BodyText"/>
        <w:spacing w:line="300" w:lineRule="auto"/>
        <w:ind w:right="1129"/>
        <w:jc w:val="both"/>
      </w:pPr>
      <w:r>
        <w:rPr/>
        <w:t>（</w:t>
      </w:r>
      <w:r>
        <w:rPr>
          <w:rFonts w:ascii="Times New Roman" w:hAnsi="Times New Roman" w:cs="Times New Roman" w:eastAsia="Times New Roman" w:hint="default"/>
        </w:rPr>
        <w:t>2</w:t>
      </w:r>
      <w:r>
        <w:rPr/>
        <w:t>）对于与子公司及联营企业投资相关的应纳税暂时性差异，该暂时性差异转回的时间能够控制并且该暂时性差异在可预</w:t>
      </w:r>
      <w:r>
        <w:rPr>
          <w:spacing w:val="-81"/>
        </w:rPr>
        <w:t> </w:t>
      </w:r>
      <w:r>
        <w:rPr>
          <w:spacing w:val="-81"/>
        </w:rPr>
      </w:r>
      <w:r>
        <w:rPr/>
        <w:t>见的未来很可能不会转回。</w:t>
      </w:r>
    </w:p>
    <w:p>
      <w:pPr>
        <w:spacing w:line="240" w:lineRule="auto" w:before="12"/>
        <w:rPr>
          <w:rFonts w:ascii="宋体" w:hAnsi="宋体" w:cs="宋体" w:eastAsia="宋体" w:hint="default"/>
          <w:sz w:val="18"/>
          <w:szCs w:val="18"/>
        </w:rPr>
      </w:pPr>
    </w:p>
    <w:p>
      <w:pPr>
        <w:pStyle w:val="BodyText"/>
        <w:spacing w:line="316" w:lineRule="auto"/>
        <w:ind w:right="1132"/>
        <w:jc w:val="both"/>
      </w:pPr>
      <w:r>
        <w:rPr>
          <w:spacing w:val="-2"/>
        </w:rPr>
        <w:t>对于可抵扣暂时性差异、能够结转以后年度的可抵扣亏损和税款抵减，本公司以很可能取得用来抵扣可抵扣暂时性差异、可</w:t>
      </w:r>
      <w:r>
        <w:rPr>
          <w:spacing w:val="-66"/>
        </w:rPr>
        <w:t> </w:t>
      </w:r>
      <w:r>
        <w:rPr>
          <w:spacing w:val="-66"/>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21"/>
          <w:szCs w:val="21"/>
        </w:rPr>
      </w:pPr>
    </w:p>
    <w:p>
      <w:pPr>
        <w:pStyle w:val="BodyText"/>
        <w:spacing w:line="300" w:lineRule="auto"/>
        <w:ind w:right="1131"/>
        <w:jc w:val="both"/>
      </w:pPr>
      <w:r>
        <w:rPr/>
        <w:t>（</w:t>
      </w:r>
      <w:r>
        <w:rPr>
          <w:rFonts w:ascii="Times New Roman" w:hAnsi="Times New Roman" w:cs="Times New Roman" w:eastAsia="Times New Roman" w:hint="default"/>
        </w:rPr>
        <w:t>2</w:t>
      </w:r>
      <w:r>
        <w:rPr/>
        <w:t>）对于与子公司及联营企业投资相关的可抵扣暂时性差异，同时满足下列条件的，确认相应的递延所得税资产：暂时性</w:t>
      </w:r>
      <w:r>
        <w:rPr>
          <w:spacing w:val="-83"/>
        </w:rPr>
        <w:t> </w:t>
      </w:r>
      <w:r>
        <w:rPr>
          <w:spacing w:val="-83"/>
        </w:rPr>
      </w:r>
      <w:r>
        <w:rPr/>
        <w:t>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9" w:lineRule="auto"/>
        <w:ind w:right="1132"/>
        <w:jc w:val="both"/>
      </w:pPr>
      <w:r>
        <w:rPr>
          <w:spacing w:val="-2"/>
        </w:rPr>
        <w:t>于资产负债表日，本公司对递延所得税资产和递延所得税负债，按照预期收回该资产或清偿该负债期间的适用税率计量，并</w:t>
      </w:r>
      <w:r>
        <w:rPr>
          <w:spacing w:val="-66"/>
        </w:rPr>
        <w:t> </w:t>
      </w:r>
      <w:r>
        <w:rPr>
          <w:spacing w:val="-66"/>
        </w:rPr>
      </w:r>
      <w:r>
        <w:rPr/>
        <w:t>反映资产负债表日预期收回资产或清偿负债方式的所得税影响。</w:t>
      </w:r>
    </w:p>
    <w:p>
      <w:pPr>
        <w:spacing w:line="240" w:lineRule="auto" w:before="11"/>
        <w:rPr>
          <w:rFonts w:ascii="宋体" w:hAnsi="宋体" w:cs="宋体" w:eastAsia="宋体" w:hint="default"/>
          <w:sz w:val="17"/>
          <w:szCs w:val="17"/>
        </w:rPr>
      </w:pPr>
    </w:p>
    <w:p>
      <w:pPr>
        <w:pStyle w:val="BodyText"/>
        <w:spacing w:line="316" w:lineRule="auto"/>
        <w:ind w:right="1050"/>
        <w:jc w:val="both"/>
      </w:pPr>
      <w:r>
        <w:rPr>
          <w:spacing w:val="-2"/>
        </w:rPr>
        <w:t>于资产负债表日，本公司对递延所得税资产的账面价值进行复核。如果未来期间很可能无法获得足够的应纳税所得额用以抵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本公司将实质上转移了与资产所有权有关的全部风险和报酬的租赁确认为融资租赁，除融资租赁之外的其他租赁确认为经营</w:t>
      </w:r>
      <w:r>
        <w:rPr>
          <w:spacing w:val="-64"/>
        </w:rPr>
        <w:t> </w:t>
      </w:r>
      <w:r>
        <w:rPr>
          <w:spacing w:val="-64"/>
        </w:rPr>
      </w:r>
      <w:r>
        <w:rPr/>
        <w:t>租赁。</w:t>
      </w:r>
    </w:p>
    <w:p>
      <w:pPr>
        <w:spacing w:line="240" w:lineRule="auto" w:before="12"/>
        <w:rPr>
          <w:rFonts w:ascii="宋体" w:hAnsi="宋体" w:cs="宋体" w:eastAsia="宋体" w:hint="default"/>
          <w:sz w:val="17"/>
          <w:szCs w:val="17"/>
        </w:rPr>
      </w:pPr>
    </w:p>
    <w:p>
      <w:pPr>
        <w:pStyle w:val="BodyText"/>
        <w:spacing w:line="240" w:lineRule="auto"/>
        <w:ind w:right="0"/>
        <w:jc w:val="both"/>
      </w:pPr>
      <w:r>
        <w:rPr/>
        <w:t>本公司作为承租人</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经营租赁中的租金，本公司在租赁期内各个期间按照直线法计入相关资产成本或当期损益；发生的初始直接费用，计入当期</w:t>
      </w:r>
      <w:r>
        <w:rPr>
          <w:spacing w:val="-66"/>
        </w:rPr>
        <w:t> </w:t>
      </w:r>
      <w:r>
        <w:rPr>
          <w:spacing w:val="-66"/>
        </w:rPr>
      </w:r>
      <w:r>
        <w:rPr/>
        <w:t>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本公司将实质上转移了与资产所有权有关的全部风险和报酬的租赁确认为融资租赁，除融资租赁之外的其他租赁确认为经营</w:t>
      </w:r>
      <w:r>
        <w:rPr>
          <w:spacing w:val="-64"/>
        </w:rPr>
        <w:t> </w:t>
      </w:r>
      <w:r>
        <w:rPr>
          <w:spacing w:val="-64"/>
        </w:rPr>
      </w:r>
      <w:r>
        <w:rPr/>
        <w:t>租赁。</w:t>
      </w:r>
    </w:p>
    <w:p>
      <w:pPr>
        <w:spacing w:line="240" w:lineRule="auto" w:before="13"/>
        <w:rPr>
          <w:rFonts w:ascii="宋体" w:hAnsi="宋体" w:cs="宋体" w:eastAsia="宋体" w:hint="default"/>
          <w:sz w:val="17"/>
          <w:szCs w:val="17"/>
        </w:rPr>
      </w:pPr>
    </w:p>
    <w:p>
      <w:pPr>
        <w:pStyle w:val="BodyText"/>
        <w:spacing w:line="240" w:lineRule="auto"/>
        <w:ind w:right="0"/>
        <w:jc w:val="left"/>
      </w:pPr>
      <w:r>
        <w:rPr/>
        <w:t>本公司作为承租人</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融资租赁中，在租赁期开始日本公司将租赁资产公允价值与最低租赁付款额现值两者中较低者作为租入资产的入账价值，将</w:t>
      </w:r>
      <w:r>
        <w:rPr>
          <w:spacing w:val="-64"/>
        </w:rPr>
        <w:t> </w:t>
      </w:r>
      <w:r>
        <w:rPr>
          <w:spacing w:val="-64"/>
        </w:rPr>
      </w:r>
      <w:r>
        <w:rPr>
          <w:spacing w:val="-2"/>
        </w:rPr>
        <w:t>最低租赁付款额作为长期应付款的入账价值，其差额作为未确认融资费用。初始直接费用计入租入资产价值。未确认融资费</w:t>
      </w:r>
      <w:r>
        <w:rPr>
          <w:spacing w:val="-66"/>
        </w:rPr>
        <w:t> </w:t>
      </w:r>
      <w:r>
        <w:rPr>
          <w:spacing w:val="-66"/>
        </w:rPr>
      </w:r>
      <w:r>
        <w:rPr>
          <w:spacing w:val="-2"/>
        </w:rPr>
        <w:t>用在租赁期内各个期间采用实际利率法计算确认当期的融资费用。本公司采用与自有固定资产相一致的折旧政策计提租赁资</w:t>
      </w:r>
      <w:r>
        <w:rPr>
          <w:spacing w:val="-64"/>
        </w:rPr>
        <w:t> </w:t>
      </w:r>
      <w:r>
        <w:rPr>
          <w:spacing w:val="-64"/>
        </w:rPr>
      </w:r>
      <w:r>
        <w:rPr/>
        <w:t>产折旧。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532" w:lineRule="auto"/>
        <w:ind w:right="1392"/>
        <w:jc w:val="left"/>
      </w:pPr>
      <w:bookmarkStart w:name="32、其他重要的会计政策和会计估计" w:id="222"/>
      <w:bookmarkEnd w:id="22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240" w:lineRule="auto" w:before="73"/>
        <w:ind w:right="0"/>
        <w:jc w:val="left"/>
      </w:pPr>
      <w:r>
        <w:rPr/>
        <w:t>（</w:t>
      </w:r>
      <w:r>
        <w:rPr>
          <w:rFonts w:ascii="Times New Roman" w:hAnsi="Times New Roman" w:cs="Times New Roman" w:eastAsia="Times New Roman" w:hint="default"/>
        </w:rPr>
        <w:t>1</w:t>
      </w:r>
      <w:r>
        <w:rPr/>
        <w:t>）资产减值</w:t>
      </w:r>
    </w:p>
    <w:p>
      <w:pPr>
        <w:spacing w:line="240" w:lineRule="auto" w:before="4"/>
        <w:rPr>
          <w:rFonts w:ascii="宋体" w:hAnsi="宋体" w:cs="宋体" w:eastAsia="宋体" w:hint="default"/>
          <w:sz w:val="21"/>
          <w:szCs w:val="21"/>
        </w:rPr>
      </w:pPr>
    </w:p>
    <w:p>
      <w:pPr>
        <w:pStyle w:val="BodyText"/>
        <w:spacing w:line="319" w:lineRule="auto"/>
        <w:ind w:right="1032"/>
        <w:jc w:val="left"/>
      </w:pPr>
      <w:r>
        <w:rPr/>
        <w:t>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w:t>
      </w:r>
    </w:p>
    <w:p>
      <w:pPr>
        <w:spacing w:line="240" w:lineRule="auto" w:before="11"/>
        <w:rPr>
          <w:rFonts w:ascii="宋体" w:hAnsi="宋体" w:cs="宋体" w:eastAsia="宋体" w:hint="default"/>
          <w:sz w:val="17"/>
          <w:szCs w:val="17"/>
        </w:rPr>
      </w:pPr>
    </w:p>
    <w:p>
      <w:pPr>
        <w:pStyle w:val="BodyText"/>
        <w:spacing w:line="316" w:lineRule="auto"/>
        <w:ind w:right="0"/>
        <w:jc w:val="left"/>
      </w:pP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w:t>
      </w:r>
    </w:p>
    <w:p>
      <w:pPr>
        <w:spacing w:line="240" w:lineRule="auto" w:before="12"/>
        <w:rPr>
          <w:rFonts w:ascii="宋体" w:hAnsi="宋体" w:cs="宋体" w:eastAsia="宋体" w:hint="default"/>
          <w:sz w:val="17"/>
          <w:szCs w:val="17"/>
        </w:rPr>
      </w:pPr>
    </w:p>
    <w:p>
      <w:pPr>
        <w:pStyle w:val="BodyText"/>
        <w:spacing w:line="316" w:lineRule="auto"/>
        <w:ind w:right="1028"/>
        <w:jc w:val="left"/>
      </w:pPr>
      <w:r>
        <w:rPr>
          <w:spacing w:val="-4"/>
        </w:rPr>
        <w:t>在预计未来现金流量现值时，需要对该资产（或资产组）售价、相关经营成本以及计算现值时使用的折现率等作出重大判断。</w:t>
      </w:r>
      <w:r>
        <w:rPr>
          <w:spacing w:val="-45"/>
        </w:rPr>
        <w:t> </w:t>
      </w:r>
      <w:r>
        <w:rPr>
          <w:spacing w:val="-45"/>
        </w:rPr>
      </w:r>
      <w:r>
        <w:rPr>
          <w:spacing w:val="-2"/>
        </w:rPr>
        <w:t>本公司在估计可收回金额时会采用所有能够获得的相关资料，包括根据合理和可支持的假设所作出有关售价和相关经营成本</w:t>
      </w:r>
      <w:r>
        <w:rPr>
          <w:spacing w:val="-64"/>
        </w:rPr>
        <w:t> </w:t>
      </w:r>
      <w:r>
        <w:rPr>
          <w:spacing w:val="-64"/>
        </w:rPr>
      </w:r>
      <w:r>
        <w:rPr/>
        <w:t>的预测。</w:t>
      </w:r>
    </w:p>
    <w:p>
      <w:pPr>
        <w:spacing w:line="240" w:lineRule="auto" w:before="12"/>
        <w:rPr>
          <w:rFonts w:ascii="宋体" w:hAnsi="宋体" w:cs="宋体" w:eastAsia="宋体" w:hint="default"/>
          <w:sz w:val="17"/>
          <w:szCs w:val="17"/>
        </w:rPr>
      </w:pPr>
    </w:p>
    <w:p>
      <w:pPr>
        <w:pStyle w:val="BodyText"/>
        <w:spacing w:line="316" w:lineRule="auto"/>
        <w:ind w:right="1132"/>
        <w:jc w:val="both"/>
      </w:pP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4"/>
        </w:rPr>
        <w:t> </w:t>
      </w:r>
      <w:r>
        <w:rPr>
          <w:spacing w:val="-64"/>
        </w:rPr>
      </w:r>
      <w:r>
        <w:rPr/>
        <w:t>未来现金流量的现值。</w:t>
      </w:r>
    </w:p>
    <w:p>
      <w:pPr>
        <w:spacing w:line="240" w:lineRule="auto" w:before="12"/>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2</w:t>
      </w:r>
      <w:r>
        <w:rPr/>
        <w:t>）递延所得税资产</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w:t>
      </w:r>
    </w:p>
    <w:p>
      <w:pPr>
        <w:spacing w:line="240" w:lineRule="auto" w:before="13"/>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3</w:t>
      </w:r>
      <w:r>
        <w:rPr/>
        <w:t>）一般风险准备</w:t>
      </w:r>
    </w:p>
    <w:p>
      <w:pPr>
        <w:spacing w:line="240" w:lineRule="auto" w:before="4"/>
        <w:rPr>
          <w:rFonts w:ascii="宋体" w:hAnsi="宋体" w:cs="宋体" w:eastAsia="宋体" w:hint="default"/>
          <w:sz w:val="21"/>
          <w:szCs w:val="21"/>
        </w:rPr>
      </w:pPr>
    </w:p>
    <w:p>
      <w:pPr>
        <w:pStyle w:val="BodyText"/>
        <w:spacing w:line="316" w:lineRule="auto"/>
        <w:ind w:right="0" w:firstLine="2"/>
        <w:jc w:val="left"/>
      </w:pPr>
      <w:r>
        <w:rPr>
          <w:spacing w:val="-2"/>
        </w:rPr>
        <w:t>一般风险准备是从净利润中计提的、用于部分弥补尚未识别的可能性损失的准备金。本公司运用动态拨备原理，采用标准法</w:t>
      </w:r>
      <w:r>
        <w:rPr>
          <w:spacing w:val="-68"/>
        </w:rPr>
        <w:t> </w:t>
      </w:r>
      <w:r>
        <w:rPr>
          <w:spacing w:val="-68"/>
        </w:rPr>
      </w:r>
      <w:r>
        <w:rPr>
          <w:spacing w:val="-2"/>
        </w:rPr>
        <w:t>对风险资产所面临的风险状况定量分析，确定潜在风险估计值。计算风险资产的潜在风险估计值后，对于潜在风险估计值高</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于资产减值准备的，扣减已计提的资产减值准备，计提一般风险准备。当潜在风险估计值低于资产减值准备时，不计提一般</w:t>
      </w:r>
      <w:r>
        <w:rPr>
          <w:spacing w:val="-66"/>
        </w:rPr>
        <w:t> </w:t>
      </w:r>
      <w:r>
        <w:rPr>
          <w:spacing w:val="-66"/>
        </w:rPr>
      </w:r>
      <w:r>
        <w:rPr/>
        <w:t>风险准备。</w:t>
      </w:r>
    </w:p>
    <w:p>
      <w:pPr>
        <w:pStyle w:val="BodyText"/>
        <w:spacing w:line="309" w:lineRule="auto" w:before="115"/>
        <w:ind w:right="1132"/>
        <w:jc w:val="both"/>
      </w:pPr>
      <w:r>
        <w:rPr>
          <w:spacing w:val="-2"/>
        </w:rPr>
        <w:t>本公司采用标准法确定潜在风险估计值，信贷资产根据金融监管部门的有关规定进行风险分类，标准风险系数暂定为：正常</w:t>
      </w:r>
      <w:r>
        <w:rPr>
          <w:spacing w:val="-66"/>
        </w:rPr>
        <w:t> </w:t>
      </w:r>
      <w:r>
        <w:rPr>
          <w:spacing w:val="-66"/>
        </w:rPr>
      </w:r>
      <w:r>
        <w:rPr/>
        <w:t>类</w:t>
      </w:r>
      <w:r>
        <w:rPr>
          <w:rFonts w:ascii="Times New Roman" w:hAnsi="Times New Roman" w:cs="Times New Roman" w:eastAsia="Times New Roman" w:hint="default"/>
        </w:rPr>
        <w:t>1.5%</w:t>
      </w:r>
      <w:r>
        <w:rPr/>
        <w:t>，关注类</w:t>
      </w:r>
      <w:r>
        <w:rPr>
          <w:rFonts w:ascii="Times New Roman" w:hAnsi="Times New Roman" w:cs="Times New Roman" w:eastAsia="Times New Roman" w:hint="default"/>
        </w:rPr>
        <w:t>3%</w:t>
      </w:r>
      <w:r>
        <w:rPr/>
        <w:t>，次级类</w:t>
      </w:r>
      <w:r>
        <w:rPr>
          <w:rFonts w:ascii="Times New Roman" w:hAnsi="Times New Roman" w:cs="Times New Roman" w:eastAsia="Times New Roman" w:hint="default"/>
        </w:rPr>
        <w:t>30%</w:t>
      </w:r>
      <w:r>
        <w:rPr/>
        <w:t>，可疑类</w:t>
      </w:r>
      <w:r>
        <w:rPr>
          <w:rFonts w:ascii="Times New Roman" w:hAnsi="Times New Roman" w:cs="Times New Roman" w:eastAsia="Times New Roman" w:hint="default"/>
        </w:rPr>
        <w:t>60%</w:t>
      </w:r>
      <w:r>
        <w:rPr/>
        <w:t>，损失类</w:t>
      </w:r>
      <w:r>
        <w:rPr>
          <w:rFonts w:ascii="Times New Roman" w:hAnsi="Times New Roman" w:cs="Times New Roman" w:eastAsia="Times New Roman" w:hint="default"/>
        </w:rPr>
        <w:t>100%</w:t>
      </w:r>
      <w:r>
        <w:rPr/>
        <w:t>。其他风险资产参照信贷资产进行风险分类，采用的标准风险</w:t>
      </w:r>
      <w:r>
        <w:rPr>
          <w:spacing w:val="-74"/>
        </w:rPr>
        <w:t> </w:t>
      </w:r>
      <w:r>
        <w:rPr>
          <w:spacing w:val="-74"/>
        </w:rPr>
      </w:r>
      <w:r>
        <w:rPr/>
        <w:t>系数同上述信贷资产标准风险系数。</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董事会第八届第六次会议决议通过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w:t>
      </w:r>
      <w:r>
        <w:rPr>
          <w:rFonts w:ascii="Times New Roman" w:hAnsi="Times New Roman" w:cs="Times New Roman" w:eastAsia="Times New Roman" w:hint="default"/>
        </w:rPr>
        <w:t>1</w:t>
      </w:r>
      <w:r>
        <w:rPr/>
        <w:t>）重要会计政策变更</w:t>
      </w:r>
    </w:p>
    <w:p>
      <w:pPr>
        <w:spacing w:line="240" w:lineRule="auto" w:before="4"/>
        <w:rPr>
          <w:rFonts w:ascii="宋体" w:hAnsi="宋体" w:cs="宋体" w:eastAsia="宋体" w:hint="default"/>
          <w:sz w:val="21"/>
          <w:szCs w:val="21"/>
        </w:rPr>
      </w:pPr>
    </w:p>
    <w:p>
      <w:pPr>
        <w:pStyle w:val="BodyText"/>
        <w:spacing w:line="300" w:lineRule="auto"/>
        <w:ind w:right="0"/>
        <w:jc w:val="left"/>
      </w:pPr>
      <w:r>
        <w:rPr>
          <w:spacing w:val="-1"/>
        </w:rPr>
        <w:t>①根据财政部《关于修订印发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号），经董事会第八届第六次会议决</w:t>
      </w:r>
      <w:r>
        <w:rPr>
          <w:spacing w:val="-53"/>
        </w:rPr>
        <w:t> </w:t>
      </w:r>
      <w:r>
        <w:rPr>
          <w:spacing w:val="-53"/>
        </w:rPr>
      </w:r>
      <w:r>
        <w:rPr/>
        <w:t>议通过，本公司对财务报表格式进行了以下修订：</w:t>
      </w:r>
    </w:p>
    <w:p>
      <w:pPr>
        <w:spacing w:line="240" w:lineRule="auto" w:before="12"/>
        <w:rPr>
          <w:rFonts w:ascii="宋体" w:hAnsi="宋体" w:cs="宋体" w:eastAsia="宋体" w:hint="default"/>
          <w:sz w:val="18"/>
          <w:szCs w:val="18"/>
        </w:rPr>
      </w:pPr>
    </w:p>
    <w:p>
      <w:pPr>
        <w:pStyle w:val="BodyText"/>
        <w:spacing w:line="508" w:lineRule="auto"/>
        <w:ind w:right="5053"/>
        <w:jc w:val="left"/>
      </w:pPr>
      <w:r>
        <w:rPr>
          <w:rFonts w:ascii="Times New Roman" w:hAnsi="Times New Roman" w:cs="Times New Roman" w:eastAsia="Times New Roman" w:hint="default"/>
        </w:rPr>
        <w:t>A</w:t>
      </w:r>
      <w:r>
        <w:rPr/>
        <w:t>、资产负债表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508" w:lineRule="auto" w:before="55"/>
        <w:ind w:right="7732"/>
        <w:jc w:val="left"/>
      </w:pPr>
      <w:r>
        <w:rPr>
          <w:rFonts w:ascii="Times New Roman" w:hAnsi="Times New Roman" w:cs="Times New Roman" w:eastAsia="Times New Roman" w:hint="default"/>
        </w:rPr>
        <w:t>B</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55"/>
        <w:ind w:right="0"/>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spacing w:line="240" w:lineRule="auto" w:before="4"/>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C</w:t>
      </w:r>
      <w:r>
        <w:rPr/>
        <w:t>、股东权益变动表</w:t>
      </w:r>
    </w:p>
    <w:p>
      <w:pPr>
        <w:spacing w:line="240" w:lineRule="auto" w:before="4"/>
        <w:rPr>
          <w:rFonts w:ascii="宋体" w:hAnsi="宋体" w:cs="宋体" w:eastAsia="宋体" w:hint="default"/>
          <w:sz w:val="21"/>
          <w:szCs w:val="21"/>
        </w:rPr>
      </w:pPr>
    </w:p>
    <w:p>
      <w:pPr>
        <w:pStyle w:val="BodyText"/>
        <w:spacing w:line="300" w:lineRule="auto"/>
        <w:ind w:right="0"/>
        <w:jc w:val="left"/>
      </w:pPr>
      <w:r>
        <w:rPr/>
        <w:t>在</w:t>
      </w:r>
      <w:r>
        <w:rPr>
          <w:rFonts w:ascii="Times New Roman" w:hAnsi="Times New Roman" w:cs="Times New Roman" w:eastAsia="Times New Roman" w:hint="default"/>
        </w:rPr>
        <w:t>“</w:t>
      </w:r>
      <w:r>
        <w:rPr/>
        <w:t>股东权益内部结转</w:t>
      </w:r>
      <w:r>
        <w:rPr>
          <w:rFonts w:ascii="Times New Roman" w:hAnsi="Times New Roman" w:cs="Times New Roman" w:eastAsia="Times New Roman" w:hint="default"/>
        </w:rPr>
        <w:t>”</w:t>
      </w:r>
      <w:r>
        <w:rPr/>
        <w:t>行项目下，将原</w:t>
      </w:r>
      <w:r>
        <w:rPr>
          <w:rFonts w:ascii="Times New Roman" w:hAnsi="Times New Roman" w:cs="Times New Roman" w:eastAsia="Times New Roman" w:hint="default"/>
        </w:rPr>
        <w:t>“</w:t>
      </w:r>
      <w:r>
        <w:rPr/>
        <w:t>结转重新计量设定受益计划净负债或净资产所产生的变动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设定受益计划变动</w:t>
      </w:r>
      <w:r>
        <w:rPr>
          <w:spacing w:val="-45"/>
        </w:rPr>
        <w:t> </w:t>
      </w:r>
      <w:r>
        <w:rPr/>
        <w:t>额结转留存收益</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p>
      <w:pPr>
        <w:pStyle w:val="BodyText"/>
        <w:spacing w:line="240" w:lineRule="auto"/>
        <w:ind w:right="0"/>
        <w:jc w:val="left"/>
      </w:pPr>
      <w:r>
        <w:rPr/>
        <w:t>本公司对可比期间的比较数据按照财会</w:t>
      </w:r>
      <w:r>
        <w:rPr>
          <w:rFonts w:ascii="Times New Roman" w:hAnsi="Times New Roman" w:cs="Times New Roman" w:eastAsia="Times New Roman" w:hint="default"/>
        </w:rPr>
        <w:t>[2018]15</w:t>
      </w:r>
      <w:r>
        <w:rPr/>
        <w:t>号文进行调整。</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财务报表格式的修订对本公司的资产总额、负债总额、净利润、其他综合收益等无影响。</w:t>
      </w:r>
    </w:p>
    <w:p>
      <w:pPr>
        <w:spacing w:line="240" w:lineRule="auto" w:before="5"/>
        <w:rPr>
          <w:rFonts w:ascii="宋体" w:hAnsi="宋体" w:cs="宋体" w:eastAsia="宋体" w:hint="default"/>
          <w:sz w:val="22"/>
          <w:szCs w:val="22"/>
        </w:rPr>
      </w:pPr>
    </w:p>
    <w:p>
      <w:pPr>
        <w:pStyle w:val="BodyText"/>
        <w:spacing w:line="300" w:lineRule="auto"/>
        <w:ind w:right="1043"/>
        <w:jc w:val="both"/>
      </w:pPr>
      <w:r>
        <w:rPr>
          <w:spacing w:val="-2"/>
        </w:rPr>
        <w:t>②根据财政部《关于</w:t>
      </w:r>
      <w:r>
        <w:rPr>
          <w:rFonts w:ascii="Times New Roman" w:hAnsi="Times New Roman" w:cs="Times New Roman" w:eastAsia="Times New Roman" w:hint="default"/>
          <w:spacing w:val="-2"/>
        </w:rPr>
        <w:t>2018</w:t>
      </w:r>
      <w:r>
        <w:rPr>
          <w:spacing w:val="-2"/>
        </w:rPr>
        <w:t>年度一般企业财务报表格式有关问题的解读》，本公司作为个人所得税的扣缴义务人，根据《中华</w:t>
      </w:r>
      <w:r>
        <w:rPr>
          <w:spacing w:val="-62"/>
        </w:rPr>
        <w:t> </w:t>
      </w:r>
      <w:r>
        <w:rPr>
          <w:spacing w:val="-62"/>
        </w:rPr>
      </w:r>
      <w:r>
        <w:rPr/>
        <w:t>人民共和国个人所得税法》收到的扣缴税款手续费在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中填列，对可比期间的比较数据进行调整。本公司可比期间 未发生相关事项，调整金额为零。</w:t>
      </w:r>
    </w:p>
    <w:p>
      <w:pPr>
        <w:spacing w:line="240" w:lineRule="auto" w:before="12"/>
        <w:rPr>
          <w:rFonts w:ascii="宋体" w:hAnsi="宋体" w:cs="宋体" w:eastAsia="宋体" w:hint="default"/>
          <w:sz w:val="18"/>
          <w:szCs w:val="18"/>
        </w:rPr>
      </w:pPr>
    </w:p>
    <w:p>
      <w:pPr>
        <w:pStyle w:val="BodyText"/>
        <w:spacing w:line="316" w:lineRule="auto"/>
        <w:ind w:right="0"/>
        <w:jc w:val="left"/>
      </w:pPr>
      <w:r>
        <w:rPr>
          <w:spacing w:val="-4"/>
        </w:rPr>
        <w:t>本公司实际收到的政府补助，无论是与资产相关还是与收益相关，在编制现金流量表时均作为经营活动产生的现金流量列报，</w:t>
      </w:r>
      <w:r>
        <w:rPr>
          <w:spacing w:val="-44"/>
        </w:rPr>
        <w:t> </w:t>
      </w:r>
      <w:r>
        <w:rPr>
          <w:spacing w:val="-44"/>
        </w:rPr>
      </w:r>
      <w:r>
        <w:rPr/>
        <w:t>对可比期间的比较数据进行调整。本公司可比期间未发生相关事项，调整金额为零。</w:t>
      </w:r>
    </w:p>
    <w:p>
      <w:pPr>
        <w:spacing w:line="240" w:lineRule="auto" w:before="12"/>
        <w:rPr>
          <w:rFonts w:ascii="宋体" w:hAnsi="宋体" w:cs="宋体" w:eastAsia="宋体" w:hint="default"/>
          <w:sz w:val="17"/>
          <w:szCs w:val="17"/>
        </w:rPr>
      </w:pPr>
    </w:p>
    <w:p>
      <w:pPr>
        <w:pStyle w:val="BodyText"/>
        <w:spacing w:line="508" w:lineRule="auto"/>
        <w:ind w:right="7872"/>
        <w:jc w:val="left"/>
      </w:pPr>
      <w:r>
        <w:rPr/>
        <w:t>（</w:t>
      </w:r>
      <w:r>
        <w:rPr>
          <w:rFonts w:ascii="Times New Roman" w:hAnsi="Times New Roman" w:cs="Times New Roman" w:eastAsia="Times New Roman" w:hint="default"/>
        </w:rPr>
        <w:t>2</w:t>
      </w:r>
      <w:r>
        <w:rPr/>
        <w:t>）重要会计估计变更 本公司本年度无重要会计估计变更。</w:t>
      </w:r>
    </w:p>
    <w:p>
      <w:pPr>
        <w:pStyle w:val="Heading4"/>
        <w:spacing w:line="240" w:lineRule="auto" w:before="150"/>
        <w:ind w:right="0"/>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其他" w:id="226"/>
      <w:bookmarkEnd w:id="226"/>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18"/>
          <w:szCs w:val="18"/>
        </w:rPr>
        <w:t>限制性股票</w:t>
      </w:r>
    </w:p>
    <w:p>
      <w:pPr>
        <w:pStyle w:val="BodyText"/>
        <w:spacing w:line="316" w:lineRule="auto" w:before="64"/>
        <w:ind w:right="0"/>
        <w:jc w:val="left"/>
      </w:pPr>
      <w:r>
        <w:rPr>
          <w:spacing w:val="-2"/>
        </w:rPr>
        <w:t>股权激励计划中，本公司授予被激励对象限制性股票，被激励对象先认购股票，如果后续未达到股权激励计划规定的解锁条</w:t>
      </w:r>
      <w:r>
        <w:rPr>
          <w:spacing w:val="-66"/>
        </w:rPr>
        <w:t> </w:t>
      </w:r>
      <w:r>
        <w:rPr>
          <w:spacing w:val="-66"/>
        </w:rPr>
      </w:r>
      <w:r>
        <w:rPr>
          <w:spacing w:val="-4"/>
        </w:rPr>
        <w:t>件，则本公司按照事先约定的价格回购股票。向职工发行的限制性股票按有关规定履行了注册登记等增资手续的，在授予日，</w:t>
      </w:r>
      <w:r>
        <w:rPr>
          <w:spacing w:val="-44"/>
        </w:rPr>
        <w:t> </w:t>
      </w:r>
      <w:r>
        <w:rPr>
          <w:spacing w:val="-44"/>
        </w:rPr>
      </w:r>
      <w:r>
        <w:rPr/>
        <w:t>本公司根据收到的职工缴纳的认股款确认股本和资本公积（股本溢价）；同时就回购义务确认库存股和其他应付款。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27"/>
      <w:bookmarkEnd w:id="22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28"/>
      <w:bookmarkEnd w:id="22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提供广告服务取得的销售额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pict>
          <v:group style="position:absolute;margin-left:297.220001pt;margin-top:60.30172pt;width:236.55pt;height:19.6pt;mso-position-horizontal-relative:page;mso-position-vertical-relative:paragraph;z-index:-1264144" coordorigin="5944,1206" coordsize="4731,392">
            <v:shape style="position:absolute;left:5944;top:1206;width:4731;height:392" coordorigin="5944,1206" coordsize="4731,392" path="m5944,1597l10675,1597,10675,1206,5944,1206,5944,1597xe" filled="true" fillcolor="#ffffff" stroked="false">
              <v:path arrowok="t"/>
              <v:fill type="solid"/>
            </v:shape>
            <w10:wrap type="none"/>
          </v:group>
        </w:pict>
      </w: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上海猎鹰公司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44"/>
              <w:jc w:val="left"/>
              <w:rPr>
                <w:rFonts w:ascii="宋体" w:hAnsi="宋体" w:cs="宋体" w:eastAsia="宋体" w:hint="default"/>
                <w:sz w:val="18"/>
                <w:szCs w:val="18"/>
              </w:rPr>
            </w:pPr>
            <w:r>
              <w:rPr>
                <w:rFonts w:ascii="宋体" w:hAnsi="宋体" w:cs="宋体" w:eastAsia="宋体" w:hint="default"/>
                <w:spacing w:val="-2"/>
                <w:sz w:val="18"/>
                <w:szCs w:val="18"/>
              </w:rPr>
              <w:t>北京掌汇天下科技有限公司（以下简称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北京掌汇天下公司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深圳市核聚创新科技有限公司（以下简称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深圳核聚创新公司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6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西藏智媒公司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pacing w:val="-2"/>
                <w:sz w:val="18"/>
                <w:szCs w:val="18"/>
              </w:rPr>
              <w:t>上海范特西网络科技有限公司（以下简称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上海范特西公司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392" w:lineRule="exact"/>
              <w:ind w:left="11" w:right="-28"/>
              <w:jc w:val="left"/>
              <w:rPr>
                <w:rFonts w:ascii="宋体" w:hAnsi="宋体" w:cs="宋体" w:eastAsia="宋体" w:hint="default"/>
                <w:sz w:val="20"/>
                <w:szCs w:val="20"/>
              </w:rPr>
            </w:pPr>
            <w:r>
              <w:rPr>
                <w:rFonts w:ascii="宋体" w:hAnsi="宋体" w:cs="宋体" w:eastAsia="宋体" w:hint="default"/>
                <w:position w:val="-7"/>
                <w:sz w:val="20"/>
                <w:szCs w:val="20"/>
              </w:rPr>
              <w:pict>
                <v:group style="width:236.55pt;height:19.650pt;mso-position-horizontal-relative:char;mso-position-vertical-relative:line" coordorigin="0,0" coordsize="4731,393">
                  <v:group style="position:absolute;left:0;top:0;width:4731;height:393" coordorigin="0,0" coordsize="4731,393">
                    <v:shape style="position:absolute;left:0;top:0;width:4731;height:393" coordorigin="0,0" coordsize="4731,393" path="m0,392l4731,392,4731,0,0,0,0,392xe" filled="true" fillcolor="#ffffff" stroked="false">
                      <v:path arrowok="t"/>
                      <v:fill type="solid"/>
                    </v:shape>
                  </v:group>
                </v:group>
              </w:pict>
            </w:r>
            <w:r>
              <w:rPr>
                <w:rFonts w:ascii="宋体" w:hAnsi="宋体" w:cs="宋体" w:eastAsia="宋体" w:hint="default"/>
                <w:position w:val="-7"/>
                <w:sz w:val="20"/>
                <w:szCs w:val="20"/>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西藏亦复公司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拉萨经济技术开发区猎鹰网络科技有限公司（以下简称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拉萨</w:t>
            </w:r>
            <w:r>
              <w:rPr>
                <w:rFonts w:ascii="宋体" w:hAnsi="宋体" w:cs="宋体" w:eastAsia="宋体" w:hint="default"/>
                <w:spacing w:val="-66"/>
                <w:sz w:val="18"/>
                <w:szCs w:val="18"/>
              </w:rPr>
              <w:t> </w:t>
            </w:r>
            <w:r>
              <w:rPr>
                <w:rFonts w:ascii="宋体" w:hAnsi="宋体" w:cs="宋体" w:eastAsia="宋体" w:hint="default"/>
                <w:sz w:val="18"/>
                <w:szCs w:val="18"/>
              </w:rPr>
              <w:t>猎鹰公司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深圳市部落格科技有限公司（以下简称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深圳部落格公司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pacing w:val="-2"/>
                <w:sz w:val="18"/>
                <w:szCs w:val="18"/>
              </w:rPr>
              <w:t>霍尔果斯白猫科技有限公司（以下简称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霍尔果斯白猫公司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392" w:lineRule="exact"/>
              <w:ind w:left="11" w:right="-28"/>
              <w:jc w:val="left"/>
              <w:rPr>
                <w:rFonts w:ascii="宋体" w:hAnsi="宋体" w:cs="宋体" w:eastAsia="宋体" w:hint="default"/>
                <w:sz w:val="20"/>
                <w:szCs w:val="20"/>
              </w:rPr>
            </w:pPr>
            <w:r>
              <w:rPr>
                <w:rFonts w:ascii="宋体" w:hAnsi="宋体" w:cs="宋体" w:eastAsia="宋体" w:hint="default"/>
                <w:position w:val="-7"/>
                <w:sz w:val="20"/>
                <w:szCs w:val="20"/>
              </w:rPr>
              <w:pict>
                <v:group style="width:236.55pt;height:19.650pt;mso-position-horizontal-relative:char;mso-position-vertical-relative:line" coordorigin="0,0" coordsize="4731,393">
                  <v:group style="position:absolute;left:0;top:0;width:4731;height:393" coordorigin="0,0" coordsize="4731,393">
                    <v:shape style="position:absolute;left:0;top:0;width:4731;height:393" coordorigin="0,0" coordsize="4731,393" path="m0,392l4731,392,4731,0,0,0,0,392xe" filled="true" fillcolor="#ffffff" stroked="false">
                      <v:path arrowok="t"/>
                      <v:fill type="solid"/>
                    </v:shape>
                  </v:group>
                </v:group>
              </w:pict>
            </w:r>
            <w:r>
              <w:rPr>
                <w:rFonts w:ascii="宋体" w:hAnsi="宋体" w:cs="宋体" w:eastAsia="宋体" w:hint="default"/>
                <w:position w:val="-7"/>
                <w:sz w:val="20"/>
                <w:szCs w:val="20"/>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喀什智优网络科技有限公司（以下简称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喀什智优公司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万乾网络有限公司（以下简称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万乾网络公司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适用香港特别行政区所得税率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智度投资（香港）有限公司（以下简称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智度香港公司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适用香港特别行政区所得税率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Spigot,Inc.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Polarity Technologies</w:t>
            </w:r>
            <w:r>
              <w:rPr>
                <w:rFonts w:ascii="Times New Roman"/>
                <w:spacing w:val="-21"/>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Springtech</w:t>
            </w:r>
            <w:r>
              <w:rPr>
                <w:rFonts w:ascii="Times New Roman"/>
                <w:spacing w:val="-4"/>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Better Cloud Solutions</w:t>
            </w:r>
            <w:r>
              <w:rPr>
                <w:rFonts w:ascii="Times New Roman"/>
                <w:spacing w:val="-5"/>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Eightpoint Technologies Ltd.</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“Eightpoint”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Genimous Interactive Investment Co.,</w:t>
            </w:r>
            <w:r>
              <w:rPr>
                <w:rFonts w:ascii="Times New Roman"/>
                <w:spacing w:val="-9"/>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GreenTree Applications</w:t>
            </w:r>
            <w:r>
              <w:rPr>
                <w:rFonts w:ascii="Times New Roman"/>
                <w:spacing w:val="-22"/>
                <w:sz w:val="18"/>
              </w:rPr>
              <w:t> </w:t>
            </w:r>
            <w:r>
              <w:rPr>
                <w:rFonts w:ascii="Times New Roman"/>
                <w:sz w:val="18"/>
              </w:rPr>
              <w:t>SRL</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适用罗马尼亚所得税率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Azureus Software,</w:t>
            </w:r>
            <w:r>
              <w:rPr>
                <w:rFonts w:ascii="Times New Roman"/>
                <w:spacing w:val="-3"/>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GMGP</w:t>
            </w:r>
            <w:r>
              <w:rPr>
                <w:rFonts w:ascii="Times New Roman"/>
                <w:spacing w:val="-10"/>
                <w:sz w:val="18"/>
              </w:rPr>
              <w:t> </w:t>
            </w:r>
            <w:r>
              <w:rPr>
                <w:rFonts w:ascii="Times New Roman"/>
                <w:sz w:val="18"/>
              </w:rPr>
              <w:t>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Search Me Technologies,</w:t>
            </w:r>
            <w:r>
              <w:rPr>
                <w:rFonts w:ascii="Times New Roman"/>
                <w:spacing w:val="-23"/>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t>（</w:t>
      </w:r>
      <w:r>
        <w:rPr>
          <w:rFonts w:ascii="Times New Roman" w:hAnsi="Times New Roman" w:cs="Times New Roman" w:eastAsia="Times New Roman" w:hint="default"/>
        </w:rPr>
        <w:t>1</w:t>
      </w:r>
      <w:r>
        <w:rPr/>
        <w:t>）根据《科技部财政部国家税务总局关于印发</w:t>
      </w:r>
      <w:r>
        <w:rPr>
          <w:rFonts w:ascii="Times New Roman" w:hAnsi="Times New Roman" w:cs="Times New Roman" w:eastAsia="Times New Roman" w:hint="default"/>
        </w:rPr>
        <w:t>&lt;</w:t>
      </w:r>
      <w:r>
        <w:rPr/>
        <w:t>高新技术企业认定管理办法</w:t>
      </w:r>
      <w:r>
        <w:rPr>
          <w:rFonts w:ascii="Times New Roman" w:hAnsi="Times New Roman" w:cs="Times New Roman" w:eastAsia="Times New Roman" w:hint="default"/>
        </w:rPr>
        <w:t>&gt;</w:t>
      </w:r>
      <w:r>
        <w:rPr/>
        <w:t>的通知》（国科发火〔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号），上</w:t>
      </w:r>
      <w:r>
        <w:rPr>
          <w:spacing w:val="-26"/>
        </w:rPr>
        <w:t> </w:t>
      </w:r>
      <w:r>
        <w:rPr>
          <w:spacing w:val="-26"/>
        </w:rPr>
      </w:r>
      <w:r>
        <w:rPr/>
        <w:t>海猎鹰公司被认定为高新技术企业，文件号为</w:t>
      </w:r>
      <w:r>
        <w:rPr>
          <w:rFonts w:ascii="Times New Roman" w:hAnsi="Times New Roman" w:cs="Times New Roman" w:eastAsia="Times New Roman" w:hint="default"/>
        </w:rPr>
        <w:t>GR201631000584</w:t>
      </w:r>
      <w:r>
        <w:rPr/>
        <w:t>，发证日期为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日，有效期三年，根据《中华人</w:t>
      </w:r>
      <w:r>
        <w:rPr>
          <w:spacing w:val="-68"/>
        </w:rPr>
        <w:t> </w:t>
      </w:r>
      <w:r>
        <w:rPr>
          <w:spacing w:val="-68"/>
        </w:rPr>
      </w:r>
      <w:r>
        <w:rPr>
          <w:spacing w:val="-1"/>
        </w:rPr>
        <w:t>民共和国企业所得税法》、《中华人民共和国企业所得税法实施条例》有关高新技术企业税收优惠的规定，减按</w:t>
      </w:r>
      <w:r>
        <w:rPr>
          <w:rFonts w:ascii="Times New Roman" w:hAnsi="Times New Roman" w:cs="Times New Roman" w:eastAsia="Times New Roman" w:hint="default"/>
          <w:spacing w:val="-1"/>
        </w:rPr>
        <w:t>15%</w:t>
      </w:r>
      <w:r>
        <w:rPr>
          <w:spacing w:val="-1"/>
        </w:rPr>
        <w:t>的税率</w:t>
      </w:r>
      <w:r>
        <w:rPr>
          <w:spacing w:val="-88"/>
        </w:rPr>
        <w:t> </w:t>
      </w:r>
      <w:r>
        <w:rPr/>
        <w:t>计缴企业所得税。</w:t>
      </w:r>
    </w:p>
    <w:p>
      <w:pPr>
        <w:spacing w:line="240" w:lineRule="auto" w:before="12"/>
        <w:rPr>
          <w:rFonts w:ascii="宋体" w:hAnsi="宋体" w:cs="宋体" w:eastAsia="宋体" w:hint="default"/>
          <w:sz w:val="18"/>
          <w:szCs w:val="18"/>
        </w:rPr>
      </w:pPr>
    </w:p>
    <w:p>
      <w:pPr>
        <w:pStyle w:val="BodyText"/>
        <w:spacing w:line="300" w:lineRule="auto"/>
        <w:ind w:right="1130"/>
        <w:jc w:val="both"/>
      </w:pPr>
      <w:r>
        <w:rPr/>
        <w:t>（</w:t>
      </w:r>
      <w:r>
        <w:rPr>
          <w:rFonts w:ascii="Times New Roman" w:hAnsi="Times New Roman" w:cs="Times New Roman" w:eastAsia="Times New Roman" w:hint="default"/>
        </w:rPr>
        <w:t>2</w:t>
      </w:r>
      <w:r>
        <w:rPr/>
        <w:t>）根据《科技部财政部国家税务总局关于印发</w:t>
      </w:r>
      <w:r>
        <w:rPr>
          <w:rFonts w:ascii="Times New Roman" w:hAnsi="Times New Roman" w:cs="Times New Roman" w:eastAsia="Times New Roman" w:hint="default"/>
        </w:rPr>
        <w:t>&lt;</w:t>
      </w:r>
      <w:r>
        <w:rPr/>
        <w:t>高新技术企业认定管理办法</w:t>
      </w:r>
      <w:r>
        <w:rPr>
          <w:rFonts w:ascii="Times New Roman" w:hAnsi="Times New Roman" w:cs="Times New Roman" w:eastAsia="Times New Roman" w:hint="default"/>
        </w:rPr>
        <w:t>&gt;</w:t>
      </w:r>
      <w:r>
        <w:rPr/>
        <w:t>的通知》（国科发火〔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号），北</w:t>
      </w:r>
      <w:r>
        <w:rPr>
          <w:spacing w:val="-25"/>
        </w:rPr>
        <w:t> </w:t>
      </w:r>
      <w:r>
        <w:rPr>
          <w:spacing w:val="-25"/>
        </w:rPr>
      </w:r>
      <w:r>
        <w:rPr>
          <w:spacing w:val="-3"/>
        </w:rPr>
        <w:t>京掌汇天下公司被认定为高新技术企业，证书编号为</w:t>
      </w:r>
      <w:r>
        <w:rPr>
          <w:rFonts w:ascii="Times New Roman" w:hAnsi="Times New Roman" w:cs="Times New Roman" w:eastAsia="Times New Roman" w:hint="default"/>
          <w:spacing w:val="-3"/>
        </w:rPr>
        <w:t>GR201711002877</w:t>
      </w:r>
      <w:r>
        <w:rPr>
          <w:spacing w:val="-3"/>
        </w:rPr>
        <w:t>，发证日期为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日，有效期三年，根据《中</w:t>
      </w:r>
      <w:r>
        <w:rPr>
          <w:spacing w:val="-52"/>
        </w:rPr>
        <w:t> </w:t>
      </w:r>
      <w:r>
        <w:rPr>
          <w:spacing w:val="-52"/>
        </w:rPr>
      </w:r>
      <w:r>
        <w:rPr>
          <w:spacing w:val="-1"/>
        </w:rPr>
        <w:t>华人民共和国企业所得税法》、《中华人民共和国企业所得税法实施条例》有关高新技术企业税收优惠的规定，减按</w:t>
      </w:r>
      <w:r>
        <w:rPr>
          <w:rFonts w:ascii="Times New Roman" w:hAnsi="Times New Roman" w:cs="Times New Roman" w:eastAsia="Times New Roman" w:hint="default"/>
          <w:spacing w:val="-1"/>
        </w:rPr>
        <w:t>15%</w:t>
      </w:r>
      <w:r>
        <w:rPr>
          <w:spacing w:val="-1"/>
        </w:rPr>
        <w:t>的</w:t>
      </w:r>
      <w:r>
        <w:rPr>
          <w:spacing w:val="-88"/>
        </w:rPr>
        <w:t> </w:t>
      </w:r>
      <w:r>
        <w:rPr/>
        <w:t>税率计缴企业所得税。</w:t>
      </w:r>
    </w:p>
    <w:p>
      <w:pPr>
        <w:spacing w:line="240" w:lineRule="auto" w:before="12"/>
        <w:rPr>
          <w:rFonts w:ascii="宋体" w:hAnsi="宋体" w:cs="宋体" w:eastAsia="宋体" w:hint="default"/>
          <w:sz w:val="18"/>
          <w:szCs w:val="18"/>
        </w:rPr>
      </w:pPr>
    </w:p>
    <w:p>
      <w:pPr>
        <w:pStyle w:val="BodyText"/>
        <w:spacing w:line="300" w:lineRule="auto"/>
        <w:ind w:right="0"/>
        <w:jc w:val="left"/>
      </w:pPr>
      <w:r>
        <w:rPr>
          <w:spacing w:val="-5"/>
        </w:rPr>
        <w:t>（</w:t>
      </w:r>
      <w:r>
        <w:rPr>
          <w:rFonts w:ascii="Times New Roman" w:hAnsi="Times New Roman" w:cs="Times New Roman" w:eastAsia="Times New Roman" w:hint="default"/>
          <w:spacing w:val="-5"/>
        </w:rPr>
        <w:t>3</w:t>
      </w:r>
      <w:r>
        <w:rPr>
          <w:spacing w:val="-5"/>
        </w:rPr>
        <w:t>）根据财税〔</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27</w:t>
      </w:r>
      <w:r>
        <w:rPr>
          <w:spacing w:val="-5"/>
        </w:rPr>
        <w:t>号《财政部、国家税务总局关于进一步鼓励软件产业和集成电路产业发展企业所得税政策的通知》，</w:t>
      </w:r>
      <w:r>
        <w:rPr>
          <w:spacing w:val="-61"/>
        </w:rPr>
        <w:t> </w:t>
      </w:r>
      <w:r>
        <w:rPr>
          <w:spacing w:val="-61"/>
        </w:rPr>
      </w:r>
      <w:r>
        <w:rPr>
          <w:spacing w:val="-2"/>
        </w:rPr>
        <w:t>上海范特西公司软件企业所得税减免申请已得到审批，企业所得税优惠审批通知书编号为沪地税嘉六〔</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000024</w:t>
      </w:r>
      <w:r>
        <w:rPr>
          <w:spacing w:val="-2"/>
        </w:rPr>
        <w:t>，上海</w:t>
      </w:r>
      <w:r>
        <w:rPr>
          <w:spacing w:val="-55"/>
        </w:rPr>
        <w:t> </w:t>
      </w:r>
      <w:r>
        <w:rPr>
          <w:spacing w:val="-55"/>
        </w:rPr>
      </w:r>
      <w:r>
        <w:rPr>
          <w:spacing w:val="-2"/>
        </w:rPr>
        <w:t>范特西公司自开始获利年度起两年免征企业所得税，三年减半征收企业所得税，</w:t>
      </w:r>
      <w:r>
        <w:rPr>
          <w:rFonts w:ascii="Times New Roman" w:hAnsi="Times New Roman" w:cs="Times New Roman" w:eastAsia="Times New Roman" w:hint="default"/>
          <w:spacing w:val="-2"/>
        </w:rPr>
        <w:t>2015</w:t>
      </w:r>
      <w:r>
        <w:rPr>
          <w:spacing w:val="-2"/>
        </w:rPr>
        <w:t>年为首个获利年度，</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年免</w:t>
      </w:r>
      <w:r>
        <w:rPr>
          <w:spacing w:val="-52"/>
        </w:rPr>
        <w:t> </w:t>
      </w:r>
      <w:r>
        <w:rPr/>
        <w:t>征企业所得税，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12.5%</w:t>
      </w:r>
      <w:r>
        <w:rPr/>
        <w:t>的税率征收企业所得税。</w:t>
      </w:r>
    </w:p>
    <w:p>
      <w:pPr>
        <w:spacing w:line="240" w:lineRule="auto" w:before="7"/>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4</w:t>
      </w:r>
      <w:r>
        <w:rPr/>
        <w:t>）根据财税〔</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26</w:t>
      </w:r>
      <w:r>
        <w:rPr/>
        <w:t>号《财政部、国家税务总局关于广东横琴新区福建平潭综合实验区深圳前海深港现代服务业合作</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spacing w:val="-2"/>
        </w:rPr>
        <w:t>区企业所得税优惠政策及优惠目录的通知》（本通知自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日止执行），深圳核聚创新公司符合</w:t>
      </w:r>
      <w:r>
        <w:rPr>
          <w:spacing w:val="-51"/>
        </w:rPr>
        <w:t> </w:t>
      </w:r>
      <w:r>
        <w:rPr>
          <w:spacing w:val="-51"/>
        </w:rPr>
      </w:r>
      <w:r>
        <w:rPr>
          <w:spacing w:val="-1"/>
        </w:rPr>
        <w:t>关于前海深港现代服务业合作区内鼓励类产业企业（信息服务业）的税收优惠有关规定，</w:t>
      </w:r>
      <w:r>
        <w:rPr>
          <w:rFonts w:ascii="Times New Roman" w:hAnsi="Times New Roman" w:cs="Times New Roman" w:eastAsia="Times New Roman" w:hint="default"/>
          <w:spacing w:val="-1"/>
        </w:rPr>
        <w:t>2018</w:t>
      </w:r>
      <w:r>
        <w:rPr>
          <w:spacing w:val="-1"/>
        </w:rPr>
        <w:t>年减按</w:t>
      </w:r>
      <w:r>
        <w:rPr>
          <w:rFonts w:ascii="Times New Roman" w:hAnsi="Times New Roman" w:cs="Times New Roman" w:eastAsia="Times New Roman" w:hint="default"/>
          <w:spacing w:val="-1"/>
        </w:rPr>
        <w:t>15%</w:t>
      </w:r>
      <w:r>
        <w:rPr>
          <w:spacing w:val="-1"/>
        </w:rPr>
        <w:t>的税率征收企业所</w:t>
      </w:r>
      <w:r>
        <w:rPr>
          <w:spacing w:val="-84"/>
        </w:rPr>
        <w:t> </w:t>
      </w:r>
      <w:r>
        <w:rPr/>
        <w:t>得税。</w:t>
      </w:r>
    </w:p>
    <w:p>
      <w:pPr>
        <w:spacing w:line="240" w:lineRule="auto" w:before="12"/>
        <w:rPr>
          <w:rFonts w:ascii="宋体" w:hAnsi="宋体" w:cs="宋体" w:eastAsia="宋体" w:hint="default"/>
          <w:sz w:val="18"/>
          <w:szCs w:val="18"/>
        </w:rPr>
      </w:pPr>
    </w:p>
    <w:p>
      <w:pPr>
        <w:pStyle w:val="BodyText"/>
        <w:spacing w:line="300" w:lineRule="auto"/>
        <w:ind w:right="1040"/>
        <w:jc w:val="left"/>
      </w:pPr>
      <w:r>
        <w:rPr/>
        <w:t>（</w:t>
      </w:r>
      <w:r>
        <w:rPr>
          <w:rFonts w:ascii="Times New Roman" w:hAnsi="Times New Roman" w:cs="Times New Roman" w:eastAsia="Times New Roman" w:hint="default"/>
        </w:rPr>
        <w:t>5</w:t>
      </w:r>
      <w:r>
        <w:rPr/>
        <w:t>）根据财税〔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号文件，我国境内新办的集成电路设计企业和符合条件的软件企业，经认定后，在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7"/>
        </w:rPr>
        <w:t> </w:t>
      </w:r>
      <w:r>
        <w:rPr>
          <w:spacing w:val="-3"/>
        </w:rPr>
        <w:t>日前自获利年度起计算优惠期，第一年至第二年免征企业所得税，第三年至第五年按照</w:t>
      </w:r>
      <w:r>
        <w:rPr>
          <w:rFonts w:ascii="Times New Roman" w:hAnsi="Times New Roman" w:cs="Times New Roman" w:eastAsia="Times New Roman" w:hint="default"/>
          <w:spacing w:val="-3"/>
        </w:rPr>
        <w:t>25%</w:t>
      </w:r>
      <w:r>
        <w:rPr>
          <w:spacing w:val="-3"/>
        </w:rPr>
        <w:t>的法定税率减半征收企业所得税，</w:t>
      </w:r>
      <w:r>
        <w:rPr>
          <w:spacing w:val="-64"/>
        </w:rPr>
        <w:t> </w:t>
      </w:r>
      <w:r>
        <w:rPr/>
        <w:t>并享受至期满为止。深圳部落格公司符合上述条件，享受优惠期间为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年免税，</w:t>
      </w:r>
      <w:r>
        <w:rPr>
          <w:rFonts w:ascii="Times New Roman" w:hAnsi="Times New Roman" w:cs="Times New Roman" w:eastAsia="Times New Roman" w:hint="default"/>
        </w:rPr>
        <w:t>2019-2021</w:t>
      </w:r>
      <w:r>
        <w:rPr/>
        <w:t>年减半征收。</w:t>
      </w:r>
    </w:p>
    <w:p>
      <w:pPr>
        <w:spacing w:line="240" w:lineRule="auto" w:before="7"/>
        <w:rPr>
          <w:rFonts w:ascii="宋体" w:hAnsi="宋体" w:cs="宋体" w:eastAsia="宋体" w:hint="default"/>
          <w:sz w:val="17"/>
          <w:szCs w:val="17"/>
        </w:rPr>
      </w:pPr>
    </w:p>
    <w:p>
      <w:pPr>
        <w:pStyle w:val="BodyText"/>
        <w:spacing w:line="300" w:lineRule="auto"/>
        <w:ind w:right="1038"/>
        <w:jc w:val="left"/>
      </w:pPr>
      <w:r>
        <w:rPr/>
        <w:t>（</w:t>
      </w:r>
      <w:r>
        <w:rPr>
          <w:rFonts w:ascii="Times New Roman" w:hAnsi="Times New Roman" w:cs="Times New Roman" w:eastAsia="Times New Roman" w:hint="default"/>
        </w:rPr>
        <w:t>6</w:t>
      </w:r>
      <w:r>
        <w:rPr/>
        <w:t>）根据《中华人民共和国企业所得税法》、《关于深入实施西部大开发战略有关企业所得税问题的公告》（国家税务总</w:t>
      </w:r>
      <w:r>
        <w:rPr>
          <w:spacing w:val="-83"/>
        </w:rPr>
        <w:t> </w:t>
      </w:r>
      <w:r>
        <w:rPr>
          <w:spacing w:val="-83"/>
        </w:rPr>
      </w:r>
      <w:r>
        <w:rPr>
          <w:spacing w:val="-6"/>
        </w:rPr>
        <w:t>局公告</w:t>
      </w:r>
      <w:r>
        <w:rPr>
          <w:rFonts w:ascii="Times New Roman" w:hAnsi="Times New Roman" w:cs="Times New Roman" w:eastAsia="Times New Roman" w:hint="default"/>
          <w:spacing w:val="-6"/>
        </w:rPr>
        <w:t>2012</w:t>
      </w:r>
      <w:r>
        <w:rPr>
          <w:spacing w:val="-6"/>
        </w:rPr>
        <w:t>年第</w:t>
      </w:r>
      <w:r>
        <w:rPr>
          <w:rFonts w:ascii="Times New Roman" w:hAnsi="Times New Roman" w:cs="Times New Roman" w:eastAsia="Times New Roman" w:hint="default"/>
          <w:spacing w:val="-6"/>
        </w:rPr>
        <w:t>12</w:t>
      </w:r>
      <w:r>
        <w:rPr>
          <w:spacing w:val="-6"/>
        </w:rPr>
        <w:t>号）第二条第二款、《财政部、国家税务总局关于执行企业所得税优惠政策若干问题的通知》（财税〔</w:t>
      </w:r>
      <w:r>
        <w:rPr>
          <w:rFonts w:ascii="Times New Roman" w:hAnsi="Times New Roman" w:cs="Times New Roman" w:eastAsia="Times New Roman" w:hint="default"/>
          <w:spacing w:val="-6"/>
        </w:rPr>
        <w:t>2009</w:t>
      </w:r>
      <w:r>
        <w:rPr>
          <w:spacing w:val="-6"/>
        </w:rPr>
        <w:t>〕</w:t>
      </w:r>
      <w:r>
        <w:rPr>
          <w:spacing w:val="-79"/>
        </w:rPr>
        <w:t> </w:t>
      </w:r>
      <w:r>
        <w:rPr>
          <w:rFonts w:ascii="Times New Roman" w:hAnsi="Times New Roman" w:cs="Times New Roman" w:eastAsia="Times New Roman" w:hint="default"/>
        </w:rPr>
        <w:t>69</w:t>
      </w:r>
      <w:r>
        <w:rPr/>
        <w:t>号）、《关于深入实施西部大开发战略有关税收政策问题的通知》（财税〔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号）中</w:t>
      </w:r>
      <w:r>
        <w:rPr>
          <w:rFonts w:ascii="Times New Roman" w:hAnsi="Times New Roman" w:cs="Times New Roman" w:eastAsia="Times New Roman" w:hint="default"/>
        </w:rPr>
        <w:t>“</w:t>
      </w:r>
      <w:r>
        <w:rPr/>
        <w:t>对设在西部地区国家鼓励类</w:t>
      </w:r>
      <w:r>
        <w:rPr>
          <w:spacing w:val="-74"/>
        </w:rPr>
        <w:t> </w:t>
      </w:r>
      <w:r>
        <w:rPr>
          <w:spacing w:val="-74"/>
        </w:rPr>
      </w:r>
      <w:r>
        <w:rPr/>
        <w:t>的内资企业和外商投资企业，在</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2020</w:t>
      </w:r>
      <w:r>
        <w:rPr/>
        <w:t>年期间，减按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，《西藏自治区招商引资优惠政策</w:t>
      </w:r>
      <w:r>
        <w:rPr>
          <w:spacing w:val="-48"/>
        </w:rPr>
        <w:t> </w:t>
      </w:r>
      <w:r>
        <w:rPr>
          <w:spacing w:val="-48"/>
        </w:rPr>
      </w:r>
      <w:r>
        <w:rPr/>
        <w:t>若干规定</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》（藏政发〔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25</w:t>
      </w:r>
      <w:r>
        <w:rPr/>
        <w:t>号）第二章第六条、《国务院关于明确中央与地方所得税收入分享比例的通知》（国 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26</w:t>
      </w:r>
      <w:r>
        <w:rPr/>
        <w:t>号）中</w:t>
      </w:r>
      <w:r>
        <w:rPr>
          <w:rFonts w:ascii="Times New Roman" w:hAnsi="Times New Roman" w:cs="Times New Roman" w:eastAsia="Times New Roman" w:hint="default"/>
        </w:rPr>
        <w:t>“</w:t>
      </w:r>
      <w:r>
        <w:rPr/>
        <w:t>从</w:t>
      </w:r>
      <w:r>
        <w:rPr>
          <w:rFonts w:ascii="Times New Roman" w:hAnsi="Times New Roman" w:cs="Times New Roman" w:eastAsia="Times New Roman" w:hint="default"/>
        </w:rPr>
        <w:t>2004</w:t>
      </w:r>
      <w:r>
        <w:rPr/>
        <w:t>年起，中央与地方所得税收入分享比例继续按中央分享</w:t>
      </w:r>
      <w:r>
        <w:rPr>
          <w:rFonts w:ascii="Times New Roman" w:hAnsi="Times New Roman" w:cs="Times New Roman" w:eastAsia="Times New Roman" w:hint="default"/>
        </w:rPr>
        <w:t>60%</w:t>
      </w:r>
      <w:r>
        <w:rPr/>
        <w:t>，地方分享</w:t>
      </w:r>
      <w:r>
        <w:rPr>
          <w:rFonts w:ascii="Times New Roman" w:hAnsi="Times New Roman" w:cs="Times New Roman" w:eastAsia="Times New Roman" w:hint="default"/>
        </w:rPr>
        <w:t>40%</w:t>
      </w:r>
      <w:r>
        <w:rPr/>
        <w:t>执行</w:t>
      </w:r>
      <w:r>
        <w:rPr>
          <w:rFonts w:ascii="Times New Roman" w:hAnsi="Times New Roman" w:cs="Times New Roman" w:eastAsia="Times New Roman" w:hint="default"/>
        </w:rPr>
        <w:t>”</w:t>
      </w:r>
      <w:r>
        <w:rPr/>
        <w:t>的规定，西藏 亦复公司和拉萨猎鹰公司减按</w:t>
      </w:r>
      <w:r>
        <w:rPr>
          <w:rFonts w:ascii="Times New Roman" w:hAnsi="Times New Roman" w:cs="Times New Roman" w:eastAsia="Times New Roman" w:hint="default"/>
        </w:rPr>
        <w:t>9%</w:t>
      </w:r>
      <w:r>
        <w:rPr/>
        <w:t>的税率征收企业所得税。</w:t>
      </w:r>
    </w:p>
    <w:p>
      <w:pPr>
        <w:spacing w:line="240" w:lineRule="auto" w:before="7"/>
        <w:rPr>
          <w:rFonts w:ascii="宋体" w:hAnsi="宋体" w:cs="宋体" w:eastAsia="宋体" w:hint="default"/>
          <w:sz w:val="17"/>
          <w:szCs w:val="17"/>
        </w:rPr>
      </w:pPr>
    </w:p>
    <w:p>
      <w:pPr>
        <w:pStyle w:val="BodyText"/>
        <w:spacing w:line="300" w:lineRule="auto"/>
        <w:ind w:right="1038"/>
        <w:jc w:val="left"/>
      </w:pPr>
      <w:r>
        <w:rPr/>
        <w:t>（</w:t>
      </w:r>
      <w:r>
        <w:rPr>
          <w:rFonts w:ascii="Times New Roman" w:hAnsi="Times New Roman" w:cs="Times New Roman" w:eastAsia="Times New Roman" w:hint="default"/>
        </w:rPr>
        <w:t>7</w:t>
      </w:r>
      <w:r>
        <w:rPr/>
        <w:t>）根据《中华人民共和国企业所得税法》、《关于深入实施西部大开发战略有关企业所得税问题的公告》（国家税务总</w:t>
      </w:r>
      <w:r>
        <w:rPr>
          <w:spacing w:val="-83"/>
        </w:rPr>
        <w:t> </w:t>
      </w:r>
      <w:r>
        <w:rPr>
          <w:spacing w:val="-83"/>
        </w:rPr>
      </w:r>
      <w:r>
        <w:rPr>
          <w:spacing w:val="-6"/>
        </w:rPr>
        <w:t>局公告</w:t>
      </w:r>
      <w:r>
        <w:rPr>
          <w:rFonts w:ascii="Times New Roman" w:hAnsi="Times New Roman" w:cs="Times New Roman" w:eastAsia="Times New Roman" w:hint="default"/>
          <w:spacing w:val="-6"/>
        </w:rPr>
        <w:t>2012</w:t>
      </w:r>
      <w:r>
        <w:rPr>
          <w:spacing w:val="-6"/>
        </w:rPr>
        <w:t>年第</w:t>
      </w:r>
      <w:r>
        <w:rPr>
          <w:rFonts w:ascii="Times New Roman" w:hAnsi="Times New Roman" w:cs="Times New Roman" w:eastAsia="Times New Roman" w:hint="default"/>
          <w:spacing w:val="-6"/>
        </w:rPr>
        <w:t>12</w:t>
      </w:r>
      <w:r>
        <w:rPr>
          <w:spacing w:val="-6"/>
        </w:rPr>
        <w:t>号）第二条第二款、《财政部、国家税务总局关于执行企业所得税优惠政策若干问题的通知》（财税〔</w:t>
      </w:r>
      <w:r>
        <w:rPr>
          <w:rFonts w:ascii="Times New Roman" w:hAnsi="Times New Roman" w:cs="Times New Roman" w:eastAsia="Times New Roman" w:hint="default"/>
          <w:spacing w:val="-6"/>
        </w:rPr>
        <w:t>2009</w:t>
      </w:r>
      <w:r>
        <w:rPr>
          <w:spacing w:val="-6"/>
        </w:rPr>
        <w:t>〕</w:t>
      </w:r>
      <w:r>
        <w:rPr>
          <w:spacing w:val="-79"/>
        </w:rPr>
        <w:t> </w:t>
      </w:r>
      <w:r>
        <w:rPr>
          <w:rFonts w:ascii="Times New Roman" w:hAnsi="Times New Roman" w:cs="Times New Roman" w:eastAsia="Times New Roman" w:hint="default"/>
        </w:rPr>
        <w:t>69</w:t>
      </w:r>
      <w:r>
        <w:rPr/>
        <w:t>号）、《关于深入实施西部大开发战略有关税收政策问题的通知》（财税〔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号）中</w:t>
      </w:r>
      <w:r>
        <w:rPr>
          <w:rFonts w:ascii="Times New Roman" w:hAnsi="Times New Roman" w:cs="Times New Roman" w:eastAsia="Times New Roman" w:hint="default"/>
        </w:rPr>
        <w:t>“</w:t>
      </w:r>
      <w:r>
        <w:rPr/>
        <w:t>对设在西部地区国家鼓励类</w:t>
      </w:r>
      <w:r>
        <w:rPr>
          <w:spacing w:val="-74"/>
        </w:rPr>
        <w:t> </w:t>
      </w:r>
      <w:r>
        <w:rPr>
          <w:spacing w:val="-74"/>
        </w:rPr>
      </w:r>
      <w:r>
        <w:rPr/>
        <w:t>的内资企业和外商投资企业，在</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2020</w:t>
      </w:r>
      <w:r>
        <w:rPr/>
        <w:t>年期间，减按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，西藏智媒公司减按</w:t>
      </w:r>
      <w:r>
        <w:rPr>
          <w:rFonts w:ascii="Times New Roman" w:hAnsi="Times New Roman" w:cs="Times New Roman" w:eastAsia="Times New Roman" w:hint="default"/>
        </w:rPr>
        <w:t>15%</w:t>
      </w:r>
      <w:r>
        <w:rPr/>
        <w:t>的税率征</w:t>
      </w:r>
      <w:r>
        <w:rPr>
          <w:spacing w:val="-20"/>
        </w:rPr>
        <w:t> </w:t>
      </w:r>
      <w:r>
        <w:rPr/>
        <w:t>收企业所得税。</w:t>
      </w:r>
    </w:p>
    <w:p>
      <w:pPr>
        <w:spacing w:line="240" w:lineRule="auto" w:before="12"/>
        <w:rPr>
          <w:rFonts w:ascii="宋体" w:hAnsi="宋体" w:cs="宋体" w:eastAsia="宋体" w:hint="default"/>
          <w:sz w:val="18"/>
          <w:szCs w:val="18"/>
        </w:rPr>
      </w:pPr>
    </w:p>
    <w:p>
      <w:pPr>
        <w:pStyle w:val="BodyText"/>
        <w:spacing w:line="300" w:lineRule="auto"/>
        <w:ind w:right="1130"/>
        <w:jc w:val="both"/>
      </w:pPr>
      <w:r>
        <w:rPr>
          <w:spacing w:val="-3"/>
        </w:rPr>
        <w:t>（</w:t>
      </w:r>
      <w:r>
        <w:rPr>
          <w:rFonts w:ascii="Times New Roman" w:hAnsi="Times New Roman" w:cs="Times New Roman" w:eastAsia="Times New Roman" w:hint="default"/>
          <w:spacing w:val="-3"/>
        </w:rPr>
        <w:t>8</w:t>
      </w:r>
      <w:r>
        <w:rPr>
          <w:spacing w:val="-3"/>
        </w:rPr>
        <w:t>）根据财税〔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112</w:t>
      </w:r>
      <w:r>
        <w:rPr>
          <w:spacing w:val="-3"/>
        </w:rPr>
        <w:t>号《财政部 </w:t>
      </w:r>
      <w:r>
        <w:rPr/>
        <w:t>国家税务总局关于新疆喀什</w:t>
      </w:r>
      <w:r>
        <w:rPr>
          <w:spacing w:val="-22"/>
        </w:rPr>
        <w:t> </w:t>
      </w:r>
      <w:r>
        <w:rPr/>
        <w:t>霍尔果斯两个特殊经济开发局企业所得税优惠政策的通</w:t>
      </w:r>
      <w:r>
        <w:rPr/>
        <w:t> 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日，对在新疆喀什、霍尔果斯两个特殊经济开发区内新办的属于《新疆困难地区重点鼓</w:t>
      </w:r>
      <w:r>
        <w:rPr>
          <w:spacing w:val="-76"/>
        </w:rPr>
        <w:t> </w:t>
      </w:r>
      <w:r>
        <w:rPr>
          <w:spacing w:val="-76"/>
        </w:rPr>
      </w:r>
      <w:r>
        <w:rPr/>
        <w:t>励发展产业企业所得税优惠目录》范围内的企业，自取得第一笔生产经营收入所属纳税年度起，五年内免征企业所得税</w:t>
      </w:r>
      <w:r>
        <w:rPr>
          <w:rFonts w:ascii="Times New Roman" w:hAnsi="Times New Roman" w:cs="Times New Roman" w:eastAsia="Times New Roman" w:hint="default"/>
        </w:rPr>
        <w:t>”</w:t>
      </w:r>
      <w:r>
        <w:rPr/>
        <w:t>。</w:t>
      </w:r>
      <w:r>
        <w:rPr>
          <w:spacing w:val="-73"/>
        </w:rPr>
        <w:t> </w:t>
      </w:r>
      <w:r>
        <w:rPr>
          <w:spacing w:val="-2"/>
        </w:rPr>
        <w:t>霍尔果斯白猫公司和喀什智优公司自取得第一笔生产经营收入所属纳税年度起，三年免征企业所得税，</w:t>
      </w:r>
      <w:r>
        <w:rPr>
          <w:rFonts w:ascii="Times New Roman" w:hAnsi="Times New Roman" w:cs="Times New Roman" w:eastAsia="Times New Roman" w:hint="default"/>
          <w:spacing w:val="-2"/>
        </w:rPr>
        <w:t>2018</w:t>
      </w:r>
      <w:r>
        <w:rPr>
          <w:spacing w:val="-2"/>
        </w:rPr>
        <w:t>年度为霍尔果斯</w:t>
      </w:r>
      <w:r>
        <w:rPr>
          <w:spacing w:val="-59"/>
        </w:rPr>
        <w:t> </w:t>
      </w:r>
      <w:r>
        <w:rPr/>
        <w:t>白猫公司和喀什智优公司取得第一笔生产经营收入所属纳税年度，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年免征企业所得税。</w:t>
      </w:r>
    </w:p>
    <w:p>
      <w:pPr>
        <w:spacing w:line="240" w:lineRule="auto" w:before="0"/>
        <w:rPr>
          <w:rFonts w:ascii="宋体" w:hAnsi="宋体" w:cs="宋体" w:eastAsia="宋体" w:hint="default"/>
          <w:sz w:val="24"/>
          <w:szCs w:val="24"/>
        </w:rPr>
      </w:pPr>
    </w:p>
    <w:p>
      <w:pPr>
        <w:pStyle w:val="Heading8"/>
        <w:spacing w:line="240" w:lineRule="auto"/>
        <w:ind w:right="0"/>
        <w:jc w:val="left"/>
        <w:rPr>
          <w:b w:val="0"/>
          <w:bCs w:val="0"/>
        </w:rPr>
      </w:pPr>
      <w:bookmarkStart w:name="3、其他" w:id="230"/>
      <w:bookmarkEnd w:id="230"/>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right="1130"/>
        <w:jc w:val="both"/>
      </w:pPr>
      <w:r>
        <w:rPr>
          <w:spacing w:val="-2"/>
        </w:rPr>
        <w:t>根据《财政部</w:t>
      </w:r>
      <w:r>
        <w:rPr>
          <w:spacing w:val="-14"/>
        </w:rPr>
        <w:t> </w:t>
      </w:r>
      <w:r>
        <w:rPr>
          <w:spacing w:val="-1"/>
        </w:rPr>
        <w:t>税务总局关于调整增值税税率的通知》（财税〔</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32</w:t>
      </w:r>
      <w:r>
        <w:rPr>
          <w:spacing w:val="-1"/>
        </w:rPr>
        <w:t>号）第一条</w:t>
      </w:r>
      <w:r>
        <w:rPr>
          <w:rFonts w:ascii="Times New Roman" w:hAnsi="Times New Roman" w:cs="Times New Roman" w:eastAsia="Times New Roman" w:hint="default"/>
          <w:spacing w:val="-1"/>
        </w:rPr>
        <w:t>“</w:t>
      </w:r>
      <w:r>
        <w:rPr>
          <w:spacing w:val="-1"/>
        </w:rPr>
        <w:t>纳税人发生增值税应税销售行为或者进</w:t>
      </w:r>
      <w:r>
        <w:rPr/>
        <w:t> </w:t>
      </w:r>
      <w:r>
        <w:rPr>
          <w:spacing w:val="-4"/>
        </w:rPr>
        <w:t>口货物，原适用</w:t>
      </w:r>
      <w:r>
        <w:rPr>
          <w:rFonts w:ascii="Times New Roman" w:hAnsi="Times New Roman" w:cs="Times New Roman" w:eastAsia="Times New Roman" w:hint="default"/>
          <w:spacing w:val="-4"/>
        </w:rPr>
        <w:t>17%</w:t>
      </w:r>
      <w:r>
        <w:rPr>
          <w:spacing w:val="-4"/>
        </w:rPr>
        <w:t>和</w:t>
      </w:r>
      <w:r>
        <w:rPr>
          <w:rFonts w:ascii="Times New Roman" w:hAnsi="Times New Roman" w:cs="Times New Roman" w:eastAsia="Times New Roman" w:hint="default"/>
          <w:spacing w:val="-4"/>
        </w:rPr>
        <w:t>11%</w:t>
      </w:r>
      <w:r>
        <w:rPr>
          <w:spacing w:val="-4"/>
        </w:rPr>
        <w:t>税率的，税率分别调整为</w:t>
      </w:r>
      <w:r>
        <w:rPr>
          <w:rFonts w:ascii="Times New Roman" w:hAnsi="Times New Roman" w:cs="Times New Roman" w:eastAsia="Times New Roman" w:hint="default"/>
          <w:spacing w:val="-4"/>
        </w:rPr>
        <w:t>16%</w:t>
      </w:r>
      <w:r>
        <w:rPr>
          <w:spacing w:val="-4"/>
        </w:rPr>
        <w:t>、</w:t>
      </w:r>
      <w:r>
        <w:rPr>
          <w:rFonts w:ascii="Times New Roman" w:hAnsi="Times New Roman" w:cs="Times New Roman" w:eastAsia="Times New Roman" w:hint="default"/>
          <w:spacing w:val="-4"/>
        </w:rPr>
        <w:t>10%”</w:t>
      </w:r>
      <w:r>
        <w:rPr>
          <w:spacing w:val="-4"/>
        </w:rPr>
        <w:t>，本公司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1-4</w:t>
      </w:r>
      <w:r>
        <w:rPr>
          <w:spacing w:val="-4"/>
        </w:rPr>
        <w:t>月适用</w:t>
      </w:r>
      <w:r>
        <w:rPr>
          <w:rFonts w:ascii="Times New Roman" w:hAnsi="Times New Roman" w:cs="Times New Roman" w:eastAsia="Times New Roman" w:hint="default"/>
          <w:spacing w:val="-4"/>
        </w:rPr>
        <w:t>17%</w:t>
      </w:r>
      <w:r>
        <w:rPr>
          <w:spacing w:val="-4"/>
        </w:rPr>
        <w:t>增值税税率的应税项目，自</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5</w:t>
      </w:r>
      <w:r>
        <w:rPr/>
        <w:t>月起适用</w:t>
      </w:r>
      <w:r>
        <w:rPr>
          <w:rFonts w:ascii="Times New Roman" w:hAnsi="Times New Roman" w:cs="Times New Roman" w:eastAsia="Times New Roman" w:hint="default"/>
        </w:rPr>
        <w:t>16%</w:t>
      </w:r>
      <w:r>
        <w:rPr/>
        <w:t>的增值税税率。</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31"/>
      <w:bookmarkEnd w:id="23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32"/>
      <w:bookmarkEnd w:id="23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89,293.04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1,055,543,125.33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513,243,661.48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11,851,779.69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207,791,084.37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1,067,452,713.14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721,124,038.89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488,715,957.57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134,323,288.95</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jc w:val="left"/>
      </w:pPr>
      <w:r>
        <w:rPr>
          <w:spacing w:val="-1"/>
        </w:rPr>
        <w:t>（</w:t>
      </w:r>
      <w:r>
        <w:rPr>
          <w:rFonts w:ascii="Times New Roman" w:hAnsi="Times New Roman" w:cs="Times New Roman" w:eastAsia="Times New Roman" w:hint="default"/>
          <w:spacing w:val="-1"/>
        </w:rPr>
        <w:t>1</w:t>
      </w:r>
      <w:r>
        <w:rPr>
          <w:spacing w:val="-1"/>
        </w:rPr>
        <w:t>）本公司其他货币资金期末余额中，包括定期存单</w:t>
      </w:r>
      <w:r>
        <w:rPr>
          <w:rFonts w:ascii="Times New Roman" w:hAnsi="Times New Roman" w:cs="Times New Roman" w:eastAsia="Times New Roman" w:hint="default"/>
          <w:spacing w:val="-1"/>
        </w:rPr>
        <w:t>4,200,000.00</w:t>
      </w:r>
      <w:r>
        <w:rPr>
          <w:spacing w:val="-1"/>
        </w:rPr>
        <w:t>元用于短期借款质押，其余款项均为存放于其他支付平台</w:t>
      </w:r>
      <w:r>
        <w:rPr>
          <w:spacing w:val="-72"/>
        </w:rPr>
        <w:t> </w:t>
      </w:r>
      <w:r>
        <w:rPr>
          <w:spacing w:val="-72"/>
        </w:rPr>
      </w:r>
      <w:r>
        <w:rPr/>
        <w:t>可随意支取的款项。</w:t>
      </w:r>
    </w:p>
    <w:p>
      <w:pPr>
        <w:spacing w:line="240" w:lineRule="auto" w:before="12"/>
        <w:rPr>
          <w:rFonts w:ascii="宋体" w:hAnsi="宋体" w:cs="宋体" w:eastAsia="宋体" w:hint="default"/>
          <w:sz w:val="18"/>
          <w:szCs w:val="18"/>
        </w:rPr>
      </w:pPr>
    </w:p>
    <w:p>
      <w:pPr>
        <w:pStyle w:val="BodyText"/>
        <w:spacing w:line="300" w:lineRule="auto"/>
        <w:ind w:right="0"/>
        <w:jc w:val="left"/>
      </w:pPr>
      <w:r>
        <w:rPr>
          <w:spacing w:val="-1"/>
        </w:rPr>
        <w:t>（</w:t>
      </w:r>
      <w:r>
        <w:rPr>
          <w:rFonts w:ascii="Times New Roman" w:hAnsi="Times New Roman" w:cs="Times New Roman" w:eastAsia="Times New Roman" w:hint="default"/>
          <w:spacing w:val="-1"/>
        </w:rPr>
        <w:t>2</w:t>
      </w:r>
      <w:r>
        <w:rPr>
          <w:spacing w:val="-1"/>
        </w:rPr>
        <w:t>）期末，除上述用于短期借款质押的定期存单</w:t>
      </w:r>
      <w:r>
        <w:rPr>
          <w:rFonts w:ascii="Times New Roman" w:hAnsi="Times New Roman" w:cs="Times New Roman" w:eastAsia="Times New Roman" w:hint="default"/>
          <w:spacing w:val="-1"/>
        </w:rPr>
        <w:t>4,200,000.00</w:t>
      </w:r>
      <w:r>
        <w:rPr>
          <w:spacing w:val="-1"/>
        </w:rPr>
        <w:t>元使用受到限制外，本公司不存在其他抵押、质押或冻结、或</w:t>
      </w:r>
      <w:r>
        <w:rPr>
          <w:spacing w:val="-73"/>
        </w:rPr>
        <w:t> </w:t>
      </w:r>
      <w:r>
        <w:rPr>
          <w:spacing w:val="-73"/>
        </w:rPr>
      </w:r>
      <w:r>
        <w:rPr/>
        <w:t>存放在境外且资金汇回受到限制的款项。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以公允价值计量且其变动计入当期损益的金融资产" w:id="233"/>
      <w:bookmarkEnd w:id="23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35"/>
      <w:bookmarkEnd w:id="235"/>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6,911,570.00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1,896,139,750.78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1,380,115,186.11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1,896,139,750.78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1,387,026,756.11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36"/>
      <w:bookmarkEnd w:id="23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6,911,570.00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6,911,570.00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账款" w:id="237"/>
      <w:bookmarkEnd w:id="23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34,076,7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94.13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34,076,7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94.13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1,928,56</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0,316.45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32,420,5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1,896,139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,750.78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98,916.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20,883,73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1,380,115,1</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sz w:val="18"/>
              </w:rPr>
              <w:t>86.11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602,553.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591,625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591,625.4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1,963,23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9,664.24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67,099,9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1,896,139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,750.78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1,401,5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90,542.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21,475,35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1,380,115,1</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sz w:val="18"/>
              </w:rPr>
              <w:t>86.11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34,076,794.13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34,076,794.13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多次催收未回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34,076,794.13</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34,076,794.13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1,479,743,075.06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390,443,930.30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19,522,196.50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1,870,187,005.36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19,522,196.50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55,770,303.07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11,154,060.61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1,717,398.97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858,699.51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885,609.05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885,609.05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1,928,560,316.45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32,420,565.67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Heading3"/>
        <w:spacing w:line="304" w:lineRule="exact" w:before="0"/>
        <w:ind w:right="0"/>
        <w:jc w:val="left"/>
      </w:pPr>
      <w:r>
        <w:rPr/>
        <w:t>期末单项金额不重大但单项计提坏账准备的应收账款</w:t>
      </w:r>
    </w:p>
    <w:p>
      <w:pPr>
        <w:spacing w:line="240" w:lineRule="auto" w:before="11"/>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2657"/>
        <w:gridCol w:w="2079"/>
        <w:gridCol w:w="1507"/>
        <w:gridCol w:w="1559"/>
        <w:gridCol w:w="1455"/>
      </w:tblGrid>
      <w:tr>
        <w:trPr>
          <w:trHeight w:val="349" w:hRule="exact"/>
        </w:trPr>
        <w:tc>
          <w:tcPr>
            <w:tcW w:w="2657"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应收账款（按单位）</w:t>
            </w:r>
            <w:r>
              <w:rPr>
                <w:rFonts w:ascii="宋体" w:hAnsi="宋体" w:cs="宋体" w:eastAsia="宋体" w:hint="default"/>
                <w:sz w:val="21"/>
                <w:szCs w:val="21"/>
              </w:rPr>
            </w:r>
          </w:p>
        </w:tc>
        <w:tc>
          <w:tcPr>
            <w:tcW w:w="207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380"/>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07"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77"/>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59" w:type="dxa"/>
            <w:tcBorders>
              <w:top w:val="single" w:sz="6" w:space="0" w:color="000000"/>
              <w:left w:val="nil" w:sz="6" w:space="0" w:color="auto"/>
              <w:bottom w:val="single" w:sz="8" w:space="0" w:color="000000"/>
              <w:right w:val="nil" w:sz="6" w:space="0" w:color="auto"/>
            </w:tcBorders>
          </w:tcPr>
          <w:p>
            <w:pPr>
              <w:pStyle w:val="TableParagraph"/>
              <w:spacing w:line="287" w:lineRule="exact"/>
              <w:ind w:right="185"/>
              <w:jc w:val="right"/>
              <w:rPr>
                <w:rFonts w:ascii="Times New Roman" w:hAnsi="Times New Roman" w:cs="Times New Roman" w:eastAsia="Times New Roman" w:hint="default"/>
                <w:sz w:val="21"/>
                <w:szCs w:val="21"/>
              </w:rPr>
            </w:pPr>
            <w:r>
              <w:rPr>
                <w:rFonts w:ascii="宋体" w:hAnsi="宋体" w:cs="宋体" w:eastAsia="宋体" w:hint="default"/>
                <w:b/>
                <w:bCs/>
                <w:w w:val="95"/>
                <w:sz w:val="21"/>
                <w:szCs w:val="21"/>
              </w:rPr>
              <w:t>计提比例</w:t>
            </w:r>
            <w:r>
              <w:rPr>
                <w:rFonts w:ascii="Times New Roman" w:hAnsi="Times New Roman" w:cs="Times New Roman" w:eastAsia="Times New Roman" w:hint="default"/>
                <w:b/>
                <w:bCs/>
                <w:w w:val="95"/>
                <w:sz w:val="21"/>
                <w:szCs w:val="21"/>
              </w:rPr>
              <w:t>(%)</w:t>
            </w:r>
            <w:r>
              <w:rPr>
                <w:rFonts w:ascii="Times New Roman" w:hAnsi="Times New Roman" w:cs="Times New Roman" w:eastAsia="Times New Roman" w:hint="default"/>
                <w:sz w:val="21"/>
                <w:szCs w:val="21"/>
              </w:rPr>
            </w:r>
          </w:p>
        </w:tc>
        <w:tc>
          <w:tcPr>
            <w:tcW w:w="145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347" w:hRule="exact"/>
        </w:trPr>
        <w:tc>
          <w:tcPr>
            <w:tcW w:w="2657"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单项计提单位</w:t>
            </w:r>
            <w:r>
              <w:rPr>
                <w:rFonts w:ascii="Times New Roman" w:hAnsi="Times New Roman" w:cs="Times New Roman" w:eastAsia="Times New Roman" w:hint="default"/>
                <w:sz w:val="21"/>
                <w:szCs w:val="21"/>
              </w:rPr>
              <w:t>2</w:t>
            </w:r>
          </w:p>
        </w:tc>
        <w:tc>
          <w:tcPr>
            <w:tcW w:w="207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81"/>
              <w:jc w:val="right"/>
              <w:rPr>
                <w:rFonts w:ascii="Times New Roman" w:hAnsi="Times New Roman" w:cs="Times New Roman" w:eastAsia="Times New Roman" w:hint="default"/>
                <w:sz w:val="21"/>
                <w:szCs w:val="21"/>
              </w:rPr>
            </w:pPr>
            <w:r>
              <w:rPr>
                <w:rFonts w:ascii="Times New Roman"/>
                <w:spacing w:val="-1"/>
                <w:sz w:val="21"/>
              </w:rPr>
              <w:t>429,946.00</w:t>
            </w:r>
          </w:p>
        </w:tc>
        <w:tc>
          <w:tcPr>
            <w:tcW w:w="1507"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78"/>
              <w:jc w:val="right"/>
              <w:rPr>
                <w:rFonts w:ascii="Times New Roman" w:hAnsi="Times New Roman" w:cs="Times New Roman" w:eastAsia="Times New Roman" w:hint="default"/>
                <w:sz w:val="21"/>
                <w:szCs w:val="21"/>
              </w:rPr>
            </w:pPr>
            <w:r>
              <w:rPr>
                <w:rFonts w:ascii="Times New Roman"/>
                <w:spacing w:val="-1"/>
                <w:sz w:val="21"/>
              </w:rPr>
              <w:t>429,946.00</w:t>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83"/>
              <w:jc w:val="right"/>
              <w:rPr>
                <w:rFonts w:ascii="Times New Roman" w:hAnsi="Times New Roman" w:cs="Times New Roman" w:eastAsia="Times New Roman" w:hint="default"/>
                <w:sz w:val="21"/>
                <w:szCs w:val="21"/>
              </w:rPr>
            </w:pPr>
            <w:r>
              <w:rPr>
                <w:rFonts w:ascii="Times New Roman"/>
                <w:sz w:val="21"/>
              </w:rPr>
              <w:t>100.00</w:t>
            </w:r>
          </w:p>
        </w:tc>
        <w:tc>
          <w:tcPr>
            <w:tcW w:w="145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hAnsi="宋体" w:cs="宋体" w:eastAsia="宋体" w:hint="default"/>
                <w:sz w:val="21"/>
                <w:szCs w:val="21"/>
              </w:rPr>
              <w:t>多次催收未回</w:t>
            </w:r>
          </w:p>
        </w:tc>
      </w:tr>
      <w:tr>
        <w:trPr>
          <w:trHeight w:val="347" w:hRule="exact"/>
        </w:trPr>
        <w:tc>
          <w:tcPr>
            <w:tcW w:w="2657"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单项计提单位</w:t>
            </w:r>
            <w:r>
              <w:rPr>
                <w:rFonts w:ascii="Times New Roman" w:hAnsi="Times New Roman" w:cs="Times New Roman" w:eastAsia="Times New Roman" w:hint="default"/>
                <w:sz w:val="21"/>
                <w:szCs w:val="21"/>
              </w:rPr>
              <w:t>3</w:t>
            </w:r>
          </w:p>
        </w:tc>
        <w:tc>
          <w:tcPr>
            <w:tcW w:w="207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81"/>
              <w:jc w:val="right"/>
              <w:rPr>
                <w:rFonts w:ascii="Times New Roman" w:hAnsi="Times New Roman" w:cs="Times New Roman" w:eastAsia="Times New Roman" w:hint="default"/>
                <w:sz w:val="21"/>
                <w:szCs w:val="21"/>
              </w:rPr>
            </w:pPr>
            <w:r>
              <w:rPr>
                <w:rFonts w:ascii="Times New Roman"/>
                <w:spacing w:val="-1"/>
                <w:sz w:val="21"/>
              </w:rPr>
              <w:t>172,607.66</w:t>
            </w:r>
          </w:p>
        </w:tc>
        <w:tc>
          <w:tcPr>
            <w:tcW w:w="1507"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78"/>
              <w:jc w:val="right"/>
              <w:rPr>
                <w:rFonts w:ascii="Times New Roman" w:hAnsi="Times New Roman" w:cs="Times New Roman" w:eastAsia="Times New Roman" w:hint="default"/>
                <w:sz w:val="21"/>
                <w:szCs w:val="21"/>
              </w:rPr>
            </w:pPr>
            <w:r>
              <w:rPr>
                <w:rFonts w:ascii="Times New Roman"/>
                <w:spacing w:val="-1"/>
                <w:sz w:val="21"/>
              </w:rPr>
              <w:t>172,607.66</w:t>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83"/>
              <w:jc w:val="right"/>
              <w:rPr>
                <w:rFonts w:ascii="Times New Roman" w:hAnsi="Times New Roman" w:cs="Times New Roman" w:eastAsia="Times New Roman" w:hint="default"/>
                <w:sz w:val="21"/>
                <w:szCs w:val="21"/>
              </w:rPr>
            </w:pPr>
            <w:r>
              <w:rPr>
                <w:rFonts w:ascii="Times New Roman"/>
                <w:sz w:val="21"/>
              </w:rPr>
              <w:t>100.00</w:t>
            </w:r>
          </w:p>
        </w:tc>
        <w:tc>
          <w:tcPr>
            <w:tcW w:w="145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hAnsi="宋体" w:cs="宋体" w:eastAsia="宋体" w:hint="default"/>
                <w:sz w:val="21"/>
                <w:szCs w:val="21"/>
              </w:rPr>
              <w:t>多次催收未回</w:t>
            </w:r>
          </w:p>
        </w:tc>
      </w:tr>
      <w:tr>
        <w:trPr>
          <w:trHeight w:val="348" w:hRule="exact"/>
        </w:trPr>
        <w:tc>
          <w:tcPr>
            <w:tcW w:w="265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79"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381"/>
              <w:jc w:val="right"/>
              <w:rPr>
                <w:rFonts w:ascii="Times New Roman" w:hAnsi="Times New Roman" w:cs="Times New Roman" w:eastAsia="Times New Roman" w:hint="default"/>
                <w:sz w:val="21"/>
                <w:szCs w:val="21"/>
              </w:rPr>
            </w:pPr>
            <w:r>
              <w:rPr>
                <w:rFonts w:ascii="Times New Roman"/>
                <w:b/>
                <w:spacing w:val="-1"/>
                <w:sz w:val="21"/>
              </w:rPr>
              <w:t>602,553.66</w:t>
            </w:r>
            <w:r>
              <w:rPr>
                <w:rFonts w:ascii="Times New Roman"/>
                <w:spacing w:val="-1"/>
                <w:sz w:val="21"/>
              </w:rPr>
            </w:r>
          </w:p>
        </w:tc>
        <w:tc>
          <w:tcPr>
            <w:tcW w:w="1507"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78"/>
              <w:jc w:val="right"/>
              <w:rPr>
                <w:rFonts w:ascii="Times New Roman" w:hAnsi="Times New Roman" w:cs="Times New Roman" w:eastAsia="Times New Roman" w:hint="default"/>
                <w:sz w:val="21"/>
                <w:szCs w:val="21"/>
              </w:rPr>
            </w:pPr>
            <w:r>
              <w:rPr>
                <w:rFonts w:ascii="Times New Roman"/>
                <w:b/>
                <w:spacing w:val="-1"/>
                <w:sz w:val="21"/>
              </w:rPr>
              <w:t>602,553.66</w:t>
            </w:r>
            <w:r>
              <w:rPr>
                <w:rFonts w:ascii="Times New Roman"/>
                <w:spacing w:val="-1"/>
                <w:sz w:val="21"/>
              </w:rPr>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8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55"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4"/>
        <w:ind w:right="-18"/>
        <w:jc w:val="left"/>
      </w:pPr>
      <w:r>
        <w:rPr/>
        <w:t>本期计提坏账准备金额</w:t>
      </w:r>
      <w:r>
        <w:rPr>
          <w:spacing w:val="-47"/>
        </w:rPr>
        <w:t> </w:t>
      </w:r>
      <w:r>
        <w:rPr>
          <w:rFonts w:ascii="Times New Roman" w:hAnsi="Times New Roman" w:cs="Times New Roman" w:eastAsia="Times New Roman" w:hint="default"/>
        </w:rPr>
        <w:t>45,678,996.66</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139" w:space="269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54,439.11</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13"/>
          <w:szCs w:val="13"/>
        </w:rPr>
      </w:pPr>
    </w:p>
    <w:p>
      <w:pPr>
        <w:pStyle w:val="BodyText"/>
        <w:spacing w:line="300" w:lineRule="auto"/>
        <w:ind w:right="0"/>
        <w:jc w:val="left"/>
      </w:pPr>
      <w:r>
        <w:rPr/>
        <w:t>本期按欠款方归集的期末余额前五名应收账款汇总金额</w:t>
      </w:r>
      <w:r>
        <w:rPr>
          <w:rFonts w:ascii="Times New Roman" w:hAnsi="Times New Roman" w:cs="Times New Roman" w:eastAsia="Times New Roman" w:hint="default"/>
        </w:rPr>
        <w:t>602,109,355.32</w:t>
      </w:r>
      <w:r>
        <w:rPr/>
        <w:t>元，占应收账款期末余额合计数的比例</w:t>
      </w:r>
      <w:r>
        <w:rPr>
          <w:rFonts w:ascii="Times New Roman" w:hAnsi="Times New Roman" w:cs="Times New Roman" w:eastAsia="Times New Roman" w:hint="default"/>
        </w:rPr>
        <w:t>30.67%</w:t>
      </w:r>
      <w:r>
        <w:rPr/>
        <w:t>，相应</w:t>
      </w:r>
      <w:r>
        <w:rPr>
          <w:spacing w:val="-61"/>
        </w:rPr>
        <w:t> </w:t>
      </w:r>
      <w:r>
        <w:rPr>
          <w:spacing w:val="-61"/>
        </w:rPr>
      </w:r>
      <w:r>
        <w:rPr/>
        <w:t>计提的坏账准备期末余额汇总金额</w:t>
      </w:r>
      <w:r>
        <w:rPr>
          <w:rFonts w:ascii="Times New Roman" w:hAnsi="Times New Roman" w:cs="Times New Roman" w:eastAsia="Times New Roman" w:hint="default"/>
        </w:rPr>
        <w:t>3,584,882.49</w:t>
      </w:r>
      <w:r>
        <w:rPr/>
        <w:t>元。</w:t>
      </w:r>
    </w:p>
    <w:p>
      <w:pPr>
        <w:spacing w:after="0" w:line="30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5、预付款项" w:id="238"/>
      <w:bookmarkEnd w:id="23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176,971,754.93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180,225,319.50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5,609,307.61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3,570,236.62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122,706.62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182,703,769.16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183,795,556.12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本期按预付对象归集的期末余额前五名预付款项汇总金额</w:t>
      </w:r>
      <w:r>
        <w:rPr>
          <w:rFonts w:ascii="Times New Roman" w:hAnsi="Times New Roman" w:cs="Times New Roman" w:eastAsia="Times New Roman" w:hint="default"/>
        </w:rPr>
        <w:t>150,098,819.29</w:t>
      </w:r>
      <w:r>
        <w:rPr/>
        <w:t>元，占预付款项期末余额合计数的比例</w:t>
      </w:r>
      <w:r>
        <w:rPr>
          <w:rFonts w:ascii="Times New Roman" w:hAnsi="Times New Roman" w:cs="Times New Roman" w:eastAsia="Times New Roman" w:hint="default"/>
        </w:rPr>
        <w:t>82.15%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应收款" w:id="241"/>
      <w:bookmarkEnd w:id="24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2,080,859.72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256,737.48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231,013,533.70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244,346,180.02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233,094,393.42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244,602,917.50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42"/>
      <w:bookmarkEnd w:id="24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2,080,859.72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256,737.48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2,080,859.72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256,737.48</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243"/>
      <w:bookmarkEnd w:id="24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244"/>
      <w:bookmarkEnd w:id="24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6,850,00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6,850,00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231,375,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791.67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362,257.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231,013,5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33.70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244,710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,891.90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244,346,18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238,225,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791.67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7,212,25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231,013,5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33.70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244,710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,891.90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244,346,18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1,955,814.85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204,971.94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2,160,786.79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1,093,326.76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218,665.36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151,435.53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75,717.77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57,186.25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57,186.25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3,462,735.33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361,817.97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1374"/>
        <w:jc w:val="left"/>
      </w:pPr>
      <w:r>
        <w:rPr/>
        <w:t>确定该组合依据的说明： 组合中，采用余额百分比法计提坏账准备的其他应收款：</w:t>
      </w:r>
    </w:p>
    <w:p>
      <w:pPr>
        <w:pStyle w:val="BodyText"/>
        <w:spacing w:line="340" w:lineRule="auto" w:before="26"/>
        <w:ind w:right="1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37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7"/>
        </w:rPr>
        <w:t> </w:t>
      </w:r>
      <w:r>
        <w:rPr>
          <w:rFonts w:ascii="Times New Roman" w:hAnsi="Times New Roman" w:cs="Times New Roman" w:eastAsia="Times New Roman" w:hint="default"/>
        </w:rPr>
        <w:t>7,268,922.42</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421,376.33</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231,763,056.34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235,393,284.98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4,331,189.28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2,967,588.05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117,978.47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2,082,600.69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6,232,040.40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238,225,791.67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244,710,891.90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74,682,728.40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42,631,364.42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22,722,806.83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196,524,399.65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82.50%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7、存货" w:id="245"/>
      <w:bookmarkEnd w:id="245"/>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48"/>
      <w:bookmarkEnd w:id="24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49"/>
      <w:bookmarkEnd w:id="24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持有待售资产" w:id="250"/>
      <w:bookmarkEnd w:id="250"/>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51"/>
      <w:bookmarkEnd w:id="25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一年内到期的发放贷款及垫款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171,341,592.85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61,705,940.60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171,341,592.85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61,705,940.60</w:t>
            </w:r>
          </w:p>
        </w:tc>
      </w:tr>
    </w:tbl>
    <w:p>
      <w:pPr>
        <w:pStyle w:val="BodyText"/>
        <w:spacing w:line="240" w:lineRule="auto" w:before="51"/>
        <w:ind w:right="0"/>
        <w:jc w:val="left"/>
      </w:pPr>
      <w:r>
        <w:rPr/>
        <w:t>其他说明：</w:t>
      </w:r>
    </w:p>
    <w:p>
      <w:pPr>
        <w:pStyle w:val="Heading3"/>
        <w:spacing w:line="240" w:lineRule="auto" w:before="146"/>
        <w:ind w:right="0"/>
        <w:jc w:val="left"/>
      </w:pPr>
      <w:r>
        <w:rPr/>
        <w:t>（</w:t>
      </w:r>
      <w:r>
        <w:rPr>
          <w:rFonts w:ascii="Times New Roman" w:hAnsi="Times New Roman" w:cs="Times New Roman" w:eastAsia="Times New Roman" w:hint="default"/>
        </w:rPr>
        <w:t>1</w:t>
      </w:r>
      <w:r>
        <w:rPr/>
        <w:t>）按个人和企业分布情况</w:t>
      </w:r>
    </w:p>
    <w:p>
      <w:pPr>
        <w:spacing w:line="240" w:lineRule="auto" w:before="12"/>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4217"/>
        <w:gridCol w:w="3268"/>
        <w:gridCol w:w="1590"/>
      </w:tblGrid>
      <w:tr>
        <w:trPr>
          <w:trHeight w:val="349" w:hRule="exact"/>
        </w:trPr>
        <w:tc>
          <w:tcPr>
            <w:tcW w:w="4217"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8"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right="544"/>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90"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个人贷款及垫款</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131,440,000.00</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57,954,510.03</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300"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131,440,000.00</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57,954,510.03</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企业贷款及垫款</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43,179,546.89</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4,691,114.94</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300"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43,179,546.89</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4,691,114.94</w:t>
            </w:r>
          </w:p>
        </w:tc>
      </w:tr>
      <w:tr>
        <w:trPr>
          <w:trHeight w:val="348"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贷款及垫款总额</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174,619,546.89</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62,645,624.97</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543"/>
              <w:jc w:val="right"/>
              <w:rPr>
                <w:rFonts w:ascii="Times New Roman" w:hAnsi="Times New Roman" w:cs="Times New Roman" w:eastAsia="Times New Roman" w:hint="default"/>
                <w:sz w:val="18"/>
                <w:szCs w:val="18"/>
              </w:rPr>
            </w:pPr>
            <w:r>
              <w:rPr>
                <w:rFonts w:ascii="Times New Roman"/>
                <w:spacing w:val="-1"/>
                <w:sz w:val="18"/>
              </w:rPr>
              <w:t>2,619,293.20</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z w:val="18"/>
              </w:rPr>
              <w:t>939,684.37</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300" w:right="0"/>
              <w:jc w:val="left"/>
              <w:rPr>
                <w:rFonts w:ascii="宋体" w:hAnsi="宋体" w:cs="宋体" w:eastAsia="宋体" w:hint="default"/>
                <w:sz w:val="18"/>
                <w:szCs w:val="18"/>
              </w:rPr>
            </w:pPr>
            <w:r>
              <w:rPr>
                <w:rFonts w:ascii="宋体" w:hAnsi="宋体" w:cs="宋体" w:eastAsia="宋体" w:hint="default"/>
                <w:sz w:val="18"/>
                <w:szCs w:val="18"/>
              </w:rPr>
              <w:t>其中：单项计提数</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732" w:right="0"/>
              <w:jc w:val="left"/>
              <w:rPr>
                <w:rFonts w:ascii="宋体" w:hAnsi="宋体" w:cs="宋体" w:eastAsia="宋体" w:hint="default"/>
                <w:sz w:val="18"/>
                <w:szCs w:val="18"/>
              </w:rPr>
            </w:pPr>
            <w:r>
              <w:rPr>
                <w:rFonts w:ascii="宋体" w:hAnsi="宋体" w:cs="宋体" w:eastAsia="宋体" w:hint="default"/>
                <w:sz w:val="18"/>
                <w:szCs w:val="18"/>
              </w:rPr>
              <w:t>组合计提数</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2,619,293.20</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z w:val="18"/>
              </w:rPr>
              <w:t>939,684.37</w:t>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543"/>
              <w:jc w:val="right"/>
              <w:rPr>
                <w:rFonts w:ascii="Times New Roman" w:hAnsi="Times New Roman" w:cs="Times New Roman" w:eastAsia="Times New Roman" w:hint="default"/>
                <w:sz w:val="18"/>
                <w:szCs w:val="18"/>
              </w:rPr>
            </w:pPr>
            <w:r>
              <w:rPr>
                <w:rFonts w:ascii="Times New Roman"/>
                <w:b/>
                <w:spacing w:val="-1"/>
                <w:sz w:val="18"/>
              </w:rPr>
              <w:t>172,000,253.69</w:t>
            </w:r>
            <w:r>
              <w:rPr>
                <w:rFonts w:ascii="Times New Roman"/>
                <w:spacing w:val="-1"/>
                <w:sz w:val="18"/>
              </w:rPr>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b/>
                <w:spacing w:val="-1"/>
                <w:sz w:val="18"/>
              </w:rPr>
              <w:t>61,705,940.60</w:t>
            </w:r>
            <w:r>
              <w:rPr>
                <w:rFonts w:ascii="Times New Roman"/>
                <w:spacing w:val="-1"/>
                <w:sz w:val="18"/>
              </w:rPr>
            </w:r>
          </w:p>
        </w:tc>
      </w:tr>
      <w:tr>
        <w:trPr>
          <w:trHeight w:val="347"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年内到期的发放贷款及垫款</w:t>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43"/>
              <w:jc w:val="right"/>
              <w:rPr>
                <w:rFonts w:ascii="Times New Roman" w:hAnsi="Times New Roman" w:cs="Times New Roman" w:eastAsia="Times New Roman" w:hint="default"/>
                <w:sz w:val="18"/>
                <w:szCs w:val="18"/>
              </w:rPr>
            </w:pPr>
            <w:r>
              <w:rPr>
                <w:rFonts w:ascii="Times New Roman"/>
                <w:spacing w:val="-1"/>
                <w:sz w:val="18"/>
              </w:rPr>
              <w:t>171,341,592.85</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61,705,940.60</w:t>
            </w:r>
          </w:p>
        </w:tc>
      </w:tr>
      <w:tr>
        <w:trPr>
          <w:trHeight w:val="348" w:hRule="exact"/>
        </w:trPr>
        <w:tc>
          <w:tcPr>
            <w:tcW w:w="421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b/>
                <w:bCs/>
                <w:sz w:val="18"/>
                <w:szCs w:val="18"/>
              </w:rPr>
              <w:t>贷款及垫款账面价值</w:t>
            </w:r>
            <w:r>
              <w:rPr>
                <w:rFonts w:ascii="宋体" w:hAnsi="宋体" w:cs="宋体" w:eastAsia="宋体" w:hint="default"/>
                <w:sz w:val="18"/>
                <w:szCs w:val="18"/>
              </w:rPr>
            </w:r>
          </w:p>
        </w:tc>
        <w:tc>
          <w:tcPr>
            <w:tcW w:w="326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543"/>
              <w:jc w:val="right"/>
              <w:rPr>
                <w:rFonts w:ascii="Times New Roman" w:hAnsi="Times New Roman" w:cs="Times New Roman" w:eastAsia="Times New Roman" w:hint="default"/>
                <w:sz w:val="18"/>
                <w:szCs w:val="18"/>
              </w:rPr>
            </w:pPr>
            <w:r>
              <w:rPr>
                <w:rFonts w:ascii="Times New Roman"/>
                <w:b/>
                <w:sz w:val="18"/>
              </w:rPr>
              <w:t>658,660.84</w:t>
            </w:r>
            <w:r>
              <w:rPr>
                <w:rFonts w:ascii="Times New Roman"/>
                <w:sz w:val="18"/>
              </w:rPr>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Heading3"/>
        <w:spacing w:line="240" w:lineRule="auto"/>
        <w:ind w:right="0"/>
        <w:jc w:val="left"/>
      </w:pPr>
      <w:r>
        <w:rPr/>
        <w:t>（</w:t>
      </w:r>
      <w:r>
        <w:rPr>
          <w:rFonts w:ascii="Times New Roman" w:hAnsi="Times New Roman" w:cs="Times New Roman" w:eastAsia="Times New Roman" w:hint="default"/>
        </w:rPr>
        <w:t>2</w:t>
      </w:r>
      <w:r>
        <w:rPr/>
        <w:t>）按行业分布情况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26407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39" w:type="dxa"/>
        <w:tblLayout w:type="fixed"/>
        <w:tblCellMar>
          <w:top w:w="0" w:type="dxa"/>
          <w:left w:w="0" w:type="dxa"/>
          <w:bottom w:w="0" w:type="dxa"/>
          <w:right w:w="0" w:type="dxa"/>
        </w:tblCellMar>
        <w:tblLook w:val="01E0"/>
      </w:tblPr>
      <w:tblGrid>
        <w:gridCol w:w="3020"/>
        <w:gridCol w:w="1928"/>
        <w:gridCol w:w="1302"/>
        <w:gridCol w:w="1828"/>
        <w:gridCol w:w="1059"/>
      </w:tblGrid>
      <w:tr>
        <w:trPr>
          <w:trHeight w:val="684" w:hRule="exact"/>
        </w:trPr>
        <w:tc>
          <w:tcPr>
            <w:tcW w:w="302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行业</w:t>
            </w:r>
            <w:r>
              <w:rPr>
                <w:rFonts w:ascii="宋体" w:hAnsi="宋体" w:cs="宋体" w:eastAsia="宋体" w:hint="default"/>
                <w:sz w:val="18"/>
                <w:szCs w:val="18"/>
              </w:rPr>
            </w:r>
          </w:p>
        </w:tc>
        <w:tc>
          <w:tcPr>
            <w:tcW w:w="1928"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236"/>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302" w:type="dxa"/>
            <w:tcBorders>
              <w:top w:val="single" w:sz="6" w:space="0" w:color="000000"/>
              <w:left w:val="nil" w:sz="6" w:space="0" w:color="auto"/>
              <w:bottom w:val="single" w:sz="8" w:space="0" w:color="000000"/>
              <w:right w:val="nil" w:sz="6" w:space="0" w:color="auto"/>
            </w:tcBorders>
          </w:tcPr>
          <w:p>
            <w:pPr/>
          </w:p>
        </w:tc>
        <w:tc>
          <w:tcPr>
            <w:tcW w:w="1828"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307"/>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59"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3020" w:type="dxa"/>
            <w:tcBorders>
              <w:top w:val="nil" w:sz="6" w:space="0" w:color="auto"/>
              <w:left w:val="nil" w:sz="6" w:space="0" w:color="auto"/>
              <w:bottom w:val="single" w:sz="8" w:space="0" w:color="000000"/>
              <w:right w:val="nil" w:sz="6" w:space="0" w:color="auto"/>
            </w:tcBorders>
          </w:tcPr>
          <w:p>
            <w:pP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234"/>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30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403"/>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388"/>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059"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r>
      <w:tr>
        <w:trPr>
          <w:trHeight w:val="348" w:hRule="exact"/>
        </w:trPr>
        <w:tc>
          <w:tcPr>
            <w:tcW w:w="302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5"/>
              <w:jc w:val="right"/>
              <w:rPr>
                <w:rFonts w:ascii="Times New Roman" w:hAnsi="Times New Roman" w:cs="Times New Roman" w:eastAsia="Times New Roman" w:hint="default"/>
                <w:sz w:val="18"/>
                <w:szCs w:val="18"/>
              </w:rPr>
            </w:pPr>
            <w:r>
              <w:rPr>
                <w:rFonts w:ascii="Times New Roman"/>
                <w:spacing w:val="-1"/>
                <w:sz w:val="18"/>
              </w:rPr>
              <w:t>43,179,546.89</w:t>
            </w:r>
          </w:p>
        </w:tc>
        <w:tc>
          <w:tcPr>
            <w:tcW w:w="130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402"/>
              <w:jc w:val="right"/>
              <w:rPr>
                <w:rFonts w:ascii="Times New Roman" w:hAnsi="Times New Roman" w:cs="Times New Roman" w:eastAsia="Times New Roman" w:hint="default"/>
                <w:sz w:val="18"/>
                <w:szCs w:val="18"/>
              </w:rPr>
            </w:pPr>
            <w:r>
              <w:rPr>
                <w:rFonts w:ascii="Times New Roman"/>
                <w:sz w:val="18"/>
              </w:rPr>
              <w:t>24.73</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94" w:right="0"/>
              <w:jc w:val="left"/>
              <w:rPr>
                <w:rFonts w:ascii="Times New Roman" w:hAnsi="Times New Roman" w:cs="Times New Roman" w:eastAsia="Times New Roman" w:hint="default"/>
                <w:sz w:val="18"/>
                <w:szCs w:val="18"/>
              </w:rPr>
            </w:pPr>
            <w:r>
              <w:rPr>
                <w:rFonts w:ascii="Times New Roman"/>
                <w:sz w:val="18"/>
              </w:rPr>
              <w:t>4,691,114.94</w:t>
            </w:r>
          </w:p>
        </w:tc>
        <w:tc>
          <w:tcPr>
            <w:tcW w:w="105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7.49</w:t>
            </w:r>
          </w:p>
        </w:tc>
      </w:tr>
      <w:tr>
        <w:trPr>
          <w:trHeight w:val="347" w:hRule="exact"/>
        </w:trPr>
        <w:tc>
          <w:tcPr>
            <w:tcW w:w="302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个人贷款</w:t>
            </w: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35"/>
              <w:jc w:val="right"/>
              <w:rPr>
                <w:rFonts w:ascii="Times New Roman" w:hAnsi="Times New Roman" w:cs="Times New Roman" w:eastAsia="Times New Roman" w:hint="default"/>
                <w:sz w:val="18"/>
                <w:szCs w:val="18"/>
              </w:rPr>
            </w:pPr>
            <w:r>
              <w:rPr>
                <w:rFonts w:ascii="Times New Roman"/>
                <w:spacing w:val="-1"/>
                <w:sz w:val="18"/>
              </w:rPr>
              <w:t>131,440,000.00</w:t>
            </w:r>
          </w:p>
        </w:tc>
        <w:tc>
          <w:tcPr>
            <w:tcW w:w="130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402"/>
              <w:jc w:val="right"/>
              <w:rPr>
                <w:rFonts w:ascii="Times New Roman" w:hAnsi="Times New Roman" w:cs="Times New Roman" w:eastAsia="Times New Roman" w:hint="default"/>
                <w:sz w:val="18"/>
                <w:szCs w:val="18"/>
              </w:rPr>
            </w:pPr>
            <w:r>
              <w:rPr>
                <w:rFonts w:ascii="Times New Roman"/>
                <w:sz w:val="18"/>
              </w:rPr>
              <w:t>75.27</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404" w:right="0"/>
              <w:jc w:val="left"/>
              <w:rPr>
                <w:rFonts w:ascii="Times New Roman" w:hAnsi="Times New Roman" w:cs="Times New Roman" w:eastAsia="Times New Roman" w:hint="default"/>
                <w:sz w:val="18"/>
                <w:szCs w:val="18"/>
              </w:rPr>
            </w:pPr>
            <w:r>
              <w:rPr>
                <w:rFonts w:ascii="Times New Roman"/>
                <w:sz w:val="18"/>
              </w:rPr>
              <w:t>57,954,510.03</w:t>
            </w:r>
          </w:p>
        </w:tc>
        <w:tc>
          <w:tcPr>
            <w:tcW w:w="1059"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6"/>
              <w:jc w:val="right"/>
              <w:rPr>
                <w:rFonts w:ascii="Times New Roman" w:hAnsi="Times New Roman" w:cs="Times New Roman" w:eastAsia="Times New Roman" w:hint="default"/>
                <w:sz w:val="18"/>
                <w:szCs w:val="18"/>
              </w:rPr>
            </w:pPr>
            <w:r>
              <w:rPr>
                <w:rFonts w:ascii="Times New Roman"/>
                <w:sz w:val="18"/>
              </w:rPr>
              <w:t>92.51</w:t>
            </w:r>
          </w:p>
        </w:tc>
      </w:tr>
      <w:tr>
        <w:trPr>
          <w:trHeight w:val="347" w:hRule="exact"/>
        </w:trPr>
        <w:tc>
          <w:tcPr>
            <w:tcW w:w="302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贷款及垫款总额</w:t>
            </w: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5"/>
              <w:jc w:val="right"/>
              <w:rPr>
                <w:rFonts w:ascii="Times New Roman" w:hAnsi="Times New Roman" w:cs="Times New Roman" w:eastAsia="Times New Roman" w:hint="default"/>
                <w:sz w:val="18"/>
                <w:szCs w:val="18"/>
              </w:rPr>
            </w:pPr>
            <w:r>
              <w:rPr>
                <w:rFonts w:ascii="Times New Roman"/>
                <w:spacing w:val="-1"/>
                <w:sz w:val="18"/>
              </w:rPr>
              <w:t>174,619,546.89</w:t>
            </w:r>
          </w:p>
        </w:tc>
        <w:tc>
          <w:tcPr>
            <w:tcW w:w="130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402"/>
              <w:jc w:val="right"/>
              <w:rPr>
                <w:rFonts w:ascii="Times New Roman" w:hAnsi="Times New Roman" w:cs="Times New Roman" w:eastAsia="Times New Roman" w:hint="default"/>
                <w:sz w:val="18"/>
                <w:szCs w:val="18"/>
              </w:rPr>
            </w:pPr>
            <w:r>
              <w:rPr>
                <w:rFonts w:ascii="Times New Roman"/>
                <w:sz w:val="18"/>
              </w:rPr>
              <w:t>100.00</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04" w:right="0"/>
              <w:jc w:val="left"/>
              <w:rPr>
                <w:rFonts w:ascii="Times New Roman" w:hAnsi="Times New Roman" w:cs="Times New Roman" w:eastAsia="Times New Roman" w:hint="default"/>
                <w:sz w:val="18"/>
                <w:szCs w:val="18"/>
              </w:rPr>
            </w:pPr>
            <w:r>
              <w:rPr>
                <w:rFonts w:ascii="Times New Roman"/>
                <w:sz w:val="18"/>
              </w:rPr>
              <w:t>62,645,624.97</w:t>
            </w:r>
          </w:p>
        </w:tc>
        <w:tc>
          <w:tcPr>
            <w:tcW w:w="105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2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3"/>
              <w:jc w:val="right"/>
              <w:rPr>
                <w:rFonts w:ascii="Times New Roman" w:hAnsi="Times New Roman" w:cs="Times New Roman" w:eastAsia="Times New Roman" w:hint="default"/>
                <w:sz w:val="18"/>
                <w:szCs w:val="18"/>
              </w:rPr>
            </w:pPr>
            <w:r>
              <w:rPr>
                <w:rFonts w:ascii="Times New Roman"/>
                <w:spacing w:val="-1"/>
                <w:sz w:val="18"/>
              </w:rPr>
              <w:t>2,619,293.20</w:t>
            </w:r>
          </w:p>
        </w:tc>
        <w:tc>
          <w:tcPr>
            <w:tcW w:w="130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402"/>
              <w:jc w:val="right"/>
              <w:rPr>
                <w:rFonts w:ascii="Times New Roman" w:hAnsi="Times New Roman" w:cs="Times New Roman" w:eastAsia="Times New Roman" w:hint="default"/>
                <w:sz w:val="18"/>
                <w:szCs w:val="18"/>
              </w:rPr>
            </w:pPr>
            <w:r>
              <w:rPr>
                <w:rFonts w:ascii="Times New Roman"/>
                <w:sz w:val="18"/>
              </w:rPr>
              <w:t>1.50</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28" w:right="0"/>
              <w:jc w:val="left"/>
              <w:rPr>
                <w:rFonts w:ascii="Times New Roman" w:hAnsi="Times New Roman" w:cs="Times New Roman" w:eastAsia="Times New Roman" w:hint="default"/>
                <w:sz w:val="18"/>
                <w:szCs w:val="18"/>
              </w:rPr>
            </w:pPr>
            <w:r>
              <w:rPr>
                <w:rFonts w:ascii="Times New Roman"/>
                <w:sz w:val="18"/>
              </w:rPr>
              <w:t>939,684.37</w:t>
            </w:r>
          </w:p>
        </w:tc>
        <w:tc>
          <w:tcPr>
            <w:tcW w:w="105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1.50</w:t>
            </w:r>
          </w:p>
        </w:tc>
      </w:tr>
      <w:tr>
        <w:trPr>
          <w:trHeight w:val="348" w:hRule="exact"/>
        </w:trPr>
        <w:tc>
          <w:tcPr>
            <w:tcW w:w="302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35"/>
              <w:jc w:val="right"/>
              <w:rPr>
                <w:rFonts w:ascii="Times New Roman" w:hAnsi="Times New Roman" w:cs="Times New Roman" w:eastAsia="Times New Roman" w:hint="default"/>
                <w:sz w:val="18"/>
                <w:szCs w:val="18"/>
              </w:rPr>
            </w:pPr>
            <w:r>
              <w:rPr>
                <w:rFonts w:ascii="Times New Roman"/>
                <w:b/>
                <w:spacing w:val="-1"/>
                <w:sz w:val="18"/>
              </w:rPr>
              <w:t>172,000,253.69</w:t>
            </w:r>
            <w:r>
              <w:rPr>
                <w:rFonts w:ascii="Times New Roman"/>
                <w:spacing w:val="-1"/>
                <w:sz w:val="18"/>
              </w:rPr>
            </w:r>
          </w:p>
        </w:tc>
        <w:tc>
          <w:tcPr>
            <w:tcW w:w="130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404" w:right="0"/>
              <w:jc w:val="left"/>
              <w:rPr>
                <w:rFonts w:ascii="Times New Roman" w:hAnsi="Times New Roman" w:cs="Times New Roman" w:eastAsia="Times New Roman" w:hint="default"/>
                <w:sz w:val="18"/>
                <w:szCs w:val="18"/>
              </w:rPr>
            </w:pPr>
            <w:r>
              <w:rPr>
                <w:rFonts w:ascii="Times New Roman"/>
                <w:b/>
                <w:sz w:val="18"/>
              </w:rPr>
              <w:t>61,705,940.60</w:t>
            </w:r>
            <w:r>
              <w:rPr>
                <w:rFonts w:ascii="Times New Roman"/>
                <w:sz w:val="18"/>
              </w:rPr>
            </w:r>
          </w:p>
        </w:tc>
        <w:tc>
          <w:tcPr>
            <w:tcW w:w="105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pStyle w:val="Heading3"/>
        <w:spacing w:line="240" w:lineRule="auto"/>
        <w:ind w:right="0"/>
        <w:jc w:val="left"/>
      </w:pPr>
      <w:r>
        <w:rPr/>
        <w:t>（</w:t>
      </w:r>
      <w:r>
        <w:rPr>
          <w:rFonts w:ascii="Times New Roman" w:hAnsi="Times New Roman" w:cs="Times New Roman" w:eastAsia="Times New Roman" w:hint="default"/>
        </w:rPr>
        <w:t>3</w:t>
      </w:r>
      <w:r>
        <w:rPr/>
        <w:t>）按地区分布情况</w:t>
      </w:r>
    </w:p>
    <w:p>
      <w:pPr>
        <w:spacing w:line="240" w:lineRule="auto" w:before="12"/>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3023"/>
        <w:gridCol w:w="1927"/>
        <w:gridCol w:w="1274"/>
        <w:gridCol w:w="1856"/>
        <w:gridCol w:w="1061"/>
      </w:tblGrid>
      <w:tr>
        <w:trPr>
          <w:trHeight w:val="349" w:hRule="exact"/>
        </w:trPr>
        <w:tc>
          <w:tcPr>
            <w:tcW w:w="302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1927"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235"/>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274" w:type="dxa"/>
            <w:tcBorders>
              <w:top w:val="single" w:sz="6" w:space="0" w:color="000000"/>
              <w:left w:val="nil" w:sz="6" w:space="0" w:color="auto"/>
              <w:bottom w:val="single" w:sz="8" w:space="0" w:color="000000"/>
              <w:right w:val="nil" w:sz="6" w:space="0" w:color="auto"/>
            </w:tcBorders>
          </w:tcPr>
          <w:p>
            <w:pPr/>
          </w:p>
        </w:tc>
        <w:tc>
          <w:tcPr>
            <w:tcW w:w="185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1003"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61"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3023" w:type="dxa"/>
            <w:tcBorders>
              <w:top w:val="nil" w:sz="6" w:space="0" w:color="auto"/>
              <w:left w:val="nil" w:sz="6" w:space="0" w:color="auto"/>
              <w:bottom w:val="single" w:sz="8" w:space="0" w:color="000000"/>
              <w:right w:val="nil" w:sz="6" w:space="0" w:color="auto"/>
            </w:tcBorders>
          </w:tcPr>
          <w:p>
            <w:pP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288"/>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375"/>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68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r>
      <w:tr>
        <w:trPr>
          <w:trHeight w:val="347" w:hRule="exact"/>
        </w:trPr>
        <w:tc>
          <w:tcPr>
            <w:tcW w:w="302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华北及东北</w:t>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3"/>
              <w:jc w:val="right"/>
              <w:rPr>
                <w:rFonts w:ascii="Times New Roman" w:hAnsi="Times New Roman" w:cs="Times New Roman" w:eastAsia="Times New Roman" w:hint="default"/>
                <w:sz w:val="18"/>
                <w:szCs w:val="18"/>
              </w:rPr>
            </w:pPr>
            <w:r>
              <w:rPr>
                <w:rFonts w:ascii="Times New Roman"/>
                <w:spacing w:val="-1"/>
                <w:sz w:val="18"/>
              </w:rPr>
              <w:t>122,033,113.92</w:t>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74"/>
              <w:jc w:val="right"/>
              <w:rPr>
                <w:rFonts w:ascii="Times New Roman" w:hAnsi="Times New Roman" w:cs="Times New Roman" w:eastAsia="Times New Roman" w:hint="default"/>
                <w:sz w:val="18"/>
                <w:szCs w:val="18"/>
              </w:rPr>
            </w:pPr>
            <w:r>
              <w:rPr>
                <w:rFonts w:ascii="Times New Roman"/>
                <w:sz w:val="18"/>
              </w:rPr>
              <w:t>69.89</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376" w:right="0"/>
              <w:jc w:val="left"/>
              <w:rPr>
                <w:rFonts w:ascii="Times New Roman" w:hAnsi="Times New Roman" w:cs="Times New Roman" w:eastAsia="Times New Roman" w:hint="default"/>
                <w:sz w:val="18"/>
                <w:szCs w:val="18"/>
              </w:rPr>
            </w:pPr>
            <w:r>
              <w:rPr>
                <w:rFonts w:ascii="Times New Roman"/>
                <w:sz w:val="18"/>
              </w:rPr>
              <w:t>62,645,624.97</w:t>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02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3"/>
              <w:jc w:val="right"/>
              <w:rPr>
                <w:rFonts w:ascii="Times New Roman" w:hAnsi="Times New Roman" w:cs="Times New Roman" w:eastAsia="Times New Roman" w:hint="default"/>
                <w:sz w:val="18"/>
                <w:szCs w:val="18"/>
              </w:rPr>
            </w:pPr>
            <w:r>
              <w:rPr>
                <w:rFonts w:ascii="Times New Roman"/>
                <w:spacing w:val="-1"/>
                <w:sz w:val="18"/>
              </w:rPr>
              <w:t>27,586,432.97</w:t>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74"/>
              <w:jc w:val="right"/>
              <w:rPr>
                <w:rFonts w:ascii="Times New Roman" w:hAnsi="Times New Roman" w:cs="Times New Roman" w:eastAsia="Times New Roman" w:hint="default"/>
                <w:sz w:val="18"/>
                <w:szCs w:val="18"/>
              </w:rPr>
            </w:pPr>
            <w:r>
              <w:rPr>
                <w:rFonts w:ascii="Times New Roman"/>
                <w:sz w:val="18"/>
              </w:rPr>
              <w:t>15.80</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442"/>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023"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33"/>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374"/>
              <w:jc w:val="right"/>
              <w:rPr>
                <w:rFonts w:ascii="Times New Roman" w:hAnsi="Times New Roman" w:cs="Times New Roman" w:eastAsia="Times New Roman" w:hint="default"/>
                <w:sz w:val="18"/>
                <w:szCs w:val="18"/>
              </w:rPr>
            </w:pPr>
            <w:r>
              <w:rPr>
                <w:rFonts w:ascii="Times New Roman"/>
                <w:sz w:val="18"/>
              </w:rPr>
              <w:t>11.45</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442"/>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02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4"/>
              <w:jc w:val="right"/>
              <w:rPr>
                <w:rFonts w:ascii="Times New Roman" w:hAnsi="Times New Roman" w:cs="Times New Roman" w:eastAsia="Times New Roman" w:hint="default"/>
                <w:sz w:val="18"/>
                <w:szCs w:val="18"/>
              </w:rPr>
            </w:pPr>
            <w:r>
              <w:rPr>
                <w:rFonts w:ascii="Times New Roman"/>
                <w:spacing w:val="-1"/>
                <w:sz w:val="18"/>
              </w:rPr>
              <w:t>5,000,000.00</w:t>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74"/>
              <w:jc w:val="right"/>
              <w:rPr>
                <w:rFonts w:ascii="Times New Roman" w:hAnsi="Times New Roman" w:cs="Times New Roman" w:eastAsia="Times New Roman" w:hint="default"/>
                <w:sz w:val="18"/>
                <w:szCs w:val="18"/>
              </w:rPr>
            </w:pPr>
            <w:r>
              <w:rPr>
                <w:rFonts w:ascii="Times New Roman"/>
                <w:sz w:val="18"/>
              </w:rPr>
              <w:t>2.86</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442"/>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02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34"/>
              <w:jc w:val="right"/>
              <w:rPr>
                <w:rFonts w:ascii="Times New Roman" w:hAnsi="Times New Roman" w:cs="Times New Roman" w:eastAsia="Times New Roman" w:hint="default"/>
                <w:sz w:val="18"/>
                <w:szCs w:val="18"/>
              </w:rPr>
            </w:pPr>
            <w:r>
              <w:rPr>
                <w:rFonts w:ascii="Times New Roman"/>
                <w:spacing w:val="-1"/>
                <w:sz w:val="18"/>
              </w:rPr>
              <w:t>2,619,293.20</w:t>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74"/>
              <w:jc w:val="right"/>
              <w:rPr>
                <w:rFonts w:ascii="Times New Roman" w:hAnsi="Times New Roman" w:cs="Times New Roman" w:eastAsia="Times New Roman" w:hint="default"/>
                <w:sz w:val="18"/>
                <w:szCs w:val="18"/>
              </w:rPr>
            </w:pPr>
            <w:r>
              <w:rPr>
                <w:rFonts w:ascii="Times New Roman"/>
                <w:sz w:val="18"/>
              </w:rPr>
              <w:t>1.50</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01" w:right="0"/>
              <w:jc w:val="left"/>
              <w:rPr>
                <w:rFonts w:ascii="Times New Roman" w:hAnsi="Times New Roman" w:cs="Times New Roman" w:eastAsia="Times New Roman" w:hint="default"/>
                <w:sz w:val="18"/>
                <w:szCs w:val="18"/>
              </w:rPr>
            </w:pPr>
            <w:r>
              <w:rPr>
                <w:rFonts w:ascii="Times New Roman"/>
                <w:sz w:val="18"/>
              </w:rPr>
              <w:t>939,684.37</w:t>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18"/>
                <w:szCs w:val="18"/>
              </w:rPr>
            </w:pPr>
            <w:r>
              <w:rPr>
                <w:rFonts w:ascii="Times New Roman"/>
                <w:sz w:val="18"/>
              </w:rPr>
              <w:t>1.50</w:t>
            </w:r>
          </w:p>
        </w:tc>
      </w:tr>
      <w:tr>
        <w:trPr>
          <w:trHeight w:val="348" w:hRule="exact"/>
        </w:trPr>
        <w:tc>
          <w:tcPr>
            <w:tcW w:w="302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33"/>
              <w:jc w:val="right"/>
              <w:rPr>
                <w:rFonts w:ascii="Times New Roman" w:hAnsi="Times New Roman" w:cs="Times New Roman" w:eastAsia="Times New Roman" w:hint="default"/>
                <w:sz w:val="18"/>
                <w:szCs w:val="18"/>
              </w:rPr>
            </w:pPr>
            <w:r>
              <w:rPr>
                <w:rFonts w:ascii="Times New Roman"/>
                <w:b/>
                <w:spacing w:val="-1"/>
                <w:sz w:val="18"/>
              </w:rPr>
              <w:t>172,000,253.69</w:t>
            </w:r>
            <w:r>
              <w:rPr>
                <w:rFonts w:ascii="Times New Roman"/>
                <w:spacing w:val="-1"/>
                <w:sz w:val="18"/>
              </w:rPr>
            </w:r>
          </w:p>
        </w:tc>
        <w:tc>
          <w:tcPr>
            <w:tcW w:w="127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7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432" w:right="0"/>
              <w:jc w:val="left"/>
              <w:rPr>
                <w:rFonts w:ascii="Times New Roman" w:hAnsi="Times New Roman" w:cs="Times New Roman" w:eastAsia="Times New Roman" w:hint="default"/>
                <w:sz w:val="18"/>
                <w:szCs w:val="18"/>
              </w:rPr>
            </w:pPr>
            <w:r>
              <w:rPr>
                <w:rFonts w:ascii="Times New Roman"/>
                <w:b/>
                <w:sz w:val="18"/>
              </w:rPr>
              <w:t>61,705,940.60</w:t>
            </w:r>
            <w:r>
              <w:rPr>
                <w:rFonts w:ascii="Times New Roman"/>
                <w:sz w:val="18"/>
              </w:rPr>
            </w: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pStyle w:val="Heading3"/>
        <w:spacing w:line="240" w:lineRule="auto"/>
        <w:ind w:right="0"/>
        <w:jc w:val="left"/>
      </w:pPr>
      <w:r>
        <w:rPr/>
        <w:t>（</w:t>
      </w:r>
      <w:r>
        <w:rPr>
          <w:rFonts w:ascii="Times New Roman" w:hAnsi="Times New Roman" w:cs="Times New Roman" w:eastAsia="Times New Roman" w:hint="default"/>
        </w:rPr>
        <w:t>4</w:t>
      </w:r>
      <w:r>
        <w:rPr/>
        <w:t>）按担保方式分布情况</w:t>
      </w:r>
    </w:p>
    <w:p>
      <w:pPr>
        <w:spacing w:line="240" w:lineRule="auto" w:before="12"/>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3085"/>
        <w:gridCol w:w="3880"/>
        <w:gridCol w:w="2163"/>
      </w:tblGrid>
      <w:tr>
        <w:trPr>
          <w:trHeight w:val="349" w:hRule="exact"/>
        </w:trPr>
        <w:tc>
          <w:tcPr>
            <w:tcW w:w="3085"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8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1117"/>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163"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7" w:hRule="exact"/>
        </w:trPr>
        <w:tc>
          <w:tcPr>
            <w:tcW w:w="308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信用贷款</w:t>
            </w:r>
          </w:p>
        </w:tc>
        <w:tc>
          <w:tcPr>
            <w:tcW w:w="388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17"/>
              <w:jc w:val="right"/>
              <w:rPr>
                <w:rFonts w:ascii="Times New Roman" w:hAnsi="Times New Roman" w:cs="Times New Roman" w:eastAsia="Times New Roman" w:hint="default"/>
                <w:sz w:val="18"/>
                <w:szCs w:val="18"/>
              </w:rPr>
            </w:pPr>
            <w:r>
              <w:rPr>
                <w:rFonts w:ascii="Times New Roman"/>
                <w:spacing w:val="-1"/>
                <w:sz w:val="18"/>
              </w:rPr>
              <w:t>171,329,546.89</w:t>
            </w:r>
          </w:p>
        </w:tc>
        <w:tc>
          <w:tcPr>
            <w:tcW w:w="2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
              <w:jc w:val="right"/>
              <w:rPr>
                <w:rFonts w:ascii="Times New Roman" w:hAnsi="Times New Roman" w:cs="Times New Roman" w:eastAsia="Times New Roman" w:hint="default"/>
                <w:sz w:val="18"/>
                <w:szCs w:val="18"/>
              </w:rPr>
            </w:pPr>
            <w:r>
              <w:rPr>
                <w:rFonts w:ascii="Times New Roman"/>
                <w:spacing w:val="-1"/>
                <w:sz w:val="18"/>
              </w:rPr>
              <w:t>62,645,624.97</w:t>
            </w:r>
          </w:p>
        </w:tc>
      </w:tr>
      <w:tr>
        <w:trPr>
          <w:trHeight w:val="347" w:hRule="exact"/>
        </w:trPr>
        <w:tc>
          <w:tcPr>
            <w:tcW w:w="3085"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388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17"/>
              <w:jc w:val="right"/>
              <w:rPr>
                <w:rFonts w:ascii="Times New Roman" w:hAnsi="Times New Roman" w:cs="Times New Roman" w:eastAsia="Times New Roman" w:hint="default"/>
                <w:sz w:val="18"/>
                <w:szCs w:val="18"/>
              </w:rPr>
            </w:pPr>
            <w:r>
              <w:rPr>
                <w:rFonts w:ascii="Times New Roman"/>
                <w:spacing w:val="-1"/>
                <w:sz w:val="18"/>
              </w:rPr>
              <w:t>3,290,000.00</w:t>
            </w:r>
          </w:p>
        </w:tc>
        <w:tc>
          <w:tcPr>
            <w:tcW w:w="2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085"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388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17"/>
              <w:jc w:val="right"/>
              <w:rPr>
                <w:rFonts w:ascii="Times New Roman" w:hAnsi="Times New Roman" w:cs="Times New Roman" w:eastAsia="Times New Roman" w:hint="default"/>
                <w:sz w:val="18"/>
                <w:szCs w:val="18"/>
              </w:rPr>
            </w:pPr>
            <w:r>
              <w:rPr>
                <w:rFonts w:ascii="Times New Roman"/>
                <w:spacing w:val="-1"/>
                <w:sz w:val="18"/>
              </w:rPr>
              <w:t>2,619,293.20</w:t>
            </w:r>
          </w:p>
        </w:tc>
        <w:tc>
          <w:tcPr>
            <w:tcW w:w="2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939,684.37</w:t>
            </w:r>
          </w:p>
        </w:tc>
      </w:tr>
      <w:tr>
        <w:trPr>
          <w:trHeight w:val="347" w:hRule="exact"/>
        </w:trPr>
        <w:tc>
          <w:tcPr>
            <w:tcW w:w="308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8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117"/>
              <w:jc w:val="right"/>
              <w:rPr>
                <w:rFonts w:ascii="Times New Roman" w:hAnsi="Times New Roman" w:cs="Times New Roman" w:eastAsia="Times New Roman" w:hint="default"/>
                <w:sz w:val="18"/>
                <w:szCs w:val="18"/>
              </w:rPr>
            </w:pPr>
            <w:r>
              <w:rPr>
                <w:rFonts w:ascii="Times New Roman"/>
                <w:b/>
                <w:spacing w:val="-1"/>
                <w:sz w:val="18"/>
              </w:rPr>
              <w:t>172,000,253.69</w:t>
            </w:r>
            <w:r>
              <w:rPr>
                <w:rFonts w:ascii="Times New Roman"/>
                <w:spacing w:val="-1"/>
                <w:sz w:val="18"/>
              </w:rPr>
            </w:r>
          </w:p>
        </w:tc>
        <w:tc>
          <w:tcPr>
            <w:tcW w:w="2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b/>
                <w:spacing w:val="-1"/>
                <w:sz w:val="18"/>
              </w:rPr>
              <w:t>61,705,940.60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spacing w:line="240" w:lineRule="auto" w:before="26"/>
        <w:ind w:right="0"/>
        <w:jc w:val="left"/>
      </w:pPr>
      <w:r>
        <w:rPr/>
        <w:t>（</w:t>
      </w:r>
      <w:r>
        <w:rPr>
          <w:rFonts w:ascii="Times New Roman" w:hAnsi="Times New Roman" w:cs="Times New Roman" w:eastAsia="Times New Roman" w:hint="default"/>
        </w:rPr>
        <w:t>5</w:t>
      </w:r>
      <w:r>
        <w:rPr/>
        <w:t>）贷款减值准备</w:t>
      </w:r>
    </w:p>
    <w:p>
      <w:pPr>
        <w:spacing w:line="240" w:lineRule="auto" w:before="6"/>
        <w:rPr>
          <w:rFonts w:ascii="宋体" w:hAnsi="宋体" w:cs="宋体" w:eastAsia="宋体" w:hint="default"/>
          <w:sz w:val="16"/>
          <w:szCs w:val="16"/>
        </w:rPr>
      </w:pPr>
    </w:p>
    <w:tbl>
      <w:tblPr>
        <w:tblW w:w="0" w:type="auto"/>
        <w:jc w:val="left"/>
        <w:tblInd w:w="139" w:type="dxa"/>
        <w:tblLayout w:type="fixed"/>
        <w:tblCellMar>
          <w:top w:w="0" w:type="dxa"/>
          <w:left w:w="0" w:type="dxa"/>
          <w:bottom w:w="0" w:type="dxa"/>
          <w:right w:w="0" w:type="dxa"/>
        </w:tblCellMar>
        <w:tblLook w:val="01E0"/>
      </w:tblPr>
      <w:tblGrid>
        <w:gridCol w:w="2108"/>
        <w:gridCol w:w="1291"/>
        <w:gridCol w:w="1277"/>
        <w:gridCol w:w="1155"/>
        <w:gridCol w:w="1348"/>
        <w:gridCol w:w="1163"/>
        <w:gridCol w:w="954"/>
      </w:tblGrid>
      <w:tr>
        <w:trPr>
          <w:trHeight w:val="265"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91" w:type="dxa"/>
            <w:tcBorders>
              <w:top w:val="nil" w:sz="6" w:space="0" w:color="auto"/>
              <w:left w:val="nil" w:sz="6" w:space="0" w:color="auto"/>
              <w:bottom w:val="single" w:sz="8" w:space="0" w:color="000000"/>
              <w:right w:val="nil" w:sz="6" w:space="0" w:color="auto"/>
            </w:tcBorders>
          </w:tcPr>
          <w:p>
            <w:pPr/>
          </w:p>
        </w:tc>
        <w:tc>
          <w:tcPr>
            <w:tcW w:w="1277" w:type="dxa"/>
            <w:tcBorders>
              <w:top w:val="nil" w:sz="6" w:space="0" w:color="auto"/>
              <w:left w:val="nil" w:sz="6" w:space="0" w:color="auto"/>
              <w:bottom w:val="single" w:sz="8" w:space="0" w:color="000000"/>
              <w:right w:val="nil" w:sz="6" w:space="0" w:color="auto"/>
            </w:tcBorders>
          </w:tcPr>
          <w:p>
            <w:pPr>
              <w:pStyle w:val="TableParagraph"/>
              <w:spacing w:line="180"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155" w:type="dxa"/>
            <w:tcBorders>
              <w:top w:val="nil" w:sz="6" w:space="0" w:color="auto"/>
              <w:left w:val="nil" w:sz="6" w:space="0" w:color="auto"/>
              <w:bottom w:val="single" w:sz="8" w:space="0" w:color="000000"/>
              <w:right w:val="nil" w:sz="6" w:space="0" w:color="auto"/>
            </w:tcBorders>
          </w:tcPr>
          <w:p>
            <w:pPr/>
          </w:p>
        </w:tc>
        <w:tc>
          <w:tcPr>
            <w:tcW w:w="2512" w:type="dxa"/>
            <w:gridSpan w:val="2"/>
            <w:tcBorders>
              <w:top w:val="nil" w:sz="6" w:space="0" w:color="auto"/>
              <w:left w:val="nil" w:sz="6" w:space="0" w:color="auto"/>
              <w:bottom w:val="single" w:sz="8" w:space="0" w:color="000000"/>
              <w:right w:val="nil" w:sz="6" w:space="0" w:color="auto"/>
            </w:tcBorders>
          </w:tcPr>
          <w:p>
            <w:pPr>
              <w:pStyle w:val="TableParagraph"/>
              <w:spacing w:line="180" w:lineRule="exact"/>
              <w:ind w:left="12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954" w:type="dxa"/>
            <w:tcBorders>
              <w:top w:val="nil" w:sz="6" w:space="0" w:color="auto"/>
              <w:left w:val="nil" w:sz="6" w:space="0" w:color="auto"/>
              <w:bottom w:val="single" w:sz="8" w:space="0" w:color="000000"/>
              <w:right w:val="nil" w:sz="6" w:space="0" w:color="auto"/>
            </w:tcBorders>
          </w:tcPr>
          <w:p>
            <w:pPr/>
          </w:p>
        </w:tc>
      </w:tr>
      <w:tr>
        <w:trPr>
          <w:trHeight w:val="654" w:hRule="exact"/>
        </w:trPr>
        <w:tc>
          <w:tcPr>
            <w:tcW w:w="3399"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1"/>
              <w:ind w:right="166"/>
              <w:jc w:val="right"/>
              <w:rPr>
                <w:rFonts w:ascii="宋体" w:hAnsi="宋体" w:cs="宋体" w:eastAsia="宋体" w:hint="default"/>
                <w:sz w:val="18"/>
                <w:szCs w:val="18"/>
              </w:rPr>
            </w:pPr>
            <w:r>
              <w:rPr>
                <w:rFonts w:ascii="宋体" w:hAnsi="宋体" w:cs="宋体" w:eastAsia="宋体" w:hint="default"/>
                <w:b/>
                <w:bCs/>
                <w:w w:val="95"/>
                <w:sz w:val="18"/>
                <w:szCs w:val="18"/>
              </w:rPr>
              <w:t>单项计提减值</w:t>
            </w:r>
            <w:r>
              <w:rPr>
                <w:rFonts w:ascii="宋体" w:hAnsi="宋体" w:cs="宋体" w:eastAsia="宋体" w:hint="default"/>
                <w:sz w:val="18"/>
                <w:szCs w:val="18"/>
              </w:rPr>
            </w:r>
          </w:p>
          <w:p>
            <w:pPr>
              <w:pStyle w:val="TableParagraph"/>
              <w:spacing w:line="240" w:lineRule="auto" w:before="76"/>
              <w:ind w:right="164"/>
              <w:jc w:val="righ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89" w:right="163"/>
              <w:jc w:val="left"/>
              <w:rPr>
                <w:rFonts w:ascii="宋体" w:hAnsi="宋体" w:cs="宋体" w:eastAsia="宋体" w:hint="default"/>
                <w:sz w:val="18"/>
                <w:szCs w:val="18"/>
              </w:rPr>
            </w:pPr>
            <w:r>
              <w:rPr>
                <w:rFonts w:ascii="宋体" w:hAnsi="宋体" w:cs="宋体" w:eastAsia="宋体" w:hint="default"/>
                <w:b/>
                <w:bCs/>
                <w:sz w:val="18"/>
                <w:szCs w:val="18"/>
              </w:rPr>
              <w:t>组合计提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4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44" w:right="0"/>
              <w:jc w:val="left"/>
              <w:rPr>
                <w:rFonts w:ascii="宋体" w:hAnsi="宋体" w:cs="宋体" w:eastAsia="宋体" w:hint="default"/>
                <w:sz w:val="18"/>
                <w:szCs w:val="18"/>
              </w:rPr>
            </w:pPr>
            <w:r>
              <w:rPr>
                <w:rFonts w:ascii="宋体" w:hAnsi="宋体" w:cs="宋体" w:eastAsia="宋体" w:hint="default"/>
                <w:b/>
                <w:bCs/>
                <w:sz w:val="18"/>
                <w:szCs w:val="18"/>
              </w:rPr>
              <w:t>单项计提减值</w:t>
            </w:r>
            <w:r>
              <w:rPr>
                <w:rFonts w:ascii="宋体" w:hAnsi="宋体" w:cs="宋体" w:eastAsia="宋体" w:hint="default"/>
                <w:sz w:val="18"/>
                <w:szCs w:val="18"/>
              </w:rPr>
            </w:r>
          </w:p>
          <w:p>
            <w:pPr>
              <w:pStyle w:val="TableParagraph"/>
              <w:spacing w:line="240" w:lineRule="auto" w:before="76"/>
              <w:ind w:left="767"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06" w:right="134"/>
              <w:jc w:val="left"/>
              <w:rPr>
                <w:rFonts w:ascii="宋体" w:hAnsi="宋体" w:cs="宋体" w:eastAsia="宋体" w:hint="default"/>
                <w:sz w:val="18"/>
                <w:szCs w:val="18"/>
              </w:rPr>
            </w:pPr>
            <w:r>
              <w:rPr>
                <w:rFonts w:ascii="宋体" w:hAnsi="宋体" w:cs="宋体" w:eastAsia="宋体" w:hint="default"/>
                <w:b/>
                <w:bCs/>
                <w:sz w:val="18"/>
                <w:szCs w:val="18"/>
              </w:rPr>
              <w:t>组合计提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2"/>
              <w:jc w:val="right"/>
              <w:rPr>
                <w:rFonts w:ascii="Times New Roman" w:hAnsi="Times New Roman" w:cs="Times New Roman" w:eastAsia="Times New Roman" w:hint="default"/>
                <w:sz w:val="18"/>
                <w:szCs w:val="18"/>
              </w:rPr>
            </w:pPr>
            <w:r>
              <w:rPr>
                <w:rFonts w:ascii="Times New Roman"/>
                <w:sz w:val="18"/>
              </w:rPr>
              <w:t>939,684.37</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3"/>
              <w:jc w:val="right"/>
              <w:rPr>
                <w:rFonts w:ascii="Times New Roman" w:hAnsi="Times New Roman" w:cs="Times New Roman" w:eastAsia="Times New Roman" w:hint="default"/>
                <w:sz w:val="18"/>
                <w:szCs w:val="18"/>
              </w:rPr>
            </w:pPr>
            <w:r>
              <w:rPr>
                <w:rFonts w:ascii="Times New Roman"/>
                <w:sz w:val="18"/>
              </w:rPr>
              <w:t>939,684.37</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pacing w:val="-1"/>
                <w:sz w:val="18"/>
              </w:rPr>
              <w:t>1,679,608.83</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3"/>
              <w:jc w:val="right"/>
              <w:rPr>
                <w:rFonts w:ascii="Times New Roman" w:hAnsi="Times New Roman" w:cs="Times New Roman" w:eastAsia="Times New Roman" w:hint="default"/>
                <w:sz w:val="18"/>
                <w:szCs w:val="18"/>
              </w:rPr>
            </w:pPr>
            <w:r>
              <w:rPr>
                <w:rFonts w:ascii="Times New Roman"/>
                <w:spacing w:val="-1"/>
                <w:sz w:val="18"/>
              </w:rPr>
              <w:t>1,679,608.83</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939,684.37</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18"/>
                <w:szCs w:val="18"/>
              </w:rPr>
            </w:pPr>
            <w:r>
              <w:rPr>
                <w:rFonts w:ascii="Times New Roman"/>
                <w:sz w:val="18"/>
              </w:rPr>
              <w:t>939,684.37</w:t>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本期收回</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z w:val="18"/>
              </w:rPr>
              <w:t>--</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已减值贷款利息冲转</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z w:val="18"/>
              </w:rPr>
              <w:t>--</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z w:val="18"/>
              </w:rPr>
              <w:t>--</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本期转出</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z w:val="18"/>
              </w:rPr>
              <w:t>--</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汇率差异</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z w:val="18"/>
              </w:rPr>
              <w:t>--</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spacing w:val="-1"/>
                <w:sz w:val="18"/>
              </w:rPr>
              <w:t>2,619,293.20</w:t>
            </w:r>
          </w:p>
        </w:tc>
        <w:tc>
          <w:tcPr>
            <w:tcW w:w="11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3"/>
              <w:jc w:val="right"/>
              <w:rPr>
                <w:rFonts w:ascii="Times New Roman" w:hAnsi="Times New Roman" w:cs="Times New Roman" w:eastAsia="Times New Roman" w:hint="default"/>
                <w:sz w:val="18"/>
                <w:szCs w:val="18"/>
              </w:rPr>
            </w:pPr>
            <w:r>
              <w:rPr>
                <w:rFonts w:ascii="Times New Roman"/>
                <w:spacing w:val="-1"/>
                <w:sz w:val="18"/>
              </w:rPr>
              <w:t>2,619,293.20</w:t>
            </w:r>
          </w:p>
        </w:tc>
        <w:tc>
          <w:tcPr>
            <w:tcW w:w="13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z w:val="18"/>
              </w:rPr>
              <w:t>--</w:t>
            </w:r>
          </w:p>
        </w:tc>
        <w:tc>
          <w:tcPr>
            <w:tcW w:w="11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939,684.37</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18"/>
                <w:szCs w:val="18"/>
              </w:rPr>
            </w:pPr>
            <w:r>
              <w:rPr>
                <w:rFonts w:ascii="Times New Roman"/>
                <w:sz w:val="18"/>
              </w:rPr>
              <w:t>939,684.37</w:t>
            </w:r>
          </w:p>
        </w:tc>
      </w:tr>
    </w:tbl>
    <w:p>
      <w:pPr>
        <w:pStyle w:val="Heading3"/>
        <w:spacing w:line="240" w:lineRule="auto"/>
        <w:ind w:right="0"/>
        <w:jc w:val="left"/>
      </w:pPr>
      <w:r>
        <w:rPr/>
        <w:t>（</w:t>
      </w:r>
      <w:r>
        <w:rPr>
          <w:rFonts w:ascii="Times New Roman" w:hAnsi="Times New Roman" w:cs="Times New Roman" w:eastAsia="Times New Roman" w:hint="default"/>
        </w:rPr>
        <w:t>6</w:t>
      </w:r>
      <w:r>
        <w:rPr/>
        <w:t>）贷款拨备率和拨备覆盖率</w:t>
      </w:r>
    </w:p>
    <w:p>
      <w:pPr>
        <w:spacing w:line="240" w:lineRule="auto" w:before="5"/>
        <w:rPr>
          <w:rFonts w:ascii="宋体" w:hAnsi="宋体" w:cs="宋体" w:eastAsia="宋体" w:hint="default"/>
          <w:sz w:val="16"/>
          <w:szCs w:val="16"/>
        </w:rPr>
      </w:pPr>
    </w:p>
    <w:tbl>
      <w:tblPr>
        <w:tblW w:w="0" w:type="auto"/>
        <w:jc w:val="left"/>
        <w:tblInd w:w="139" w:type="dxa"/>
        <w:tblLayout w:type="fixed"/>
        <w:tblCellMar>
          <w:top w:w="0" w:type="dxa"/>
          <w:left w:w="0" w:type="dxa"/>
          <w:bottom w:w="0" w:type="dxa"/>
          <w:right w:w="0" w:type="dxa"/>
        </w:tblCellMar>
        <w:tblLook w:val="01E0"/>
      </w:tblPr>
      <w:tblGrid>
        <w:gridCol w:w="2788"/>
        <w:gridCol w:w="4382"/>
        <w:gridCol w:w="2127"/>
      </w:tblGrid>
      <w:tr>
        <w:trPr>
          <w:trHeight w:val="266" w:hRule="exact"/>
        </w:trPr>
        <w:tc>
          <w:tcPr>
            <w:tcW w:w="2788" w:type="dxa"/>
            <w:tcBorders>
              <w:top w:val="nil" w:sz="6" w:space="0" w:color="auto"/>
              <w:left w:val="nil" w:sz="6" w:space="0" w:color="auto"/>
              <w:bottom w:val="single" w:sz="8" w:space="0" w:color="000000"/>
              <w:right w:val="nil" w:sz="6" w:space="0" w:color="auto"/>
            </w:tcBorders>
          </w:tcPr>
          <w:p>
            <w:pPr>
              <w:pStyle w:val="TableParagraph"/>
              <w:spacing w:line="180" w:lineRule="exact"/>
              <w:ind w:left="23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82" w:type="dxa"/>
            <w:tcBorders>
              <w:top w:val="nil" w:sz="6" w:space="0" w:color="auto"/>
              <w:left w:val="nil" w:sz="6" w:space="0" w:color="auto"/>
              <w:bottom w:val="single" w:sz="8" w:space="0" w:color="000000"/>
              <w:right w:val="nil" w:sz="6" w:space="0" w:color="auto"/>
            </w:tcBorders>
          </w:tcPr>
          <w:p>
            <w:pPr>
              <w:pStyle w:val="TableParagraph"/>
              <w:spacing w:line="194" w:lineRule="exact"/>
              <w:ind w:left="218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本期末</w:t>
            </w:r>
            <w:r>
              <w:rPr>
                <w:rFonts w:ascii="宋体" w:hAnsi="宋体" w:cs="宋体" w:eastAsia="宋体" w:hint="default"/>
                <w:b/>
                <w:bCs/>
                <w:spacing w:val="-16"/>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27" w:type="dxa"/>
            <w:tcBorders>
              <w:top w:val="nil" w:sz="6" w:space="0" w:color="auto"/>
              <w:left w:val="nil" w:sz="6" w:space="0" w:color="auto"/>
              <w:bottom w:val="single" w:sz="8" w:space="0" w:color="000000"/>
              <w:right w:val="nil" w:sz="6" w:space="0" w:color="auto"/>
            </w:tcBorders>
          </w:tcPr>
          <w:p>
            <w:pPr>
              <w:pStyle w:val="TableParagraph"/>
              <w:spacing w:line="194" w:lineRule="exact"/>
              <w:ind w:left="127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上期末</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after="0" w:line="194" w:lineRule="exact"/>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69"/>
        <w:gridCol w:w="4181"/>
        <w:gridCol w:w="1862"/>
        <w:gridCol w:w="388"/>
      </w:tblGrid>
      <w:tr>
        <w:trPr>
          <w:trHeight w:val="670" w:hRule="exact"/>
        </w:trPr>
        <w:tc>
          <w:tcPr>
            <w:tcW w:w="3269" w:type="dxa"/>
            <w:tcBorders>
              <w:top w:val="single" w:sz="6"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贷款拨备率</w:t>
            </w:r>
          </w:p>
        </w:tc>
        <w:tc>
          <w:tcPr>
            <w:tcW w:w="4181"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534"/>
              <w:jc w:val="right"/>
              <w:rPr>
                <w:rFonts w:ascii="Times New Roman" w:hAnsi="Times New Roman" w:cs="Times New Roman" w:eastAsia="Times New Roman" w:hint="default"/>
                <w:sz w:val="18"/>
                <w:szCs w:val="18"/>
              </w:rPr>
            </w:pPr>
            <w:r>
              <w:rPr>
                <w:rFonts w:ascii="Times New Roman"/>
                <w:sz w:val="18"/>
              </w:rPr>
              <w:t>1.50</w:t>
            </w:r>
          </w:p>
        </w:tc>
        <w:tc>
          <w:tcPr>
            <w:tcW w:w="1862"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7"/>
              <w:jc w:val="right"/>
              <w:rPr>
                <w:rFonts w:ascii="Times New Roman" w:hAnsi="Times New Roman" w:cs="Times New Roman" w:eastAsia="Times New Roman" w:hint="default"/>
                <w:sz w:val="18"/>
                <w:szCs w:val="18"/>
              </w:rPr>
            </w:pPr>
            <w:r>
              <w:rPr>
                <w:rFonts w:ascii="Times New Roman"/>
                <w:sz w:val="18"/>
              </w:rPr>
              <w:t>1.50</w:t>
            </w:r>
          </w:p>
        </w:tc>
        <w:tc>
          <w:tcPr>
            <w:tcW w:w="388" w:type="dxa"/>
            <w:tcBorders>
              <w:top w:val="single" w:sz="6" w:space="0" w:color="000000"/>
              <w:left w:val="nil" w:sz="6" w:space="0" w:color="auto"/>
              <w:bottom w:val="nil" w:sz="6" w:space="0" w:color="auto"/>
              <w:right w:val="nil" w:sz="6" w:space="0" w:color="auto"/>
            </w:tcBorders>
          </w:tcPr>
          <w:p>
            <w:pPr/>
          </w:p>
        </w:tc>
      </w:tr>
      <w:tr>
        <w:trPr>
          <w:trHeight w:val="342" w:hRule="exact"/>
        </w:trPr>
        <w:tc>
          <w:tcPr>
            <w:tcW w:w="3269"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拨备覆盖率</w:t>
            </w:r>
          </w:p>
        </w:tc>
        <w:tc>
          <w:tcPr>
            <w:tcW w:w="4181"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535"/>
              <w:jc w:val="righ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c>
          <w:tcPr>
            <w:tcW w:w="388"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300" w:lineRule="auto" w:before="44"/>
        <w:ind w:left="134" w:right="1040"/>
        <w:jc w:val="left"/>
      </w:pPr>
      <w:r>
        <w:rPr>
          <w:spacing w:val="-3"/>
        </w:rPr>
        <w:t>说明：贷款拨备率为广州市智度互联网小额贷款有限公司（以下简称</w:t>
      </w:r>
      <w:r>
        <w:rPr>
          <w:rFonts w:ascii="Times New Roman" w:hAnsi="Times New Roman" w:cs="Times New Roman" w:eastAsia="Times New Roman" w:hint="default"/>
          <w:spacing w:val="-3"/>
        </w:rPr>
        <w:t>“</w:t>
      </w:r>
      <w:r>
        <w:rPr>
          <w:spacing w:val="-3"/>
        </w:rPr>
        <w:t>智度小贷公司</w:t>
      </w:r>
      <w:r>
        <w:rPr>
          <w:rFonts w:ascii="Times New Roman" w:hAnsi="Times New Roman" w:cs="Times New Roman" w:eastAsia="Times New Roman" w:hint="default"/>
          <w:spacing w:val="-3"/>
        </w:rPr>
        <w:t>”</w:t>
      </w:r>
      <w:r>
        <w:rPr>
          <w:spacing w:val="-3"/>
        </w:rPr>
        <w:t>）的贷款损失准备与各项贷款余额之比，</w:t>
      </w:r>
      <w:r>
        <w:rPr>
          <w:spacing w:val="-77"/>
        </w:rPr>
        <w:t> </w:t>
      </w:r>
      <w:r>
        <w:rPr>
          <w:spacing w:val="-77"/>
        </w:rPr>
      </w:r>
      <w:r>
        <w:rPr/>
        <w:t>拨备覆盖率为贷款损失准备与不良贷款余额之比。</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34" w:right="1040"/>
        <w:jc w:val="left"/>
        <w:rPr>
          <w:b w:val="0"/>
          <w:bCs w:val="0"/>
        </w:rPr>
      </w:pPr>
      <w:bookmarkStart w:name="10、其他流动资产" w:id="252"/>
      <w:bookmarkEnd w:id="25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531,609,289.04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待摊销获取用户支出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177,985,939.64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195,224,453.15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虚拟币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95,983,208.14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684,050.40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5,191,486.54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2,631,480.72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1,813,127.36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2,398,877.88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878,389.89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910,079.36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266,691.38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455,588.70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813,728,131.99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1,382,304,530.21</w:t>
            </w:r>
          </w:p>
        </w:tc>
      </w:tr>
    </w:tbl>
    <w:p>
      <w:pPr>
        <w:pStyle w:val="BodyText"/>
        <w:spacing w:line="240" w:lineRule="auto" w:before="51"/>
        <w:ind w:left="134" w:right="104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136" w:right="1040"/>
        <w:jc w:val="left"/>
      </w:pPr>
      <w:r>
        <w:rPr/>
        <w:t>（</w:t>
      </w:r>
      <w:r>
        <w:rPr>
          <w:rFonts w:ascii="Times New Roman" w:hAnsi="Times New Roman" w:cs="Times New Roman" w:eastAsia="Times New Roman" w:hint="default"/>
        </w:rPr>
        <w:t>1</w:t>
      </w:r>
      <w:r>
        <w:rPr/>
        <w:t>）理财产品系本公司自第三方商业银行及基金公司购买的理财和货币基金产品，金额</w:t>
      </w:r>
      <w:r>
        <w:rPr>
          <w:rFonts w:ascii="Times New Roman" w:hAnsi="Times New Roman" w:cs="Times New Roman" w:eastAsia="Times New Roman" w:hint="default"/>
        </w:rPr>
        <w:t>531,609,289.04</w:t>
      </w:r>
      <w:r>
        <w:rPr/>
        <w:t>元。</w:t>
      </w:r>
    </w:p>
    <w:p>
      <w:pPr>
        <w:spacing w:line="240" w:lineRule="auto" w:before="3"/>
        <w:rPr>
          <w:rFonts w:ascii="宋体" w:hAnsi="宋体" w:cs="宋体" w:eastAsia="宋体" w:hint="default"/>
          <w:sz w:val="21"/>
          <w:szCs w:val="21"/>
        </w:rPr>
      </w:pPr>
    </w:p>
    <w:p>
      <w:pPr>
        <w:pStyle w:val="BodyText"/>
        <w:spacing w:line="240" w:lineRule="auto"/>
        <w:ind w:left="134" w:right="1040"/>
        <w:jc w:val="left"/>
      </w:pPr>
      <w:r>
        <w:rPr/>
        <w:t>（</w:t>
      </w:r>
      <w:r>
        <w:rPr>
          <w:rFonts w:ascii="Times New Roman" w:hAnsi="Times New Roman" w:cs="Times New Roman" w:eastAsia="Times New Roman" w:hint="default"/>
        </w:rPr>
        <w:t>2</w:t>
      </w:r>
      <w:r>
        <w:rPr/>
        <w:t>）待摊销获取用户支出系为获取用户而支付的款项，该款项于预计受益期内分期摊销计入营业成本。</w:t>
      </w:r>
    </w:p>
    <w:p>
      <w:pPr>
        <w:spacing w:line="240" w:lineRule="auto" w:before="4"/>
        <w:rPr>
          <w:rFonts w:ascii="宋体" w:hAnsi="宋体" w:cs="宋体" w:eastAsia="宋体" w:hint="default"/>
          <w:sz w:val="21"/>
          <w:szCs w:val="21"/>
        </w:rPr>
      </w:pPr>
    </w:p>
    <w:p>
      <w:pPr>
        <w:pStyle w:val="BodyText"/>
        <w:spacing w:line="240" w:lineRule="auto"/>
        <w:ind w:left="134" w:right="1040"/>
        <w:jc w:val="left"/>
      </w:pPr>
      <w:r>
        <w:rPr/>
        <w:t>（</w:t>
      </w:r>
      <w:r>
        <w:rPr>
          <w:rFonts w:ascii="Times New Roman" w:hAnsi="Times New Roman" w:cs="Times New Roman" w:eastAsia="Times New Roman" w:hint="default"/>
        </w:rPr>
        <w:t>3</w:t>
      </w:r>
      <w:r>
        <w:rPr/>
        <w:t>）虚拟币系与开展广告代理业务相关的北京腾讯文化传媒有限公司的虚拟币。</w:t>
      </w:r>
    </w:p>
    <w:p>
      <w:pPr>
        <w:spacing w:line="240" w:lineRule="auto" w:before="11"/>
        <w:rPr>
          <w:rFonts w:ascii="宋体" w:hAnsi="宋体" w:cs="宋体" w:eastAsia="宋体" w:hint="default"/>
          <w:sz w:val="25"/>
          <w:szCs w:val="25"/>
        </w:rPr>
      </w:pPr>
    </w:p>
    <w:p>
      <w:pPr>
        <w:pStyle w:val="Heading4"/>
        <w:spacing w:line="240" w:lineRule="auto"/>
        <w:ind w:left="134" w:right="1040"/>
        <w:jc w:val="left"/>
        <w:rPr>
          <w:b w:val="0"/>
          <w:bCs w:val="0"/>
        </w:rPr>
      </w:pPr>
      <w:bookmarkStart w:name="11、可供出售金融资产" w:id="253"/>
      <w:bookmarkEnd w:id="25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1040"/>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427,314,739.50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425,314,739.50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76,682,739.50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76,682,739.50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350,632,000.00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348,632,000.00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427,314,739.50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425,314,739.50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right="0"/>
        <w:jc w:val="left"/>
        <w:rPr>
          <w:b w:val="0"/>
          <w:bCs w:val="0"/>
        </w:rPr>
      </w:pPr>
      <w:bookmarkStart w:name="（2）期末按公允价值计量的可供出售金融资产" w:id="255"/>
      <w:bookmarkEnd w:id="25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75,495,200.00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75,495,200.00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76,682,739.50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76,682,739.50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1,187,539.50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1,187,539.50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56"/>
      <w:bookmarkEnd w:id="25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46,534.55</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205,000,00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205,000,00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297,632,00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350,632,00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46,534.55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57"/>
      <w:bookmarkEnd w:id="25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58"/>
      <w:bookmarkEnd w:id="25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right="1118"/>
        <w:jc w:val="left"/>
      </w:pPr>
      <w:r>
        <w:rPr>
          <w:spacing w:val="-2"/>
        </w:rPr>
        <w:t>因公允价值无法可靠计量，本公司对上述可供出售金融资产按照成本计量。截至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日，本公司无处置上述资产的</w:t>
      </w:r>
      <w:r>
        <w:rPr>
          <w:spacing w:val="-58"/>
        </w:rPr>
        <w:t> </w:t>
      </w:r>
      <w:r>
        <w:rPr>
          <w:spacing w:val="-58"/>
        </w:rPr>
      </w:r>
      <w:r>
        <w:rPr/>
        <w:t>意图。</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12、持有至到期投资" w:id="259"/>
      <w:bookmarkEnd w:id="259"/>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0"/>
      <w:bookmarkEnd w:id="26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61"/>
      <w:bookmarkEnd w:id="26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62"/>
      <w:bookmarkEnd w:id="26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63"/>
      <w:bookmarkEnd w:id="26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64"/>
      <w:bookmarkEnd w:id="26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65"/>
      <w:bookmarkEnd w:id="26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66"/>
      <w:bookmarkEnd w:id="26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4、长期股权投资" w:id="267"/>
      <w:bookmarkEnd w:id="26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深圳市云 帆时代网 络有限公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1,648,118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-1,451,58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196,531.3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天津六六 游科技有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17,715,41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2,662,580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20,377,99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北京奇酷 工场科技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74,045,07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13,927,75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1,520,356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89,493,19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上海邑炎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-618,787.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2,881,212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93,408,61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14,519,96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1,520,356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112,948,9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93,408,61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14,519,96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1,520,356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112,948,9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33.73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5、投资性房地产" w:id="268"/>
      <w:bookmarkEnd w:id="26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69"/>
      <w:bookmarkEnd w:id="26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70"/>
      <w:bookmarkEnd w:id="27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71"/>
      <w:bookmarkEnd w:id="27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固定资产" w:id="272"/>
      <w:bookmarkEnd w:id="27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9,829,698.77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8,902,575.08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9,829,698.77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8,902,575.08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5,129,903.44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11,021,859.02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16,151,762.46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2,758,010.38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4,491,190.28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2,758,010.38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4,491,190.28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965,638.70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965,638.70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965,638.70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965,638.70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6,863,083.34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12,814,230.70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19,677,314.04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1,691,782.65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5,557,404.73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7,249,187.38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1,239,168.02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2,042,578.90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3,281,746.92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1,239,168.02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2,042,578.90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3,281,746.92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683,319.03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683,319.03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683,319.03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683,319.03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2,930,950.67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6,916,664.60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9,847,615.27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3,932,132.67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5,897,566.10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9,829,698.77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3,438,120.79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5,464,454.29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8,902,575.08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74"/>
      <w:bookmarkEnd w:id="27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75"/>
      <w:bookmarkEnd w:id="27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76"/>
      <w:bookmarkEnd w:id="27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77"/>
      <w:bookmarkEnd w:id="27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78"/>
      <w:bookmarkEnd w:id="27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在建工程" w:id="279"/>
      <w:bookmarkEnd w:id="27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80"/>
      <w:bookmarkEnd w:id="28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81"/>
      <w:bookmarkEnd w:id="28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82"/>
      <w:bookmarkEnd w:id="28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工程物资" w:id="283"/>
      <w:bookmarkEnd w:id="28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生产性生物资产" w:id="284"/>
      <w:bookmarkEnd w:id="284"/>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85"/>
      <w:bookmarkEnd w:id="28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86"/>
      <w:bookmarkEnd w:id="28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94.279999pt;margin-top:442.539978pt;width:49.1pt;height:15.6pt;mso-position-horizontal-relative:page;mso-position-vertical-relative:page;z-index:-1264024"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00.400002pt;margin-top:371.119995pt;width:43pt;height:28pt;mso-position-horizontal-relative:page;mso-position-vertical-relative:page;z-index:-1264000" coordorigin="2008,7422" coordsize="860,560">
            <v:group style="position:absolute;left:2008;top:7422;width:860;height:156" coordorigin="2008,7422" coordsize="860,156">
              <v:shape style="position:absolute;left:2008;top:7422;width:860;height:156" coordorigin="2008,7422" coordsize="860,156" path="m2008,7578l2867,7578,2867,7422,2008,7422,2008,7578xe" filled="true" fillcolor="#ffffff" stroked="false">
                <v:path arrowok="t"/>
                <v:fill type="solid"/>
              </v:shape>
            </v:group>
            <v:group style="position:absolute;left:2019;top:7578;width:2;height:393" coordorigin="2019,7578" coordsize="2,393">
              <v:shape style="position:absolute;left:2019;top:7578;width:2;height:393" coordorigin="2019,7578" coordsize="0,393" path="m2019,7578l2019,7971e" filled="false" stroked="true" strokeweight="1.140pt" strokecolor="#ffffff">
                <v:path arrowok="t"/>
              </v:shape>
            </v:group>
            <v:group style="position:absolute;left:2031;top:7578;width:814;height:393" coordorigin="2031,7578" coordsize="814,393">
              <v:shape style="position:absolute;left:2031;top:7578;width:814;height:393" coordorigin="2031,7578" coordsize="814,393" path="m2031,7971l2844,7971,2844,7578,2031,7578,2031,7971xe" filled="true" fillcolor="#ffffff" stroked="false">
                <v:path arrowok="t"/>
                <v:fill type="solid"/>
              </v:shape>
            </v:group>
            <w10:wrap type="none"/>
          </v:group>
        </w:pict>
      </w:r>
      <w:r>
        <w:rPr/>
        <w:pict>
          <v:group style="position:absolute;margin-left:100.400002pt;margin-top:406.819977pt;width:43pt;height:28.05pt;mso-position-horizontal-relative:page;mso-position-vertical-relative:page;z-index:-1263976" coordorigin="2008,8136" coordsize="860,561">
            <v:group style="position:absolute;left:2008;top:8136;width:860;height:156" coordorigin="2008,8136" coordsize="860,156">
              <v:shape style="position:absolute;left:2008;top:8136;width:860;height:156" coordorigin="2008,8136" coordsize="860,156" path="m2008,8292l2867,8292,2867,8136,2008,8136,2008,8292xe" filled="true" fillcolor="#ffffff" stroked="false">
                <v:path arrowok="t"/>
                <v:fill type="solid"/>
              </v:shape>
            </v:group>
            <v:group style="position:absolute;left:2019;top:8292;width:2;height:393" coordorigin="2019,8292" coordsize="2,393">
              <v:shape style="position:absolute;left:2019;top:8292;width:2;height:393" coordorigin="2019,8292" coordsize="0,393" path="m2019,8292l2019,8685e" filled="false" stroked="true" strokeweight="1.140pt" strokecolor="#ffffff">
                <v:path arrowok="t"/>
              </v:shape>
            </v:group>
            <v:group style="position:absolute;left:2031;top:8292;width:814;height:393" coordorigin="2031,8292" coordsize="814,393">
              <v:shape style="position:absolute;left:2031;top:8292;width:814;height:393" coordorigin="2031,8292" coordsize="814,393" path="m2031,8685l2844,8685,2844,8292,2031,8292,2031,8685xe" filled="true" fillcolor="#ffffff" stroked="false">
                <v:path arrowok="t"/>
                <v:fill type="solid"/>
              </v:shape>
            </v:group>
            <w10:wrap type="none"/>
          </v:group>
        </w:pict>
      </w:r>
      <w:r>
        <w:rPr/>
        <w:pict>
          <v:group style="position:absolute;margin-left:100.400002pt;margin-top:442.539978pt;width:43pt;height:15.6pt;mso-position-horizontal-relative:page;mso-position-vertical-relative:page;z-index:-1263952" coordorigin="2008,8851" coordsize="860,312">
            <v:shape style="position:absolute;left:2008;top:8851;width:860;height:312" coordorigin="2008,8851" coordsize="860,312" path="m2008,9163l2867,9163,2867,8851,2008,8851,2008,9163xe" filled="true" fillcolor="#ffffff" stroked="false">
              <v:path arrowok="t"/>
              <v:fill type="solid"/>
            </v:shape>
            <w10:wrap type="none"/>
          </v:group>
        </w:pict>
      </w:r>
      <w:r>
        <w:rPr/>
        <w:pict>
          <v:group style="position:absolute;margin-left:100.400002pt;margin-top:580.839966pt;width:43pt;height:28pt;mso-position-horizontal-relative:page;mso-position-vertical-relative:page;z-index:-1263928" coordorigin="2008,11617" coordsize="860,560">
            <v:group style="position:absolute;left:2008;top:11617;width:860;height:156" coordorigin="2008,11617" coordsize="860,156">
              <v:shape style="position:absolute;left:2008;top:11617;width:860;height:156" coordorigin="2008,11617" coordsize="860,156" path="m2008,11773l2867,11773,2867,11617,2008,11617,2008,11773xe" filled="true" fillcolor="#ffffff" stroked="false">
                <v:path arrowok="t"/>
                <v:fill type="solid"/>
              </v:shape>
            </v:group>
            <v:group style="position:absolute;left:2019;top:11773;width:2;height:393" coordorigin="2019,11773" coordsize="2,393">
              <v:shape style="position:absolute;left:2019;top:11773;width:2;height:393" coordorigin="2019,11773" coordsize="0,393" path="m2019,11773l2019,12165e" filled="false" stroked="true" strokeweight="1.140pt" strokecolor="#ffffff">
                <v:path arrowok="t"/>
              </v:shape>
            </v:group>
            <v:group style="position:absolute;left:2031;top:11773;width:814;height:393" coordorigin="2031,11773" coordsize="814,393">
              <v:shape style="position:absolute;left:2031;top:11773;width:814;height:393" coordorigin="2031,11773" coordsize="814,393" path="m2031,12165l2844,12165,2844,11773,2031,11773,2031,12165xe" filled="true" fillcolor="#ffffff" stroked="false">
                <v:path arrowok="t"/>
                <v:fill type="solid"/>
              </v:shape>
            </v:group>
            <w10:wrap type="none"/>
          </v:group>
        </w:pict>
      </w:r>
    </w:p>
    <w:p>
      <w:pPr>
        <w:pStyle w:val="Heading4"/>
        <w:spacing w:line="240" w:lineRule="auto" w:before="35"/>
        <w:ind w:right="0"/>
        <w:jc w:val="left"/>
        <w:rPr>
          <w:b w:val="0"/>
          <w:bCs w:val="0"/>
        </w:rPr>
      </w:pPr>
      <w:bookmarkStart w:name="19、油气资产" w:id="287"/>
      <w:bookmarkEnd w:id="287"/>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无形资产" w:id="288"/>
      <w:bookmarkEnd w:id="28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89"/>
      <w:bookmarkEnd w:id="28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161"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869" w:type="dxa"/>
            <w:vMerge w:val="restart"/>
            <w:tcBorders>
              <w:top w:val="single" w:sz="4" w:space="0" w:color="000000"/>
              <w:left w:val="single" w:sz="13"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9" w:type="dxa"/>
            <w:vMerge/>
            <w:tcBorders>
              <w:left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13" w:space="0" w:color="D2D2D2"/>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13" w:space="0" w:color="D2D2D2"/>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87,563,540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679,611.66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116,019,23</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44,893,900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101,996,90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7.28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111,228,45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12,479,015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55,806,903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530,667,57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2.53</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3,529,848.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628,324.20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10,010,446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31,502,179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51,724.14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10,010,446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10,062,170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0" w:firstLine="4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0" w:firstLine="45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 增加</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）外币 报表折算 的影响</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3,478,124.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628,324.20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21,440,009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 减少</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91,906,340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679,611.66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119,549,08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47,150,840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107,130,32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3.72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116,828,85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13,107,339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65,817,349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562,169,75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2.34</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二、累计摊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6,936,134.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245,415.30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32,755,044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5,339,429.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14,997,346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31,315,878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6,779,718.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49,831,173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148,200,14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0.400002pt;margin-top:123.779984pt;width:43pt;height:28.05pt;mso-position-horizontal-relative:page;mso-position-vertical-relative:page;z-index:-1263904" coordorigin="2008,2476" coordsize="860,561">
            <v:group style="position:absolute;left:2008;top:2476;width:860;height:156" coordorigin="2008,2476" coordsize="860,156">
              <v:shape style="position:absolute;left:2008;top:2476;width:860;height:156" coordorigin="2008,2476" coordsize="860,156" path="m2008,2632l2867,2632,2867,2476,2008,2476,2008,2632xe" filled="true" fillcolor="#ffffff" stroked="false">
                <v:path arrowok="t"/>
                <v:fill type="solid"/>
              </v:shape>
            </v:group>
            <v:group style="position:absolute;left:2019;top:2632;width:2;height:393" coordorigin="2019,2632" coordsize="2,393">
              <v:shape style="position:absolute;left:2019;top:2632;width:2;height:393" coordorigin="2019,2632" coordsize="0,393" path="m2019,2632l2019,3024e" filled="false" stroked="true" strokeweight="1.140pt" strokecolor="#ffffff">
                <v:path arrowok="t"/>
              </v:shape>
            </v:group>
            <v:group style="position:absolute;left:2031;top:2632;width:814;height:393" coordorigin="2031,2632" coordsize="814,393">
              <v:shape style="position:absolute;left:2031;top:2632;width:814;height:393" coordorigin="2031,2632" coordsize="814,393" path="m2031,3024l2844,3024,2844,2632,2031,2632,2031,3024xe" filled="true" fillcolor="#ffffff" stroked="false">
                <v:path arrowok="t"/>
                <v:fill type="solid"/>
              </v:shape>
            </v:group>
            <w10:wrap type="none"/>
          </v:group>
        </w:pict>
      </w:r>
      <w:r>
        <w:rPr/>
        <w:pict>
          <v:group style="position:absolute;margin-left:100.400002pt;margin-top:262.099976pt;width:43pt;height:28pt;mso-position-horizontal-relative:page;mso-position-vertical-relative:page;z-index:-1263880" coordorigin="2008,5242" coordsize="860,560">
            <v:group style="position:absolute;left:2008;top:5242;width:860;height:156" coordorigin="2008,5242" coordsize="860,156">
              <v:shape style="position:absolute;left:2008;top:5242;width:860;height:156" coordorigin="2008,5242" coordsize="860,156" path="m2008,5398l2867,5398,2867,5242,2008,5242,2008,5398xe" filled="true" fillcolor="#ffffff" stroked="false">
                <v:path arrowok="t"/>
                <v:fill type="solid"/>
              </v:shape>
            </v:group>
            <v:group style="position:absolute;left:2019;top:5398;width:2;height:393" coordorigin="2019,5398" coordsize="2,393">
              <v:shape style="position:absolute;left:2019;top:5398;width:2;height:393" coordorigin="2019,5398" coordsize="0,393" path="m2019,5398l2019,5790e" filled="false" stroked="true" strokeweight="1.140pt" strokecolor="#ffffff">
                <v:path arrowok="t"/>
              </v:shape>
            </v:group>
            <v:group style="position:absolute;left:2031;top:5398;width:814;height:393" coordorigin="2031,5398" coordsize="814,393">
              <v:shape style="position:absolute;left:2031;top:5398;width:814;height:393" coordorigin="2031,5398" coordsize="814,393" path="m2031,5790l2844,5790,2844,5398,2031,5398,2031,5790xe" filled="true" fillcolor="#ffffff" stroked="false">
                <v:path arrowok="t"/>
                <v:fill type="solid"/>
              </v:shape>
            </v:group>
            <w10:wrap type="none"/>
          </v:group>
        </w:pict>
      </w:r>
      <w:r>
        <w:rPr/>
        <w:pict>
          <v:group style="position:absolute;margin-left:100.400002pt;margin-top:491.919983pt;width:43pt;height:28pt;mso-position-horizontal-relative:page;mso-position-vertical-relative:page;z-index:-1263856" coordorigin="2008,9838" coordsize="860,560">
            <v:group style="position:absolute;left:2008;top:9838;width:860;height:156" coordorigin="2008,9838" coordsize="860,156">
              <v:shape style="position:absolute;left:2008;top:9838;width:860;height:156" coordorigin="2008,9838" coordsize="860,156" path="m2008,9994l2867,9994,2867,9838,2008,9838,2008,9994xe" filled="true" fillcolor="#ffffff" stroked="false">
                <v:path arrowok="t"/>
                <v:fill type="solid"/>
              </v:shape>
            </v:group>
            <v:group style="position:absolute;left:2019;top:9994;width:2;height:393" coordorigin="2019,9994" coordsize="2,393">
              <v:shape style="position:absolute;left:2019;top:9994;width:2;height:393" coordorigin="2019,9994" coordsize="0,393" path="m2019,9994l2019,10387e" filled="false" stroked="true" strokeweight="1.140pt" strokecolor="#ffffff">
                <v:path arrowok="t"/>
              </v:shape>
            </v:group>
            <v:group style="position:absolute;left:2031;top:9994;width:814;height:393" coordorigin="2031,9994" coordsize="814,393">
              <v:shape style="position:absolute;left:2031;top:9994;width:814;height:393" coordorigin="2031,9994" coordsize="814,393" path="m2031,10387l2844,10387,2844,9994,2031,9994,2031,1038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4,915,832.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226,537.20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18,677,265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4,422,544.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11,903,163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11,250,176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976,342.53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8,517,649.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60,889,511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226,537.20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17,396,458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10,673,507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9,225,830.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657,161.18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8,517,649.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55,111,676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 报表折算 的影响</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480,002.76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1,280,806.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443,843.37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2,024,345.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319,181.35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5,777,835.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 减少</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11,851,967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471,952.50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51,432,309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9,761,974.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26,900,509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42,566,054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7,756,060.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58,348,822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209,089,65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1.74</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424,723.00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424,723.00</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4,124,958.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4,146,343.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 报表折算 的影响</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21,385.00</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 减少</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446,108.00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4,571,066.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7"/>
                <w:sz w:val="18"/>
                <w:szCs w:val="18"/>
              </w:rPr>
              <w:t>、</w:t>
            </w:r>
            <w:r>
              <w:rPr>
                <w:rFonts w:ascii="宋体" w:hAnsi="宋体" w:cs="宋体" w:eastAsia="宋体" w:hint="default"/>
                <w:sz w:val="18"/>
                <w:szCs w:val="18"/>
              </w:rPr>
              <w:t>账面价</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36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末账面价 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80,054,372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207,659.16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63,991,818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36,942,758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80,229,814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74,262,805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5,351,278.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7,468,526.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348,509,03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4.01</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 初账面价 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80,627,405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434,196.36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83,264,194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39,129,747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86,999,560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79,912,577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5,699,297.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5,975,729.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382,042,70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9.34</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1.76%</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90"/>
      <w:bookmarkEnd w:id="29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开发支出" w:id="291"/>
      <w:bookmarkEnd w:id="291"/>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2" w:right="50"/>
              <w:jc w:val="left"/>
              <w:rPr>
                <w:rFonts w:ascii="Times New Roman" w:hAnsi="Times New Roman" w:cs="Times New Roman" w:eastAsia="Times New Roman" w:hint="default"/>
                <w:sz w:val="18"/>
                <w:szCs w:val="18"/>
              </w:rPr>
            </w:pPr>
            <w:r>
              <w:rPr>
                <w:rFonts w:ascii="Times New Roman"/>
                <w:sz w:val="18"/>
              </w:rPr>
              <w:t>Admath</w:t>
            </w:r>
            <w:r>
              <w:rPr>
                <w:rFonts w:ascii="Times New Roman"/>
                <w:w w:val="99"/>
                <w:sz w:val="18"/>
              </w:rPr>
              <w:t> </w:t>
            </w:r>
            <w:r>
              <w:rPr>
                <w:rFonts w:ascii="Times New Roman"/>
                <w:sz w:val="18"/>
              </w:rPr>
              <w:t>Trading</w:t>
            </w:r>
            <w:r>
              <w:rPr>
                <w:rFonts w:ascii="Times New Roman"/>
                <w:spacing w:val="-8"/>
                <w:sz w:val="18"/>
              </w:rPr>
              <w:t> </w:t>
            </w:r>
            <w:r>
              <w:rPr>
                <w:rFonts w:ascii="Times New Roman"/>
                <w:sz w:val="18"/>
              </w:rPr>
              <w:t>Desk</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19,803,714.9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5,731,762.21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25,535,477.1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19,803,714.9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5,731,762.21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25,535,477.1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其他说明</w:t>
      </w:r>
    </w:p>
    <w:p>
      <w:pPr>
        <w:pStyle w:val="BodyText"/>
        <w:spacing w:line="304" w:lineRule="auto" w:before="116"/>
        <w:ind w:right="1126"/>
        <w:jc w:val="left"/>
      </w:pPr>
      <w:r>
        <w:rPr>
          <w:rFonts w:ascii="Times New Roman" w:hAnsi="Times New Roman" w:cs="Times New Roman" w:eastAsia="Times New Roman" w:hint="default"/>
        </w:rPr>
        <w:t>Admath Trading</w:t>
      </w:r>
      <w:r>
        <w:rPr>
          <w:rFonts w:ascii="Times New Roman" w:hAnsi="Times New Roman" w:cs="Times New Roman" w:eastAsia="Times New Roman" w:hint="default"/>
          <w:spacing w:val="-3"/>
        </w:rPr>
        <w:t> </w:t>
      </w:r>
      <w:r>
        <w:rPr>
          <w:rFonts w:ascii="Times New Roman" w:hAnsi="Times New Roman" w:cs="Times New Roman" w:eastAsia="Times New Roman" w:hint="default"/>
        </w:rPr>
        <w:t>Desk</w:t>
      </w:r>
      <w:r>
        <w:rPr/>
        <w:t>，资本化开始时点为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月，已完成上海智度亦复信息技术有限公司（以下简称</w:t>
      </w:r>
      <w:r>
        <w:rPr>
          <w:rFonts w:ascii="Times New Roman" w:hAnsi="Times New Roman" w:cs="Times New Roman" w:eastAsia="Times New Roman" w:hint="default"/>
        </w:rPr>
        <w:t>“</w:t>
      </w:r>
      <w:r>
        <w:rPr/>
        <w:t>上海亦复信息公 </w:t>
      </w:r>
      <w:r>
        <w:rPr>
          <w:spacing w:val="-2"/>
        </w:rPr>
        <w:t>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Admath</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Trading</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Desk</w:t>
      </w:r>
      <w:r>
        <w:rPr>
          <w:spacing w:val="-1"/>
        </w:rPr>
        <w:t>第三阶段一期验收，按进度完成</w:t>
      </w:r>
      <w:r>
        <w:rPr>
          <w:rFonts w:ascii="Times New Roman" w:hAnsi="Times New Roman" w:cs="Times New Roman" w:eastAsia="Times New Roman" w:hint="default"/>
          <w:spacing w:val="-1"/>
        </w:rPr>
        <w:t>API</w:t>
      </w:r>
      <w:r>
        <w:rPr>
          <w:spacing w:val="-1"/>
        </w:rPr>
        <w:t>模式与多个媒体营销平台技术对接，</w:t>
      </w:r>
      <w:r>
        <w:rPr>
          <w:rFonts w:ascii="Times New Roman" w:hAnsi="Times New Roman" w:cs="Times New Roman" w:eastAsia="Times New Roman" w:hint="default"/>
          <w:spacing w:val="-1"/>
        </w:rPr>
        <w:t>OTT</w:t>
      </w:r>
      <w:r>
        <w:rPr>
          <w:spacing w:val="-1"/>
        </w:rPr>
        <w:t>平台资源对接，完成</w:t>
      </w:r>
      <w:r>
        <w:rPr>
          <w:spacing w:val="-88"/>
        </w:rPr>
        <w:t> </w:t>
      </w:r>
      <w:r>
        <w:rPr>
          <w:spacing w:val="-88"/>
        </w:rPr>
      </w:r>
      <w:r>
        <w:rPr>
          <w:spacing w:val="-2"/>
        </w:rPr>
        <w:t>广告监测，广告投放引擎，以及运营效率提升工具等功能的开发，并且通过测试。符合项目进度预期，不存在技术上的障碍</w:t>
      </w:r>
      <w:r>
        <w:rPr>
          <w:spacing w:val="-66"/>
        </w:rPr>
        <w:t> </w:t>
      </w:r>
      <w:r>
        <w:rPr>
          <w:spacing w:val="-66"/>
        </w:rPr>
      </w:r>
      <w:r>
        <w:rPr/>
        <w:t>或其他不确定性，并有能力使用该无形资产。截至期末研发进度达到</w:t>
      </w:r>
      <w:r>
        <w:rPr>
          <w:rFonts w:ascii="Times New Roman" w:hAnsi="Times New Roman" w:cs="Times New Roman" w:eastAsia="Times New Roman" w:hint="default"/>
        </w:rPr>
        <w:t>80.68%</w:t>
      </w:r>
      <w:r>
        <w:rPr/>
        <w:t>。期末对该项目的开发支出进行减值测试，未 发生减值。</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22、商誉" w:id="292"/>
      <w:bookmarkEnd w:id="292"/>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93"/>
      <w:bookmarkEnd w:id="29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97"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47" w:right="35"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7"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Style w:val="TableParagraph"/>
              <w:spacing w:line="319" w:lineRule="auto" w:before="57"/>
              <w:ind w:left="581" w:right="40" w:hanging="540"/>
              <w:jc w:val="left"/>
              <w:rPr>
                <w:rFonts w:ascii="宋体" w:hAnsi="宋体" w:cs="宋体" w:eastAsia="宋体" w:hint="default"/>
                <w:sz w:val="18"/>
                <w:szCs w:val="18"/>
              </w:rPr>
            </w:pPr>
            <w:r>
              <w:rPr>
                <w:rFonts w:ascii="宋体" w:hAnsi="宋体" w:cs="宋体" w:eastAsia="宋体" w:hint="default"/>
                <w:sz w:val="18"/>
                <w:szCs w:val="18"/>
              </w:rPr>
              <w:t>外币报表折算影 响</w:t>
            </w:r>
          </w:p>
        </w:tc>
        <w:tc>
          <w:tcPr>
            <w:tcW w:w="1367" w:type="dxa"/>
            <w:tcBorders>
              <w:top w:val="single" w:sz="4" w:space="0" w:color="000000"/>
              <w:left w:val="single" w:sz="10" w:space="0" w:color="E0FFFF"/>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10" w:space="0" w:color="E0FFFF"/>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tcBorders>
              <w:left w:val="single" w:sz="10" w:space="0" w:color="E0FFFF"/>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10" w:space="0" w:color="E0FFFF"/>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18" w:space="0" w:color="D2D2D2"/>
              <w:left w:val="single" w:sz="4" w:space="0" w:color="000000"/>
              <w:bottom w:val="single" w:sz="4" w:space="0" w:color="000000"/>
              <w:right w:val="single" w:sz="4" w:space="0" w:color="000000"/>
            </w:tcBorders>
            <w:shd w:val="clear" w:color="auto" w:fill="E0FFFF"/>
          </w:tcPr>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sz w:val="18"/>
              </w:rPr>
              <w:t>Spigot,Inc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1,493,259,962.28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75,186,331.55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1,568,446,293.83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640,116,082.57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 w:right="0"/>
              <w:jc w:val="center"/>
              <w:rPr>
                <w:rFonts w:ascii="Times New Roman" w:hAnsi="Times New Roman" w:cs="Times New Roman" w:eastAsia="Times New Roman" w:hint="default"/>
                <w:sz w:val="18"/>
                <w:szCs w:val="18"/>
              </w:rPr>
            </w:pPr>
            <w:r>
              <w:rPr>
                <w:rFonts w:ascii="Times New Roman"/>
                <w:sz w:val="18"/>
              </w:rPr>
              <w:t>640,116,082.57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268,199,641.97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268,199,641.97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30,625,381.67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30,625,381.67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2,432,201,068.49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75,186,331.55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2,507,387,400.04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94"/>
      <w:bookmarkEnd w:id="29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Spigot,Inc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both"/>
      </w:pPr>
      <w:r>
        <w:rPr/>
        <w:t>商誉所在资产组或资产组组合的相关信息</w:t>
      </w:r>
    </w:p>
    <w:p>
      <w:pPr>
        <w:pStyle w:val="BodyText"/>
        <w:spacing w:line="300" w:lineRule="auto" w:before="116"/>
        <w:ind w:right="1130"/>
        <w:jc w:val="both"/>
      </w:pPr>
      <w:r>
        <w:rPr>
          <w:spacing w:val="-1"/>
        </w:rPr>
        <w:t>本公司将商誉分配至从企业合并的协同效应中受益的资产组或者资产组组合，分别为</w:t>
      </w:r>
      <w:r>
        <w:rPr>
          <w:rFonts w:ascii="Times New Roman" w:hAnsi="Times New Roman" w:cs="Times New Roman" w:eastAsia="Times New Roman" w:hint="default"/>
          <w:spacing w:val="-1"/>
        </w:rPr>
        <w:t>SPE</w:t>
      </w:r>
      <w:r>
        <w:rPr>
          <w:spacing w:val="-1"/>
        </w:rPr>
        <w:t>业务、上海猎鹰业务组合（包括上</w:t>
      </w:r>
      <w:r>
        <w:rPr>
          <w:spacing w:val="-71"/>
        </w:rPr>
        <w:t> </w:t>
      </w:r>
      <w:r>
        <w:rPr>
          <w:spacing w:val="-71"/>
        </w:rPr>
      </w:r>
      <w:r>
        <w:rPr/>
        <w:t>海猎鹰业务、深圳范特西业务、核聚互动业务、掌汇天下业务）及上海亦复信息业务。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16" w:lineRule="auto"/>
        <w:ind w:right="1130"/>
        <w:jc w:val="both"/>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240" w:lineRule="auto" w:before="137"/>
        <w:ind w:right="0"/>
        <w:jc w:val="both"/>
      </w:pPr>
      <w:r>
        <w:rPr/>
        <w:t>①</w:t>
      </w:r>
      <w:r>
        <w:rPr>
          <w:spacing w:val="-20"/>
        </w:rPr>
        <w:t> </w:t>
      </w:r>
      <w:r>
        <w:rPr/>
        <w:t>资产组</w:t>
      </w:r>
      <w:r>
        <w:rPr>
          <w:rFonts w:ascii="Times New Roman" w:hAnsi="Times New Roman" w:cs="Times New Roman" w:eastAsia="Times New Roman" w:hint="default"/>
        </w:rPr>
        <w:t>SPE</w:t>
      </w:r>
      <w:r>
        <w:rPr/>
        <w:t>业务</w:t>
      </w:r>
    </w:p>
    <w:p>
      <w:pPr>
        <w:spacing w:line="240" w:lineRule="auto" w:before="4"/>
        <w:rPr>
          <w:rFonts w:ascii="宋体" w:hAnsi="宋体" w:cs="宋体" w:eastAsia="宋体" w:hint="default"/>
          <w:sz w:val="21"/>
          <w:szCs w:val="21"/>
        </w:rPr>
      </w:pPr>
    </w:p>
    <w:p>
      <w:pPr>
        <w:pStyle w:val="BodyText"/>
        <w:spacing w:line="300" w:lineRule="auto"/>
        <w:ind w:right="1090"/>
        <w:jc w:val="both"/>
      </w:pPr>
      <w:r>
        <w:rPr>
          <w:spacing w:val="-1"/>
        </w:rPr>
        <w:t>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月收购</w:t>
      </w:r>
      <w:r>
        <w:rPr>
          <w:rFonts w:ascii="Times New Roman" w:hAnsi="Times New Roman" w:cs="Times New Roman" w:eastAsia="Times New Roman" w:hint="default"/>
          <w:spacing w:val="-1"/>
        </w:rPr>
        <w:t>Spigot,Inc.</w:t>
      </w:r>
      <w:r>
        <w:rPr>
          <w:spacing w:val="-1"/>
        </w:rPr>
        <w:t>，在收购该公司后，按照既定业务发展计划，于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日，经本公司</w:t>
      </w:r>
      <w:r>
        <w:rPr>
          <w:rFonts w:ascii="Times New Roman" w:hAnsi="Times New Roman" w:cs="Times New Roman" w:eastAsia="Times New Roman" w:hint="default"/>
          <w:spacing w:val="-1"/>
        </w:rPr>
        <w:t>2016</w:t>
      </w:r>
      <w:r>
        <w:rPr>
          <w:spacing w:val="-1"/>
        </w:rPr>
        <w:t>年第二次</w:t>
      </w:r>
      <w:r>
        <w:rPr>
          <w:spacing w:val="-88"/>
        </w:rPr>
        <w:t> </w:t>
      </w:r>
      <w:r>
        <w:rPr/>
        <w:t>临时股东大会审议通过，本公司对</w:t>
      </w:r>
      <w:r>
        <w:rPr>
          <w:rFonts w:ascii="Times New Roman" w:hAnsi="Times New Roman" w:cs="Times New Roman" w:eastAsia="Times New Roman" w:hint="default"/>
        </w:rPr>
        <w:t>Spigot,Inc.</w:t>
      </w:r>
      <w:r>
        <w:rPr/>
        <w:t>的经营架构作出调整：本公司全资子公司智度香港公司在</w:t>
      </w:r>
      <w:r>
        <w:rPr>
          <w:rFonts w:ascii="Times New Roman" w:hAnsi="Times New Roman" w:cs="Times New Roman" w:eastAsia="Times New Roman" w:hint="default"/>
        </w:rPr>
        <w:t>Spigot,Inc.</w:t>
      </w:r>
      <w:r>
        <w:rPr/>
        <w:t>的协助下， </w:t>
      </w:r>
      <w:r>
        <w:rPr>
          <w:spacing w:val="-1"/>
        </w:rPr>
        <w:t>出资设立</w:t>
      </w:r>
      <w:r>
        <w:rPr>
          <w:rFonts w:ascii="Times New Roman" w:hAnsi="Times New Roman" w:cs="Times New Roman" w:eastAsia="Times New Roman" w:hint="default"/>
          <w:spacing w:val="-1"/>
        </w:rPr>
        <w:t>Polarity</w:t>
      </w:r>
      <w:r>
        <w:rPr>
          <w:spacing w:val="-1"/>
        </w:rPr>
        <w:t>和</w:t>
      </w:r>
      <w:r>
        <w:rPr>
          <w:rFonts w:ascii="Times New Roman" w:hAnsi="Times New Roman" w:cs="Times New Roman" w:eastAsia="Times New Roman" w:hint="default"/>
          <w:spacing w:val="-1"/>
        </w:rPr>
        <w:t>Eightpoint</w:t>
      </w:r>
      <w:r>
        <w:rPr>
          <w:spacing w:val="-1"/>
        </w:rPr>
        <w:t>两家公司，将从事和</w:t>
      </w:r>
      <w:r>
        <w:rPr>
          <w:rFonts w:ascii="Times New Roman" w:hAnsi="Times New Roman" w:cs="Times New Roman" w:eastAsia="Times New Roman" w:hint="default"/>
          <w:spacing w:val="-1"/>
        </w:rPr>
        <w:t>Spigot,Inc.</w:t>
      </w:r>
      <w:r>
        <w:rPr>
          <w:spacing w:val="-1"/>
        </w:rPr>
        <w:t>相同类型的业务，智度香港公司仅象征性出资（不超过美元一千</w:t>
      </w:r>
      <w:r>
        <w:rPr>
          <w:spacing w:val="-69"/>
        </w:rPr>
        <w:t> </w:t>
      </w:r>
      <w:r>
        <w:rPr>
          <w:spacing w:val="-69"/>
        </w:rPr>
      </w:r>
      <w:r>
        <w:rPr/>
        <w:t>元），并不会实际投入任何运营资金。在本次经营架构调整完成后，原则上未来</w:t>
      </w:r>
      <w:r>
        <w:rPr>
          <w:rFonts w:ascii="Times New Roman" w:hAnsi="Times New Roman" w:cs="Times New Roman" w:eastAsia="Times New Roman" w:hint="default"/>
        </w:rPr>
        <w:t>Spigot,Inc.</w:t>
      </w:r>
      <w:r>
        <w:rPr/>
        <w:t>拟进行的软件购买交易及其运营</w:t>
      </w:r>
      <w:r>
        <w:rPr>
          <w:spacing w:val="-67"/>
        </w:rPr>
        <w:t> </w:t>
      </w:r>
      <w:r>
        <w:rPr>
          <w:spacing w:val="-67"/>
        </w:rPr>
      </w:r>
      <w:r>
        <w:rPr/>
        <w:t>业务，将由</w:t>
      </w:r>
      <w:r>
        <w:rPr>
          <w:rFonts w:ascii="Times New Roman" w:hAnsi="Times New Roman" w:cs="Times New Roman" w:eastAsia="Times New Roman" w:hint="default"/>
        </w:rPr>
        <w:t>Spigot,Inc.</w:t>
      </w:r>
      <w:r>
        <w:rPr/>
        <w:t>、</w:t>
      </w:r>
      <w:r>
        <w:rPr>
          <w:rFonts w:ascii="Times New Roman" w:hAnsi="Times New Roman" w:cs="Times New Roman" w:eastAsia="Times New Roman" w:hint="default"/>
        </w:rPr>
        <w:t>Polarity</w:t>
      </w:r>
      <w:r>
        <w:rPr/>
        <w:t>和</w:t>
      </w:r>
      <w:r>
        <w:rPr>
          <w:rFonts w:ascii="Times New Roman" w:hAnsi="Times New Roman" w:cs="Times New Roman" w:eastAsia="Times New Roman" w:hint="default"/>
        </w:rPr>
        <w:t>Eightpoint</w:t>
      </w:r>
      <w:r>
        <w:rPr/>
        <w:t>共同开展。</w:t>
      </w:r>
      <w:r>
        <w:rPr>
          <w:rFonts w:ascii="Times New Roman" w:hAnsi="Times New Roman" w:cs="Times New Roman" w:eastAsia="Times New Roman" w:hint="default"/>
        </w:rPr>
        <w:t>Spigot,Inc.</w:t>
      </w:r>
      <w:r>
        <w:rPr/>
        <w:t>应负责全面支持</w:t>
      </w:r>
      <w:r>
        <w:rPr>
          <w:rFonts w:ascii="Times New Roman" w:hAnsi="Times New Roman" w:cs="Times New Roman" w:eastAsia="Times New Roman" w:hint="default"/>
        </w:rPr>
        <w:t>Polarity</w:t>
      </w:r>
      <w:r>
        <w:rPr/>
        <w:t>和</w:t>
      </w:r>
      <w:r>
        <w:rPr>
          <w:rFonts w:ascii="Times New Roman" w:hAnsi="Times New Roman" w:cs="Times New Roman" w:eastAsia="Times New Roman" w:hint="default"/>
        </w:rPr>
        <w:t>Eightpoint</w:t>
      </w:r>
      <w:r>
        <w:rPr/>
        <w:t>的日常运营，包括提供</w:t>
      </w:r>
      <w:r>
        <w:rPr>
          <w:w w:val="99"/>
        </w:rPr>
        <w:t> </w:t>
      </w:r>
      <w:r>
        <w:rPr/>
        <w:t>融资支持等。本公司不会向该等两家公司提供财务支持。</w:t>
      </w:r>
    </w:p>
    <w:p>
      <w:pPr>
        <w:spacing w:line="240" w:lineRule="auto" w:before="12"/>
        <w:rPr>
          <w:rFonts w:ascii="宋体" w:hAnsi="宋体" w:cs="宋体" w:eastAsia="宋体" w:hint="default"/>
          <w:sz w:val="18"/>
          <w:szCs w:val="18"/>
        </w:rPr>
      </w:pPr>
    </w:p>
    <w:p>
      <w:pPr>
        <w:pStyle w:val="BodyText"/>
        <w:spacing w:line="300" w:lineRule="auto"/>
        <w:ind w:right="1129"/>
        <w:jc w:val="both"/>
      </w:pPr>
      <w:r>
        <w:rPr>
          <w:spacing w:val="-2"/>
        </w:rPr>
        <w:t>考虑到上述架构重组方案（包括设立</w:t>
      </w:r>
      <w:r>
        <w:rPr>
          <w:rFonts w:ascii="Times New Roman" w:hAnsi="Times New Roman" w:cs="Times New Roman" w:eastAsia="Times New Roman" w:hint="default"/>
          <w:spacing w:val="-2"/>
        </w:rPr>
        <w:t>Polarity</w:t>
      </w:r>
      <w:r>
        <w:rPr>
          <w:spacing w:val="-2"/>
        </w:rPr>
        <w:t>和</w:t>
      </w:r>
      <w:r>
        <w:rPr>
          <w:rFonts w:ascii="Times New Roman" w:hAnsi="Times New Roman" w:cs="Times New Roman" w:eastAsia="Times New Roman" w:hint="default"/>
          <w:spacing w:val="-2"/>
        </w:rPr>
        <w:t>Eightpoint</w:t>
      </w:r>
      <w:r>
        <w:rPr>
          <w:spacing w:val="-2"/>
        </w:rPr>
        <w:t>）是</w:t>
      </w:r>
      <w:r>
        <w:rPr>
          <w:rFonts w:ascii="Times New Roman" w:hAnsi="Times New Roman" w:cs="Times New Roman" w:eastAsia="Times New Roman" w:hint="default"/>
          <w:spacing w:val="-2"/>
        </w:rPr>
        <w:t>Spigot,Inc.</w:t>
      </w:r>
      <w:r>
        <w:rPr>
          <w:spacing w:val="-2"/>
        </w:rPr>
        <w:t>业务发展所需，而根据现有安排，</w:t>
      </w:r>
      <w:r>
        <w:rPr>
          <w:rFonts w:ascii="Times New Roman" w:hAnsi="Times New Roman" w:cs="Times New Roman" w:eastAsia="Times New Roman" w:hint="default"/>
          <w:spacing w:val="-2"/>
        </w:rPr>
        <w:t>Polarity</w:t>
      </w:r>
      <w:r>
        <w:rPr>
          <w:spacing w:val="-2"/>
        </w:rPr>
        <w:t>和</w:t>
      </w:r>
      <w:r>
        <w:rPr>
          <w:rFonts w:ascii="Times New Roman" w:hAnsi="Times New Roman" w:cs="Times New Roman" w:eastAsia="Times New Roman" w:hint="default"/>
          <w:spacing w:val="-2"/>
        </w:rPr>
        <w:t>Eightpoint </w:t>
      </w:r>
      <w:r>
        <w:rPr/>
        <w:t>业务的设立得益于</w:t>
      </w:r>
      <w:r>
        <w:rPr>
          <w:rFonts w:ascii="Times New Roman" w:hAnsi="Times New Roman" w:cs="Times New Roman" w:eastAsia="Times New Roman" w:hint="default"/>
        </w:rPr>
        <w:t>Spigot,Inc.</w:t>
      </w:r>
      <w:r>
        <w:rPr/>
        <w:t>的支持，</w:t>
      </w:r>
      <w:r>
        <w:rPr>
          <w:rFonts w:ascii="Times New Roman" w:hAnsi="Times New Roman" w:cs="Times New Roman" w:eastAsia="Times New Roman" w:hint="default"/>
        </w:rPr>
        <w:t>Spigot,Inc.</w:t>
      </w:r>
      <w:r>
        <w:rPr/>
        <w:t>现有的销售、技术和管理团队将根据安排全力投入</w:t>
      </w:r>
      <w:r>
        <w:rPr>
          <w:rFonts w:ascii="Times New Roman" w:hAnsi="Times New Roman" w:cs="Times New Roman" w:eastAsia="Times New Roman" w:hint="default"/>
        </w:rPr>
        <w:t>Polarity</w:t>
      </w:r>
      <w:r>
        <w:rPr/>
        <w:t>和</w:t>
      </w:r>
      <w:r>
        <w:rPr>
          <w:rFonts w:ascii="Times New Roman" w:hAnsi="Times New Roman" w:cs="Times New Roman" w:eastAsia="Times New Roman" w:hint="default"/>
        </w:rPr>
        <w:t>Eightpoint</w:t>
      </w:r>
      <w:r>
        <w:rPr/>
        <w:t>的运</w:t>
      </w:r>
      <w:r>
        <w:rPr>
          <w:spacing w:val="-32"/>
        </w:rPr>
        <w:t> </w:t>
      </w:r>
      <w:r>
        <w:rPr>
          <w:spacing w:val="-1"/>
        </w:rPr>
        <w:t>营，该方案能提升</w:t>
      </w:r>
      <w:r>
        <w:rPr>
          <w:rFonts w:ascii="Times New Roman" w:hAnsi="Times New Roman" w:cs="Times New Roman" w:eastAsia="Times New Roman" w:hint="default"/>
          <w:spacing w:val="-1"/>
        </w:rPr>
        <w:t>Spigot,Inc.</w:t>
      </w:r>
      <w:r>
        <w:rPr>
          <w:spacing w:val="-1"/>
        </w:rPr>
        <w:t>及上市公司盈利能力，保护中小股东利益。为真实的反映</w:t>
      </w:r>
      <w:r>
        <w:rPr>
          <w:rFonts w:ascii="Times New Roman" w:hAnsi="Times New Roman" w:cs="Times New Roman" w:eastAsia="Times New Roman" w:hint="default"/>
          <w:spacing w:val="-1"/>
        </w:rPr>
        <w:t>Spigot,Inc.</w:t>
      </w:r>
      <w:r>
        <w:rPr>
          <w:spacing w:val="-1"/>
        </w:rPr>
        <w:t>盈利能力，本公司在架构重</w:t>
      </w:r>
      <w:r>
        <w:rPr>
          <w:spacing w:val="-70"/>
        </w:rPr>
        <w:t> </w:t>
      </w:r>
      <w:r>
        <w:rPr>
          <w:spacing w:val="-70"/>
        </w:rPr>
      </w:r>
      <w:r>
        <w:rPr/>
        <w:t>组的同时，同时签署《</w:t>
      </w:r>
      <w:r>
        <w:rPr>
          <w:rFonts w:ascii="Times New Roman" w:hAnsi="Times New Roman" w:cs="Times New Roman" w:eastAsia="Times New Roman" w:hint="default"/>
        </w:rPr>
        <w:t>Spigot,Inc.</w:t>
      </w:r>
      <w:r>
        <w:rPr/>
        <w:t>股权购买协议之补充协议》，约定在</w:t>
      </w:r>
      <w:r>
        <w:rPr>
          <w:rFonts w:ascii="Times New Roman" w:hAnsi="Times New Roman" w:cs="Times New Roman" w:eastAsia="Times New Roman" w:hint="default"/>
        </w:rPr>
        <w:t>Polarity</w:t>
      </w:r>
      <w:r>
        <w:rPr/>
        <w:t>和</w:t>
      </w:r>
      <w:r>
        <w:rPr>
          <w:rFonts w:ascii="Times New Roman" w:hAnsi="Times New Roman" w:cs="Times New Roman" w:eastAsia="Times New Roman" w:hint="default"/>
        </w:rPr>
        <w:t>Eightpoint</w:t>
      </w:r>
      <w:r>
        <w:rPr/>
        <w:t>与</w:t>
      </w:r>
      <w:r>
        <w:rPr>
          <w:rFonts w:ascii="Times New Roman" w:hAnsi="Times New Roman" w:cs="Times New Roman" w:eastAsia="Times New Roman" w:hint="default"/>
        </w:rPr>
        <w:t>Spigot,Inc.</w:t>
      </w:r>
      <w:r>
        <w:rPr/>
        <w:t>业务范围一致时，将</w:t>
      </w:r>
      <w:r>
        <w:rPr>
          <w:spacing w:val="-37"/>
        </w:rPr>
        <w:t> </w:t>
      </w:r>
      <w:r>
        <w:rPr>
          <w:spacing w:val="-37"/>
        </w:rPr>
      </w:r>
      <w:r>
        <w:rPr>
          <w:rFonts w:ascii="Times New Roman" w:hAnsi="Times New Roman" w:cs="Times New Roman" w:eastAsia="Times New Roman" w:hint="default"/>
          <w:spacing w:val="-1"/>
        </w:rPr>
        <w:t>Spigot,Inc.</w:t>
      </w:r>
      <w:r>
        <w:rPr>
          <w:spacing w:val="-1"/>
        </w:rPr>
        <w:t>的业绩承诺主体涵盖范围扩大至</w:t>
      </w:r>
      <w:r>
        <w:rPr>
          <w:rFonts w:ascii="Times New Roman" w:hAnsi="Times New Roman" w:cs="Times New Roman" w:eastAsia="Times New Roman" w:hint="default"/>
          <w:spacing w:val="-1"/>
        </w:rPr>
        <w:t>Spigot,Inc.</w:t>
      </w:r>
      <w:r>
        <w:rPr>
          <w:spacing w:val="-1"/>
        </w:rPr>
        <w:t>、</w:t>
      </w:r>
      <w:r>
        <w:rPr>
          <w:rFonts w:ascii="Times New Roman" w:hAnsi="Times New Roman" w:cs="Times New Roman" w:eastAsia="Times New Roman" w:hint="default"/>
          <w:spacing w:val="-1"/>
        </w:rPr>
        <w:t>Polarity</w:t>
      </w:r>
      <w:r>
        <w:rPr>
          <w:spacing w:val="-1"/>
        </w:rPr>
        <w:t>和</w:t>
      </w:r>
      <w:r>
        <w:rPr>
          <w:rFonts w:ascii="Times New Roman" w:hAnsi="Times New Roman" w:cs="Times New Roman" w:eastAsia="Times New Roman" w:hint="default"/>
          <w:spacing w:val="-1"/>
        </w:rPr>
        <w:t>Eightpoint</w:t>
      </w:r>
      <w:r>
        <w:rPr>
          <w:spacing w:val="-1"/>
        </w:rPr>
        <w:t>三家公司模拟的集团（以下简称</w:t>
      </w:r>
      <w:r>
        <w:rPr>
          <w:rFonts w:ascii="Times New Roman" w:hAnsi="Times New Roman" w:cs="Times New Roman" w:eastAsia="Times New Roman" w:hint="default"/>
          <w:spacing w:val="-1"/>
        </w:rPr>
        <w:t>“SPE</w:t>
      </w:r>
      <w:r>
        <w:rPr>
          <w:spacing w:val="-1"/>
        </w:rPr>
        <w:t>公司</w:t>
      </w:r>
      <w:r>
        <w:rPr>
          <w:rFonts w:ascii="Times New Roman" w:hAnsi="Times New Roman" w:cs="Times New Roman" w:eastAsia="Times New Roman" w:hint="default"/>
          <w:spacing w:val="-1"/>
        </w:rPr>
        <w:t>”</w:t>
      </w:r>
      <w:r>
        <w:rPr>
          <w:spacing w:val="-1"/>
        </w:rPr>
        <w:t>），业</w:t>
      </w:r>
      <w:r>
        <w:rPr/>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523" w:lineRule="auto" w:before="44"/>
        <w:ind w:right="2525"/>
        <w:jc w:val="left"/>
      </w:pPr>
      <w:r>
        <w:rPr/>
        <w:t>绩承诺对应的年份和具体金额没有变化。 鉴于此，本公司收购</w:t>
      </w:r>
      <w:r>
        <w:rPr>
          <w:rFonts w:ascii="Times New Roman" w:hAnsi="Times New Roman" w:cs="Times New Roman" w:eastAsia="Times New Roman" w:hint="default"/>
        </w:rPr>
        <w:t>Spigot,Inc</w:t>
      </w:r>
      <w:r>
        <w:rPr/>
        <w:t>产生商誉金额</w:t>
      </w:r>
      <w:r>
        <w:rPr>
          <w:rFonts w:ascii="Times New Roman" w:hAnsi="Times New Roman" w:cs="Times New Roman" w:eastAsia="Times New Roman" w:hint="default"/>
        </w:rPr>
        <w:t>1,568,446,293.83</w:t>
      </w:r>
      <w:r>
        <w:rPr/>
        <w:t>元，将</w:t>
      </w:r>
      <w:r>
        <w:rPr>
          <w:rFonts w:ascii="Times New Roman" w:hAnsi="Times New Roman" w:cs="Times New Roman" w:eastAsia="Times New Roman" w:hint="default"/>
        </w:rPr>
        <w:t>SPE</w:t>
      </w:r>
      <w:r>
        <w:rPr/>
        <w:t>业务整体视为一个资产组。 </w:t>
      </w:r>
      <w:r>
        <w:rPr>
          <w:rFonts w:ascii="Times New Roman" w:hAnsi="Times New Roman" w:cs="Times New Roman" w:eastAsia="Times New Roman" w:hint="default"/>
        </w:rPr>
        <w:t>A</w:t>
      </w:r>
      <w:r>
        <w:rPr/>
        <w:t>、可收回金额的测试方法</w:t>
      </w:r>
    </w:p>
    <w:p>
      <w:pPr>
        <w:pStyle w:val="BodyText"/>
        <w:spacing w:line="307" w:lineRule="auto" w:before="44"/>
        <w:ind w:right="1132"/>
        <w:jc w:val="both"/>
      </w:pPr>
      <w:r>
        <w:rPr>
          <w:spacing w:val="-3"/>
          <w:w w:val="99"/>
        </w:rPr>
        <w:t>资产组</w:t>
      </w:r>
      <w:r>
        <w:rPr>
          <w:rFonts w:ascii="Times New Roman" w:hAnsi="Times New Roman" w:cs="Times New Roman" w:eastAsia="Times New Roman" w:hint="default"/>
          <w:spacing w:val="-3"/>
          <w:w w:val="99"/>
        </w:rPr>
        <w:t>SPE</w:t>
      </w:r>
      <w:r>
        <w:rPr>
          <w:spacing w:val="-3"/>
          <w:w w:val="99"/>
        </w:rPr>
        <w:t>业务期末可收回金额按照预计未来现金流量的现值确定，并经中水致远资产评估有限公司的评估确定。资产组</w:t>
      </w:r>
      <w:r>
        <w:rPr>
          <w:rFonts w:ascii="Times New Roman" w:hAnsi="Times New Roman" w:cs="Times New Roman" w:eastAsia="Times New Roman" w:hint="default"/>
          <w:spacing w:val="-3"/>
          <w:w w:val="99"/>
        </w:rPr>
        <w:t>SPE</w:t>
      </w:r>
      <w:r>
        <w:rPr>
          <w:rFonts w:ascii="Times New Roman" w:hAnsi="Times New Roman" w:cs="Times New Roman" w:eastAsia="Times New Roman" w:hint="default"/>
          <w:spacing w:val="-40"/>
          <w:w w:val="99"/>
        </w:rPr>
        <w:t> </w:t>
      </w:r>
      <w:r>
        <w:rPr>
          <w:spacing w:val="-1"/>
        </w:rPr>
        <w:t>业务根据管理层批准的财务预算预计未来</w:t>
      </w:r>
      <w:r>
        <w:rPr>
          <w:rFonts w:ascii="Times New Roman" w:hAnsi="Times New Roman" w:cs="Times New Roman" w:eastAsia="Times New Roman" w:hint="default"/>
          <w:spacing w:val="-1"/>
        </w:rPr>
        <w:t>5</w:t>
      </w:r>
      <w:r>
        <w:rPr>
          <w:spacing w:val="-1"/>
        </w:rPr>
        <w:t>年内现金流量，其后年度采用的现金流量增长率预计为</w:t>
      </w:r>
      <w:r>
        <w:rPr>
          <w:rFonts w:ascii="Times New Roman" w:hAnsi="Times New Roman" w:cs="Times New Roman" w:eastAsia="Times New Roman" w:hint="default"/>
          <w:spacing w:val="-1"/>
        </w:rPr>
        <w:t>0%</w:t>
      </w:r>
      <w:r>
        <w:rPr>
          <w:spacing w:val="-1"/>
        </w:rPr>
        <w:t>，不会超过资产组经营</w:t>
      </w:r>
      <w:r>
        <w:rPr/>
        <w:t> </w:t>
      </w:r>
      <w:r>
        <w:rPr>
          <w:spacing w:val="-2"/>
        </w:rPr>
        <w:t>业务的长期平均增长率。管理层根据过往表现及其对市场发展的预期编制上述财务预算。计算未来现金流现值所采用的税前</w:t>
      </w:r>
      <w:r>
        <w:rPr>
          <w:spacing w:val="-64"/>
        </w:rPr>
        <w:t> </w:t>
      </w:r>
      <w:r>
        <w:rPr>
          <w:spacing w:val="-64"/>
        </w:rPr>
      </w:r>
      <w:r>
        <w:rPr/>
        <w:t>折现率为</w:t>
      </w:r>
      <w:r>
        <w:rPr>
          <w:rFonts w:ascii="Times New Roman" w:hAnsi="Times New Roman" w:cs="Times New Roman" w:eastAsia="Times New Roman" w:hint="default"/>
        </w:rPr>
        <w:t>14.62%</w:t>
      </w:r>
      <w:r>
        <w:rPr/>
        <w:t>，已反映了相对于有关分部的风险。根据减值测试的结果，本期期末商誉未发生减值（上期期末：无）。</w:t>
      </w:r>
    </w:p>
    <w:p>
      <w:pPr>
        <w:spacing w:line="240" w:lineRule="auto" w:before="1"/>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B</w:t>
      </w:r>
      <w:r>
        <w:rPr/>
        <w:t>、业绩承诺实现情况</w:t>
      </w:r>
    </w:p>
    <w:p>
      <w:pPr>
        <w:spacing w:line="240" w:lineRule="auto" w:before="4"/>
        <w:rPr>
          <w:rFonts w:ascii="宋体" w:hAnsi="宋体" w:cs="宋体" w:eastAsia="宋体" w:hint="default"/>
          <w:sz w:val="21"/>
          <w:szCs w:val="21"/>
        </w:rPr>
      </w:pPr>
    </w:p>
    <w:p>
      <w:pPr>
        <w:pStyle w:val="BodyText"/>
        <w:spacing w:line="300" w:lineRule="auto"/>
        <w:ind w:right="104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月，本公司与</w:t>
      </w:r>
      <w:r>
        <w:rPr>
          <w:rFonts w:ascii="Times New Roman" w:hAnsi="Times New Roman" w:cs="Times New Roman" w:eastAsia="Times New Roman" w:hint="default"/>
        </w:rPr>
        <w:t>Rodrigo</w:t>
      </w:r>
      <w:r>
        <w:rPr>
          <w:rFonts w:ascii="Times New Roman" w:hAnsi="Times New Roman" w:cs="Times New Roman" w:eastAsia="Times New Roman" w:hint="default"/>
          <w:spacing w:val="-21"/>
        </w:rPr>
        <w:t> </w:t>
      </w:r>
      <w:r>
        <w:rPr>
          <w:rFonts w:ascii="Times New Roman" w:hAnsi="Times New Roman" w:cs="Times New Roman" w:eastAsia="Times New Roman" w:hint="default"/>
        </w:rPr>
        <w:t>Sales</w:t>
      </w:r>
      <w:r>
        <w:rPr/>
        <w:t>等</w:t>
      </w:r>
      <w:r>
        <w:rPr>
          <w:rFonts w:ascii="Times New Roman" w:hAnsi="Times New Roman" w:cs="Times New Roman" w:eastAsia="Times New Roman" w:hint="default"/>
        </w:rPr>
        <w:t>Spigot</w:t>
      </w:r>
      <w:r>
        <w:rPr/>
        <w:t>原股东签署了《</w:t>
      </w:r>
      <w:r>
        <w:rPr>
          <w:rFonts w:ascii="Times New Roman" w:hAnsi="Times New Roman" w:cs="Times New Roman" w:eastAsia="Times New Roman" w:hint="default"/>
        </w:rPr>
        <w:t>Spigot,</w:t>
      </w:r>
      <w:r>
        <w:rPr>
          <w:rFonts w:ascii="Times New Roman" w:hAnsi="Times New Roman" w:cs="Times New Roman" w:eastAsia="Times New Roman" w:hint="default"/>
          <w:spacing w:val="-21"/>
        </w:rPr>
        <w:t> </w:t>
      </w:r>
      <w:r>
        <w:rPr>
          <w:rFonts w:ascii="Times New Roman" w:hAnsi="Times New Roman" w:cs="Times New Roman" w:eastAsia="Times New Roman" w:hint="default"/>
        </w:rPr>
        <w:t>Inc.</w:t>
      </w:r>
      <w:r>
        <w:rPr/>
        <w:t>股权购买协议》，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月，本公司与</w:t>
      </w:r>
      <w:r>
        <w:rPr>
          <w:rFonts w:ascii="Times New Roman" w:hAnsi="Times New Roman" w:cs="Times New Roman" w:eastAsia="Times New Roman" w:hint="default"/>
        </w:rPr>
        <w:t>Rodrigo</w:t>
      </w:r>
      <w:r>
        <w:rPr>
          <w:rFonts w:ascii="Times New Roman" w:hAnsi="Times New Roman" w:cs="Times New Roman" w:eastAsia="Times New Roman" w:hint="default"/>
          <w:spacing w:val="-21"/>
        </w:rPr>
        <w:t> </w:t>
      </w:r>
      <w:r>
        <w:rPr>
          <w:rFonts w:ascii="Times New Roman" w:hAnsi="Times New Roman" w:cs="Times New Roman" w:eastAsia="Times New Roman" w:hint="default"/>
        </w:rPr>
        <w:t>Sales</w:t>
      </w:r>
      <w:r>
        <w:rPr>
          <w:rFonts w:ascii="Times New Roman" w:hAnsi="Times New Roman" w:cs="Times New Roman" w:eastAsia="Times New Roman" w:hint="default"/>
          <w:w w:val="99"/>
        </w:rPr>
        <w:t> </w:t>
      </w:r>
      <w:r>
        <w:rPr>
          <w:spacing w:val="-3"/>
        </w:rPr>
        <w:t>等原股东签署了《</w:t>
      </w:r>
      <w:r>
        <w:rPr>
          <w:rFonts w:ascii="Times New Roman" w:hAnsi="Times New Roman" w:cs="Times New Roman" w:eastAsia="Times New Roman" w:hint="default"/>
          <w:spacing w:val="-3"/>
        </w:rPr>
        <w:t>Spigot, </w:t>
      </w:r>
      <w:r>
        <w:rPr>
          <w:rFonts w:ascii="Times New Roman" w:hAnsi="Times New Roman" w:cs="Times New Roman" w:eastAsia="Times New Roman" w:hint="default"/>
          <w:spacing w:val="-4"/>
        </w:rPr>
        <w:t>Inc.</w:t>
      </w:r>
      <w:r>
        <w:rPr>
          <w:spacing w:val="-4"/>
        </w:rPr>
        <w:t>股权购买协议之补充协议》。</w:t>
      </w:r>
      <w:r>
        <w:rPr>
          <w:rFonts w:ascii="Times New Roman" w:hAnsi="Times New Roman" w:cs="Times New Roman" w:eastAsia="Times New Roman" w:hint="default"/>
          <w:spacing w:val="-4"/>
        </w:rPr>
        <w:t>Rodrigo</w:t>
      </w:r>
      <w:r>
        <w:rPr>
          <w:rFonts w:ascii="Times New Roman" w:hAnsi="Times New Roman" w:cs="Times New Roman" w:eastAsia="Times New Roman" w:hint="default"/>
          <w:spacing w:val="-24"/>
        </w:rPr>
        <w:t> </w:t>
      </w:r>
      <w:r>
        <w:rPr>
          <w:rFonts w:ascii="Times New Roman" w:hAnsi="Times New Roman" w:cs="Times New Roman" w:eastAsia="Times New Roman" w:hint="default"/>
        </w:rPr>
        <w:t>Sales</w:t>
      </w:r>
      <w:r>
        <w:rPr/>
        <w:t>等</w:t>
      </w:r>
      <w:r>
        <w:rPr>
          <w:rFonts w:ascii="Times New Roman" w:hAnsi="Times New Roman" w:cs="Times New Roman" w:eastAsia="Times New Roman" w:hint="default"/>
        </w:rPr>
        <w:t>Spigot</w:t>
      </w:r>
      <w:r>
        <w:rPr/>
        <w:t>原股东承诺</w:t>
      </w:r>
      <w:r>
        <w:rPr>
          <w:rFonts w:ascii="Times New Roman" w:hAnsi="Times New Roman" w:cs="Times New Roman" w:eastAsia="Times New Roman" w:hint="default"/>
        </w:rPr>
        <w:t>Spigot</w:t>
      </w:r>
      <w:r>
        <w:rPr/>
        <w:t>公司在</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年（初 始对赌年份）的各年度，拟实现的净利润分别不低于</w:t>
      </w:r>
      <w:r>
        <w:rPr>
          <w:rFonts w:ascii="Times New Roman" w:hAnsi="Times New Roman" w:cs="Times New Roman" w:eastAsia="Times New Roman" w:hint="default"/>
        </w:rPr>
        <w:t>1,721</w:t>
      </w:r>
      <w:r>
        <w:rPr/>
        <w:t>万美元、</w:t>
      </w:r>
      <w:r>
        <w:rPr>
          <w:rFonts w:ascii="Times New Roman" w:hAnsi="Times New Roman" w:cs="Times New Roman" w:eastAsia="Times New Roman" w:hint="default"/>
        </w:rPr>
        <w:t>2,561</w:t>
      </w:r>
      <w:r>
        <w:rPr/>
        <w:t>万美元、</w:t>
      </w:r>
      <w:r>
        <w:rPr>
          <w:rFonts w:ascii="Times New Roman" w:hAnsi="Times New Roman" w:cs="Times New Roman" w:eastAsia="Times New Roman" w:hint="default"/>
        </w:rPr>
        <w:t>3,409</w:t>
      </w:r>
      <w:r>
        <w:rPr/>
        <w:t>万美元及</w:t>
      </w:r>
      <w:r>
        <w:rPr>
          <w:rFonts w:ascii="Times New Roman" w:hAnsi="Times New Roman" w:cs="Times New Roman" w:eastAsia="Times New Roman" w:hint="default"/>
        </w:rPr>
        <w:t>4,006</w:t>
      </w:r>
      <w:r>
        <w:rPr/>
        <w:t>万美元。</w:t>
      </w:r>
    </w:p>
    <w:p>
      <w:pPr>
        <w:spacing w:line="240" w:lineRule="auto" w:before="7"/>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SPE</w:t>
      </w:r>
      <w:r>
        <w:rPr/>
        <w:t>公司</w:t>
      </w:r>
      <w:r>
        <w:rPr>
          <w:rFonts w:ascii="Times New Roman" w:hAnsi="Times New Roman" w:cs="Times New Roman" w:eastAsia="Times New Roman" w:hint="default"/>
        </w:rPr>
        <w:t>2018</w:t>
      </w:r>
      <w:r>
        <w:rPr/>
        <w:t>年度净利润为</w:t>
      </w:r>
      <w:r>
        <w:rPr>
          <w:rFonts w:ascii="Times New Roman" w:hAnsi="Times New Roman" w:cs="Times New Roman" w:eastAsia="Times New Roman" w:hint="default"/>
        </w:rPr>
        <w:t>6,761.84</w:t>
      </w:r>
      <w:r>
        <w:rPr/>
        <w:t>万美元，扣除非经常性损益后的净利润为</w:t>
      </w:r>
      <w:r>
        <w:rPr>
          <w:rFonts w:ascii="Times New Roman" w:hAnsi="Times New Roman" w:cs="Times New Roman" w:eastAsia="Times New Roman" w:hint="default"/>
        </w:rPr>
        <w:t>6,764.74</w:t>
      </w:r>
      <w:r>
        <w:rPr/>
        <w:t>万美元，超过业绩承诺</w:t>
      </w:r>
      <w:r>
        <w:rPr>
          <w:rFonts w:ascii="Times New Roman" w:hAnsi="Times New Roman" w:cs="Times New Roman" w:eastAsia="Times New Roman" w:hint="default"/>
        </w:rPr>
        <w:t>2,758.74</w:t>
      </w:r>
      <w:r>
        <w:rPr/>
        <w:t>万美元。</w:t>
      </w:r>
    </w:p>
    <w:p>
      <w:pPr>
        <w:spacing w:line="240" w:lineRule="auto" w:before="4"/>
        <w:rPr>
          <w:rFonts w:ascii="宋体" w:hAnsi="宋体" w:cs="宋体" w:eastAsia="宋体" w:hint="default"/>
          <w:sz w:val="21"/>
          <w:szCs w:val="21"/>
        </w:rPr>
      </w:pPr>
    </w:p>
    <w:p>
      <w:pPr>
        <w:pStyle w:val="BodyText"/>
        <w:spacing w:line="240" w:lineRule="auto"/>
        <w:ind w:right="0"/>
        <w:jc w:val="both"/>
      </w:pPr>
      <w:r>
        <w:rPr/>
        <w:t>②</w:t>
      </w:r>
      <w:r>
        <w:rPr>
          <w:spacing w:val="-19"/>
        </w:rPr>
        <w:t> </w:t>
      </w:r>
      <w:r>
        <w:rPr/>
        <w:t>资产组组合上海猎鹰业务</w:t>
      </w:r>
    </w:p>
    <w:p>
      <w:pPr>
        <w:spacing w:line="240" w:lineRule="auto" w:before="5"/>
        <w:rPr>
          <w:rFonts w:ascii="宋体" w:hAnsi="宋体" w:cs="宋体" w:eastAsia="宋体" w:hint="default"/>
          <w:sz w:val="22"/>
          <w:szCs w:val="22"/>
        </w:rPr>
      </w:pPr>
    </w:p>
    <w:p>
      <w:pPr>
        <w:pStyle w:val="BodyText"/>
        <w:spacing w:line="300" w:lineRule="auto"/>
        <w:ind w:right="1132"/>
        <w:jc w:val="both"/>
      </w:pP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日收购上海猎鹰公司</w:t>
      </w:r>
      <w:r>
        <w:rPr>
          <w:rFonts w:ascii="Times New Roman" w:hAnsi="Times New Roman" w:cs="Times New Roman" w:eastAsia="Times New Roman" w:hint="default"/>
        </w:rPr>
        <w:t>100%</w:t>
      </w:r>
      <w:r>
        <w:rPr/>
        <w:t>股权产生商誉</w:t>
      </w:r>
      <w:r>
        <w:rPr>
          <w:rFonts w:ascii="Times New Roman" w:hAnsi="Times New Roman" w:cs="Times New Roman" w:eastAsia="Times New Roman" w:hint="default"/>
        </w:rPr>
        <w:t>640,116,082.57</w:t>
      </w:r>
      <w:r>
        <w:rPr/>
        <w:t>元，此前上海猎鹰公司在其被收购审计评估基准</w:t>
      </w:r>
      <w:r>
        <w:rPr>
          <w:spacing w:val="-24"/>
        </w:rPr>
        <w:t> </w:t>
      </w:r>
      <w:r>
        <w:rPr>
          <w:spacing w:val="-24"/>
        </w:rPr>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日之间分别收购深圳市范特西科技有限公司（以下简称</w:t>
      </w:r>
      <w:r>
        <w:rPr>
          <w:rFonts w:ascii="Times New Roman" w:hAnsi="Times New Roman" w:cs="Times New Roman" w:eastAsia="Times New Roman" w:hint="default"/>
          <w:spacing w:val="-2"/>
        </w:rPr>
        <w:t>“</w:t>
      </w:r>
      <w:r>
        <w:rPr>
          <w:spacing w:val="-2"/>
        </w:rPr>
        <w:t>深圳范特西公司</w:t>
      </w:r>
      <w:r>
        <w:rPr>
          <w:rFonts w:ascii="Times New Roman" w:hAnsi="Times New Roman" w:cs="Times New Roman" w:eastAsia="Times New Roman" w:hint="default"/>
          <w:spacing w:val="-2"/>
        </w:rPr>
        <w:t>”</w:t>
      </w:r>
      <w:r>
        <w:rPr>
          <w:spacing w:val="-2"/>
        </w:rPr>
        <w:t>）、核聚互动（北</w:t>
      </w:r>
      <w:r>
        <w:rPr>
          <w:spacing w:val="-30"/>
        </w:rPr>
        <w:t> </w:t>
      </w:r>
      <w:r>
        <w:rPr>
          <w:spacing w:val="-30"/>
        </w:rPr>
      </w:r>
      <w:r>
        <w:rPr>
          <w:spacing w:val="-1"/>
        </w:rPr>
        <w:t>京）科技有限公司（以下简称</w:t>
      </w:r>
      <w:r>
        <w:rPr>
          <w:rFonts w:ascii="Times New Roman" w:hAnsi="Times New Roman" w:cs="Times New Roman" w:eastAsia="Times New Roman" w:hint="default"/>
          <w:spacing w:val="-1"/>
        </w:rPr>
        <w:t>“</w:t>
      </w:r>
      <w:r>
        <w:rPr>
          <w:spacing w:val="-1"/>
        </w:rPr>
        <w:t>核聚互动公司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股权，北京掌汇天下公司</w:t>
      </w:r>
      <w:r>
        <w:rPr>
          <w:rFonts w:ascii="Times New Roman" w:hAnsi="Times New Roman" w:cs="Times New Roman" w:eastAsia="Times New Roman" w:hint="default"/>
          <w:spacing w:val="-1"/>
        </w:rPr>
        <w:t>53.125%</w:t>
      </w:r>
      <w:r>
        <w:rPr>
          <w:spacing w:val="-1"/>
        </w:rPr>
        <w:t>股权，上海猎鹰公司合并该等三家公</w:t>
      </w:r>
      <w:r>
        <w:rPr>
          <w:spacing w:val="-82"/>
        </w:rPr>
        <w:t> </w:t>
      </w:r>
      <w:r>
        <w:rPr>
          <w:spacing w:val="-82"/>
        </w:rPr>
      </w:r>
      <w:r>
        <w:rPr/>
        <w:t>司报表产生的商誉已包含在上述商誉中。</w:t>
      </w:r>
    </w:p>
    <w:p>
      <w:pPr>
        <w:spacing w:line="240" w:lineRule="auto" w:before="12"/>
        <w:rPr>
          <w:rFonts w:ascii="宋体" w:hAnsi="宋体" w:cs="宋体" w:eastAsia="宋体" w:hint="default"/>
          <w:sz w:val="18"/>
          <w:szCs w:val="18"/>
        </w:rPr>
      </w:pPr>
    </w:p>
    <w:p>
      <w:pPr>
        <w:pStyle w:val="BodyText"/>
        <w:spacing w:line="508" w:lineRule="auto"/>
        <w:ind w:right="1051"/>
        <w:jc w:val="both"/>
      </w:pPr>
      <w:r>
        <w:rPr>
          <w:rFonts w:ascii="Times New Roman" w:hAnsi="Times New Roman" w:cs="Times New Roman" w:eastAsia="Times New Roman" w:hint="default"/>
        </w:rPr>
        <w:t>A</w:t>
      </w:r>
      <w:r>
        <w:rPr/>
        <w:t>、可收回金额的测试方法 资产组组合上海猎鹰业务期末可收回金额按照预计未来现金流量的现值确定，并经中水致远资产评估有限公司的评估确定。</w:t>
      </w:r>
    </w:p>
    <w:p>
      <w:pPr>
        <w:pStyle w:val="BodyText"/>
        <w:spacing w:line="307" w:lineRule="auto" w:before="91"/>
        <w:ind w:right="1132"/>
        <w:jc w:val="both"/>
      </w:pPr>
      <w:r>
        <w:rPr>
          <w:spacing w:val="-1"/>
        </w:rPr>
        <w:t>资产组上海猎鹰业务根据管理层批准的财务预算预计未来</w:t>
      </w:r>
      <w:r>
        <w:rPr>
          <w:rFonts w:ascii="Times New Roman" w:hAnsi="Times New Roman" w:cs="Times New Roman" w:eastAsia="Times New Roman" w:hint="default"/>
          <w:spacing w:val="-1"/>
        </w:rPr>
        <w:t>5</w:t>
      </w:r>
      <w:r>
        <w:rPr>
          <w:spacing w:val="-1"/>
        </w:rPr>
        <w:t>年内现金流量，其后年度采用的现金流量增长率预计为</w:t>
      </w:r>
      <w:r>
        <w:rPr>
          <w:rFonts w:ascii="Times New Roman" w:hAnsi="Times New Roman" w:cs="Times New Roman" w:eastAsia="Times New Roman" w:hint="default"/>
          <w:spacing w:val="-1"/>
        </w:rPr>
        <w:t>0%</w:t>
      </w:r>
      <w:r>
        <w:rPr>
          <w:spacing w:val="-1"/>
        </w:rPr>
        <w:t>，不会</w:t>
      </w:r>
      <w:r>
        <w:rPr/>
        <w:t> </w:t>
      </w:r>
      <w:r>
        <w:rPr>
          <w:spacing w:val="-2"/>
        </w:rPr>
        <w:t>超过资产组经营业务的长期平均增长率。管理层根据过往表现及其对市场发展的预期编制上述财务预算。计算未来现金流现</w:t>
      </w:r>
      <w:r>
        <w:rPr>
          <w:spacing w:val="-64"/>
        </w:rPr>
        <w:t> </w:t>
      </w:r>
      <w:r>
        <w:rPr>
          <w:spacing w:val="-64"/>
        </w:rPr>
      </w:r>
      <w:r>
        <w:rPr/>
        <w:t>值时，</w:t>
      </w:r>
      <w:r>
        <w:rPr>
          <w:rFonts w:ascii="Times New Roman" w:hAnsi="Times New Roman" w:cs="Times New Roman" w:eastAsia="Times New Roman" w:hint="default"/>
        </w:rPr>
        <w:t>2019</w:t>
      </w:r>
      <w:r>
        <w:rPr/>
        <w:t>至</w:t>
      </w:r>
      <w:r>
        <w:rPr>
          <w:rFonts w:ascii="Times New Roman" w:hAnsi="Times New Roman" w:cs="Times New Roman" w:eastAsia="Times New Roman" w:hint="default"/>
        </w:rPr>
        <w:t>2020</w:t>
      </w:r>
      <w:r>
        <w:rPr/>
        <w:t>年所采用的税前折现率为</w:t>
      </w:r>
      <w:r>
        <w:rPr>
          <w:rFonts w:ascii="Times New Roman" w:hAnsi="Times New Roman" w:cs="Times New Roman" w:eastAsia="Times New Roman" w:hint="default"/>
        </w:rPr>
        <w:t>14.84%</w:t>
      </w:r>
      <w:r>
        <w:rPr/>
        <w:t>，</w:t>
      </w:r>
      <w:r>
        <w:rPr>
          <w:rFonts w:ascii="Times New Roman" w:hAnsi="Times New Roman" w:cs="Times New Roman" w:eastAsia="Times New Roman" w:hint="default"/>
        </w:rPr>
        <w:t>2021</w:t>
      </w:r>
      <w:r>
        <w:rPr/>
        <w:t>年所采用的税前折现率为</w:t>
      </w:r>
      <w:r>
        <w:rPr>
          <w:rFonts w:ascii="Times New Roman" w:hAnsi="Times New Roman" w:cs="Times New Roman" w:eastAsia="Times New Roman" w:hint="default"/>
        </w:rPr>
        <w:t>14.86%</w:t>
      </w:r>
      <w:r>
        <w:rPr/>
        <w:t>，</w:t>
      </w:r>
      <w:r>
        <w:rPr>
          <w:rFonts w:ascii="Times New Roman" w:hAnsi="Times New Roman" w:cs="Times New Roman" w:eastAsia="Times New Roman" w:hint="default"/>
        </w:rPr>
        <w:t>2022</w:t>
      </w:r>
      <w:r>
        <w:rPr/>
        <w:t>年及以后年度所采用的税</w:t>
      </w:r>
      <w:r>
        <w:rPr>
          <w:spacing w:val="-31"/>
        </w:rPr>
        <w:t> </w:t>
      </w:r>
      <w:r>
        <w:rPr>
          <w:spacing w:val="-31"/>
        </w:rPr>
      </w:r>
      <w:r>
        <w:rPr/>
        <w:t>前折现率为</w:t>
      </w:r>
      <w:r>
        <w:rPr>
          <w:rFonts w:ascii="Times New Roman" w:hAnsi="Times New Roman" w:cs="Times New Roman" w:eastAsia="Times New Roman" w:hint="default"/>
        </w:rPr>
        <w:t>14.91%</w:t>
      </w:r>
      <w:r>
        <w:rPr/>
        <w:t>，已反映了相对于有关分部的风险。</w:t>
      </w:r>
    </w:p>
    <w:p>
      <w:pPr>
        <w:spacing w:line="240" w:lineRule="auto" w:before="1"/>
        <w:rPr>
          <w:rFonts w:ascii="宋体" w:hAnsi="宋体" w:cs="宋体" w:eastAsia="宋体" w:hint="default"/>
          <w:sz w:val="17"/>
          <w:szCs w:val="17"/>
        </w:rPr>
      </w:pPr>
    </w:p>
    <w:p>
      <w:pPr>
        <w:pStyle w:val="BodyText"/>
        <w:spacing w:line="307" w:lineRule="auto"/>
        <w:ind w:right="1132"/>
        <w:jc w:val="both"/>
      </w:pPr>
      <w:r>
        <w:rPr>
          <w:spacing w:val="-2"/>
        </w:rPr>
        <w:t>资产组深圳范特西业务根据管理层批准的财务预算预计未来</w:t>
      </w:r>
      <w:r>
        <w:rPr>
          <w:rFonts w:ascii="Times New Roman" w:hAnsi="Times New Roman" w:cs="Times New Roman" w:eastAsia="Times New Roman" w:hint="default"/>
          <w:spacing w:val="-2"/>
        </w:rPr>
        <w:t>5</w:t>
      </w:r>
      <w:r>
        <w:rPr>
          <w:spacing w:val="-2"/>
        </w:rPr>
        <w:t>年内现金流量，其后年度采用的现金流量增长率预计为</w:t>
      </w:r>
      <w:r>
        <w:rPr>
          <w:rFonts w:ascii="Times New Roman" w:hAnsi="Times New Roman" w:cs="Times New Roman" w:eastAsia="Times New Roman" w:hint="default"/>
          <w:spacing w:val="-2"/>
        </w:rPr>
        <w:t>0%</w:t>
      </w:r>
      <w:r>
        <w:rPr>
          <w:spacing w:val="-2"/>
        </w:rPr>
        <w:t>，不</w:t>
      </w:r>
      <w:r>
        <w:rPr>
          <w:spacing w:val="-61"/>
        </w:rPr>
        <w:t> </w:t>
      </w:r>
      <w:r>
        <w:rPr>
          <w:spacing w:val="-2"/>
        </w:rPr>
        <w:t>会超过资产组经营业务的长期平均增长率。管理层根据过往表现及其对市场发展的预期编制上述财务预算。计算未来现金流</w:t>
      </w:r>
      <w:r>
        <w:rPr>
          <w:spacing w:val="-64"/>
        </w:rPr>
        <w:t> </w:t>
      </w:r>
      <w:r>
        <w:rPr>
          <w:spacing w:val="-64"/>
        </w:rPr>
      </w:r>
      <w:r>
        <w:rPr/>
        <w:t>现值时，</w:t>
      </w:r>
      <w:r>
        <w:rPr>
          <w:rFonts w:ascii="Times New Roman" w:hAnsi="Times New Roman" w:cs="Times New Roman" w:eastAsia="Times New Roman" w:hint="default"/>
        </w:rPr>
        <w:t>2019</w:t>
      </w:r>
      <w:r>
        <w:rPr/>
        <w:t>年所采用的税前折现率为</w:t>
      </w:r>
      <w:r>
        <w:rPr>
          <w:rFonts w:ascii="Times New Roman" w:hAnsi="Times New Roman" w:cs="Times New Roman" w:eastAsia="Times New Roman" w:hint="default"/>
        </w:rPr>
        <w:t>14.80%</w:t>
      </w:r>
      <w:r>
        <w:rPr/>
        <w:t>，</w:t>
      </w:r>
      <w:r>
        <w:rPr>
          <w:rFonts w:ascii="Times New Roman" w:hAnsi="Times New Roman" w:cs="Times New Roman" w:eastAsia="Times New Roman" w:hint="default"/>
        </w:rPr>
        <w:t>2020-2021</w:t>
      </w:r>
      <w:r>
        <w:rPr/>
        <w:t>年所采用的税前折现率为</w:t>
      </w:r>
      <w:r>
        <w:rPr>
          <w:rFonts w:ascii="Times New Roman" w:hAnsi="Times New Roman" w:cs="Times New Roman" w:eastAsia="Times New Roman" w:hint="default"/>
        </w:rPr>
        <w:t>14.89%</w:t>
      </w:r>
      <w:r>
        <w:rPr/>
        <w:t>，</w:t>
      </w:r>
      <w:r>
        <w:rPr>
          <w:rFonts w:ascii="Times New Roman" w:hAnsi="Times New Roman" w:cs="Times New Roman" w:eastAsia="Times New Roman" w:hint="default"/>
        </w:rPr>
        <w:t>2022</w:t>
      </w:r>
      <w:r>
        <w:rPr/>
        <w:t>年及以后年度所采用的税</w:t>
      </w:r>
      <w:r>
        <w:rPr>
          <w:spacing w:val="-85"/>
        </w:rPr>
        <w:t> </w:t>
      </w:r>
      <w:r>
        <w:rPr>
          <w:spacing w:val="-85"/>
        </w:rPr>
      </w:r>
      <w:r>
        <w:rPr/>
        <w:t>前折现率为</w:t>
      </w:r>
      <w:r>
        <w:rPr>
          <w:rFonts w:ascii="Times New Roman" w:hAnsi="Times New Roman" w:cs="Times New Roman" w:eastAsia="Times New Roman" w:hint="default"/>
        </w:rPr>
        <w:t>16.89%</w:t>
      </w:r>
      <w:r>
        <w:rPr/>
        <w:t>，已反映了相对于有关分部的风险。</w:t>
      </w:r>
    </w:p>
    <w:p>
      <w:pPr>
        <w:spacing w:line="240" w:lineRule="auto" w:before="1"/>
        <w:rPr>
          <w:rFonts w:ascii="宋体" w:hAnsi="宋体" w:cs="宋体" w:eastAsia="宋体" w:hint="default"/>
          <w:sz w:val="17"/>
          <w:szCs w:val="17"/>
        </w:rPr>
      </w:pPr>
    </w:p>
    <w:p>
      <w:pPr>
        <w:pStyle w:val="BodyText"/>
        <w:spacing w:line="307" w:lineRule="auto"/>
        <w:ind w:right="1132"/>
        <w:jc w:val="both"/>
      </w:pPr>
      <w:r>
        <w:rPr>
          <w:spacing w:val="-1"/>
        </w:rPr>
        <w:t>资产组核聚互动业务根据管理层批准的财务预算预计未来</w:t>
      </w:r>
      <w:r>
        <w:rPr>
          <w:rFonts w:ascii="Times New Roman" w:hAnsi="Times New Roman" w:cs="Times New Roman" w:eastAsia="Times New Roman" w:hint="default"/>
          <w:spacing w:val="-1"/>
        </w:rPr>
        <w:t>5</w:t>
      </w:r>
      <w:r>
        <w:rPr>
          <w:spacing w:val="-1"/>
        </w:rPr>
        <w:t>年内现金流量，其后年度采用的现金流量增长率预计为</w:t>
      </w:r>
      <w:r>
        <w:rPr>
          <w:rFonts w:ascii="Times New Roman" w:hAnsi="Times New Roman" w:cs="Times New Roman" w:eastAsia="Times New Roman" w:hint="default"/>
          <w:spacing w:val="-1"/>
        </w:rPr>
        <w:t>0%</w:t>
      </w:r>
      <w:r>
        <w:rPr>
          <w:spacing w:val="-1"/>
        </w:rPr>
        <w:t>，不会</w:t>
      </w:r>
      <w:r>
        <w:rPr/>
        <w:t> </w:t>
      </w:r>
      <w:r>
        <w:rPr>
          <w:spacing w:val="-2"/>
        </w:rPr>
        <w:t>超过资产组经营业务的长期平均增长率。管理层根据过往表现及其对市场发展的预期编制上述财务预算。计算未来现金流现</w:t>
      </w:r>
      <w:r>
        <w:rPr>
          <w:spacing w:val="-64"/>
        </w:rPr>
        <w:t> </w:t>
      </w:r>
      <w:r>
        <w:rPr>
          <w:spacing w:val="-64"/>
        </w:rPr>
      </w:r>
      <w:r>
        <w:rPr/>
        <w:t>值时，</w:t>
      </w:r>
      <w:r>
        <w:rPr>
          <w:rFonts w:ascii="Times New Roman" w:hAnsi="Times New Roman" w:cs="Times New Roman" w:eastAsia="Times New Roman" w:hint="default"/>
        </w:rPr>
        <w:t>2019</w:t>
      </w:r>
      <w:r>
        <w:rPr/>
        <w:t>至</w:t>
      </w:r>
      <w:r>
        <w:rPr>
          <w:rFonts w:ascii="Times New Roman" w:hAnsi="Times New Roman" w:cs="Times New Roman" w:eastAsia="Times New Roman" w:hint="default"/>
        </w:rPr>
        <w:t>2020</w:t>
      </w:r>
      <w:r>
        <w:rPr/>
        <w:t>年所采用的税前折现率为</w:t>
      </w:r>
      <w:r>
        <w:rPr>
          <w:rFonts w:ascii="Times New Roman" w:hAnsi="Times New Roman" w:cs="Times New Roman" w:eastAsia="Times New Roman" w:hint="default"/>
        </w:rPr>
        <w:t>13.85%</w:t>
      </w:r>
      <w:r>
        <w:rPr/>
        <w:t>，</w:t>
      </w:r>
      <w:r>
        <w:rPr>
          <w:rFonts w:ascii="Times New Roman" w:hAnsi="Times New Roman" w:cs="Times New Roman" w:eastAsia="Times New Roman" w:hint="default"/>
        </w:rPr>
        <w:t>2021</w:t>
      </w:r>
      <w:r>
        <w:rPr/>
        <w:t>年及以后年度所采用的税前折现率为</w:t>
      </w:r>
      <w:r>
        <w:rPr>
          <w:rFonts w:ascii="Times New Roman" w:hAnsi="Times New Roman" w:cs="Times New Roman" w:eastAsia="Times New Roman" w:hint="default"/>
        </w:rPr>
        <w:t>15.52%</w:t>
      </w:r>
      <w:r>
        <w:rPr/>
        <w:t>，已反映了相对于有</w:t>
      </w:r>
      <w:r>
        <w:rPr>
          <w:spacing w:val="-31"/>
        </w:rPr>
        <w:t> </w:t>
      </w:r>
      <w:r>
        <w:rPr>
          <w:spacing w:val="-31"/>
        </w:rPr>
      </w:r>
      <w:r>
        <w:rPr/>
        <w:t>关分部的风险。</w:t>
      </w:r>
    </w:p>
    <w:p>
      <w:pPr>
        <w:spacing w:line="240" w:lineRule="auto" w:before="7"/>
        <w:rPr>
          <w:rFonts w:ascii="宋体" w:hAnsi="宋体" w:cs="宋体" w:eastAsia="宋体" w:hint="default"/>
          <w:sz w:val="18"/>
          <w:szCs w:val="18"/>
        </w:rPr>
      </w:pPr>
    </w:p>
    <w:p>
      <w:pPr>
        <w:pStyle w:val="BodyText"/>
        <w:spacing w:line="508" w:lineRule="auto"/>
        <w:ind w:right="5352"/>
        <w:jc w:val="left"/>
      </w:pPr>
      <w:r>
        <w:rPr/>
        <w:t>资产组掌汇天下业务情况参见附注七、</w:t>
      </w:r>
      <w:r>
        <w:rPr>
          <w:rFonts w:ascii="Times New Roman" w:hAnsi="Times New Roman" w:cs="Times New Roman" w:eastAsia="Times New Roman" w:hint="default"/>
        </w:rPr>
        <w:t>22</w:t>
      </w:r>
      <w:r>
        <w:rPr/>
        <w:t>（</w:t>
      </w:r>
      <w:r>
        <w:rPr>
          <w:rFonts w:ascii="Times New Roman" w:hAnsi="Times New Roman" w:cs="Times New Roman" w:eastAsia="Times New Roman" w:hint="default"/>
        </w:rPr>
        <w:t>2</w:t>
      </w:r>
      <w:r>
        <w:rPr/>
        <w:t>）③。 根据减值测试的结果，本期期末商誉未发生减值（上期期末：无）。</w:t>
      </w:r>
    </w:p>
    <w:p>
      <w:pPr>
        <w:spacing w:after="0" w:line="50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B</w:t>
      </w:r>
      <w:r>
        <w:rPr/>
        <w:t>、业绩承诺实现情况</w:t>
      </w:r>
    </w:p>
    <w:p>
      <w:pPr>
        <w:spacing w:line="240" w:lineRule="auto" w:before="4"/>
        <w:rPr>
          <w:rFonts w:ascii="宋体" w:hAnsi="宋体" w:cs="宋体" w:eastAsia="宋体" w:hint="default"/>
          <w:sz w:val="21"/>
          <w:szCs w:val="21"/>
        </w:rPr>
      </w:pPr>
    </w:p>
    <w:p>
      <w:pPr>
        <w:pStyle w:val="BodyText"/>
        <w:spacing w:line="300" w:lineRule="auto"/>
        <w:ind w:right="1131"/>
        <w:jc w:val="both"/>
      </w:pPr>
      <w:r>
        <w:rPr/>
        <w:t>本公司与上海易晋网络科技有限公司（以下简称</w:t>
      </w:r>
      <w:r>
        <w:rPr>
          <w:rFonts w:ascii="Times New Roman" w:hAnsi="Times New Roman" w:cs="Times New Roman" w:eastAsia="Times New Roman" w:hint="default"/>
        </w:rPr>
        <w:t>“</w:t>
      </w:r>
      <w:r>
        <w:rPr/>
        <w:t>上海易晋网络公司</w:t>
      </w:r>
      <w:r>
        <w:rPr>
          <w:rFonts w:ascii="Times New Roman" w:hAnsi="Times New Roman" w:cs="Times New Roman" w:eastAsia="Times New Roman" w:hint="default"/>
        </w:rPr>
        <w:t>”</w:t>
      </w:r>
      <w:r>
        <w:rPr/>
        <w:t>）等上海猎鹰公司原股东分别于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3"/>
        </w:rPr>
        <w:t> </w:t>
      </w:r>
      <w:r>
        <w:rPr>
          <w:spacing w:val="-2"/>
        </w:rPr>
        <w:t>月和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月签署了《标的资产盈利预测补偿协议》、《标的资产盈利预测补偿协议的补充协议》及《标的资产盈利预测</w:t>
      </w:r>
      <w:r>
        <w:rPr>
          <w:spacing w:val="-63"/>
        </w:rPr>
        <w:t> </w:t>
      </w:r>
      <w:r>
        <w:rPr>
          <w:spacing w:val="-63"/>
        </w:rPr>
      </w:r>
      <w:r>
        <w:rPr>
          <w:spacing w:val="-2"/>
        </w:rPr>
        <w:t>补偿协议的补充协议（二）》。上海易晋网络公司等上海猎鹰公司原股东承诺上海猎鹰公司在</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2018</w:t>
      </w:r>
      <w:r>
        <w:rPr>
          <w:spacing w:val="-2"/>
        </w:rPr>
        <w:t>年各年度，拟实</w:t>
      </w:r>
      <w:r>
        <w:rPr>
          <w:spacing w:val="-57"/>
        </w:rPr>
        <w:t> </w:t>
      </w:r>
      <w:r>
        <w:rPr>
          <w:spacing w:val="-57"/>
        </w:rPr>
      </w:r>
      <w:r>
        <w:rPr/>
        <w:t>现的扣除非经常性损益后归属于母公司股东的净利润分别不低于</w:t>
      </w:r>
      <w:r>
        <w:rPr>
          <w:rFonts w:ascii="Times New Roman" w:hAnsi="Times New Roman" w:cs="Times New Roman" w:eastAsia="Times New Roman" w:hint="default"/>
        </w:rPr>
        <w:t>8,838</w:t>
      </w:r>
      <w:r>
        <w:rPr/>
        <w:t>万元、</w:t>
      </w:r>
      <w:r>
        <w:rPr>
          <w:rFonts w:ascii="Times New Roman" w:hAnsi="Times New Roman" w:cs="Times New Roman" w:eastAsia="Times New Roman" w:hint="default"/>
        </w:rPr>
        <w:t>11,700</w:t>
      </w:r>
      <w:r>
        <w:rPr/>
        <w:t>万元、</w:t>
      </w:r>
      <w:r>
        <w:rPr>
          <w:rFonts w:ascii="Times New Roman" w:hAnsi="Times New Roman" w:cs="Times New Roman" w:eastAsia="Times New Roman" w:hint="default"/>
        </w:rPr>
        <w:t>15,210</w:t>
      </w:r>
      <w:r>
        <w:rPr/>
        <w:t>万元及</w:t>
      </w:r>
      <w:r>
        <w:rPr>
          <w:rFonts w:ascii="Times New Roman" w:hAnsi="Times New Roman" w:cs="Times New Roman" w:eastAsia="Times New Roman" w:hint="default"/>
        </w:rPr>
        <w:t>18,252</w:t>
      </w:r>
      <w:r>
        <w:rPr/>
        <w:t>万元。深圳范</w:t>
      </w:r>
      <w:r>
        <w:rPr>
          <w:spacing w:val="-85"/>
        </w:rPr>
        <w:t> </w:t>
      </w:r>
      <w:r>
        <w:rPr/>
        <w:t>特西公司、核聚互动公司、北京掌汇天下公司作为上海猎鹰公司之控股子公司，未单独作出业绩承诺。</w:t>
      </w:r>
    </w:p>
    <w:p>
      <w:pPr>
        <w:spacing w:line="240" w:lineRule="auto" w:before="12"/>
        <w:rPr>
          <w:rFonts w:ascii="宋体" w:hAnsi="宋体" w:cs="宋体" w:eastAsia="宋体" w:hint="default"/>
          <w:sz w:val="18"/>
          <w:szCs w:val="18"/>
        </w:rPr>
      </w:pPr>
    </w:p>
    <w:p>
      <w:pPr>
        <w:pStyle w:val="BodyText"/>
        <w:spacing w:line="300" w:lineRule="auto"/>
        <w:ind w:right="1132"/>
        <w:jc w:val="both"/>
      </w:pPr>
      <w:r>
        <w:rPr>
          <w:spacing w:val="-2"/>
        </w:rPr>
        <w:t>上海猎鹰公司</w:t>
      </w:r>
      <w:r>
        <w:rPr>
          <w:rFonts w:ascii="Times New Roman" w:hAnsi="Times New Roman" w:cs="Times New Roman" w:eastAsia="Times New Roman" w:hint="default"/>
          <w:spacing w:val="-2"/>
        </w:rPr>
        <w:t>2018</w:t>
      </w:r>
      <w:r>
        <w:rPr>
          <w:spacing w:val="-2"/>
        </w:rPr>
        <w:t>年度归属于母公司股东的净利润为</w:t>
      </w:r>
      <w:r>
        <w:rPr>
          <w:rFonts w:ascii="Times New Roman" w:hAnsi="Times New Roman" w:cs="Times New Roman" w:eastAsia="Times New Roman" w:hint="default"/>
          <w:spacing w:val="-2"/>
        </w:rPr>
        <w:t>22,561.77</w:t>
      </w:r>
      <w:r>
        <w:rPr>
          <w:spacing w:val="-2"/>
        </w:rPr>
        <w:t>万元，扣除非经常性损益及本次配套募集资金对盈利预测的影</w:t>
      </w:r>
      <w:r>
        <w:rPr>
          <w:spacing w:val="-54"/>
        </w:rPr>
        <w:t> </w:t>
      </w:r>
      <w:r>
        <w:rPr>
          <w:spacing w:val="-54"/>
        </w:rPr>
      </w:r>
      <w:r>
        <w:rPr/>
        <w:t>响数后的实际盈利数为</w:t>
      </w:r>
      <w:r>
        <w:rPr>
          <w:rFonts w:ascii="Times New Roman" w:hAnsi="Times New Roman" w:cs="Times New Roman" w:eastAsia="Times New Roman" w:hint="default"/>
        </w:rPr>
        <w:t>20,742.24</w:t>
      </w:r>
      <w:r>
        <w:rPr/>
        <w:t>万元，超过业绩承诺</w:t>
      </w:r>
      <w:r>
        <w:rPr>
          <w:rFonts w:ascii="Times New Roman" w:hAnsi="Times New Roman" w:cs="Times New Roman" w:eastAsia="Times New Roman" w:hint="default"/>
        </w:rPr>
        <w:t>2,490.24</w:t>
      </w:r>
      <w:r>
        <w:rPr/>
        <w:t>万元。</w:t>
      </w:r>
    </w:p>
    <w:p>
      <w:pPr>
        <w:spacing w:line="240" w:lineRule="auto" w:before="7"/>
        <w:rPr>
          <w:rFonts w:ascii="宋体" w:hAnsi="宋体" w:cs="宋体" w:eastAsia="宋体" w:hint="default"/>
          <w:sz w:val="17"/>
          <w:szCs w:val="17"/>
        </w:rPr>
      </w:pPr>
    </w:p>
    <w:p>
      <w:pPr>
        <w:pStyle w:val="BodyText"/>
        <w:spacing w:line="240" w:lineRule="auto"/>
        <w:ind w:right="0"/>
        <w:jc w:val="both"/>
      </w:pPr>
      <w:r>
        <w:rPr/>
        <w:t>③</w:t>
      </w:r>
      <w:r>
        <w:rPr>
          <w:spacing w:val="-19"/>
        </w:rPr>
        <w:t> </w:t>
      </w:r>
      <w:r>
        <w:rPr/>
        <w:t>资产组掌汇天下业务</w:t>
      </w:r>
    </w:p>
    <w:p>
      <w:pPr>
        <w:spacing w:line="240" w:lineRule="auto" w:before="5"/>
        <w:rPr>
          <w:rFonts w:ascii="宋体" w:hAnsi="宋体" w:cs="宋体" w:eastAsia="宋体" w:hint="default"/>
          <w:sz w:val="22"/>
          <w:szCs w:val="22"/>
        </w:rPr>
      </w:pPr>
    </w:p>
    <w:p>
      <w:pPr>
        <w:pStyle w:val="BodyText"/>
        <w:spacing w:line="300" w:lineRule="auto"/>
        <w:ind w:right="1132"/>
        <w:jc w:val="both"/>
      </w:pPr>
      <w:r>
        <w:rPr/>
        <w:t>上海猎鹰公司于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日收购北京掌汇天下公司</w:t>
      </w:r>
      <w:r>
        <w:rPr>
          <w:rFonts w:ascii="Times New Roman" w:hAnsi="Times New Roman" w:cs="Times New Roman" w:eastAsia="Times New Roman" w:hint="default"/>
        </w:rPr>
        <w:t>53.125%</w:t>
      </w:r>
      <w:r>
        <w:rPr/>
        <w:t>股权。根据本公司发行股份购买资产并募集配套资金涉及的</w:t>
      </w:r>
      <w:r>
        <w:rPr>
          <w:spacing w:val="-21"/>
        </w:rPr>
        <w:t> </w:t>
      </w:r>
      <w:r>
        <w:rPr>
          <w:spacing w:val="-21"/>
        </w:rPr>
      </w:r>
      <w:r>
        <w:rPr/>
        <w:t>收购协议，本公司于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日同时收购上海猎鹰公司</w:t>
      </w:r>
      <w:r>
        <w:rPr>
          <w:rFonts w:ascii="Times New Roman" w:hAnsi="Times New Roman" w:cs="Times New Roman" w:eastAsia="Times New Roman" w:hint="default"/>
        </w:rPr>
        <w:t>100%</w:t>
      </w:r>
      <w:r>
        <w:rPr/>
        <w:t>股权、北京掌汇天下公司</w:t>
      </w:r>
      <w:r>
        <w:rPr>
          <w:rFonts w:ascii="Times New Roman" w:hAnsi="Times New Roman" w:cs="Times New Roman" w:eastAsia="Times New Roman" w:hint="default"/>
        </w:rPr>
        <w:t>46.875%</w:t>
      </w:r>
      <w:r>
        <w:rPr/>
        <w:t>股权，本公司间接持有北</w:t>
      </w:r>
      <w:r>
        <w:rPr>
          <w:spacing w:val="-74"/>
        </w:rPr>
        <w:t> </w:t>
      </w:r>
      <w:r>
        <w:rPr>
          <w:spacing w:val="-74"/>
        </w:rPr>
      </w:r>
      <w:r>
        <w:rPr>
          <w:spacing w:val="-2"/>
        </w:rPr>
        <w:t>京掌汇天下公司</w:t>
      </w:r>
      <w:r>
        <w:rPr>
          <w:rFonts w:ascii="Times New Roman" w:hAnsi="Times New Roman" w:cs="Times New Roman" w:eastAsia="Times New Roman" w:hint="default"/>
          <w:spacing w:val="-2"/>
        </w:rPr>
        <w:t>53.125%</w:t>
      </w:r>
      <w:r>
        <w:rPr>
          <w:spacing w:val="-2"/>
        </w:rPr>
        <w:t>股权，合计持有该公司</w:t>
      </w:r>
      <w:r>
        <w:rPr>
          <w:rFonts w:ascii="Times New Roman" w:hAnsi="Times New Roman" w:cs="Times New Roman" w:eastAsia="Times New Roman" w:hint="default"/>
          <w:spacing w:val="-2"/>
        </w:rPr>
        <w:t>100%</w:t>
      </w:r>
      <w:r>
        <w:rPr>
          <w:spacing w:val="-2"/>
        </w:rPr>
        <w:t>股权。该两项股权收购交易系一揽子交易，且本公司收购北京掌汇天下</w:t>
      </w:r>
      <w:r>
        <w:rPr>
          <w:spacing w:val="-42"/>
        </w:rPr>
        <w:t> </w:t>
      </w:r>
      <w:r>
        <w:rPr>
          <w:spacing w:val="-42"/>
        </w:rPr>
      </w:r>
      <w:r>
        <w:rPr/>
        <w:t>公司</w:t>
      </w:r>
      <w:r>
        <w:rPr>
          <w:rFonts w:ascii="Times New Roman" w:hAnsi="Times New Roman" w:cs="Times New Roman" w:eastAsia="Times New Roman" w:hint="default"/>
        </w:rPr>
        <w:t>46.875%</w:t>
      </w:r>
      <w:r>
        <w:rPr/>
        <w:t>股权对应的估值与上海猎鹰公司收购北京掌汇天下公司</w:t>
      </w:r>
      <w:r>
        <w:rPr>
          <w:rFonts w:ascii="Times New Roman" w:hAnsi="Times New Roman" w:cs="Times New Roman" w:eastAsia="Times New Roman" w:hint="default"/>
        </w:rPr>
        <w:t>53.125%</w:t>
      </w:r>
      <w:r>
        <w:rPr/>
        <w:t>股权时对应的估值相同。上海猎鹰公司收购北</w:t>
      </w:r>
      <w:r>
        <w:rPr>
          <w:spacing w:val="-34"/>
        </w:rPr>
        <w:t> </w:t>
      </w:r>
      <w:r>
        <w:rPr>
          <w:spacing w:val="-34"/>
        </w:rPr>
      </w:r>
      <w:r>
        <w:rPr>
          <w:spacing w:val="-1"/>
        </w:rPr>
        <w:t>京掌汇天下公司产生的商誉包含在本公司收购上海猎鹰公司产生的商誉之中，本公司收购北京掌汇天下公司</w:t>
      </w:r>
      <w:r>
        <w:rPr>
          <w:rFonts w:ascii="Times New Roman" w:hAnsi="Times New Roman" w:cs="Times New Roman" w:eastAsia="Times New Roman" w:hint="default"/>
          <w:spacing w:val="-1"/>
        </w:rPr>
        <w:t>46.875%</w:t>
      </w:r>
      <w:r>
        <w:rPr>
          <w:spacing w:val="-1"/>
        </w:rPr>
        <w:t>股权产</w:t>
      </w:r>
      <w:r>
        <w:rPr>
          <w:spacing w:val="-42"/>
        </w:rPr>
        <w:t> </w:t>
      </w:r>
      <w:r>
        <w:rPr/>
        <w:t>生商誉</w:t>
      </w:r>
      <w:r>
        <w:rPr>
          <w:rFonts w:ascii="Times New Roman" w:hAnsi="Times New Roman" w:cs="Times New Roman" w:eastAsia="Times New Roman" w:hint="default"/>
        </w:rPr>
        <w:t>30,625,381.67</w:t>
      </w:r>
      <w:r>
        <w:rPr/>
        <w:t>元，将掌汇天下业务整体视为一个资产组。</w:t>
      </w:r>
    </w:p>
    <w:p>
      <w:pPr>
        <w:spacing w:line="240" w:lineRule="auto" w:before="7"/>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A</w:t>
      </w:r>
      <w:r>
        <w:rPr/>
        <w:t>、可收回金额的测试方法</w:t>
      </w:r>
    </w:p>
    <w:p>
      <w:pPr>
        <w:spacing w:line="240" w:lineRule="auto" w:before="4"/>
        <w:rPr>
          <w:rFonts w:ascii="宋体" w:hAnsi="宋体" w:cs="宋体" w:eastAsia="宋体" w:hint="default"/>
          <w:sz w:val="21"/>
          <w:szCs w:val="21"/>
        </w:rPr>
      </w:pPr>
    </w:p>
    <w:p>
      <w:pPr>
        <w:pStyle w:val="BodyText"/>
        <w:spacing w:line="309" w:lineRule="auto"/>
        <w:ind w:right="1132"/>
        <w:jc w:val="both"/>
      </w:pPr>
      <w:r>
        <w:rPr>
          <w:spacing w:val="-2"/>
        </w:rPr>
        <w:t>资产组掌汇天下业务期末可收回金额按照预计未来现金流量的现值确定，并经中水致远资产评估有限公司的评估确定。资产</w:t>
      </w:r>
      <w:r>
        <w:rPr>
          <w:spacing w:val="-64"/>
        </w:rPr>
        <w:t> </w:t>
      </w:r>
      <w:r>
        <w:rPr>
          <w:spacing w:val="-64"/>
        </w:rPr>
      </w:r>
      <w:r>
        <w:rPr>
          <w:spacing w:val="-1"/>
        </w:rPr>
        <w:t>组掌汇天下业务根据管理层批准的财务预算预计未来</w:t>
      </w:r>
      <w:r>
        <w:rPr>
          <w:rFonts w:ascii="Times New Roman" w:hAnsi="Times New Roman" w:cs="Times New Roman" w:eastAsia="Times New Roman" w:hint="default"/>
          <w:spacing w:val="-1"/>
        </w:rPr>
        <w:t>5</w:t>
      </w:r>
      <w:r>
        <w:rPr>
          <w:spacing w:val="-1"/>
        </w:rPr>
        <w:t>年内现金流量，其后年度采用的现金流量增长率预计为</w:t>
      </w:r>
      <w:r>
        <w:rPr>
          <w:rFonts w:ascii="Times New Roman" w:hAnsi="Times New Roman" w:cs="Times New Roman" w:eastAsia="Times New Roman" w:hint="default"/>
          <w:spacing w:val="-1"/>
        </w:rPr>
        <w:t>0%</w:t>
      </w:r>
      <w:r>
        <w:rPr>
          <w:spacing w:val="-1"/>
        </w:rPr>
        <w:t>，不会超过</w:t>
      </w:r>
      <w:r>
        <w:rPr/>
        <w:t> </w:t>
      </w:r>
      <w:r>
        <w:rPr>
          <w:spacing w:val="-2"/>
        </w:rPr>
        <w:t>资产组经营业务的长期平均增长率。管理层根据过往表现及其对市场发展的预期编制上述财务预算。计算未来现金流现值所</w:t>
      </w:r>
      <w:r>
        <w:rPr>
          <w:spacing w:val="-64"/>
        </w:rPr>
        <w:t> </w:t>
      </w:r>
      <w:r>
        <w:rPr>
          <w:spacing w:val="-64"/>
        </w:rPr>
      </w:r>
      <w:r>
        <w:rPr/>
        <w:t>采用的税前折现率为</w:t>
      </w:r>
      <w:r>
        <w:rPr>
          <w:rFonts w:ascii="Times New Roman" w:hAnsi="Times New Roman" w:cs="Times New Roman" w:eastAsia="Times New Roman" w:hint="default"/>
        </w:rPr>
        <w:t>15.72%</w:t>
      </w:r>
      <w:r>
        <w:rPr/>
        <w:t>，已反映了相对于有关分部的风险。根据减值测试的结果，本期期末商誉未发生减值（上期期</w:t>
      </w:r>
      <w:r>
        <w:rPr>
          <w:spacing w:val="-23"/>
        </w:rPr>
        <w:t> </w:t>
      </w:r>
      <w:r>
        <w:rPr>
          <w:spacing w:val="-23"/>
        </w:rPr>
      </w:r>
      <w:r>
        <w:rPr/>
        <w:t>末：无）。</w:t>
      </w:r>
    </w:p>
    <w:p>
      <w:pPr>
        <w:spacing w:line="240" w:lineRule="auto" w:before="5"/>
        <w:rPr>
          <w:rFonts w:ascii="宋体" w:hAnsi="宋体" w:cs="宋体" w:eastAsia="宋体" w:hint="default"/>
          <w:sz w:val="18"/>
          <w:szCs w:val="18"/>
        </w:rPr>
      </w:pPr>
    </w:p>
    <w:p>
      <w:pPr>
        <w:pStyle w:val="BodyText"/>
        <w:spacing w:line="508" w:lineRule="auto"/>
        <w:ind w:right="2007"/>
        <w:jc w:val="left"/>
      </w:pPr>
      <w:r>
        <w:rPr>
          <w:rFonts w:ascii="Times New Roman" w:hAnsi="Times New Roman" w:cs="Times New Roman" w:eastAsia="Times New Roman" w:hint="default"/>
        </w:rPr>
        <w:t>B</w:t>
      </w:r>
      <w:r>
        <w:rPr/>
        <w:t>、业绩承诺实现情况 本公司收购北京掌汇天下公司</w:t>
      </w:r>
      <w:r>
        <w:rPr>
          <w:rFonts w:ascii="Times New Roman" w:hAnsi="Times New Roman" w:cs="Times New Roman" w:eastAsia="Times New Roman" w:hint="default"/>
        </w:rPr>
        <w:t>46.875%</w:t>
      </w:r>
      <w:r>
        <w:rPr/>
        <w:t>的股权，该公司作为上海猎鹰公司的控股子公司，未独立作出业绩承诺。</w:t>
      </w:r>
    </w:p>
    <w:p>
      <w:pPr>
        <w:pStyle w:val="BodyText"/>
        <w:spacing w:line="240" w:lineRule="auto" w:before="55"/>
        <w:ind w:right="0"/>
        <w:jc w:val="both"/>
      </w:pPr>
      <w:r>
        <w:rPr/>
        <w:t>④</w:t>
      </w:r>
      <w:r>
        <w:rPr>
          <w:spacing w:val="-19"/>
        </w:rPr>
        <w:t> </w:t>
      </w:r>
      <w:r>
        <w:rPr/>
        <w:t>资产组上海亦复业务</w:t>
      </w:r>
    </w:p>
    <w:p>
      <w:pPr>
        <w:spacing w:line="240" w:lineRule="auto" w:before="5"/>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A</w:t>
      </w:r>
      <w:r>
        <w:rPr/>
        <w:t>、可收回金额的测试方法</w:t>
      </w:r>
    </w:p>
    <w:p>
      <w:pPr>
        <w:spacing w:line="240" w:lineRule="auto" w:before="4"/>
        <w:rPr>
          <w:rFonts w:ascii="宋体" w:hAnsi="宋体" w:cs="宋体" w:eastAsia="宋体" w:hint="default"/>
          <w:sz w:val="21"/>
          <w:szCs w:val="21"/>
        </w:rPr>
      </w:pPr>
    </w:p>
    <w:p>
      <w:pPr>
        <w:pStyle w:val="BodyText"/>
        <w:spacing w:line="304" w:lineRule="auto"/>
        <w:ind w:right="1130"/>
        <w:jc w:val="both"/>
      </w:pPr>
      <w:r>
        <w:rPr>
          <w:spacing w:val="-2"/>
        </w:rPr>
        <w:t>本公司将上海亦复业务整体视为一个资产组，期末可收回金额按照预计未来现金流量的现值确定，并经中水致远资产评估有</w:t>
      </w:r>
      <w:r>
        <w:rPr>
          <w:spacing w:val="-64"/>
        </w:rPr>
        <w:t> </w:t>
      </w:r>
      <w:r>
        <w:rPr>
          <w:spacing w:val="-64"/>
        </w:rPr>
      </w:r>
      <w:r>
        <w:rPr/>
        <w:t>限公司的评估确定。资产组上海亦复信息业务根据管理层批准的财务预算预计未来</w:t>
      </w:r>
      <w:r>
        <w:rPr>
          <w:rFonts w:ascii="Times New Roman" w:hAnsi="Times New Roman" w:cs="Times New Roman" w:eastAsia="Times New Roman" w:hint="default"/>
        </w:rPr>
        <w:t>5</w:t>
      </w:r>
      <w:r>
        <w:rPr/>
        <w:t>年内现金流量，其后年度采用的现金流</w:t>
      </w:r>
      <w:r>
        <w:rPr>
          <w:spacing w:val="-82"/>
        </w:rPr>
        <w:t> </w:t>
      </w:r>
      <w:r>
        <w:rPr>
          <w:spacing w:val="-82"/>
        </w:rPr>
      </w:r>
      <w:r>
        <w:rPr/>
        <w:t>量增长率预计为</w:t>
      </w:r>
      <w:r>
        <w:rPr>
          <w:rFonts w:ascii="Times New Roman" w:hAnsi="Times New Roman" w:cs="Times New Roman" w:eastAsia="Times New Roman" w:hint="default"/>
        </w:rPr>
        <w:t>0%</w:t>
      </w:r>
      <w:r>
        <w:rPr/>
        <w:t>，不会超过资产组经营业务的长期平均增长率。管理层根据过往表现及其对市场发展的预期编制上述财</w:t>
      </w:r>
      <w:r>
        <w:rPr>
          <w:spacing w:val="-56"/>
        </w:rPr>
        <w:t> </w:t>
      </w:r>
      <w:r>
        <w:rPr>
          <w:spacing w:val="-56"/>
        </w:rPr>
      </w:r>
      <w:r>
        <w:rPr/>
        <w:t>务预算。计算未来现金流现值时，</w:t>
      </w:r>
      <w:r>
        <w:rPr>
          <w:rFonts w:ascii="Times New Roman" w:hAnsi="Times New Roman" w:cs="Times New Roman" w:eastAsia="Times New Roman" w:hint="default"/>
        </w:rPr>
        <w:t>2019-2020</w:t>
      </w:r>
      <w:r>
        <w:rPr/>
        <w:t>年所采用的税前折现率为</w:t>
      </w:r>
      <w:r>
        <w:rPr>
          <w:rFonts w:ascii="Times New Roman" w:hAnsi="Times New Roman" w:cs="Times New Roman" w:eastAsia="Times New Roman" w:hint="default"/>
        </w:rPr>
        <w:t>13.76%</w:t>
      </w:r>
      <w:r>
        <w:rPr/>
        <w:t>，</w:t>
      </w:r>
      <w:r>
        <w:rPr>
          <w:rFonts w:ascii="Times New Roman" w:hAnsi="Times New Roman" w:cs="Times New Roman" w:eastAsia="Times New Roman" w:hint="default"/>
        </w:rPr>
        <w:t>2021</w:t>
      </w:r>
      <w:r>
        <w:rPr/>
        <w:t>年所采用的税前折现率为</w:t>
      </w:r>
      <w:r>
        <w:rPr>
          <w:rFonts w:ascii="Times New Roman" w:hAnsi="Times New Roman" w:cs="Times New Roman" w:eastAsia="Times New Roman" w:hint="default"/>
        </w:rPr>
        <w:t>14.24%</w:t>
      </w:r>
      <w:r>
        <w:rPr/>
        <w:t>，</w:t>
      </w:r>
      <w:r>
        <w:rPr>
          <w:rFonts w:ascii="Times New Roman" w:hAnsi="Times New Roman" w:cs="Times New Roman" w:eastAsia="Times New Roman" w:hint="default"/>
        </w:rPr>
        <w:t>2022</w:t>
      </w:r>
      <w:r>
        <w:rPr>
          <w:rFonts w:ascii="Times New Roman" w:hAnsi="Times New Roman" w:cs="Times New Roman" w:eastAsia="Times New Roman" w:hint="default"/>
          <w:spacing w:val="-40"/>
        </w:rPr>
        <w:t> </w:t>
      </w:r>
      <w:r>
        <w:rPr/>
        <w:t>年及以后年度所采用的税前折现率为所采用的税前折现率为</w:t>
      </w:r>
      <w:r>
        <w:rPr>
          <w:rFonts w:ascii="Times New Roman" w:hAnsi="Times New Roman" w:cs="Times New Roman" w:eastAsia="Times New Roman" w:hint="default"/>
        </w:rPr>
        <w:t>15.36%</w:t>
      </w:r>
      <w:r>
        <w:rPr/>
        <w:t>，已反映了相对于有关分部的风险。根据减值测试的结</w:t>
      </w:r>
      <w:r>
        <w:rPr>
          <w:spacing w:val="-18"/>
        </w:rPr>
        <w:t> </w:t>
      </w:r>
      <w:r>
        <w:rPr>
          <w:spacing w:val="-18"/>
        </w:rPr>
      </w:r>
      <w:r>
        <w:rPr/>
        <w:t>果，本期期末商誉未发生减值（上期期末：无）。</w:t>
      </w:r>
    </w:p>
    <w:p>
      <w:pPr>
        <w:spacing w:line="240" w:lineRule="auto" w:before="8"/>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B</w:t>
      </w:r>
      <w:r>
        <w:rPr/>
        <w:t>、业绩承诺实现情况</w:t>
      </w:r>
    </w:p>
    <w:p>
      <w:pPr>
        <w:spacing w:line="240" w:lineRule="auto" w:before="4"/>
        <w:rPr>
          <w:rFonts w:ascii="宋体" w:hAnsi="宋体" w:cs="宋体" w:eastAsia="宋体" w:hint="default"/>
          <w:sz w:val="21"/>
          <w:szCs w:val="21"/>
        </w:rPr>
      </w:pPr>
    </w:p>
    <w:p>
      <w:pPr>
        <w:pStyle w:val="BodyText"/>
        <w:spacing w:line="309" w:lineRule="auto"/>
        <w:ind w:right="1130"/>
        <w:jc w:val="both"/>
      </w:pPr>
      <w:r>
        <w:rPr/>
        <w:t>本公司与计宏铭等上海亦复信息公司原股东分别于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月签署了《标的资产盈利预测补偿协</w:t>
      </w:r>
      <w:r>
        <w:rPr>
          <w:spacing w:val="-82"/>
        </w:rPr>
        <w:t> </w:t>
      </w:r>
      <w:r>
        <w:rPr>
          <w:spacing w:val="-82"/>
        </w:rPr>
      </w:r>
      <w:r>
        <w:rPr>
          <w:spacing w:val="-2"/>
        </w:rPr>
        <w:t>议》、《标的资产盈利预测补偿协议的补充协议》及《标的资产盈利预测补偿协议的补充协议（二）》。计宏铭等上海亦复</w:t>
      </w:r>
      <w:r>
        <w:rPr>
          <w:spacing w:val="-69"/>
        </w:rPr>
        <w:t> </w:t>
      </w:r>
      <w:r>
        <w:rPr>
          <w:spacing w:val="-69"/>
        </w:rPr>
      </w:r>
      <w:r>
        <w:rPr>
          <w:spacing w:val="-2"/>
        </w:rPr>
        <w:t>信息公司原股东承诺上海亦复信息公司在</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2018</w:t>
      </w:r>
      <w:r>
        <w:rPr>
          <w:spacing w:val="-2"/>
        </w:rPr>
        <w:t>年各年度，拟实现的扣除非经常性损益后归属于母公司股东的净利润</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分别不低于</w:t>
      </w:r>
      <w:r>
        <w:rPr>
          <w:rFonts w:ascii="Times New Roman" w:hAnsi="Times New Roman" w:cs="Times New Roman" w:eastAsia="Times New Roman" w:hint="default"/>
        </w:rPr>
        <w:t>3,500</w:t>
      </w:r>
      <w:r>
        <w:rPr/>
        <w:t>万元、</w:t>
      </w:r>
      <w:r>
        <w:rPr>
          <w:rFonts w:ascii="Times New Roman" w:hAnsi="Times New Roman" w:cs="Times New Roman" w:eastAsia="Times New Roman" w:hint="default"/>
        </w:rPr>
        <w:t>4,550</w:t>
      </w:r>
      <w:r>
        <w:rPr/>
        <w:t>万元、</w:t>
      </w:r>
      <w:r>
        <w:rPr>
          <w:rFonts w:ascii="Times New Roman" w:hAnsi="Times New Roman" w:cs="Times New Roman" w:eastAsia="Times New Roman" w:hint="default"/>
        </w:rPr>
        <w:t>5,915</w:t>
      </w:r>
      <w:r>
        <w:rPr/>
        <w:t>万元及</w:t>
      </w:r>
      <w:r>
        <w:rPr>
          <w:rFonts w:ascii="Times New Roman" w:hAnsi="Times New Roman" w:cs="Times New Roman" w:eastAsia="Times New Roman" w:hint="default"/>
        </w:rPr>
        <w:t>7,098</w:t>
      </w:r>
      <w:r>
        <w:rPr/>
        <w:t>万元。</w:t>
      </w:r>
    </w:p>
    <w:p>
      <w:pPr>
        <w:spacing w:line="240" w:lineRule="auto" w:before="4"/>
        <w:rPr>
          <w:rFonts w:ascii="宋体" w:hAnsi="宋体" w:cs="宋体" w:eastAsia="宋体" w:hint="default"/>
          <w:sz w:val="21"/>
          <w:szCs w:val="21"/>
        </w:rPr>
      </w:pPr>
    </w:p>
    <w:p>
      <w:pPr>
        <w:pStyle w:val="BodyText"/>
        <w:spacing w:line="300" w:lineRule="auto"/>
        <w:ind w:right="0"/>
        <w:jc w:val="left"/>
      </w:pPr>
      <w:r>
        <w:rPr>
          <w:spacing w:val="-2"/>
        </w:rPr>
        <w:t>上海亦复信息公司</w:t>
      </w:r>
      <w:r>
        <w:rPr>
          <w:rFonts w:ascii="Times New Roman" w:hAnsi="Times New Roman" w:cs="Times New Roman" w:eastAsia="Times New Roman" w:hint="default"/>
          <w:spacing w:val="-2"/>
        </w:rPr>
        <w:t>2018</w:t>
      </w:r>
      <w:r>
        <w:rPr>
          <w:spacing w:val="-2"/>
        </w:rPr>
        <w:t>年度归属于母公司股东的净利润为</w:t>
      </w:r>
      <w:r>
        <w:rPr>
          <w:rFonts w:ascii="Times New Roman" w:hAnsi="Times New Roman" w:cs="Times New Roman" w:eastAsia="Times New Roman" w:hint="default"/>
          <w:spacing w:val="-2"/>
        </w:rPr>
        <w:t>10,502.98</w:t>
      </w:r>
      <w:r>
        <w:rPr>
          <w:spacing w:val="-2"/>
        </w:rPr>
        <w:t>万元，扣除非经常性损益及本次配套募集资金对盈利预测</w:t>
      </w:r>
      <w:r>
        <w:rPr>
          <w:spacing w:val="-52"/>
        </w:rPr>
        <w:t> </w:t>
      </w:r>
      <w:r>
        <w:rPr>
          <w:spacing w:val="-52"/>
        </w:rPr>
      </w:r>
      <w:r>
        <w:rPr/>
        <w:t>的影响数后的实际盈利数为</w:t>
      </w:r>
      <w:r>
        <w:rPr>
          <w:rFonts w:ascii="Times New Roman" w:hAnsi="Times New Roman" w:cs="Times New Roman" w:eastAsia="Times New Roman" w:hint="default"/>
        </w:rPr>
        <w:t>7,621.97</w:t>
      </w:r>
      <w:r>
        <w:rPr/>
        <w:t>万元，超过业绩承诺</w:t>
      </w:r>
      <w:r>
        <w:rPr>
          <w:rFonts w:ascii="Times New Roman" w:hAnsi="Times New Roman" w:cs="Times New Roman" w:eastAsia="Times New Roman" w:hint="default"/>
        </w:rPr>
        <w:t>523.97</w:t>
      </w:r>
      <w:r>
        <w:rPr/>
        <w:t>万元。</w:t>
      </w:r>
    </w:p>
    <w:p>
      <w:pPr>
        <w:pStyle w:val="BodyText"/>
        <w:spacing w:line="360" w:lineRule="auto" w:before="54"/>
        <w:ind w:right="9132"/>
        <w:jc w:val="left"/>
      </w:pPr>
      <w:r>
        <w:rPr/>
        <w:t>商誉减值测试的影响 其他说明</w:t>
      </w:r>
    </w:p>
    <w:p>
      <w:pPr>
        <w:pStyle w:val="BodyText"/>
        <w:spacing w:line="240" w:lineRule="auto" w:before="25"/>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日，商誉未发生减值。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60"/>
        <w:ind w:right="0"/>
        <w:jc w:val="left"/>
        <w:rPr>
          <w:b w:val="0"/>
          <w:bCs w:val="0"/>
        </w:rPr>
      </w:pPr>
      <w:bookmarkStart w:name="23、长期待摊费用" w:id="295"/>
      <w:bookmarkEnd w:id="29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8,043,140.94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1,097,681.52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4,009,440.87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5,131,381.59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游戏版权金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4,527,328.71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9,223,300.96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6,185,904.75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7,564,724.92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69,600.61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311,320.76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116,842.68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264,078.69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12,640,070.26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10,632,303.24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10,312,188.30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12,960,185.20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4、递延所得税资产/递延所得税负债" w:id="296"/>
      <w:bookmarkEnd w:id="29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97"/>
      <w:bookmarkEnd w:id="29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69,150,238.50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14,901,898.84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20,195,338.83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4,449,606.18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1,093,534.31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360,863.87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未付奖金及业绩奖励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201,305,850.66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48,614,653.62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91,085,980.17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20,578,854.96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非同一控制下企业合并 资产评估减值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901,185.44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225,296.36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1,261,256.23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308,365.22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摊销年限小于税法规定 的资产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136,446,885.25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18,050,056.26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133,070,386.43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18,820,893.76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尚未抵扣的股份支付费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1,342,141.76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250,532.48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409,146,301.61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82,042,437.56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246,706,495.97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44,518,583.99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98"/>
      <w:bookmarkEnd w:id="29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49,992,077.45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10,748,167.50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65,330,216.38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13,557,113.84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摊销年限大于税法规定 的资产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1,721,007.00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404,210.51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49,992,077.45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10,748,167.50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67,051,223.38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13,961,324.35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99"/>
      <w:bookmarkEnd w:id="29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82,042,437.56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44,518,583.99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10,748,167.50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13,961,324.35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00"/>
      <w:bookmarkEnd w:id="30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19,489,473.72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2,382,680.08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131,917,347.94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46,404,873.94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151,406,821.66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48,787,554.02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01"/>
      <w:bookmarkEnd w:id="30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3,271,516.19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3,271,516.19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28,829,460.26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24,827,944.01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9,437,046.83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7,625,629.03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13,602,319.05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10,679,784.71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76,777,005.61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131,917,347.94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46,404,873.94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5、其他非流动资产" w:id="302"/>
      <w:bookmarkEnd w:id="30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预付购买软件款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7,996.04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232,612.74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7,996.04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232,612.74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短期借款" w:id="303"/>
      <w:bookmarkEnd w:id="30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04"/>
      <w:bookmarkEnd w:id="30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240" w:lineRule="auto" w:before="51"/>
        <w:ind w:right="0"/>
        <w:jc w:val="both"/>
      </w:pPr>
      <w:r>
        <w:rPr/>
        <w:t>短期借款分类的说明：</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日止，质押借款</w:t>
      </w:r>
      <w:r>
        <w:rPr>
          <w:rFonts w:ascii="Times New Roman" w:hAnsi="Times New Roman" w:cs="Times New Roman" w:eastAsia="Times New Roman" w:hint="default"/>
        </w:rPr>
        <w:t>400</w:t>
      </w:r>
      <w:r>
        <w:rPr/>
        <w:t>万元系本公司之子公司用定期存单质押取得的借款。</w:t>
      </w:r>
    </w:p>
    <w:p>
      <w:pPr>
        <w:spacing w:line="240" w:lineRule="auto" w:before="3"/>
        <w:rPr>
          <w:rFonts w:ascii="宋体" w:hAnsi="宋体" w:cs="宋体" w:eastAsia="宋体" w:hint="default"/>
          <w:sz w:val="21"/>
          <w:szCs w:val="21"/>
        </w:rPr>
      </w:pPr>
    </w:p>
    <w:p>
      <w:pPr>
        <w:pStyle w:val="BodyText"/>
        <w:spacing w:line="300" w:lineRule="auto"/>
        <w:ind w:right="1131"/>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日止，本公司保证借款</w:t>
      </w:r>
      <w:r>
        <w:rPr>
          <w:rFonts w:ascii="Times New Roman" w:hAnsi="Times New Roman" w:cs="Times New Roman" w:eastAsia="Times New Roman" w:hint="default"/>
        </w:rPr>
        <w:t>17,500</w:t>
      </w:r>
      <w:r>
        <w:rPr/>
        <w:t>万元由智度集团有限公司提供连带责任保证；本公司之子公司保证借</w:t>
      </w:r>
      <w:r>
        <w:rPr>
          <w:spacing w:val="-47"/>
        </w:rPr>
        <w:t> </w:t>
      </w:r>
      <w:r>
        <w:rPr>
          <w:spacing w:val="-47"/>
        </w:rPr>
      </w:r>
      <w:r>
        <w:rPr/>
        <w:t>款</w:t>
      </w:r>
      <w:r>
        <w:rPr>
          <w:rFonts w:ascii="Times New Roman" w:hAnsi="Times New Roman" w:cs="Times New Roman" w:eastAsia="Times New Roman" w:hint="default"/>
        </w:rPr>
        <w:t>1,680</w:t>
      </w:r>
      <w:r>
        <w:rPr/>
        <w:t>万元由</w:t>
      </w:r>
      <w:r>
        <w:rPr>
          <w:rFonts w:ascii="Times New Roman" w:hAnsi="Times New Roman" w:cs="Times New Roman" w:eastAsia="Times New Roman" w:hint="default"/>
        </w:rPr>
        <w:t>JOHN ZHENG</w:t>
      </w:r>
      <w:r>
        <w:rPr>
          <w:rFonts w:ascii="Times New Roman" w:hAnsi="Times New Roman" w:cs="Times New Roman" w:eastAsia="Times New Roman" w:hint="default"/>
          <w:spacing w:val="10"/>
        </w:rPr>
        <w:t> </w:t>
      </w:r>
      <w:r>
        <w:rPr>
          <w:rFonts w:ascii="Times New Roman" w:hAnsi="Times New Roman" w:cs="Times New Roman" w:eastAsia="Times New Roman" w:hint="default"/>
        </w:rPr>
        <w:t>TANG</w:t>
      </w:r>
      <w:r>
        <w:rPr/>
        <w:t>（汤政）、汤克云、上海范特西公司和深圳部落格公司提供连带责任保证；本公司之子 </w:t>
      </w:r>
      <w:r>
        <w:rPr>
          <w:spacing w:val="-1"/>
        </w:rPr>
        <w:t>公司保证借款</w:t>
      </w:r>
      <w:r>
        <w:rPr>
          <w:rFonts w:ascii="Times New Roman" w:hAnsi="Times New Roman" w:cs="Times New Roman" w:eastAsia="Times New Roman" w:hint="default"/>
          <w:spacing w:val="-1"/>
        </w:rPr>
        <w:t>8,000</w:t>
      </w:r>
      <w:r>
        <w:rPr>
          <w:spacing w:val="-1"/>
        </w:rPr>
        <w:t>万元由本公司提供连带责任保证；本公司之子公司保证借款</w:t>
      </w:r>
      <w:r>
        <w:rPr>
          <w:rFonts w:ascii="Times New Roman" w:hAnsi="Times New Roman" w:cs="Times New Roman" w:eastAsia="Times New Roman" w:hint="default"/>
          <w:spacing w:val="-1"/>
        </w:rPr>
        <w:t>4,000.00</w:t>
      </w:r>
      <w:r>
        <w:rPr>
          <w:spacing w:val="-1"/>
        </w:rPr>
        <w:t>万元，由深圳范特西公司、肖燕提供</w:t>
      </w:r>
      <w:r>
        <w:rPr>
          <w:spacing w:val="-71"/>
        </w:rPr>
        <w:t> </w:t>
      </w:r>
      <w:r>
        <w:rPr>
          <w:spacing w:val="-71"/>
        </w:rPr>
      </w:r>
      <w:r>
        <w:rPr/>
        <w:t>连带责任保证。</w:t>
      </w:r>
    </w:p>
    <w:p>
      <w:pPr>
        <w:spacing w:line="240" w:lineRule="auto" w:before="12"/>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3</w:t>
      </w:r>
      <w:r>
        <w:rPr/>
        <w:t>）资产负债表日后已偿还借款金额为</w:t>
      </w:r>
      <w:r>
        <w:rPr>
          <w:rFonts w:ascii="Times New Roman" w:hAnsi="Times New Roman" w:cs="Times New Roman" w:eastAsia="Times New Roman" w:hint="default"/>
        </w:rPr>
        <w:t>3,750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spacing w:line="240" w:lineRule="auto"/>
        <w:ind w:right="0"/>
        <w:jc w:val="both"/>
        <w:rPr>
          <w:b w:val="0"/>
          <w:bCs w:val="0"/>
        </w:rPr>
      </w:pPr>
      <w:bookmarkStart w:name="（2）已逾期未偿还的短期借款情况" w:id="305"/>
      <w:bookmarkEnd w:id="30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以公允价值计量且其变动计入当期损益的金融负债" w:id="306"/>
      <w:bookmarkEnd w:id="306"/>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307"/>
      <w:bookmarkEnd w:id="30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08"/>
      <w:bookmarkEnd w:id="30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544,219,689.60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510,463,026.54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544,219,689.60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510,463,026.54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09"/>
      <w:bookmarkEnd w:id="30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付账款列示" w:id="310"/>
      <w:bookmarkEnd w:id="31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媒介及流量采购款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518,835,712.58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467,265,016.16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游戏推广费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21,834,341.19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32,521,555.72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授权金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350,839.21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7,841,040.00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3,198,796.62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2,835,414.66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544,219,689.60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510,463,026.54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11"/>
      <w:bookmarkEnd w:id="31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收款项" w:id="312"/>
      <w:bookmarkEnd w:id="312"/>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13"/>
      <w:bookmarkEnd w:id="31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185,364,363.11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191,776,740.31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11,466,780.75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4,991,185.90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955,074.60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137,572.12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197,786,218.46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196,905,498.33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15"/>
      <w:bookmarkEnd w:id="31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应付职工薪酬" w:id="316"/>
      <w:bookmarkEnd w:id="31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17"/>
      <w:bookmarkEnd w:id="31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104,918,570.47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467,507,207.94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333,722,886.22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238,702,892.19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934,708.50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20,065,772.83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19,829,135.33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1,171,346.00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1,606,982.70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105,923,796.27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489,179,963.47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355,209,521.55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239,894,238.19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18"/>
      <w:bookmarkEnd w:id="31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104,201,088.75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435,488,724.52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302,002,533.03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237,687,280.24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7,217,850.74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7,198,927.40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18,923.34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422,487.85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16,666,891.81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16,492,859.11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596,520.55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376,877.08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15,789,425.16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15,621,871.97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544,430.27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15,517.35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181,456.09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182,919.16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14,054.28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696,010.56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688,067.98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294,993.87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7,384,424.55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7,279,250.36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400,168.06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749,316.32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749,316.32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104,918,570.47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467,507,207.94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333,722,886.22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238,702,892.19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19"/>
      <w:bookmarkEnd w:id="31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907,811.92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19,622,369.92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19,391,778.69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1,138,403.15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443,402.91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436,172.76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32,942.85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1,183.88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1,183.88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934,708.50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20,065,772.83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19,829,135.33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1,171,346.00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应交税费" w:id="320"/>
      <w:bookmarkEnd w:id="32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81,277,875.12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50,924,688.50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76,023,507.10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68,585,260.18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899,193.32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1,049,181.27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635,254.08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394,874.42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670,628.94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299,760.34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426,533.97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591,367.09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359,460.80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191,547.06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531,984.02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348,530.27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160,824,437.35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122,385,209.13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其他应付款" w:id="321"/>
      <w:bookmarkEnd w:id="32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541,637.85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405,566.22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639,181.49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223,311,075.54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268,405,970.18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223,872,717.01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269,450,717.89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22"/>
      <w:bookmarkEnd w:id="32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254,724.55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541,637.85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150,841.67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541,637.85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405,566.22</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股利" w:id="323"/>
      <w:bookmarkEnd w:id="32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639,181.49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639,181.49</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应付款" w:id="324"/>
      <w:bookmarkEnd w:id="32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201,328,805.71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156,313,560.15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10,663,176.53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8,421,443.03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境外原股东款项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97,787,380.61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11,319,093.30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5,883,586.39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223,311,075.54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268,405,970.18</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4、持有待售负债" w:id="325"/>
      <w:bookmarkEnd w:id="32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26"/>
      <w:bookmarkEnd w:id="32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181,818.00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181,818.00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314,256,182.26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254,620,991.52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314,438,000.26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254,802,809.52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其他流动负债" w:id="327"/>
      <w:bookmarkEnd w:id="32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16,229,844.73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16,229,844.73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28"/>
      <w:bookmarkEnd w:id="32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29"/>
      <w:bookmarkEnd w:id="32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98,013,000.00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年国债专项转贷资金）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545,456.00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-181,818.00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-181,818.00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98,376,638.00</w:t>
            </w:r>
          </w:p>
        </w:tc>
      </w:tr>
    </w:tbl>
    <w:p>
      <w:pPr>
        <w:pStyle w:val="BodyText"/>
        <w:spacing w:line="360" w:lineRule="auto" w:before="51"/>
        <w:ind w:right="8592"/>
        <w:jc w:val="left"/>
      </w:pPr>
      <w:r>
        <w:rPr/>
        <w:t>长期借款分类的说明： 其他说明，包括利率区间：</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377"/>
        <w:gridCol w:w="1719"/>
        <w:gridCol w:w="1320"/>
        <w:gridCol w:w="1496"/>
        <w:gridCol w:w="1370"/>
      </w:tblGrid>
      <w:tr>
        <w:trPr>
          <w:trHeight w:val="684" w:hRule="exact"/>
        </w:trPr>
        <w:tc>
          <w:tcPr>
            <w:tcW w:w="3377"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32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320"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45"/>
              <w:jc w:val="right"/>
              <w:rPr>
                <w:rFonts w:ascii="宋体" w:hAnsi="宋体" w:cs="宋体" w:eastAsia="宋体" w:hint="default"/>
                <w:sz w:val="21"/>
                <w:szCs w:val="21"/>
              </w:rPr>
            </w:pPr>
            <w:r>
              <w:rPr>
                <w:rFonts w:ascii="宋体" w:hAnsi="宋体" w:cs="宋体" w:eastAsia="宋体" w:hint="default"/>
                <w:b/>
                <w:bCs/>
                <w:sz w:val="21"/>
                <w:szCs w:val="21"/>
              </w:rPr>
              <w:t>利率区间</w:t>
            </w:r>
            <w:r>
              <w:rPr>
                <w:rFonts w:ascii="宋体" w:hAnsi="宋体" w:cs="宋体" w:eastAsia="宋体" w:hint="default"/>
                <w:sz w:val="21"/>
                <w:szCs w:val="21"/>
              </w:rPr>
            </w:r>
          </w:p>
        </w:tc>
        <w:tc>
          <w:tcPr>
            <w:tcW w:w="1496"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370"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利率区间</w:t>
            </w:r>
            <w:r>
              <w:rPr>
                <w:rFonts w:ascii="宋体" w:hAnsi="宋体" w:cs="宋体" w:eastAsia="宋体" w:hint="default"/>
                <w:sz w:val="21"/>
                <w:szCs w:val="21"/>
              </w:rPr>
            </w:r>
          </w:p>
        </w:tc>
      </w:tr>
      <w:tr>
        <w:trPr>
          <w:trHeight w:val="659"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56" w:lineRule="auto"/>
              <w:ind w:left="9" w:right="442"/>
              <w:jc w:val="left"/>
              <w:rPr>
                <w:rFonts w:ascii="宋体" w:hAnsi="宋体" w:cs="宋体" w:eastAsia="宋体" w:hint="default"/>
                <w:sz w:val="21"/>
                <w:szCs w:val="21"/>
              </w:rPr>
            </w:pPr>
            <w:r>
              <w:rPr>
                <w:rFonts w:ascii="宋体" w:hAnsi="宋体" w:cs="宋体" w:eastAsia="宋体" w:hint="default"/>
                <w:spacing w:val="-2"/>
                <w:sz w:val="21"/>
                <w:szCs w:val="21"/>
              </w:rPr>
              <w:t>信用借款（</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年国债专项转贷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资金）</w:t>
            </w:r>
          </w:p>
        </w:tc>
        <w:tc>
          <w:tcPr>
            <w:tcW w:w="171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27"/>
              <w:jc w:val="right"/>
              <w:rPr>
                <w:rFonts w:ascii="Times New Roman" w:hAnsi="Times New Roman" w:cs="Times New Roman" w:eastAsia="Times New Roman" w:hint="default"/>
                <w:sz w:val="21"/>
                <w:szCs w:val="21"/>
              </w:rPr>
            </w:pPr>
            <w:r>
              <w:rPr>
                <w:rFonts w:ascii="Times New Roman"/>
                <w:spacing w:val="-1"/>
                <w:sz w:val="21"/>
              </w:rPr>
              <w:t>363,638.00</w:t>
            </w: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44"/>
              <w:jc w:val="right"/>
              <w:rPr>
                <w:rFonts w:ascii="Times New Roman" w:hAnsi="Times New Roman" w:cs="Times New Roman" w:eastAsia="Times New Roman" w:hint="default"/>
                <w:sz w:val="21"/>
                <w:szCs w:val="21"/>
              </w:rPr>
            </w:pPr>
            <w:r>
              <w:rPr>
                <w:rFonts w:ascii="Times New Roman"/>
                <w:spacing w:val="-1"/>
                <w:sz w:val="21"/>
              </w:rPr>
              <w:t>2.8%-4%</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39"/>
              <w:jc w:val="right"/>
              <w:rPr>
                <w:rFonts w:ascii="Times New Roman" w:hAnsi="Times New Roman" w:cs="Times New Roman" w:eastAsia="Times New Roman" w:hint="default"/>
                <w:sz w:val="21"/>
                <w:szCs w:val="21"/>
              </w:rPr>
            </w:pPr>
            <w:r>
              <w:rPr>
                <w:rFonts w:ascii="Times New Roman"/>
                <w:spacing w:val="-1"/>
                <w:sz w:val="21"/>
              </w:rPr>
              <w:t>545,456.00</w:t>
            </w:r>
          </w:p>
        </w:tc>
        <w:tc>
          <w:tcPr>
            <w:tcW w:w="1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1"/>
                <w:szCs w:val="21"/>
              </w:rPr>
            </w:pPr>
            <w:r>
              <w:rPr>
                <w:rFonts w:ascii="Times New Roman"/>
                <w:spacing w:val="-1"/>
                <w:sz w:val="21"/>
              </w:rPr>
              <w:t>2.8%-4%</w:t>
            </w:r>
          </w:p>
        </w:tc>
      </w:tr>
      <w:tr>
        <w:trPr>
          <w:trHeight w:val="347"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71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2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4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39"/>
              <w:jc w:val="right"/>
              <w:rPr>
                <w:rFonts w:ascii="Times New Roman" w:hAnsi="Times New Roman" w:cs="Times New Roman" w:eastAsia="Times New Roman" w:hint="default"/>
                <w:sz w:val="21"/>
                <w:szCs w:val="21"/>
              </w:rPr>
            </w:pPr>
            <w:r>
              <w:rPr>
                <w:rFonts w:ascii="Times New Roman"/>
                <w:sz w:val="21"/>
              </w:rPr>
              <w:t>98,013,000.00</w:t>
            </w:r>
          </w:p>
        </w:tc>
        <w:tc>
          <w:tcPr>
            <w:tcW w:w="1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1"/>
                <w:szCs w:val="21"/>
              </w:rPr>
            </w:pPr>
            <w:r>
              <w:rPr>
                <w:rFonts w:ascii="Times New Roman"/>
                <w:spacing w:val="-1"/>
                <w:sz w:val="21"/>
              </w:rPr>
              <w:t>3mlibor+1.3%</w:t>
            </w:r>
          </w:p>
        </w:tc>
      </w:tr>
      <w:tr>
        <w:trPr>
          <w:trHeight w:val="348"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小</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719"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327"/>
              <w:jc w:val="right"/>
              <w:rPr>
                <w:rFonts w:ascii="Times New Roman" w:hAnsi="Times New Roman" w:cs="Times New Roman" w:eastAsia="Times New Roman" w:hint="default"/>
                <w:sz w:val="21"/>
                <w:szCs w:val="21"/>
              </w:rPr>
            </w:pPr>
            <w:r>
              <w:rPr>
                <w:rFonts w:ascii="Times New Roman"/>
                <w:b/>
                <w:spacing w:val="-1"/>
                <w:sz w:val="21"/>
              </w:rPr>
              <w:t>363,638.00</w:t>
            </w:r>
            <w:r>
              <w:rPr>
                <w:rFonts w:ascii="Times New Roman"/>
                <w:spacing w:val="-1"/>
                <w:sz w:val="21"/>
              </w:rPr>
            </w: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4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39"/>
              <w:jc w:val="right"/>
              <w:rPr>
                <w:rFonts w:ascii="Times New Roman" w:hAnsi="Times New Roman" w:cs="Times New Roman" w:eastAsia="Times New Roman" w:hint="default"/>
                <w:sz w:val="21"/>
                <w:szCs w:val="21"/>
              </w:rPr>
            </w:pPr>
            <w:r>
              <w:rPr>
                <w:rFonts w:ascii="Times New Roman"/>
                <w:b/>
                <w:sz w:val="21"/>
              </w:rPr>
              <w:t>98,558,456.00</w:t>
            </w:r>
            <w:r>
              <w:rPr>
                <w:rFonts w:ascii="Times New Roman"/>
                <w:sz w:val="21"/>
              </w:rPr>
            </w:r>
          </w:p>
        </w:tc>
        <w:tc>
          <w:tcPr>
            <w:tcW w:w="1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7"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171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27"/>
              <w:jc w:val="right"/>
              <w:rPr>
                <w:rFonts w:ascii="Times New Roman" w:hAnsi="Times New Roman" w:cs="Times New Roman" w:eastAsia="Times New Roman" w:hint="default"/>
                <w:sz w:val="21"/>
                <w:szCs w:val="21"/>
              </w:rPr>
            </w:pPr>
            <w:r>
              <w:rPr>
                <w:rFonts w:ascii="Times New Roman"/>
                <w:spacing w:val="-1"/>
                <w:sz w:val="21"/>
              </w:rPr>
              <w:t>181,818.00</w:t>
            </w: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4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39"/>
              <w:jc w:val="right"/>
              <w:rPr>
                <w:rFonts w:ascii="Times New Roman" w:hAnsi="Times New Roman" w:cs="Times New Roman" w:eastAsia="Times New Roman" w:hint="default"/>
                <w:sz w:val="21"/>
                <w:szCs w:val="21"/>
              </w:rPr>
            </w:pPr>
            <w:r>
              <w:rPr>
                <w:rFonts w:ascii="Times New Roman"/>
                <w:spacing w:val="-1"/>
                <w:sz w:val="21"/>
              </w:rPr>
              <w:t>181,818.00</w:t>
            </w:r>
          </w:p>
        </w:tc>
        <w:tc>
          <w:tcPr>
            <w:tcW w:w="137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348"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19"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327"/>
              <w:jc w:val="right"/>
              <w:rPr>
                <w:rFonts w:ascii="Times New Roman" w:hAnsi="Times New Roman" w:cs="Times New Roman" w:eastAsia="Times New Roman" w:hint="default"/>
                <w:sz w:val="21"/>
                <w:szCs w:val="21"/>
              </w:rPr>
            </w:pPr>
            <w:r>
              <w:rPr>
                <w:rFonts w:ascii="Times New Roman"/>
                <w:b/>
                <w:spacing w:val="-1"/>
                <w:sz w:val="21"/>
              </w:rPr>
              <w:t>181,820.00</w:t>
            </w:r>
            <w:r>
              <w:rPr>
                <w:rFonts w:ascii="Times New Roman"/>
                <w:spacing w:val="-1"/>
                <w:sz w:val="21"/>
              </w:rPr>
            </w: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4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39"/>
              <w:jc w:val="right"/>
              <w:rPr>
                <w:rFonts w:ascii="Times New Roman" w:hAnsi="Times New Roman" w:cs="Times New Roman" w:eastAsia="Times New Roman" w:hint="default"/>
                <w:sz w:val="21"/>
                <w:szCs w:val="21"/>
              </w:rPr>
            </w:pPr>
            <w:r>
              <w:rPr>
                <w:rFonts w:ascii="Times New Roman"/>
                <w:b/>
                <w:sz w:val="21"/>
              </w:rPr>
              <w:t>98,376,638.00</w:t>
            </w:r>
            <w:r>
              <w:rPr>
                <w:rFonts w:ascii="Times New Roman"/>
                <w:sz w:val="21"/>
              </w:rPr>
            </w:r>
          </w:p>
        </w:tc>
        <w:tc>
          <w:tcPr>
            <w:tcW w:w="1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0"/>
        <w:jc w:val="left"/>
        <w:rPr>
          <w:b w:val="0"/>
          <w:bCs w:val="0"/>
        </w:rPr>
      </w:pPr>
      <w:bookmarkStart w:name="38、应付债券" w:id="330"/>
      <w:bookmarkEnd w:id="33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31"/>
      <w:bookmarkEnd w:id="33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32"/>
      <w:bookmarkEnd w:id="33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33"/>
      <w:bookmarkEnd w:id="33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34"/>
      <w:bookmarkEnd w:id="33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r>
        <w:rPr/>
        <w:pict>
          <v:group style="position:absolute;margin-left:55.200001pt;margin-top:55.619984pt;width:485pt;height:.1pt;mso-position-horizontal-relative:page;mso-position-vertical-relative:page;z-index:-126383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9、长期应付款" w:id="335"/>
      <w:bookmarkEnd w:id="335"/>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299,191,739.44</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299,191,739.44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right="0"/>
        <w:jc w:val="left"/>
        <w:rPr>
          <w:b w:val="0"/>
          <w:bCs w:val="0"/>
        </w:rPr>
      </w:pPr>
      <w:bookmarkStart w:name="（1）按款项性质列示长期应付款" w:id="336"/>
      <w:bookmarkEnd w:id="33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尚未支付的股权收购价款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314,256,182.26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553,795,992.99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26,542.25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16,737.97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314,282,724.51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553,812,730.96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314,256,182.26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254,620,991.52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26,542.25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299,191,739.44</w:t>
            </w:r>
          </w:p>
        </w:tc>
      </w:tr>
    </w:tbl>
    <w:p>
      <w:pPr>
        <w:pStyle w:val="BodyText"/>
        <w:spacing w:line="240" w:lineRule="auto" w:before="51"/>
        <w:ind w:right="0"/>
        <w:jc w:val="both"/>
      </w:pPr>
      <w:r>
        <w:rPr/>
        <w:t>其他说明：</w:t>
      </w:r>
    </w:p>
    <w:p>
      <w:pPr>
        <w:spacing w:line="240" w:lineRule="auto" w:before="12"/>
        <w:rPr>
          <w:rFonts w:ascii="宋体" w:hAnsi="宋体" w:cs="宋体" w:eastAsia="宋体" w:hint="default"/>
          <w:sz w:val="14"/>
          <w:szCs w:val="14"/>
        </w:rPr>
      </w:pPr>
    </w:p>
    <w:p>
      <w:pPr>
        <w:pStyle w:val="BodyText"/>
        <w:spacing w:line="300" w:lineRule="auto"/>
        <w:ind w:right="1130" w:firstLine="2"/>
        <w:jc w:val="both"/>
      </w:pPr>
      <w:r>
        <w:rPr/>
        <w:t>根据本公司与</w:t>
      </w:r>
      <w:r>
        <w:rPr>
          <w:rFonts w:ascii="Times New Roman" w:hAnsi="Times New Roman" w:cs="Times New Roman" w:eastAsia="Times New Roman" w:hint="default"/>
        </w:rPr>
        <w:t>Spigot,Inc.</w:t>
      </w:r>
      <w:r>
        <w:rPr/>
        <w:t>公司共</w:t>
      </w:r>
      <w:r>
        <w:rPr>
          <w:rFonts w:ascii="Times New Roman" w:hAnsi="Times New Roman" w:cs="Times New Roman" w:eastAsia="Times New Roman" w:hint="default"/>
        </w:rPr>
        <w:t>10</w:t>
      </w:r>
      <w:r>
        <w:rPr/>
        <w:t>名原股东签署的《</w:t>
      </w:r>
      <w:r>
        <w:rPr>
          <w:rFonts w:ascii="Times New Roman" w:hAnsi="Times New Roman" w:cs="Times New Roman" w:eastAsia="Times New Roman" w:hint="default"/>
        </w:rPr>
        <w:t>Spigot,</w:t>
      </w:r>
      <w:r>
        <w:rPr>
          <w:rFonts w:ascii="Times New Roman" w:hAnsi="Times New Roman" w:cs="Times New Roman" w:eastAsia="Times New Roman" w:hint="default"/>
          <w:spacing w:val="15"/>
        </w:rPr>
        <w:t> </w:t>
      </w:r>
      <w:r>
        <w:rPr>
          <w:rFonts w:ascii="Times New Roman" w:hAnsi="Times New Roman" w:cs="Times New Roman" w:eastAsia="Times New Roman" w:hint="default"/>
        </w:rPr>
        <w:t>Inc.</w:t>
      </w:r>
      <w:r>
        <w:rPr/>
        <w:t>股权购买协议》，本公司收购上述原股东合计持有</w:t>
      </w:r>
      <w:r>
        <w:rPr>
          <w:rFonts w:ascii="Times New Roman" w:hAnsi="Times New Roman" w:cs="Times New Roman" w:eastAsia="Times New Roman" w:hint="default"/>
        </w:rPr>
        <w:t>Spigot,Inc. </w:t>
      </w:r>
      <w:r>
        <w:rPr>
          <w:spacing w:val="-1"/>
        </w:rPr>
        <w:t>公司的</w:t>
      </w:r>
      <w:r>
        <w:rPr>
          <w:rFonts w:ascii="Times New Roman" w:hAnsi="Times New Roman" w:cs="Times New Roman" w:eastAsia="Times New Roman" w:hint="default"/>
          <w:spacing w:val="-1"/>
        </w:rPr>
        <w:t>100%</w:t>
      </w:r>
      <w:r>
        <w:rPr>
          <w:spacing w:val="-1"/>
        </w:rPr>
        <w:t>股权，整体作价</w:t>
      </w:r>
      <w:r>
        <w:rPr>
          <w:rFonts w:ascii="Times New Roman" w:hAnsi="Times New Roman" w:cs="Times New Roman" w:eastAsia="Times New Roman" w:hint="default"/>
          <w:spacing w:val="-1"/>
        </w:rPr>
        <w:t>25,169.67</w:t>
      </w:r>
      <w:r>
        <w:rPr>
          <w:spacing w:val="-1"/>
        </w:rPr>
        <w:t>万美元。截止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日，尚需支付的金额为</w:t>
      </w:r>
      <w:r>
        <w:rPr>
          <w:rFonts w:ascii="Times New Roman" w:hAnsi="Times New Roman" w:cs="Times New Roman" w:eastAsia="Times New Roman" w:hint="default"/>
          <w:spacing w:val="-1"/>
        </w:rPr>
        <w:t>4,578.86</w:t>
      </w:r>
      <w:r>
        <w:rPr>
          <w:spacing w:val="-1"/>
        </w:rPr>
        <w:t>万美元，折算人民币金额为</w:t>
      </w:r>
      <w:r>
        <w:rPr>
          <w:spacing w:val="-81"/>
        </w:rPr>
        <w:t> </w:t>
      </w:r>
      <w:r>
        <w:rPr>
          <w:spacing w:val="-81"/>
        </w:rPr>
      </w:r>
      <w:r>
        <w:rPr>
          <w:rFonts w:ascii="Times New Roman" w:hAnsi="Times New Roman" w:cs="Times New Roman" w:eastAsia="Times New Roman" w:hint="default"/>
        </w:rPr>
        <w:t>314,256,182.26</w:t>
      </w:r>
      <w:r>
        <w:rPr/>
        <w:t>元，其中一年内到期的金额</w:t>
      </w:r>
      <w:r>
        <w:rPr>
          <w:rFonts w:ascii="Times New Roman" w:hAnsi="Times New Roman" w:cs="Times New Roman" w:eastAsia="Times New Roman" w:hint="default"/>
        </w:rPr>
        <w:t>4,578.86</w:t>
      </w:r>
      <w:r>
        <w:rPr/>
        <w:t>万美元，折算人民币金额为</w:t>
      </w:r>
      <w:r>
        <w:rPr>
          <w:rFonts w:ascii="Times New Roman" w:hAnsi="Times New Roman" w:cs="Times New Roman" w:eastAsia="Times New Roman" w:hint="default"/>
        </w:rPr>
        <w:t>314,256,182.26</w:t>
      </w:r>
      <w:r>
        <w:rPr/>
        <w:t>元。</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bookmarkStart w:name="（2）专项应付款" w:id="337"/>
      <w:bookmarkEnd w:id="33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长期应付职工薪酬" w:id="338"/>
      <w:bookmarkEnd w:id="33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39"/>
      <w:bookmarkEnd w:id="33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40"/>
      <w:bookmarkEnd w:id="34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设定受益计划的内容及与之相关风险、对公司未来现金流量、时间和不确定性的影响说明：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612"/>
        <w:jc w:val="left"/>
      </w:pPr>
      <w:r>
        <w:rPr/>
        <w:t>设定受益计划重大精算假设及敏感性分析结果说明：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1、预计负债" w:id="341"/>
      <w:bookmarkEnd w:id="341"/>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预计员工离职补偿金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50,693.20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50,693.20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递延收益" w:id="342"/>
      <w:bookmarkEnd w:id="342"/>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85,011.00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894,063.00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47,448.00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预收游戏授权金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551,865.01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551,865.01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636,876.01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894,063.00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599,313.01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自闭症儿童 辅助交流工 具软件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85,011.00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37,563.00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47,448.00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right="0"/>
        <w:jc w:val="left"/>
      </w:pPr>
      <w:r>
        <w:rPr/>
        <w:t>其他说明：</w:t>
      </w:r>
    </w:p>
    <w:p>
      <w:pPr>
        <w:pStyle w:val="Heading3"/>
        <w:spacing w:line="240" w:lineRule="auto" w:before="66"/>
        <w:ind w:right="0"/>
        <w:jc w:val="left"/>
      </w:pPr>
      <w:r>
        <w:rPr/>
        <w:t>计入递延收益的政府补助参见附注十六、</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43、其他非流动负债" w:id="343"/>
      <w:bookmarkEnd w:id="343"/>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股本" w:id="344"/>
      <w:bookmarkEnd w:id="344"/>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5982"/>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965,710,782.00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965,710,782.00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其他权益工具" w:id="345"/>
      <w:bookmarkEnd w:id="345"/>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46"/>
      <w:bookmarkEnd w:id="34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47"/>
      <w:bookmarkEnd w:id="34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4632"/>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6、资本公积" w:id="348"/>
      <w:bookmarkEnd w:id="34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3,452,693,678.82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3,452,693,678.82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49,252,186.17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4,809,100.54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54,061,286.71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3,501,945,864.99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4,809,100.54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3,506,754,965.53</w:t>
            </w:r>
          </w:p>
        </w:tc>
      </w:tr>
    </w:tbl>
    <w:p>
      <w:pPr>
        <w:pStyle w:val="BodyText"/>
        <w:spacing w:line="357" w:lineRule="auto" w:before="51"/>
        <w:ind w:right="3687"/>
        <w:jc w:val="left"/>
      </w:pPr>
      <w:r>
        <w:rPr/>
        <w:t>其他说明，包括本期增减变动情况、变动原因说明： 其他资本公积本期增加系本期以权益结算的股份支付确认的费用，金额为</w:t>
      </w:r>
      <w:r>
        <w:rPr>
          <w:rFonts w:ascii="Times New Roman" w:hAnsi="Times New Roman" w:cs="Times New Roman" w:eastAsia="Times New Roman" w:hint="default"/>
        </w:rPr>
        <w:t>4,809,100.54</w:t>
      </w:r>
      <w:r>
        <w:rPr/>
        <w:t>元。</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47、库存股" w:id="349"/>
      <w:bookmarkEnd w:id="34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其他综合收益" w:id="350"/>
      <w:bookmarkEnd w:id="35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52"/>
        <w:gridCol w:w="935"/>
        <w:gridCol w:w="936"/>
        <w:gridCol w:w="924"/>
        <w:gridCol w:w="807"/>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10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4"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3"/>
              <w:jc w:val="center"/>
              <w:rPr>
                <w:rFonts w:ascii="宋体" w:hAnsi="宋体" w:cs="宋体" w:eastAsia="宋体" w:hint="default"/>
                <w:sz w:val="18"/>
                <w:szCs w:val="18"/>
              </w:rPr>
            </w:pPr>
            <w:r>
              <w:rPr>
                <w:rFonts w:ascii="宋体" w:hAnsi="宋体" w:cs="宋体" w:eastAsia="宋体" w:hint="default"/>
                <w:sz w:val="18"/>
                <w:szCs w:val="18"/>
              </w:rPr>
              <w:t>二、将重分类进损益的其他综合收</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4"/>
              <w:jc w:val="center"/>
              <w:rPr>
                <w:rFonts w:ascii="Times New Roman" w:hAnsi="Times New Roman" w:cs="Times New Roman" w:eastAsia="Times New Roman" w:hint="default"/>
                <w:sz w:val="18"/>
                <w:szCs w:val="18"/>
              </w:rPr>
            </w:pPr>
            <w:r>
              <w:rPr>
                <w:rFonts w:ascii="Times New Roman"/>
                <w:sz w:val="18"/>
              </w:rPr>
              <w:t>-22,350,357.4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121,129,78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121,129,78</w:t>
            </w:r>
          </w:p>
        </w:tc>
        <w:tc>
          <w:tcPr>
            <w:tcW w:w="92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4" w:right="0"/>
              <w:jc w:val="left"/>
              <w:rPr>
                <w:rFonts w:ascii="Times New Roman" w:hAnsi="Times New Roman" w:cs="Times New Roman" w:eastAsia="Times New Roman" w:hint="default"/>
                <w:sz w:val="18"/>
                <w:szCs w:val="18"/>
              </w:rPr>
            </w:pPr>
            <w:r>
              <w:rPr>
                <w:rFonts w:ascii="Times New Roman"/>
                <w:sz w:val="18"/>
              </w:rPr>
              <w:t>98,779,43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6" w:right="0"/>
              <w:jc w:val="left"/>
              <w:rPr>
                <w:rFonts w:ascii="Times New Roman" w:hAnsi="Times New Roman" w:cs="Times New Roman" w:eastAsia="Times New Roman" w:hint="default"/>
                <w:sz w:val="18"/>
                <w:szCs w:val="18"/>
              </w:rPr>
            </w:pPr>
            <w:r>
              <w:rPr>
                <w:rFonts w:ascii="Times New Roman"/>
                <w:sz w:val="18"/>
              </w:rPr>
              <w:t>8.36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Times New Roman" w:hAnsi="Times New Roman" w:cs="Times New Roman" w:eastAsia="Times New Roman" w:hint="default"/>
                <w:sz w:val="18"/>
                <w:szCs w:val="18"/>
              </w:rPr>
            </w:pPr>
            <w:r>
              <w:rPr>
                <w:rFonts w:ascii="Times New Roman"/>
                <w:sz w:val="18"/>
              </w:rPr>
              <w:t>8.36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0.95</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-1,073,600.67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1,520,356.7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1,520,356.7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1,187,539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-21,276,756.7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118,421,89</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118,421,89</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2.12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97,145,13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5.38</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-22,350,357.4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121,129,78</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8.36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121,129,78</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8.36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98,779,43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0.95</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专项储备" w:id="351"/>
      <w:bookmarkEnd w:id="35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盈余公积" w:id="352"/>
      <w:bookmarkEnd w:id="35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35,111,177.74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17,103,293.54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52,214,471.28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35,111,177.74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17,103,293.54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52,214,471.28</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未分配利润" w:id="353"/>
      <w:bookmarkEnd w:id="35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572,317,683.43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48,331,784.53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572,317,683.43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48,331,784.53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713,430,009.15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527,325,402.70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17,103,293.54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3,339,503.80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1,517,938.97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28,971,323.46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1,238,155,136.61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572,317,683.43</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54"/>
      <w:bookmarkEnd w:id="35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7,659,200,477.31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6,223,534,991.86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6,373,794,918.71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5,458,778,028.76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367,535.73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335,161.30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7,659,568,013.04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6,223,870,153.16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6,373,794,918.71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5,458,778,028.76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55"/>
      <w:bookmarkEnd w:id="35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1,410,011.22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1,082,900.57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1,023,655.53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831,206.88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5,189,781.79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4,693,956.78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559,508.59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544,981.16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942,800.64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1,691,857.39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9,134,757.77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8,863,593.41</w:t>
            </w:r>
          </w:p>
        </w:tc>
      </w:tr>
    </w:tbl>
    <w:p>
      <w:pPr>
        <w:pStyle w:val="BodyText"/>
        <w:spacing w:line="240" w:lineRule="auto" w:before="51"/>
        <w:ind w:right="0"/>
        <w:jc w:val="left"/>
      </w:pPr>
      <w:r>
        <w:rPr/>
        <w:t>其他说明：</w:t>
      </w:r>
    </w:p>
    <w:p>
      <w:pPr>
        <w:pStyle w:val="Heading3"/>
        <w:spacing w:line="240" w:lineRule="auto" w:before="66"/>
        <w:ind w:right="0"/>
        <w:jc w:val="left"/>
      </w:pPr>
      <w:r>
        <w:rPr/>
        <w:t>各项税金及附加的计缴标准参见附注六、税项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54、销售费用" w:id="356"/>
      <w:bookmarkEnd w:id="35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104,625,927.28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73,114,106.57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10,420,610.26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8,436,091.90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8,241,079.53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5,073,837.70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5,039,158.63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2,715,567.41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3,322,021.18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2,928,336.30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1,223,907.83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2,066,767.58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1,114,831.51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754,758.86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948,497.60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2,410,678.80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202,073.95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3,934,614.78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1,672,503.98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139,072,722.55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99,172,649.10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管理费用" w:id="357"/>
      <w:bookmarkEnd w:id="35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273,001,256.57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147,232,315.52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29,721,158.75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11,686,882.13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26,851,781.96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17,555,603.84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17,081,040.83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12,414,590.77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13,701,677.70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3,283,720.33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6,154,704.59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5,510,287.76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5,631,757.39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6,706,058.41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3,869,809.81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3,728,570.03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465,421.49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11,639,889.34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9,439,279.75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391,381,646.97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214,294,160.00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6、研发费用" w:id="358"/>
      <w:bookmarkEnd w:id="35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102,319,728.08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70,402,237.62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4,905,888.83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4,235,341.21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4,353,640.66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4,823,471.42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2,851,698.08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数据托管费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1,275,815.69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1,519,799.63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766,360.28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740,836.49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726,677.60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506,229.30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373,904.74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572,990.70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1,872,917.94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118,293,188.11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83,954,350.16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7、财务费用" w:id="359"/>
      <w:bookmarkEnd w:id="35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16,219,316.13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18,519,562.47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3,758,604.99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3,267,210.62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81,336.39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-22,091.88</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2,523,353.51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6,901,395.30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15,065,401.04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22,131,655.27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8、资产减值损失" w:id="360"/>
      <w:bookmarkEnd w:id="36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52,944,208.69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13,396,984.74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4,124,958.59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1,679,608.83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939,684.37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60,748,776.11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14,336,669.11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9、其他收益" w:id="361"/>
      <w:bookmarkEnd w:id="36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9,705,480.99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11,274,920.46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352,747.58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62"/>
      <w:bookmarkEnd w:id="36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14,519,963.27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7,046,669.19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46,534.55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35,995,053.38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45,317,330.94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无需支付的或有对价</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11,718,734.41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50,560,567.01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64,082,734.54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63"/>
      <w:bookmarkEnd w:id="36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2、资产处置收益" w:id="364"/>
      <w:bookmarkEnd w:id="36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-183,413.32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54,259.77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65"/>
      <w:bookmarkEnd w:id="36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37,563.00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商标侵权赔偿</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1,351,460.00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48,077.15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23,178.78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48,077.15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85,640.15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1,412,201.78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85,640.15</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自闭症儿童 辅助交流工 具</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37,563.00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37,563.00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4、营业外支出" w:id="366"/>
      <w:bookmarkEnd w:id="36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30,986.61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30,986.61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诉讼赔款及违约金支出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80,124.61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80,124.61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269,383.19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68,462.54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269,383.19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380,494.41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1,598,462.54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380,494.41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5、所得税费用" w:id="367"/>
      <w:bookmarkEnd w:id="36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68"/>
      <w:bookmarkEnd w:id="36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97,949,639.83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100,246,085.27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-36,507,001.51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-79,635,859.05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61,442,638.32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20,610,226.22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69"/>
      <w:bookmarkEnd w:id="36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775,356,405.97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193,839,101.52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-151,306,225.33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1,395,410.19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4,390,862.81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-259,337.90</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22,445,490.76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权益法核算的联营企业损益</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-3,691,869.57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-4,414,269.20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-956,524.96</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61,442,638.32</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8855" w:firstLine="0"/>
        <w:jc w:val="left"/>
        <w:rPr>
          <w:rFonts w:ascii="宋体" w:hAnsi="宋体" w:cs="宋体" w:eastAsia="宋体" w:hint="default"/>
          <w:sz w:val="21"/>
          <w:szCs w:val="21"/>
        </w:rPr>
      </w:pPr>
      <w:bookmarkStart w:name="66、其他综合收益" w:id="370"/>
      <w:bookmarkEnd w:id="370"/>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71"/>
      <w:bookmarkEnd w:id="371"/>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72"/>
      <w:bookmarkEnd w:id="37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3,758,604.99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3,267,210.62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8,643,980.99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11,274,920.46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45,733.23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1,371,376.37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368,009,594.81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224,770,287.09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380,457,914.02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240,683,794.54</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73"/>
      <w:bookmarkEnd w:id="37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175,859,291.85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90,758,170.84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323,915.16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949,725.71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272,916,643.42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218,825,619.45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449,099,850.43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310,533,516.00</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74"/>
      <w:bookmarkEnd w:id="37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5,170,071,899.68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9,463,890,000.00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重组交割过渡期业绩补偿</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1,014,301.73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5,170,071,899.68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9,464,904,301.73</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75"/>
      <w:bookmarkEnd w:id="37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4,521,017,968.73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8,863,890,000.00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4,521,017,968.73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8,863,890,000.00</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76"/>
      <w:bookmarkEnd w:id="37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83,854,082.71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308,334,082.71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692,520,000.00</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77"/>
      <w:bookmarkEnd w:id="37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67,676,415.77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60,872,411.14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818,597,337.11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短期借款质押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3,069,235.17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132,748,826.91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1,094,683,612.28</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78"/>
      <w:bookmarkEnd w:id="37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79"/>
      <w:bookmarkEnd w:id="37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713,913,767.65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528,475,522.72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60,748,776.11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14,336,669.11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3,281,746.92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2,626,073.44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26.249985pt;width:151.25pt;height:40.9pt;mso-position-horizontal-relative:page;mso-position-vertical-relative:page;z-index:-1263760" coordorigin="4467,4525" coordsize="3025,818">
            <v:group style="position:absolute;left:4478;top:4536;width:2;height:393" coordorigin="4478,4536" coordsize="2,393">
              <v:shape style="position:absolute;left:4478;top:4536;width:2;height:393" coordorigin="4478,4536" coordsize="0,393" path="m4478,4536l4478,4929e" filled="false" stroked="true" strokeweight="1.140pt" strokecolor="#ffffff">
                <v:path arrowok="t"/>
              </v:shape>
            </v:group>
            <v:group style="position:absolute;left:4490;top:4536;width:3002;height:393" coordorigin="4490,4536" coordsize="3002,393">
              <v:shape style="position:absolute;left:4490;top:4536;width:3002;height:393" coordorigin="4490,4536" coordsize="3002,393" path="m4490,4929l7491,4929,7491,4536,4490,4536,4490,4929xe" filled="true" fillcolor="#ffffff" stroked="false">
                <v:path arrowok="t"/>
                <v:fill type="solid"/>
              </v:shape>
            </v:group>
            <v:group style="position:absolute;left:4478;top:4938;width:2;height:393" coordorigin="4478,4938" coordsize="2,393">
              <v:shape style="position:absolute;left:4478;top:4938;width:2;height:393" coordorigin="4478,4938" coordsize="0,393" path="m4478,4938l4478,5331e" filled="false" stroked="true" strokeweight="1.140pt" strokecolor="#ffffff">
                <v:path arrowok="t"/>
              </v:shape>
            </v:group>
            <v:group style="position:absolute;left:4490;top:4938;width:3002;height:393" coordorigin="4490,4938" coordsize="3002,393">
              <v:shape style="position:absolute;left:4490;top:4938;width:3002;height:393" coordorigin="4490,4938" coordsize="3002,393" path="m4490,5331l7491,5331,7491,4938,4490,4938,4490,533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3" w:right="0"/>
              <w:jc w:val="left"/>
              <w:rPr>
                <w:rFonts w:ascii="Times New Roman" w:hAnsi="Times New Roman" w:cs="Times New Roman" w:eastAsia="Times New Roman" w:hint="default"/>
                <w:sz w:val="18"/>
                <w:szCs w:val="18"/>
              </w:rPr>
            </w:pPr>
            <w:r>
              <w:rPr>
                <w:rFonts w:ascii="Times New Roman"/>
                <w:sz w:val="18"/>
              </w:rPr>
              <w:t>55,111,676.48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64,007,130.20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10,312,188.30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162,088,153.02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183,413.32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-65,842.19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30,986.61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11,582.42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22,271,814.06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20,877,130.86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-50,560,567.01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-64,082,734.54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-37,523,853.57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-32,823,939.54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-3,213,156.85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-46,811,919.51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-3,168.10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-164,191,117.67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-1,125,000,551.11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-309,170,481.58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465,239,135.04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301,192,024.67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-11,123,590.08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1,063,252,713.14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524,644,038.89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524,644,038.89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512,483,225.65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538,608,674.25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12,160,813.24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80"/>
      <w:bookmarkEnd w:id="38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81"/>
      <w:bookmarkEnd w:id="38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82"/>
      <w:bookmarkEnd w:id="38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1,063,252,713.14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524,644,038.89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57,808.12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89,293.04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1,055,543,125.33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513,243,661.48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7,651,779.69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11,311,084.37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1,063,252,713.14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524,644,038.89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83"/>
      <w:bookmarkEnd w:id="383"/>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84"/>
      <w:bookmarkEnd w:id="384"/>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短期借款质押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4,200,000.00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85"/>
      <w:bookmarkEnd w:id="38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86"/>
      <w:bookmarkEnd w:id="38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484,213,688.49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70,435,431.89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483,412,456.15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101,940.21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7.8577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801,013.34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8.7440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261,588,760.86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38,114,692.98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261,588,760.86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725,188.15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105,663.27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725,188.15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314,256,182.26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45,788,580.00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314,256,182.26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89,826,432.68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13,088,126.92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89,826,432.68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7,333,812.37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1,068,570.40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7,333,812.37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265,772.83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38,724.33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265,772.83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87"/>
      <w:bookmarkEnd w:id="38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3352"/>
        <w:gridCol w:w="1096"/>
        <w:gridCol w:w="908"/>
        <w:gridCol w:w="3247"/>
      </w:tblGrid>
      <w:tr>
        <w:trPr>
          <w:trHeight w:val="589" w:hRule="exact"/>
        </w:trPr>
        <w:tc>
          <w:tcPr>
            <w:tcW w:w="3352" w:type="dxa"/>
            <w:tcBorders>
              <w:top w:val="nil" w:sz="6" w:space="0" w:color="auto"/>
              <w:left w:val="nil" w:sz="6" w:space="0" w:color="auto"/>
              <w:bottom w:val="single" w:sz="8" w:space="0" w:color="000000"/>
              <w:right w:val="nil" w:sz="6" w:space="0" w:color="auto"/>
            </w:tcBorders>
          </w:tcPr>
          <w:p>
            <w:pPr>
              <w:pStyle w:val="TableParagraph"/>
              <w:spacing w:line="200" w:lineRule="exact"/>
              <w:ind w:left="9" w:right="0"/>
              <w:jc w:val="left"/>
              <w:rPr>
                <w:rFonts w:ascii="宋体" w:hAnsi="宋体" w:cs="宋体" w:eastAsia="宋体" w:hint="default"/>
                <w:sz w:val="20"/>
                <w:szCs w:val="20"/>
              </w:rPr>
            </w:pPr>
            <w:r>
              <w:rPr>
                <w:rFonts w:ascii="宋体" w:hAnsi="宋体" w:cs="宋体" w:eastAsia="宋体" w:hint="default"/>
                <w:b/>
                <w:bCs/>
                <w:sz w:val="20"/>
                <w:szCs w:val="20"/>
              </w:rPr>
              <w:t>境外经营实体</w:t>
            </w:r>
            <w:r>
              <w:rPr>
                <w:rFonts w:ascii="宋体" w:hAnsi="宋体" w:cs="宋体" w:eastAsia="宋体" w:hint="default"/>
                <w:sz w:val="20"/>
                <w:szCs w:val="20"/>
              </w:rPr>
            </w:r>
          </w:p>
        </w:tc>
        <w:tc>
          <w:tcPr>
            <w:tcW w:w="1096" w:type="dxa"/>
            <w:tcBorders>
              <w:top w:val="nil" w:sz="6" w:space="0" w:color="auto"/>
              <w:left w:val="nil" w:sz="6" w:space="0" w:color="auto"/>
              <w:bottom w:val="single" w:sz="8" w:space="0" w:color="000000"/>
              <w:right w:val="nil" w:sz="6" w:space="0" w:color="auto"/>
            </w:tcBorders>
          </w:tcPr>
          <w:p>
            <w:pPr>
              <w:pStyle w:val="TableParagraph"/>
              <w:spacing w:line="200" w:lineRule="exact"/>
              <w:ind w:left="396" w:right="0" w:firstLine="201"/>
              <w:jc w:val="left"/>
              <w:rPr>
                <w:rFonts w:ascii="宋体" w:hAnsi="宋体" w:cs="宋体" w:eastAsia="宋体" w:hint="default"/>
                <w:sz w:val="20"/>
                <w:szCs w:val="20"/>
              </w:rPr>
            </w:pPr>
            <w:r>
              <w:rPr>
                <w:rFonts w:ascii="宋体" w:hAnsi="宋体" w:cs="宋体" w:eastAsia="宋体" w:hint="default"/>
                <w:b/>
                <w:bCs/>
                <w:sz w:val="20"/>
                <w:szCs w:val="20"/>
              </w:rPr>
              <w:t>主要</w:t>
            </w:r>
            <w:r>
              <w:rPr>
                <w:rFonts w:ascii="宋体" w:hAnsi="宋体" w:cs="宋体" w:eastAsia="宋体" w:hint="default"/>
                <w:sz w:val="20"/>
                <w:szCs w:val="20"/>
              </w:rPr>
            </w:r>
          </w:p>
          <w:p>
            <w:pPr>
              <w:pStyle w:val="TableParagraph"/>
              <w:spacing w:line="240" w:lineRule="auto" w:before="50"/>
              <w:ind w:left="396" w:right="0"/>
              <w:jc w:val="left"/>
              <w:rPr>
                <w:rFonts w:ascii="宋体" w:hAnsi="宋体" w:cs="宋体" w:eastAsia="宋体" w:hint="default"/>
                <w:sz w:val="20"/>
                <w:szCs w:val="20"/>
              </w:rPr>
            </w:pPr>
            <w:r>
              <w:rPr>
                <w:rFonts w:ascii="宋体" w:hAnsi="宋体" w:cs="宋体" w:eastAsia="宋体" w:hint="default"/>
                <w:b/>
                <w:bCs/>
                <w:sz w:val="20"/>
                <w:szCs w:val="20"/>
              </w:rPr>
              <w:t>经营地</w:t>
            </w:r>
            <w:r>
              <w:rPr>
                <w:rFonts w:ascii="宋体" w:hAnsi="宋体" w:cs="宋体" w:eastAsia="宋体" w:hint="default"/>
                <w:sz w:val="20"/>
                <w:szCs w:val="20"/>
              </w:rPr>
            </w:r>
          </w:p>
        </w:tc>
        <w:tc>
          <w:tcPr>
            <w:tcW w:w="908" w:type="dxa"/>
            <w:tcBorders>
              <w:top w:val="nil" w:sz="6" w:space="0" w:color="auto"/>
              <w:left w:val="nil" w:sz="6" w:space="0" w:color="auto"/>
              <w:bottom w:val="single" w:sz="8" w:space="0" w:color="000000"/>
              <w:right w:val="nil" w:sz="6" w:space="0" w:color="auto"/>
            </w:tcBorders>
          </w:tcPr>
          <w:p>
            <w:pPr>
              <w:pStyle w:val="TableParagraph"/>
              <w:spacing w:line="200" w:lineRule="exact"/>
              <w:ind w:right="7"/>
              <w:jc w:val="right"/>
              <w:rPr>
                <w:rFonts w:ascii="宋体" w:hAnsi="宋体" w:cs="宋体" w:eastAsia="宋体" w:hint="default"/>
                <w:sz w:val="20"/>
                <w:szCs w:val="20"/>
              </w:rPr>
            </w:pPr>
            <w:r>
              <w:rPr>
                <w:rFonts w:ascii="宋体" w:hAnsi="宋体" w:cs="宋体" w:eastAsia="宋体" w:hint="default"/>
                <w:b/>
                <w:bCs/>
                <w:w w:val="95"/>
                <w:sz w:val="20"/>
                <w:szCs w:val="20"/>
              </w:rPr>
              <w:t>记账本位</w:t>
            </w:r>
            <w:r>
              <w:rPr>
                <w:rFonts w:ascii="宋体" w:hAnsi="宋体" w:cs="宋体" w:eastAsia="宋体" w:hint="default"/>
                <w:sz w:val="20"/>
                <w:szCs w:val="20"/>
              </w:rPr>
            </w:r>
          </w:p>
          <w:p>
            <w:pPr>
              <w:pStyle w:val="TableParagraph"/>
              <w:spacing w:line="240" w:lineRule="auto" w:before="50"/>
              <w:ind w:right="8"/>
              <w:jc w:val="right"/>
              <w:rPr>
                <w:rFonts w:ascii="宋体" w:hAnsi="宋体" w:cs="宋体" w:eastAsia="宋体" w:hint="default"/>
                <w:sz w:val="20"/>
                <w:szCs w:val="20"/>
              </w:rPr>
            </w:pPr>
            <w:r>
              <w:rPr>
                <w:rFonts w:ascii="宋体" w:hAnsi="宋体" w:cs="宋体" w:eastAsia="宋体" w:hint="default"/>
                <w:b/>
                <w:bCs/>
                <w:w w:val="99"/>
                <w:sz w:val="20"/>
                <w:szCs w:val="20"/>
              </w:rPr>
              <w:t>币</w:t>
            </w:r>
            <w:r>
              <w:rPr>
                <w:rFonts w:ascii="宋体" w:hAnsi="宋体" w:cs="宋体" w:eastAsia="宋体" w:hint="default"/>
                <w:sz w:val="20"/>
                <w:szCs w:val="20"/>
              </w:rPr>
            </w:r>
          </w:p>
        </w:tc>
        <w:tc>
          <w:tcPr>
            <w:tcW w:w="3247" w:type="dxa"/>
            <w:tcBorders>
              <w:top w:val="nil" w:sz="6" w:space="0" w:color="auto"/>
              <w:left w:val="nil" w:sz="6" w:space="0" w:color="auto"/>
              <w:bottom w:val="single" w:sz="8" w:space="0" w:color="000000"/>
              <w:right w:val="nil" w:sz="6" w:space="0" w:color="auto"/>
            </w:tcBorders>
          </w:tcPr>
          <w:p>
            <w:pPr>
              <w:pStyle w:val="TableParagraph"/>
              <w:spacing w:line="200" w:lineRule="exact"/>
              <w:ind w:right="87"/>
              <w:jc w:val="right"/>
              <w:rPr>
                <w:rFonts w:ascii="宋体" w:hAnsi="宋体" w:cs="宋体" w:eastAsia="宋体" w:hint="default"/>
                <w:sz w:val="20"/>
                <w:szCs w:val="20"/>
              </w:rPr>
            </w:pPr>
            <w:r>
              <w:rPr>
                <w:rFonts w:ascii="宋体" w:hAnsi="宋体" w:cs="宋体" w:eastAsia="宋体" w:hint="default"/>
                <w:b/>
                <w:bCs/>
                <w:w w:val="95"/>
                <w:sz w:val="20"/>
                <w:szCs w:val="20"/>
              </w:rPr>
              <w:t>主要经营业务</w:t>
            </w:r>
            <w:r>
              <w:rPr>
                <w:rFonts w:ascii="宋体" w:hAnsi="宋体" w:cs="宋体" w:eastAsia="宋体" w:hint="default"/>
                <w:sz w:val="20"/>
                <w:szCs w:val="20"/>
              </w:rPr>
            </w:r>
          </w:p>
        </w:tc>
      </w:tr>
      <w:tr>
        <w:trPr>
          <w:trHeight w:val="654" w:hRule="exact"/>
        </w:trPr>
        <w:tc>
          <w:tcPr>
            <w:tcW w:w="33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万乾网络公司</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z w:val="18"/>
                <w:szCs w:val="18"/>
              </w:rPr>
              <w:t>香港</w:t>
            </w:r>
          </w:p>
        </w:tc>
        <w:tc>
          <w:tcPr>
            <w:tcW w:w="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24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pacing w:val="-1"/>
                <w:sz w:val="18"/>
                <w:szCs w:val="18"/>
              </w:rPr>
              <w:t>网络信息、电子类技术开发、技术服务、</w:t>
            </w:r>
          </w:p>
          <w:p>
            <w:pPr>
              <w:pStyle w:val="TableParagraph"/>
              <w:spacing w:line="240" w:lineRule="auto" w:before="76"/>
              <w:ind w:right="87"/>
              <w:jc w:val="right"/>
              <w:rPr>
                <w:rFonts w:ascii="宋体" w:hAnsi="宋体" w:cs="宋体" w:eastAsia="宋体" w:hint="default"/>
                <w:sz w:val="18"/>
                <w:szCs w:val="18"/>
              </w:rPr>
            </w:pPr>
            <w:r>
              <w:rPr>
                <w:rFonts w:ascii="宋体" w:hAnsi="宋体" w:cs="宋体" w:eastAsia="宋体" w:hint="default"/>
                <w:sz w:val="18"/>
                <w:szCs w:val="18"/>
              </w:rPr>
              <w:t>咨询等</w:t>
            </w:r>
          </w:p>
        </w:tc>
      </w:tr>
      <w:tr>
        <w:trPr>
          <w:trHeight w:val="342" w:hRule="exact"/>
        </w:trPr>
        <w:tc>
          <w:tcPr>
            <w:tcW w:w="33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智度香港公司</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z w:val="18"/>
                <w:szCs w:val="18"/>
              </w:rPr>
              <w:t>香港</w:t>
            </w:r>
          </w:p>
        </w:tc>
        <w:tc>
          <w:tcPr>
            <w:tcW w:w="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24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hAnsi="宋体" w:cs="宋体" w:eastAsia="宋体" w:hint="default"/>
                <w:sz w:val="18"/>
                <w:szCs w:val="18"/>
              </w:rPr>
              <w:t>投资与资产管理等</w:t>
            </w:r>
          </w:p>
        </w:tc>
      </w:tr>
      <w:tr>
        <w:trPr>
          <w:trHeight w:val="654" w:hRule="exact"/>
        </w:trPr>
        <w:tc>
          <w:tcPr>
            <w:tcW w:w="335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Genimous Interactive Investment Co.,</w:t>
            </w:r>
            <w:r>
              <w:rPr>
                <w:rFonts w:ascii="Times New Roman"/>
                <w:spacing w:val="-28"/>
                <w:sz w:val="18"/>
              </w:rPr>
              <w:t> </w:t>
            </w:r>
            <w:r>
              <w:rPr>
                <w:rFonts w:ascii="Times New Roman"/>
                <w:sz w:val="18"/>
              </w:rPr>
              <w:t>Ltd.</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z w:val="18"/>
                <w:szCs w:val="18"/>
              </w:rPr>
              <w:t>美国</w:t>
            </w:r>
          </w:p>
        </w:tc>
        <w:tc>
          <w:tcPr>
            <w:tcW w:w="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24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8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335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Spigot,Inc.</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z w:val="18"/>
                <w:szCs w:val="18"/>
              </w:rPr>
              <w:t>美国</w:t>
            </w:r>
          </w:p>
        </w:tc>
        <w:tc>
          <w:tcPr>
            <w:tcW w:w="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24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8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342" w:hRule="exact"/>
        </w:trPr>
        <w:tc>
          <w:tcPr>
            <w:tcW w:w="335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GreenTree Applications</w:t>
            </w:r>
            <w:r>
              <w:rPr>
                <w:rFonts w:ascii="Times New Roman"/>
                <w:spacing w:val="-6"/>
                <w:sz w:val="18"/>
              </w:rPr>
              <w:t> </w:t>
            </w:r>
            <w:r>
              <w:rPr>
                <w:rFonts w:ascii="Times New Roman"/>
                <w:sz w:val="18"/>
              </w:rPr>
              <w:t>SRL</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sz w:val="18"/>
                <w:szCs w:val="18"/>
              </w:rPr>
              <w:t>罗马尼亚</w:t>
            </w:r>
          </w:p>
        </w:tc>
        <w:tc>
          <w:tcPr>
            <w:tcW w:w="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24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26373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747"/>
        <w:gridCol w:w="1952"/>
        <w:gridCol w:w="687"/>
        <w:gridCol w:w="3167"/>
      </w:tblGrid>
      <w:tr>
        <w:trPr>
          <w:trHeight w:val="670" w:hRule="exact"/>
        </w:trPr>
        <w:tc>
          <w:tcPr>
            <w:tcW w:w="2747" w:type="dxa"/>
            <w:tcBorders>
              <w:top w:val="nil" w:sz="6" w:space="0" w:color="auto"/>
              <w:left w:val="nil" w:sz="6" w:space="0" w:color="auto"/>
              <w:bottom w:val="single" w:sz="8" w:space="0" w:color="000000"/>
              <w:right w:val="nil" w:sz="6" w:space="0" w:color="auto"/>
            </w:tcBorders>
          </w:tcPr>
          <w:p>
            <w:pPr/>
          </w:p>
        </w:tc>
        <w:tc>
          <w:tcPr>
            <w:tcW w:w="1952" w:type="dxa"/>
            <w:tcBorders>
              <w:top w:val="nil" w:sz="6" w:space="0" w:color="auto"/>
              <w:left w:val="nil" w:sz="6" w:space="0" w:color="auto"/>
              <w:bottom w:val="single" w:sz="8" w:space="0" w:color="000000"/>
              <w:right w:val="nil" w:sz="6" w:space="0" w:color="auto"/>
            </w:tcBorders>
          </w:tcPr>
          <w:p>
            <w:pPr/>
          </w:p>
        </w:tc>
        <w:tc>
          <w:tcPr>
            <w:tcW w:w="687" w:type="dxa"/>
            <w:tcBorders>
              <w:top w:val="nil" w:sz="6" w:space="0" w:color="auto"/>
              <w:left w:val="nil" w:sz="6" w:space="0" w:color="auto"/>
              <w:bottom w:val="single" w:sz="8" w:space="0" w:color="000000"/>
              <w:right w:val="nil" w:sz="6" w:space="0" w:color="auto"/>
            </w:tcBorders>
          </w:tcPr>
          <w:p>
            <w:pPr/>
          </w:p>
        </w:tc>
        <w:tc>
          <w:tcPr>
            <w:tcW w:w="3167"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Azureus Software,</w:t>
            </w:r>
            <w:r>
              <w:rPr>
                <w:rFonts w:ascii="Times New Roman"/>
                <w:spacing w:val="-3"/>
                <w:sz w:val="18"/>
              </w:rPr>
              <w:t> </w:t>
            </w:r>
            <w:r>
              <w:rPr>
                <w:rFonts w:ascii="Times New Roman"/>
                <w:sz w:val="18"/>
              </w:rPr>
              <w:t>Inc.</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美国</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GMGP</w:t>
            </w:r>
            <w:r>
              <w:rPr>
                <w:rFonts w:ascii="Times New Roman"/>
                <w:spacing w:val="-3"/>
                <w:sz w:val="18"/>
              </w:rPr>
              <w:t> </w:t>
            </w:r>
            <w:r>
              <w:rPr>
                <w:rFonts w:ascii="Times New Roman"/>
                <w:sz w:val="18"/>
              </w:rPr>
              <w:t>LLC</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美国</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Search Me Technologies,</w:t>
            </w:r>
            <w:r>
              <w:rPr>
                <w:rFonts w:ascii="Times New Roman"/>
                <w:spacing w:val="-7"/>
                <w:sz w:val="18"/>
              </w:rPr>
              <w:t> </w:t>
            </w:r>
            <w:r>
              <w:rPr>
                <w:rFonts w:ascii="Times New Roman"/>
                <w:sz w:val="18"/>
              </w:rPr>
              <w:t>Inc.</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美国</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Polarity Technologies</w:t>
            </w:r>
            <w:r>
              <w:rPr>
                <w:rFonts w:ascii="Times New Roman"/>
                <w:spacing w:val="-4"/>
                <w:sz w:val="18"/>
              </w:rPr>
              <w:t> </w:t>
            </w:r>
            <w:r>
              <w:rPr>
                <w:rFonts w:ascii="Times New Roman"/>
                <w:sz w:val="18"/>
              </w:rPr>
              <w:t>Ltd</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塞浦路斯共和</w:t>
            </w:r>
          </w:p>
          <w:p>
            <w:pPr>
              <w:pStyle w:val="TableParagraph"/>
              <w:spacing w:line="240" w:lineRule="auto" w:before="76"/>
              <w:ind w:right="315"/>
              <w:jc w:val="right"/>
              <w:rPr>
                <w:rFonts w:ascii="宋体" w:hAnsi="宋体" w:cs="宋体" w:eastAsia="宋体" w:hint="default"/>
                <w:sz w:val="18"/>
                <w:szCs w:val="18"/>
              </w:rPr>
            </w:pPr>
            <w:r>
              <w:rPr>
                <w:rFonts w:ascii="宋体" w:hAnsi="宋体" w:cs="宋体" w:eastAsia="宋体" w:hint="default"/>
                <w:sz w:val="18"/>
                <w:szCs w:val="18"/>
              </w:rPr>
              <w:t>国</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Eightpoint Technologies</w:t>
            </w:r>
            <w:r>
              <w:rPr>
                <w:rFonts w:ascii="Times New Roman"/>
                <w:spacing w:val="-4"/>
                <w:sz w:val="18"/>
              </w:rPr>
              <w:t> </w:t>
            </w:r>
            <w:r>
              <w:rPr>
                <w:rFonts w:ascii="Times New Roman"/>
                <w:sz w:val="18"/>
              </w:rPr>
              <w:t>Ltd</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开曼</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Better Cloud Solutions</w:t>
            </w:r>
            <w:r>
              <w:rPr>
                <w:rFonts w:ascii="Times New Roman"/>
                <w:spacing w:val="-5"/>
                <w:sz w:val="18"/>
              </w:rPr>
              <w:t> </w:t>
            </w:r>
            <w:r>
              <w:rPr>
                <w:rFonts w:ascii="Times New Roman"/>
                <w:sz w:val="18"/>
              </w:rPr>
              <w:t>Ltd.</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塞浦路斯共和</w:t>
            </w:r>
          </w:p>
          <w:p>
            <w:pPr>
              <w:pStyle w:val="TableParagraph"/>
              <w:spacing w:line="240" w:lineRule="auto" w:before="76"/>
              <w:ind w:right="315"/>
              <w:jc w:val="right"/>
              <w:rPr>
                <w:rFonts w:ascii="宋体" w:hAnsi="宋体" w:cs="宋体" w:eastAsia="宋体" w:hint="default"/>
                <w:sz w:val="18"/>
                <w:szCs w:val="18"/>
              </w:rPr>
            </w:pPr>
            <w:r>
              <w:rPr>
                <w:rFonts w:ascii="宋体" w:hAnsi="宋体" w:cs="宋体" w:eastAsia="宋体" w:hint="default"/>
                <w:sz w:val="18"/>
                <w:szCs w:val="18"/>
              </w:rPr>
              <w:t>国</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r>
        <w:trPr>
          <w:trHeight w:val="654" w:hRule="exact"/>
        </w:trPr>
        <w:tc>
          <w:tcPr>
            <w:tcW w:w="27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 w:right="0"/>
              <w:jc w:val="left"/>
              <w:rPr>
                <w:rFonts w:ascii="Times New Roman" w:hAnsi="Times New Roman" w:cs="Times New Roman" w:eastAsia="Times New Roman" w:hint="default"/>
                <w:sz w:val="18"/>
                <w:szCs w:val="18"/>
              </w:rPr>
            </w:pPr>
            <w:r>
              <w:rPr>
                <w:rFonts w:ascii="Times New Roman"/>
                <w:sz w:val="18"/>
              </w:rPr>
              <w:t>Springtech</w:t>
            </w:r>
            <w:r>
              <w:rPr>
                <w:rFonts w:ascii="Times New Roman"/>
                <w:spacing w:val="-4"/>
                <w:sz w:val="18"/>
              </w:rPr>
              <w:t> </w:t>
            </w:r>
            <w:r>
              <w:rPr>
                <w:rFonts w:ascii="Times New Roman"/>
                <w:sz w:val="18"/>
              </w:rPr>
              <w:t>Ltd.</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315"/>
              <w:jc w:val="right"/>
              <w:rPr>
                <w:rFonts w:ascii="宋体" w:hAnsi="宋体" w:cs="宋体" w:eastAsia="宋体" w:hint="default"/>
                <w:sz w:val="18"/>
                <w:szCs w:val="18"/>
              </w:rPr>
            </w:pPr>
            <w:r>
              <w:rPr>
                <w:rFonts w:ascii="宋体" w:hAnsi="宋体" w:cs="宋体" w:eastAsia="宋体" w:hint="default"/>
                <w:sz w:val="18"/>
                <w:szCs w:val="18"/>
              </w:rPr>
              <w:t>塞浦路斯共和</w:t>
            </w:r>
          </w:p>
          <w:p>
            <w:pPr>
              <w:pStyle w:val="TableParagraph"/>
              <w:spacing w:line="240" w:lineRule="auto" w:before="76"/>
              <w:ind w:right="315"/>
              <w:jc w:val="right"/>
              <w:rPr>
                <w:rFonts w:ascii="宋体" w:hAnsi="宋体" w:cs="宋体" w:eastAsia="宋体" w:hint="default"/>
                <w:sz w:val="18"/>
                <w:szCs w:val="18"/>
              </w:rPr>
            </w:pPr>
            <w:r>
              <w:rPr>
                <w:rFonts w:ascii="宋体" w:hAnsi="宋体" w:cs="宋体" w:eastAsia="宋体" w:hint="default"/>
                <w:sz w:val="18"/>
                <w:szCs w:val="18"/>
              </w:rPr>
              <w:t>国</w:t>
            </w:r>
          </w:p>
        </w:tc>
        <w:tc>
          <w:tcPr>
            <w:tcW w:w="6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美元</w:t>
            </w:r>
          </w:p>
        </w:tc>
        <w:tc>
          <w:tcPr>
            <w:tcW w:w="31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4"/>
                <w:sz w:val="18"/>
                <w:szCs w:val="18"/>
              </w:rPr>
              <w:t>桌面与手机</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，互联网和移动业务的管</w:t>
            </w:r>
          </w:p>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z w:val="18"/>
                <w:szCs w:val="18"/>
              </w:rPr>
              <w:t>理与变现</w:t>
            </w:r>
          </w:p>
        </w:tc>
      </w:tr>
    </w:tbl>
    <w:p>
      <w:pPr>
        <w:pStyle w:val="BodyText"/>
        <w:spacing w:line="316" w:lineRule="auto" w:before="10"/>
        <w:ind w:right="0"/>
        <w:jc w:val="left"/>
      </w:pPr>
      <w:r>
        <w:rPr>
          <w:spacing w:val="-2"/>
        </w:rPr>
        <w:t>境外经营实体确定美元为记账本位币的原因是：境外经营实体通常以美元进行商品和劳务的计价和结算，并且融资活动获得</w:t>
      </w:r>
      <w:r>
        <w:rPr>
          <w:spacing w:val="-64"/>
        </w:rPr>
        <w:t> </w:t>
      </w:r>
      <w:r>
        <w:rPr>
          <w:spacing w:val="-64"/>
        </w:rPr>
      </w:r>
      <w:r>
        <w:rPr/>
        <w:t>的货币以及保存从经营活动中收取款项所使用的货币主要为美元。</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2、套期" w:id="388"/>
      <w:bookmarkEnd w:id="388"/>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3、政府补助" w:id="389"/>
      <w:bookmarkEnd w:id="38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90"/>
      <w:bookmarkEnd w:id="39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企业引导扶持资金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3,845,256.45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3,845,256.45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崇明县财政局专项扶持资金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1,562,200.00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上海临港奉贤企业服务有限 公司扶持款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1,383,866.73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1,383,866.73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深圳生态园租金减免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年企业研究开发资助计划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上海市促进文化创意产业发 展财政扶持资金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上海蓝天经济城入驻园区退 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南山区自主创新产业发展专 项资金文化产业分项资金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南山区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年度人才安居住 房补租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166,397.74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166,397.74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华泾镇企业发展扶持资金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南山区企业研发投入支持计 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自闭症儿童辅助交流工具</w:t>
            </w:r>
            <w:r>
              <w:rPr>
                <w:rFonts w:ascii="Times New Roman" w:hAnsi="Times New Roman" w:cs="Times New Roman" w:eastAsia="Times New Roman" w:hint="default"/>
                <w:sz w:val="18"/>
                <w:szCs w:val="18"/>
              </w:rPr>
              <w:t>”</w:t>
            </w:r>
            <w:r>
              <w:rPr>
                <w:rFonts w:ascii="宋体" w:hAnsi="宋体" w:cs="宋体" w:eastAsia="宋体" w:hint="default"/>
                <w:sz w:val="18"/>
                <w:szCs w:val="18"/>
              </w:rPr>
              <w:t>软 件开发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37,563.00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上海市奉贤区信息化委员会 软件和信息服务业专项奖励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大学生场地租赁补贴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16,125.00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年度深圳前海深港现代 服务业合作区人才发展引导 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7,535.07</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深圳市市场监督管理局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年第二批计算机软件著作权 登记资助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91"/>
      <w:bookmarkEnd w:id="39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12"/>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74、其他" w:id="392"/>
      <w:bookmarkEnd w:id="39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3"/>
      <w:bookmarkEnd w:id="39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072"/>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00"/>
      <w:bookmarkEnd w:id="40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01"/>
      <w:bookmarkEnd w:id="40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02"/>
      <w:bookmarkEnd w:id="40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合并日被合并方资产、负债的账面价值" w:id="404"/>
      <w:bookmarkEnd w:id="40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1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1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1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004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2"/>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、新设子公司导致的合并范围变动情况</w:t>
      </w:r>
    </w:p>
    <w:p>
      <w:pPr>
        <w:spacing w:line="240" w:lineRule="auto" w:before="4"/>
        <w:rPr>
          <w:rFonts w:ascii="宋体" w:hAnsi="宋体" w:cs="宋体" w:eastAsia="宋体" w:hint="default"/>
          <w:sz w:val="21"/>
          <w:szCs w:val="21"/>
        </w:rPr>
      </w:pPr>
    </w:p>
    <w:p>
      <w:pPr>
        <w:pStyle w:val="BodyText"/>
        <w:spacing w:line="240" w:lineRule="auto"/>
        <w:ind w:left="516" w:right="0"/>
        <w:jc w:val="left"/>
      </w:pPr>
      <w:r>
        <w:rPr/>
        <w:t>（</w:t>
      </w:r>
      <w:r>
        <w:rPr>
          <w:rFonts w:ascii="Times New Roman" w:hAnsi="Times New Roman" w:cs="Times New Roman" w:eastAsia="Times New Roman" w:hint="default"/>
        </w:rPr>
        <w:t>1</w:t>
      </w:r>
      <w:r>
        <w:rPr/>
        <w:t>）本公司设立全资子公司西藏智度保险经纪有限公司、喀什智优公司。</w:t>
      </w:r>
    </w:p>
    <w:p>
      <w:pPr>
        <w:spacing w:line="240" w:lineRule="auto" w:before="4"/>
        <w:rPr>
          <w:rFonts w:ascii="宋体" w:hAnsi="宋体" w:cs="宋体" w:eastAsia="宋体" w:hint="default"/>
          <w:sz w:val="21"/>
          <w:szCs w:val="21"/>
        </w:rPr>
      </w:pPr>
    </w:p>
    <w:p>
      <w:pPr>
        <w:pStyle w:val="BodyText"/>
        <w:spacing w:line="240" w:lineRule="auto"/>
        <w:ind w:left="516" w:right="0"/>
        <w:jc w:val="left"/>
      </w:pPr>
      <w:r>
        <w:rPr/>
        <w:t>（</w:t>
      </w:r>
      <w:r>
        <w:rPr>
          <w:rFonts w:ascii="Times New Roman" w:hAnsi="Times New Roman" w:cs="Times New Roman" w:eastAsia="Times New Roman" w:hint="default"/>
        </w:rPr>
        <w:t>2</w:t>
      </w:r>
      <w:r>
        <w:rPr/>
        <w:t>）上海亦复信息公司设立全资子公司深圳亦复广告有限公司。</w:t>
      </w:r>
    </w:p>
    <w:p>
      <w:pPr>
        <w:spacing w:line="240" w:lineRule="auto" w:before="4"/>
        <w:rPr>
          <w:rFonts w:ascii="宋体" w:hAnsi="宋体" w:cs="宋体" w:eastAsia="宋体" w:hint="default"/>
          <w:sz w:val="21"/>
          <w:szCs w:val="21"/>
        </w:rPr>
      </w:pPr>
    </w:p>
    <w:p>
      <w:pPr>
        <w:pStyle w:val="BodyText"/>
        <w:spacing w:line="240" w:lineRule="auto"/>
        <w:ind w:left="516" w:right="0"/>
        <w:jc w:val="left"/>
      </w:pPr>
      <w:r>
        <w:rPr/>
        <w:t>（</w:t>
      </w:r>
      <w:r>
        <w:rPr>
          <w:rFonts w:ascii="Times New Roman" w:hAnsi="Times New Roman" w:cs="Times New Roman" w:eastAsia="Times New Roman" w:hint="default"/>
        </w:rPr>
        <w:t>3</w:t>
      </w:r>
      <w:r>
        <w:rPr/>
        <w:t>）深圳范特西公司设立全资子公司深圳市行走科技有限公司。</w:t>
      </w:r>
    </w:p>
    <w:p>
      <w:pPr>
        <w:spacing w:line="240" w:lineRule="auto" w:before="4"/>
        <w:rPr>
          <w:rFonts w:ascii="宋体" w:hAnsi="宋体" w:cs="宋体" w:eastAsia="宋体" w:hint="default"/>
          <w:sz w:val="21"/>
          <w:szCs w:val="21"/>
        </w:rPr>
      </w:pPr>
    </w:p>
    <w:p>
      <w:pPr>
        <w:pStyle w:val="BodyText"/>
        <w:spacing w:line="240" w:lineRule="auto"/>
        <w:ind w:left="516" w:right="0"/>
        <w:jc w:val="left"/>
      </w:pPr>
      <w:r>
        <w:rPr/>
        <w:t>（</w:t>
      </w:r>
      <w:r>
        <w:rPr>
          <w:rFonts w:ascii="Times New Roman" w:hAnsi="Times New Roman" w:cs="Times New Roman" w:eastAsia="Times New Roman" w:hint="default"/>
        </w:rPr>
        <w:t>4</w:t>
      </w:r>
      <w:r>
        <w:rPr/>
        <w:t>）北京掌汇天下公司设立全资子公司喀什飞鸟网络科技有限公司（以下简称</w:t>
      </w:r>
      <w:r>
        <w:rPr>
          <w:rFonts w:ascii="Times New Roman" w:hAnsi="Times New Roman" w:cs="Times New Roman" w:eastAsia="Times New Roman" w:hint="default"/>
        </w:rPr>
        <w:t>“</w:t>
      </w:r>
      <w:r>
        <w:rPr/>
        <w:t>喀什飞鸟公司</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BodyText"/>
        <w:spacing w:line="508" w:lineRule="auto"/>
        <w:ind w:left="516" w:right="5823" w:hanging="363"/>
        <w:jc w:val="left"/>
      </w:pPr>
      <w:r>
        <w:rPr>
          <w:rFonts w:ascii="Times New Roman" w:hAnsi="Times New Roman" w:cs="Times New Roman" w:eastAsia="Times New Roman" w:hint="default"/>
        </w:rPr>
        <w:t>2</w:t>
      </w:r>
      <w:r>
        <w:rPr/>
        <w:t>、子公司注销导致合并范围的变动 </w:t>
      </w:r>
      <w:r>
        <w:rPr>
          <w:rFonts w:ascii="Times New Roman" w:hAnsi="Times New Roman" w:cs="Times New Roman" w:eastAsia="Times New Roman" w:hint="default"/>
        </w:rPr>
        <w:t>Polarity</w:t>
      </w:r>
      <w:r>
        <w:rPr/>
        <w:t>注销全资子公司</w:t>
      </w:r>
      <w:r>
        <w:rPr>
          <w:rFonts w:ascii="Times New Roman" w:hAnsi="Times New Roman" w:cs="Times New Roman" w:eastAsia="Times New Roman" w:hint="default"/>
        </w:rPr>
        <w:t>Polarity Internet Technologies</w:t>
      </w:r>
      <w:r>
        <w:rPr>
          <w:rFonts w:ascii="Times New Roman" w:hAnsi="Times New Roman" w:cs="Times New Roman" w:eastAsia="Times New Roman" w:hint="default"/>
          <w:spacing w:val="-8"/>
        </w:rPr>
        <w:t> </w:t>
      </w:r>
      <w:r>
        <w:rPr>
          <w:rFonts w:ascii="Times New Roman" w:hAnsi="Times New Roman" w:cs="Times New Roman" w:eastAsia="Times New Roman" w:hint="default"/>
        </w:rPr>
        <w:t>SRL</w:t>
      </w:r>
      <w:r>
        <w:rPr/>
        <w:t>。</w:t>
      </w:r>
    </w:p>
    <w:p>
      <w:pPr>
        <w:spacing w:after="0" w:line="5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331.720001pt;margin-top:485.319977pt;width:65.6pt;height:19.6pt;mso-position-horizontal-relative:page;mso-position-vertical-relative:page;z-index:-1263520" coordorigin="6634,9706" coordsize="1312,392">
            <v:shape style="position:absolute;left:6634;top:9706;width:1312;height:392" coordorigin="6634,9706" coordsize="1312,392" path="m6634,10098l7946,10098,7946,9706,6634,9706,6634,10098xe" filled="true" fillcolor="#ffffff" stroked="false">
              <v:path arrowok="t"/>
              <v:fill type="solid"/>
            </v:shape>
            <w10:wrap type="none"/>
          </v:group>
        </w:pict>
      </w:r>
    </w:p>
    <w:p>
      <w:pPr>
        <w:spacing w:line="487" w:lineRule="auto" w:before="35"/>
        <w:ind w:left="154" w:right="7692"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9"/>
      <w:bookmarkEnd w:id="40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9"/>
          <w:w w:val="95"/>
          <w:sz w:val="24"/>
          <w:szCs w:val="24"/>
        </w:rPr>
        <w:t> </w:t>
      </w:r>
      <w:r>
        <w:rPr>
          <w:rFonts w:ascii="宋体" w:hAnsi="宋体" w:cs="宋体" w:eastAsia="宋体" w:hint="default"/>
          <w:b/>
          <w:bCs/>
          <w:spacing w:val="9"/>
          <w:w w:val="95"/>
          <w:sz w:val="24"/>
          <w:szCs w:val="24"/>
        </w:rPr>
      </w:r>
      <w:bookmarkStart w:name="1、在子公司中的权益" w:id="410"/>
      <w:bookmarkEnd w:id="410"/>
      <w:r>
        <w:rPr>
          <w:rFonts w:ascii="宋体" w:hAnsi="宋体" w:cs="宋体" w:eastAsia="宋体" w:hint="default"/>
          <w:b/>
          <w:bCs/>
          <w:spacing w:val="9"/>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移动互联网广告 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互联网整合营销 专业服务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网络游戏开发、 运营与维护等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深圳市沸腾科技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网络技术开发等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网络技术开发等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深圳部落格公司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网络技术开发等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北京优美动听科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2"/>
              <w:jc w:val="both"/>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6"/>
                <w:sz w:val="18"/>
                <w:szCs w:val="18"/>
              </w:rPr>
              <w:t>转让、技术咨询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深圳市新时空网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计算机软硬件、 电子通信产品的 技术开发与销售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上海猎鹰胜效网 络有限公司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计算机网络科 技、计算机软硬 件领域内的技术 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万乾网络公司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网络信息、电子 类技术开发、技 术服务、咨询等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4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上海猎鹰宴杰网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计算机网络科 技、计算机软硬 件领域内的技术 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5.540001pt;margin-top:123.779984pt;width:67.9pt;height:43.65pt;mso-position-horizontal-relative:page;mso-position-vertical-relative:page;z-index:-1263496" coordorigin="2511,2476" coordsize="1358,873">
            <v:group style="position:absolute;left:2511;top:2476;width:1358;height:469" coordorigin="2511,2476" coordsize="1358,469">
              <v:shape style="position:absolute;left:2511;top:2476;width:1358;height:469" coordorigin="2511,2476" coordsize="1358,469" path="m2511,2944l3868,2944,3868,2476,2511,2476,2511,2944xe" filled="true" fillcolor="#ffffff" stroked="false">
                <v:path arrowok="t"/>
                <v:fill type="solid"/>
              </v:shape>
            </v:group>
            <v:group style="position:absolute;left:2522;top:2944;width:2;height:393" coordorigin="2522,2944" coordsize="2,393">
              <v:shape style="position:absolute;left:2522;top:2944;width:2;height:393" coordorigin="2522,2944" coordsize="0,393" path="m2522,2944l2522,3336e" filled="false" stroked="true" strokeweight="1.140pt" strokecolor="#ffffff">
                <v:path arrowok="t"/>
              </v:shape>
            </v:group>
            <v:group style="position:absolute;left:2534;top:2944;width:1311;height:393" coordorigin="2534,2944" coordsize="1311,393">
              <v:shape style="position:absolute;left:2534;top:2944;width:1311;height:393" coordorigin="2534,2944" coordsize="1311,393" path="m2534,3336l3844,3336,3844,2944,2534,2944,2534,3336xe" filled="true" fillcolor="#ffffff" stroked="false">
                <v:path arrowok="t"/>
                <v:fill type="solid"/>
              </v:shape>
            </v:group>
            <w10:wrap type="none"/>
          </v:group>
        </w:pict>
      </w:r>
      <w:r>
        <w:rPr/>
        <w:pict>
          <v:group style="position:absolute;margin-left:330.579987pt;margin-top:123.779984pt;width:67.9pt;height:43.65pt;mso-position-horizontal-relative:page;mso-position-vertical-relative:page;z-index:-1263472" coordorigin="6612,2476" coordsize="1358,873">
            <v:group style="position:absolute;left:6612;top:2476;width:1358;height:469" coordorigin="6612,2476" coordsize="1358,469">
              <v:shape style="position:absolute;left:6612;top:2476;width:1358;height:469" coordorigin="6612,2476" coordsize="1358,469" path="m6612,2944l7969,2944,7969,2476,6612,2476,6612,2944xe" filled="true" fillcolor="#ffffff" stroked="false">
                <v:path arrowok="t"/>
                <v:fill type="solid"/>
              </v:shape>
            </v:group>
            <v:group style="position:absolute;left:6623;top:2944;width:2;height:393" coordorigin="6623,2944" coordsize="2,393">
              <v:shape style="position:absolute;left:6623;top:2944;width:2;height:393" coordorigin="6623,2944" coordsize="0,393" path="m6623,2944l6623,3336e" filled="false" stroked="true" strokeweight="1.140pt" strokecolor="#ffffff">
                <v:path arrowok="t"/>
              </v:shape>
            </v:group>
            <v:group style="position:absolute;left:6634;top:2944;width:1312;height:393" coordorigin="6634,2944" coordsize="1312,393">
              <v:shape style="position:absolute;left:6634;top:2944;width:1312;height:393" coordorigin="6634,2944" coordsize="1312,393" path="m6634,3336l7946,3336,7946,2944,6634,2944,6634,333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拉萨猎鹰公司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网络信息、电子 类技术开发、技 术服务、咨询等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pacing w:val="-5"/>
                <w:sz w:val="18"/>
                <w:szCs w:val="18"/>
              </w:rPr>
              <w:t>核聚互动（北京</w:t>
            </w:r>
            <w:r>
              <w:rPr>
                <w:rFonts w:ascii="宋体" w:hAnsi="宋体" w:cs="宋体" w:eastAsia="宋体" w:hint="default"/>
                <w:sz w:val="18"/>
                <w:szCs w:val="18"/>
              </w:rPr>
              <w:t> 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pacing w:val="-6"/>
                <w:sz w:val="18"/>
                <w:szCs w:val="18"/>
              </w:rPr>
              <w:t>咨询、技术服务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设计、代理、发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布广告</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深圳核聚创新公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网络技术开发、 从事广告业务等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深圳市海数互联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网络技术开发、 从事广告业务等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设计、制作、代</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理、发布各类广</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上海菲索广告有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告，文化艺术交 流策划，企业形 象策划，市场营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销策划，商务咨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设计、制作、代</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理、发布各类广</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上海佑迎广告有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告，文化艺术交 流策划（除经 </w:t>
            </w:r>
            <w:r>
              <w:rPr>
                <w:rFonts w:ascii="宋体" w:hAnsi="宋体" w:cs="宋体" w:eastAsia="宋体" w:hint="default"/>
                <w:spacing w:val="-13"/>
                <w:sz w:val="18"/>
                <w:szCs w:val="18"/>
              </w:rPr>
              <w:t>纪），商务咨询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（除经纪</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形象策划</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设计、制作、发</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上海亦复广告有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布、代理国内各 类广告；利用自</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有媒体发布广告</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设计、制作各类</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万流客网络科技</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广告，利用自有 媒体发布广告，</w:t>
            </w:r>
          </w:p>
          <w:p>
            <w:pPr>
              <w:pStyle w:val="TableParagraph"/>
              <w:spacing w:line="316"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（网络、电子、 计算机）科技领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域内的技术开发</w:t>
            </w:r>
            <w:r>
              <w:rPr>
                <w:rFonts w:ascii="Times New Roman" w:hAnsi="Times New Roman" w:cs="Times New Roman" w:eastAsia="Times New Roman"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设计、制作各类</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广告，利用自有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上海谛视文化传 媒有限公司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媒体发布广告</w:t>
            </w:r>
          </w:p>
          <w:p>
            <w:pPr>
              <w:pStyle w:val="TableParagraph"/>
              <w:spacing w:line="316" w:lineRule="auto" w:before="77"/>
              <w:ind w:left="22" w:right="23"/>
              <w:jc w:val="left"/>
              <w:rPr>
                <w:rFonts w:ascii="宋体" w:hAnsi="宋体" w:cs="宋体" w:eastAsia="宋体" w:hint="default"/>
                <w:sz w:val="18"/>
                <w:szCs w:val="18"/>
              </w:rPr>
            </w:pPr>
            <w:r>
              <w:rPr>
                <w:rFonts w:ascii="宋体" w:hAnsi="宋体" w:cs="宋体" w:eastAsia="宋体" w:hint="default"/>
                <w:sz w:val="18"/>
                <w:szCs w:val="18"/>
              </w:rPr>
              <w:t>（增值电信业务 </w:t>
            </w:r>
            <w:r>
              <w:rPr>
                <w:rFonts w:ascii="宋体" w:hAnsi="宋体" w:cs="宋体" w:eastAsia="宋体" w:hint="default"/>
                <w:spacing w:val="-17"/>
                <w:sz w:val="18"/>
                <w:szCs w:val="18"/>
              </w:rPr>
              <w:t>除外），文化艺术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交流策划（除经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纪）</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38.899979pt;width:74.05pt;height:46.85pt;mso-position-horizontal-relative:page;mso-position-vertical-relative:page;z-index:-1263424" type="#_x0000_t202" filled="false" stroked="false">
            <v:textbox inset="0,0,0,0">
              <w:txbxContent>
                <w:p>
                  <w:pPr>
                    <w:pStyle w:val="BodyText"/>
                    <w:spacing w:line="207" w:lineRule="exact"/>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西藏亦复公司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设计、制作、代 理、发布各类广 告；计算机软硬 件领域内的技术 </w:t>
            </w: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技术转让和技术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67.9pt;height:46.85pt;mso-position-horizontal-relative:char;mso-position-vertical-relative:line" coordorigin="0,0" coordsize="1358,937">
                  <v:group style="position:absolute;left:0;top:0;width:1358;height:937" coordorigin="0,0" coordsize="1358,937">
                    <v:shape style="position:absolute;left:0;top:0;width:1358;height:937" coordorigin="0,0" coordsize="1358,937" path="m0,936l1357,936,1357,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南京塔倍思信息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设计、制作、发 布、代理国内各 类广告；企业营 销策划；电子信 息技术研发；计 算机软件研发与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
              <w:jc w:val="left"/>
              <w:rPr>
                <w:rFonts w:ascii="Times New Roman" w:hAnsi="Times New Roman" w:cs="Times New Roman" w:eastAsia="Times New Roman" w:hint="default"/>
                <w:sz w:val="18"/>
                <w:szCs w:val="18"/>
              </w:rPr>
            </w:pPr>
            <w:r>
              <w:rPr>
                <w:rFonts w:ascii="Times New Roman"/>
                <w:sz w:val="18"/>
              </w:rPr>
              <w:t>Polarity</w:t>
            </w:r>
            <w:r>
              <w:rPr>
                <w:rFonts w:ascii="Times New Roman"/>
                <w:w w:val="99"/>
                <w:sz w:val="18"/>
              </w:rPr>
              <w:t> </w:t>
            </w:r>
            <w:r>
              <w:rPr>
                <w:rFonts w:ascii="Times New Roman"/>
                <w:sz w:val="18"/>
              </w:rPr>
              <w:t>Technologies</w:t>
            </w:r>
            <w:r>
              <w:rPr>
                <w:rFonts w:ascii="Times New Roman"/>
                <w:spacing w:val="-17"/>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
              <w:jc w:val="left"/>
              <w:rPr>
                <w:rFonts w:ascii="Times New Roman" w:hAnsi="Times New Roman" w:cs="Times New Roman" w:eastAsia="Times New Roman" w:hint="default"/>
                <w:sz w:val="18"/>
                <w:szCs w:val="18"/>
              </w:rPr>
            </w:pPr>
            <w:r>
              <w:rPr>
                <w:rFonts w:ascii="Times New Roman"/>
                <w:sz w:val="18"/>
              </w:rPr>
              <w:t>Eightpoint Technologies</w:t>
            </w:r>
            <w:r>
              <w:rPr>
                <w:rFonts w:ascii="Times New Roman"/>
                <w:spacing w:val="-16"/>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8"/>
              <w:jc w:val="both"/>
              <w:rPr>
                <w:rFonts w:ascii="Times New Roman" w:hAnsi="Times New Roman" w:cs="Times New Roman" w:eastAsia="Times New Roman" w:hint="default"/>
                <w:sz w:val="18"/>
                <w:szCs w:val="18"/>
              </w:rPr>
            </w:pPr>
            <w:r>
              <w:rPr>
                <w:rFonts w:ascii="Times New Roman"/>
                <w:sz w:val="18"/>
              </w:rPr>
              <w:t>Genimous</w:t>
            </w:r>
            <w:r>
              <w:rPr>
                <w:rFonts w:ascii="Times New Roman"/>
                <w:w w:val="99"/>
                <w:sz w:val="18"/>
              </w:rPr>
              <w:t> </w:t>
            </w:r>
            <w:r>
              <w:rPr>
                <w:rFonts w:ascii="Times New Roman"/>
                <w:sz w:val="18"/>
              </w:rPr>
              <w:t>Interactive</w:t>
            </w:r>
            <w:r>
              <w:rPr>
                <w:rFonts w:ascii="Times New Roman"/>
                <w:w w:val="99"/>
                <w:sz w:val="18"/>
              </w:rPr>
              <w:t> </w:t>
            </w:r>
            <w:r>
              <w:rPr>
                <w:rFonts w:ascii="Times New Roman"/>
                <w:sz w:val="18"/>
              </w:rPr>
              <w:t>Investment</w:t>
            </w:r>
            <w:r>
              <w:rPr>
                <w:rFonts w:ascii="Times New Roman"/>
                <w:w w:val="99"/>
                <w:sz w:val="18"/>
              </w:rPr>
              <w:t> </w:t>
            </w:r>
            <w:r>
              <w:rPr>
                <w:rFonts w:ascii="Times New Roman"/>
                <w:sz w:val="18"/>
              </w:rPr>
              <w:t>Co.,Ltd.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美国内华达州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美国内华达州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智度香港公司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投资与资产管理 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Spigot,Inc.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互联网软件开 发、应用和分发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7"/>
              <w:jc w:val="left"/>
              <w:rPr>
                <w:rFonts w:ascii="Times New Roman" w:hAnsi="Times New Roman" w:cs="Times New Roman" w:eastAsia="Times New Roman" w:hint="default"/>
                <w:sz w:val="18"/>
                <w:szCs w:val="18"/>
              </w:rPr>
            </w:pPr>
            <w:r>
              <w:rPr>
                <w:rFonts w:ascii="Times New Roman"/>
                <w:sz w:val="18"/>
              </w:rPr>
              <w:t>Green</w:t>
            </w:r>
            <w:r>
              <w:rPr>
                <w:rFonts w:ascii="Times New Roman"/>
                <w:spacing w:val="-6"/>
                <w:sz w:val="18"/>
              </w:rPr>
              <w:t> </w:t>
            </w:r>
            <w:r>
              <w:rPr>
                <w:rFonts w:ascii="Times New Roman"/>
                <w:sz w:val="18"/>
              </w:rPr>
              <w:t>Tree</w:t>
            </w:r>
            <w:r>
              <w:rPr>
                <w:rFonts w:ascii="Times New Roman"/>
                <w:w w:val="99"/>
                <w:sz w:val="18"/>
              </w:rPr>
              <w:t> </w:t>
            </w:r>
            <w:r>
              <w:rPr>
                <w:rFonts w:ascii="Times New Roman"/>
                <w:sz w:val="18"/>
              </w:rPr>
              <w:t>Applications</w:t>
            </w:r>
            <w:r>
              <w:rPr>
                <w:rFonts w:ascii="Times New Roman"/>
                <w:w w:val="99"/>
                <w:sz w:val="18"/>
              </w:rPr>
              <w:t> </w:t>
            </w:r>
            <w:r>
              <w:rPr>
                <w:rFonts w:ascii="Times New Roman"/>
                <w:sz w:val="18"/>
              </w:rPr>
              <w:t>SRL.</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8"/>
              <w:jc w:val="left"/>
              <w:rPr>
                <w:rFonts w:ascii="Times New Roman" w:hAnsi="Times New Roman" w:cs="Times New Roman" w:eastAsia="Times New Roman" w:hint="default"/>
                <w:sz w:val="18"/>
                <w:szCs w:val="18"/>
              </w:rPr>
            </w:pPr>
            <w:r>
              <w:rPr>
                <w:rFonts w:ascii="Times New Roman"/>
                <w:sz w:val="18"/>
              </w:rPr>
              <w:t>Azureus</w:t>
            </w:r>
            <w:r>
              <w:rPr>
                <w:rFonts w:ascii="Times New Roman"/>
                <w:w w:val="99"/>
                <w:sz w:val="18"/>
              </w:rPr>
              <w:t> </w:t>
            </w:r>
            <w:r>
              <w:rPr>
                <w:rFonts w:ascii="Times New Roman"/>
                <w:sz w:val="18"/>
              </w:rPr>
              <w:t>Software,Inc.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GMGP</w:t>
            </w:r>
            <w:r>
              <w:rPr>
                <w:rFonts w:ascii="Times New Roman"/>
                <w:spacing w:val="-9"/>
                <w:sz w:val="18"/>
              </w:rPr>
              <w:t> </w:t>
            </w:r>
            <w:r>
              <w:rPr>
                <w:rFonts w:ascii="Times New Roman"/>
                <w:sz w:val="18"/>
              </w:rPr>
              <w:t>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0"/>
              <w:jc w:val="left"/>
              <w:rPr>
                <w:rFonts w:ascii="Times New Roman" w:hAnsi="Times New Roman" w:cs="Times New Roman" w:eastAsia="Times New Roman" w:hint="default"/>
                <w:sz w:val="18"/>
                <w:szCs w:val="18"/>
              </w:rPr>
            </w:pPr>
            <w:r>
              <w:rPr>
                <w:rFonts w:ascii="Times New Roman"/>
                <w:sz w:val="18"/>
              </w:rPr>
              <w:t>Search Me</w:t>
            </w:r>
            <w:r>
              <w:rPr>
                <w:rFonts w:ascii="Times New Roman"/>
                <w:w w:val="99"/>
                <w:sz w:val="18"/>
              </w:rPr>
              <w:t> </w:t>
            </w:r>
            <w:r>
              <w:rPr>
                <w:rFonts w:ascii="Times New Roman"/>
                <w:spacing w:val="-1"/>
                <w:sz w:val="18"/>
              </w:rPr>
              <w:t>Technologies,Inc.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317"/>
              <w:jc w:val="left"/>
              <w:rPr>
                <w:rFonts w:ascii="Times New Roman" w:hAnsi="Times New Roman" w:cs="Times New Roman" w:eastAsia="Times New Roman" w:hint="default"/>
                <w:sz w:val="18"/>
                <w:szCs w:val="18"/>
              </w:rPr>
            </w:pPr>
            <w:r>
              <w:rPr>
                <w:rFonts w:ascii="Times New Roman"/>
                <w:sz w:val="18"/>
              </w:rPr>
              <w:t>Better Cloud Solutions</w:t>
            </w:r>
            <w:r>
              <w:rPr>
                <w:rFonts w:ascii="Times New Roman"/>
                <w:spacing w:val="-2"/>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Springtech,Ltd.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计算机网络科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0991pt;margin-top:578.559998pt;width:74.05pt;height:62.4pt;mso-position-horizontal-relative:page;mso-position-vertical-relative:page;z-index:-126340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shape style="position:absolute;margin-left:324.399994pt;margin-top:641.440002pt;width:74.05pt;height:53.6pt;mso-position-horizontal-relative:page;mso-position-vertical-relative:page;z-index:-1263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331.720001pt;margin-top:409.519989pt;width:65.6pt;height:19.650pt;mso-position-horizontal-relative:page;mso-position-vertical-relative:page;z-index:-1263352" coordorigin="6634,8190" coordsize="1312,393">
            <v:shape style="position:absolute;left:6634;top:8190;width:1312;height:393" coordorigin="6634,8190" coordsize="1312,393" path="m6634,8583l7946,8583,7946,8190,6634,8190,6634,8583xe" filled="true" fillcolor="#ffffff" stroked="false">
              <v:path arrowok="t"/>
              <v:fill type="solid"/>
            </v:shape>
            <w10:wrap type="none"/>
          </v:group>
        </w:pict>
      </w:r>
      <w:r>
        <w:rPr/>
        <w:pict>
          <v:group style="position:absolute;margin-left:330.579987pt;margin-top:578.559998pt;width:67.9pt;height:116.5pt;mso-position-horizontal-relative:page;mso-position-vertical-relative:page;z-index:-1263328" coordorigin="6612,11571" coordsize="1358,2330">
            <v:group style="position:absolute;left:6612;top:11571;width:1358;height:1248" coordorigin="6612,11571" coordsize="1358,1248">
              <v:shape style="position:absolute;left:6612;top:11571;width:1358;height:1248" coordorigin="6612,11571" coordsize="1358,1248" path="m6612,12819l7969,12819,7969,11571,6612,11571,6612,12819xe" filled="true" fillcolor="#ffffff" stroked="false">
                <v:path arrowok="t"/>
                <v:fill type="solid"/>
              </v:shape>
            </v:group>
            <v:group style="position:absolute;left:6612;top:12829;width:1358;height:1072" coordorigin="6612,12829" coordsize="1358,1072">
              <v:shape style="position:absolute;left:6612;top:12829;width:1358;height:1072" coordorigin="6612,12829" coordsize="1358,1072" path="m6612,13900l7969,13900,7969,12829,6612,12829,6612,1390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技、计算机软硬 件领域内的技术 开发等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智度小贷公司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小额贷款业务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广州市智度商业 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商业保理业务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深圳智度信息技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计算机软硬件领 域内的技术开 发、技术咨询、 技术转让和技术 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上海智度网络科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计算机网络科 技、计算机软硬 件领域内的技术 开发等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厦门智得天下金 融信息服务有限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霍尔果斯白猫公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科技信息交流、 软件开发、技术 </w:t>
            </w:r>
            <w:r>
              <w:rPr>
                <w:rFonts w:ascii="宋体" w:hAnsi="宋体" w:cs="宋体" w:eastAsia="宋体" w:hint="default"/>
                <w:spacing w:val="-6"/>
                <w:sz w:val="18"/>
                <w:szCs w:val="18"/>
              </w:rPr>
              <w:t>咨询、技术孵化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科技成果评估和 科技鉴证服务</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西藏智度保险经 纪有限公司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保险经纪业务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喀什智优公司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软件开发，信息 技术外包，知识 产权代理，信息 系统集成、电子 商务和政务系统 开发和设计，设 </w:t>
            </w:r>
            <w:r>
              <w:rPr>
                <w:rFonts w:ascii="宋体" w:hAnsi="宋体" w:cs="宋体" w:eastAsia="宋体" w:hint="default"/>
                <w:spacing w:val="-6"/>
                <w:sz w:val="18"/>
                <w:szCs w:val="18"/>
              </w:rPr>
              <w:t>计、制作、代理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发布各类广告， 互联网信息服务</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77"/>
              <w:jc w:val="left"/>
              <w:rPr>
                <w:rFonts w:ascii="宋体" w:hAnsi="宋体" w:cs="宋体" w:eastAsia="宋体" w:hint="default"/>
                <w:sz w:val="18"/>
                <w:szCs w:val="18"/>
              </w:rPr>
            </w:pPr>
            <w:r>
              <w:rPr>
                <w:rFonts w:ascii="宋体" w:hAnsi="宋体" w:cs="宋体" w:eastAsia="宋体" w:hint="default"/>
                <w:sz w:val="18"/>
                <w:szCs w:val="18"/>
              </w:rPr>
              <w:t>深圳亦复广告有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广告业务、动漫 设计、商务信息 </w:t>
            </w:r>
            <w:r>
              <w:rPr>
                <w:rFonts w:ascii="宋体" w:hAnsi="宋体" w:cs="宋体" w:eastAsia="宋体" w:hint="default"/>
                <w:spacing w:val="-6"/>
                <w:sz w:val="18"/>
                <w:szCs w:val="18"/>
              </w:rPr>
              <w:t>咨询、管理咨询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形象策划、市场 营销策划、计算 机网络技术开 发、转让，展览 展示策划、公共</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关系策划，网页 设计、电子商务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计算机网络游</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深圳市行走科技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戏、计算机软硬 件领域内的技术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软件开发，信息</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67.9pt;height:62.4pt;mso-position-horizontal-relative:char;mso-position-vertical-relative:line" coordorigin="0,0" coordsize="1358,1248">
                  <v:group style="position:absolute;left:0;top:0;width:1358;height:1248" coordorigin="0,0" coordsize="1358,1248">
                    <v:shape style="position:absolute;left:0;top:0;width:1358;height:1248" coordorigin="0,0" coordsize="1358,1248" path="m0,1248l1357,1248,1357,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技术外包，知识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产权代理，信息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系统集成、电子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喀什飞鸟公司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商务和政务系统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08"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开发和设计，设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计、制作、代理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发布各类广告，</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51"/>
        <w:ind w:right="2832"/>
        <w:jc w:val="left"/>
      </w:pPr>
      <w:r>
        <w:rPr/>
        <w:pict>
          <v:shape style="position:absolute;margin-left:324.390991pt;margin-top:-62.898273pt;width:74.05pt;height:62.4pt;mso-position-horizontal-relative:page;mso-position-vertical-relative:paragraph;z-index:-1263280"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pStyle w:val="BodyText"/>
        <w:spacing w:line="300" w:lineRule="auto" w:before="25"/>
        <w:ind w:right="1132"/>
        <w:jc w:val="left"/>
      </w:pPr>
      <w:r>
        <w:rPr/>
        <w:t>上海宴杰网络科技有限公司于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日经股东会决议变更公司名称为上海猎鹰宴杰网络科技有限公司（以下简称</w:t>
      </w:r>
      <w:r>
        <w:rPr>
          <w:rFonts w:ascii="Times New Roman" w:hAnsi="Times New Roman" w:cs="Times New Roman" w:eastAsia="Times New Roman" w:hint="default"/>
        </w:rPr>
        <w:t>“</w:t>
      </w:r>
      <w:r>
        <w:rPr/>
        <w:t>上海 宴杰公司</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经营活动现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经营活动现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金流量</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15"/>
      <w:bookmarkEnd w:id="41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17"/>
      <w:bookmarkEnd w:id="4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18"/>
      <w:bookmarkEnd w:id="4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0"/>
      <w:bookmarkEnd w:id="4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112,948,933.73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93,408,613.72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14,519,963.27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7,046,669.19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1,520,356.74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-1,073,600.67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16,040,320.01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5,973,068.52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25"/>
      <w:bookmarkEnd w:id="42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27"/>
      <w:bookmarkEnd w:id="42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after="0" w:line="240" w:lineRule="auto"/>
        <w:jc w:val="left"/>
        <w:sectPr>
          <w:footerReference w:type="default" r:id="rId2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1</w:t>
      </w:r>
      <w:r>
        <w:rPr/>
        <w:t>）未纳入合并范围的结构化主体的基础信息</w:t>
      </w:r>
    </w:p>
    <w:p>
      <w:pPr>
        <w:spacing w:line="240" w:lineRule="auto" w:before="7"/>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1561"/>
        <w:gridCol w:w="2280"/>
        <w:gridCol w:w="1721"/>
        <w:gridCol w:w="1422"/>
        <w:gridCol w:w="1540"/>
      </w:tblGrid>
      <w:tr>
        <w:trPr>
          <w:trHeight w:val="661" w:hRule="exact"/>
        </w:trPr>
        <w:tc>
          <w:tcPr>
            <w:tcW w:w="1561"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结构化主体</w:t>
            </w:r>
            <w:r>
              <w:rPr>
                <w:rFonts w:ascii="宋体" w:hAnsi="宋体" w:cs="宋体" w:eastAsia="宋体" w:hint="default"/>
                <w:sz w:val="21"/>
                <w:szCs w:val="21"/>
              </w:rPr>
            </w:r>
          </w:p>
        </w:tc>
        <w:tc>
          <w:tcPr>
            <w:tcW w:w="2280"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755" w:right="0"/>
              <w:jc w:val="left"/>
              <w:rPr>
                <w:rFonts w:ascii="宋体" w:hAnsi="宋体" w:cs="宋体" w:eastAsia="宋体" w:hint="default"/>
                <w:sz w:val="21"/>
                <w:szCs w:val="21"/>
              </w:rPr>
            </w:pPr>
            <w:r>
              <w:rPr>
                <w:rFonts w:ascii="宋体" w:hAnsi="宋体" w:cs="宋体" w:eastAsia="宋体" w:hint="default"/>
                <w:b/>
                <w:bCs/>
                <w:sz w:val="21"/>
                <w:szCs w:val="21"/>
              </w:rPr>
              <w:t>结构化主体类型</w:t>
            </w:r>
            <w:r>
              <w:rPr>
                <w:rFonts w:ascii="宋体" w:hAnsi="宋体" w:cs="宋体" w:eastAsia="宋体" w:hint="default"/>
                <w:sz w:val="21"/>
                <w:szCs w:val="21"/>
              </w:rPr>
            </w:r>
          </w:p>
        </w:tc>
        <w:tc>
          <w:tcPr>
            <w:tcW w:w="1721"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355"/>
              <w:jc w:val="right"/>
              <w:rPr>
                <w:rFonts w:ascii="宋体" w:hAnsi="宋体" w:cs="宋体" w:eastAsia="宋体" w:hint="default"/>
                <w:sz w:val="21"/>
                <w:szCs w:val="21"/>
              </w:rPr>
            </w:pPr>
            <w:r>
              <w:rPr>
                <w:rFonts w:ascii="宋体" w:hAnsi="宋体" w:cs="宋体" w:eastAsia="宋体" w:hint="default"/>
                <w:b/>
                <w:bCs/>
                <w:sz w:val="21"/>
                <w:szCs w:val="21"/>
              </w:rPr>
              <w:t>认缴出资</w:t>
            </w:r>
            <w:r>
              <w:rPr>
                <w:rFonts w:ascii="宋体" w:hAnsi="宋体" w:cs="宋体" w:eastAsia="宋体" w:hint="default"/>
                <w:sz w:val="21"/>
                <w:szCs w:val="21"/>
              </w:rPr>
            </w:r>
          </w:p>
        </w:tc>
        <w:tc>
          <w:tcPr>
            <w:tcW w:w="1422"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持有比例</w:t>
            </w:r>
            <w:r>
              <w:rPr>
                <w:rFonts w:ascii="宋体" w:hAnsi="宋体" w:cs="宋体" w:eastAsia="宋体" w:hint="default"/>
                <w:sz w:val="21"/>
                <w:szCs w:val="21"/>
              </w:rPr>
            </w:r>
          </w:p>
          <w:p>
            <w:pPr>
              <w:pStyle w:val="TableParagraph"/>
              <w:spacing w:line="240" w:lineRule="auto" w:before="89"/>
              <w:ind w:left="850"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540"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实缴出资</w:t>
            </w:r>
            <w:r>
              <w:rPr>
                <w:rFonts w:ascii="宋体" w:hAnsi="宋体" w:cs="宋体" w:eastAsia="宋体" w:hint="default"/>
                <w:sz w:val="21"/>
                <w:szCs w:val="21"/>
              </w:rPr>
            </w:r>
          </w:p>
        </w:tc>
      </w:tr>
      <w:tr>
        <w:trPr>
          <w:trHeight w:val="347" w:hRule="exact"/>
        </w:trPr>
        <w:tc>
          <w:tcPr>
            <w:tcW w:w="1561"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3</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395"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2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56"/>
              <w:jc w:val="right"/>
              <w:rPr>
                <w:rFonts w:ascii="Times New Roman" w:hAnsi="Times New Roman" w:cs="Times New Roman" w:eastAsia="Times New Roman" w:hint="default"/>
                <w:sz w:val="21"/>
                <w:szCs w:val="21"/>
              </w:rPr>
            </w:pPr>
            <w:r>
              <w:rPr>
                <w:rFonts w:ascii="Times New Roman"/>
                <w:sz w:val="21"/>
              </w:rPr>
              <w:t>21,000,000.00</w:t>
            </w:r>
          </w:p>
        </w:tc>
        <w:tc>
          <w:tcPr>
            <w:tcW w:w="142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217"/>
              <w:jc w:val="right"/>
              <w:rPr>
                <w:rFonts w:ascii="Times New Roman" w:hAnsi="Times New Roman" w:cs="Times New Roman" w:eastAsia="Times New Roman" w:hint="default"/>
                <w:sz w:val="21"/>
                <w:szCs w:val="21"/>
              </w:rPr>
            </w:pPr>
            <w:r>
              <w:rPr>
                <w:rFonts w:ascii="Times New Roman"/>
                <w:sz w:val="21"/>
              </w:rPr>
              <w:t>4.2674</w:t>
            </w:r>
          </w:p>
        </w:tc>
        <w:tc>
          <w:tcPr>
            <w:tcW w:w="154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1"/>
                <w:szCs w:val="21"/>
              </w:rPr>
            </w:pPr>
            <w:r>
              <w:rPr>
                <w:rFonts w:ascii="Times New Roman"/>
                <w:sz w:val="21"/>
              </w:rPr>
              <w:t>21,000,000.00</w:t>
            </w:r>
          </w:p>
        </w:tc>
      </w:tr>
      <w:tr>
        <w:trPr>
          <w:trHeight w:val="347" w:hRule="exact"/>
        </w:trPr>
        <w:tc>
          <w:tcPr>
            <w:tcW w:w="1561"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4</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395"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2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55"/>
              <w:jc w:val="right"/>
              <w:rPr>
                <w:rFonts w:ascii="Times New Roman" w:hAnsi="Times New Roman" w:cs="Times New Roman" w:eastAsia="Times New Roman" w:hint="default"/>
                <w:sz w:val="21"/>
                <w:szCs w:val="21"/>
              </w:rPr>
            </w:pPr>
            <w:r>
              <w:rPr>
                <w:rFonts w:ascii="Times New Roman"/>
                <w:spacing w:val="-1"/>
                <w:sz w:val="21"/>
              </w:rPr>
              <w:t>410,000,000.00</w:t>
            </w:r>
          </w:p>
        </w:tc>
        <w:tc>
          <w:tcPr>
            <w:tcW w:w="142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218"/>
              <w:jc w:val="right"/>
              <w:rPr>
                <w:rFonts w:ascii="Times New Roman" w:hAnsi="Times New Roman" w:cs="Times New Roman" w:eastAsia="Times New Roman" w:hint="default"/>
                <w:sz w:val="21"/>
                <w:szCs w:val="21"/>
              </w:rPr>
            </w:pPr>
            <w:r>
              <w:rPr>
                <w:rFonts w:ascii="Times New Roman"/>
                <w:sz w:val="21"/>
              </w:rPr>
              <w:t>13.67</w:t>
            </w:r>
          </w:p>
        </w:tc>
        <w:tc>
          <w:tcPr>
            <w:tcW w:w="154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1"/>
                <w:szCs w:val="21"/>
              </w:rPr>
            </w:pPr>
            <w:r>
              <w:rPr>
                <w:rFonts w:ascii="Times New Roman"/>
                <w:spacing w:val="-1"/>
                <w:sz w:val="21"/>
              </w:rPr>
              <w:t>205,000,000.00</w:t>
            </w:r>
          </w:p>
        </w:tc>
      </w:tr>
      <w:tr>
        <w:trPr>
          <w:trHeight w:val="348" w:hRule="exact"/>
        </w:trPr>
        <w:tc>
          <w:tcPr>
            <w:tcW w:w="1561"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5</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395"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2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56"/>
              <w:jc w:val="right"/>
              <w:rPr>
                <w:rFonts w:ascii="Times New Roman" w:hAnsi="Times New Roman" w:cs="Times New Roman" w:eastAsia="Times New Roman" w:hint="default"/>
                <w:sz w:val="21"/>
                <w:szCs w:val="21"/>
              </w:rPr>
            </w:pPr>
            <w:r>
              <w:rPr>
                <w:rFonts w:ascii="Times New Roman"/>
                <w:sz w:val="21"/>
              </w:rPr>
              <w:t>68,632,000.00</w:t>
            </w:r>
          </w:p>
        </w:tc>
        <w:tc>
          <w:tcPr>
            <w:tcW w:w="142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218"/>
              <w:jc w:val="right"/>
              <w:rPr>
                <w:rFonts w:ascii="Times New Roman" w:hAnsi="Times New Roman" w:cs="Times New Roman" w:eastAsia="Times New Roman" w:hint="default"/>
                <w:sz w:val="21"/>
                <w:szCs w:val="21"/>
              </w:rPr>
            </w:pPr>
            <w:r>
              <w:rPr>
                <w:rFonts w:ascii="Times New Roman"/>
                <w:sz w:val="21"/>
              </w:rPr>
              <w:t>0.083</w:t>
            </w:r>
          </w:p>
        </w:tc>
        <w:tc>
          <w:tcPr>
            <w:tcW w:w="154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1"/>
                <w:szCs w:val="21"/>
              </w:rPr>
            </w:pPr>
            <w:r>
              <w:rPr>
                <w:rFonts w:ascii="Times New Roman"/>
                <w:sz w:val="21"/>
              </w:rPr>
              <w:t>68,632,000.00</w:t>
            </w:r>
          </w:p>
        </w:tc>
      </w:tr>
      <w:tr>
        <w:trPr>
          <w:trHeight w:val="347" w:hRule="exact"/>
        </w:trPr>
        <w:tc>
          <w:tcPr>
            <w:tcW w:w="156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7</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395"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2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56"/>
              <w:jc w:val="right"/>
              <w:rPr>
                <w:rFonts w:ascii="Times New Roman" w:hAnsi="Times New Roman" w:cs="Times New Roman" w:eastAsia="Times New Roman" w:hint="default"/>
                <w:sz w:val="21"/>
                <w:szCs w:val="21"/>
              </w:rPr>
            </w:pPr>
            <w:r>
              <w:rPr>
                <w:rFonts w:ascii="Times New Roman"/>
                <w:sz w:val="21"/>
              </w:rPr>
              <w:t>10,000,000.00</w:t>
            </w:r>
          </w:p>
        </w:tc>
        <w:tc>
          <w:tcPr>
            <w:tcW w:w="142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21"/>
                <w:szCs w:val="21"/>
              </w:rPr>
            </w:pPr>
            <w:r>
              <w:rPr>
                <w:rFonts w:ascii="Times New Roman"/>
                <w:sz w:val="21"/>
              </w:rPr>
              <w:t>50.00</w:t>
            </w:r>
          </w:p>
        </w:tc>
        <w:tc>
          <w:tcPr>
            <w:tcW w:w="154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10,000,000.00</w:t>
            </w:r>
          </w:p>
        </w:tc>
      </w:tr>
    </w:tbl>
    <w:p>
      <w:pPr>
        <w:spacing w:line="240" w:lineRule="auto" w:before="8"/>
        <w:rPr>
          <w:rFonts w:ascii="宋体" w:hAnsi="宋体" w:cs="宋体" w:eastAsia="宋体" w:hint="default"/>
          <w:sz w:val="6"/>
          <w:szCs w:val="6"/>
        </w:rPr>
      </w:pPr>
    </w:p>
    <w:p>
      <w:pPr>
        <w:pStyle w:val="BodyText"/>
        <w:spacing w:line="240" w:lineRule="auto" w:before="44"/>
        <w:ind w:right="0"/>
        <w:jc w:val="both"/>
      </w:pPr>
      <w:r>
        <w:rPr/>
        <w:t>（</w:t>
      </w:r>
      <w:r>
        <w:rPr>
          <w:rFonts w:ascii="Times New Roman" w:hAnsi="Times New Roman" w:cs="Times New Roman" w:eastAsia="Times New Roman" w:hint="default"/>
        </w:rPr>
        <w:t>2</w:t>
      </w:r>
      <w:r>
        <w:rPr/>
        <w:t>）与权益相关资产负债的账面价值和最大损失敞口</w:t>
      </w:r>
    </w:p>
    <w:p>
      <w:pPr>
        <w:spacing w:line="240" w:lineRule="auto" w:before="4"/>
        <w:rPr>
          <w:rFonts w:ascii="宋体" w:hAnsi="宋体" w:cs="宋体" w:eastAsia="宋体" w:hint="default"/>
          <w:sz w:val="21"/>
          <w:szCs w:val="21"/>
        </w:rPr>
      </w:pPr>
    </w:p>
    <w:p>
      <w:pPr>
        <w:pStyle w:val="BodyText"/>
        <w:spacing w:line="240" w:lineRule="auto"/>
        <w:ind w:right="0"/>
        <w:jc w:val="both"/>
      </w:pPr>
      <w:r>
        <w:rPr/>
        <w:t>本公司及其子公司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日在财务报表中确认的与在未纳入合并范围的结构化主体中权益相关的资产的账面价值为</w:t>
      </w:r>
    </w:p>
    <w:p>
      <w:pPr>
        <w:pStyle w:val="BodyText"/>
        <w:spacing w:line="508" w:lineRule="auto" w:before="63"/>
        <w:ind w:right="1932"/>
        <w:jc w:val="left"/>
      </w:pPr>
      <w:r>
        <w:rPr>
          <w:rFonts w:ascii="Times New Roman" w:hAnsi="Times New Roman" w:cs="Times New Roman" w:eastAsia="Times New Roman" w:hint="default"/>
        </w:rPr>
        <w:t>304,632,000.00</w:t>
      </w:r>
      <w:r>
        <w:rPr/>
        <w:t>元，在资产负债表中列示为可供出售金融资产。 本公司及其子公司在未纳入合并范围的结构化主体中权益的最大损失敞口为七、</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）中列示的资产账面价值。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right="0"/>
        <w:jc w:val="both"/>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2"/>
        <w:jc w:val="both"/>
      </w:pP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股东及其其他权益投资者的利益最大化。基于该风险管理目标，本公司风险管理的基本策略是确定和分析本公司所面临的各</w:t>
      </w:r>
      <w:r>
        <w:rPr>
          <w:spacing w:val="-64"/>
        </w:rPr>
        <w:t> </w:t>
      </w:r>
      <w:r>
        <w:rPr>
          <w:spacing w:val="-64"/>
        </w:rPr>
      </w:r>
      <w:r>
        <w:rPr/>
        <w:t>种风险，建立适当的风险承受底线和进行风险管理，并及时可靠地对各种风险进行监督，将风险控制在限定的范围之内。</w:t>
      </w:r>
    </w:p>
    <w:p>
      <w:pPr>
        <w:spacing w:line="240" w:lineRule="auto" w:before="11"/>
        <w:rPr>
          <w:rFonts w:ascii="宋体" w:hAnsi="宋体" w:cs="宋体" w:eastAsia="宋体" w:hint="default"/>
          <w:sz w:val="17"/>
          <w:szCs w:val="17"/>
        </w:rPr>
      </w:pPr>
    </w:p>
    <w:p>
      <w:pPr>
        <w:pStyle w:val="BodyText"/>
        <w:spacing w:line="240" w:lineRule="auto"/>
        <w:ind w:right="0"/>
        <w:jc w:val="both"/>
      </w:pPr>
      <w:r>
        <w:rPr/>
        <w:t>本公司的金融工具导致的主要风险是信用风险、流动性风险、市场风险（包括利率风险和汇率风险）。</w:t>
      </w:r>
    </w:p>
    <w:p>
      <w:pPr>
        <w:spacing w:line="240" w:lineRule="auto" w:before="5"/>
        <w:rPr>
          <w:rFonts w:ascii="宋体" w:hAnsi="宋体" w:cs="宋体" w:eastAsia="宋体" w:hint="default"/>
          <w:sz w:val="22"/>
          <w:szCs w:val="22"/>
        </w:rPr>
      </w:pPr>
    </w:p>
    <w:p>
      <w:pPr>
        <w:pStyle w:val="BodyText"/>
        <w:spacing w:line="508" w:lineRule="auto"/>
        <w:ind w:right="4272"/>
        <w:jc w:val="left"/>
      </w:pPr>
      <w:r>
        <w:rPr/>
        <w:t>（</w:t>
      </w:r>
      <w:r>
        <w:rPr>
          <w:rFonts w:ascii="Times New Roman" w:hAnsi="Times New Roman" w:cs="Times New Roman" w:eastAsia="Times New Roman" w:hint="default"/>
        </w:rPr>
        <w:t>1</w:t>
      </w:r>
      <w:r>
        <w:rPr/>
        <w:t>）信用风险 信用风险，是指交易对手方未能履行合同义务而导致本公司产生财务损失的风险。</w:t>
      </w:r>
    </w:p>
    <w:p>
      <w:pPr>
        <w:pStyle w:val="BodyText"/>
        <w:spacing w:line="240" w:lineRule="auto" w:before="91"/>
        <w:ind w:right="0"/>
        <w:jc w:val="both"/>
      </w:pPr>
      <w:r>
        <w:rPr/>
        <w:t>本公司对信用风险按组合分类进行管理。信用风险主要产生于银行存款、发放贷款及垫款和应收款项等。</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本公司银行存款主要存放于国有银行和其它大中型上市银行和声誉良好并拥有较高信用评级的金融机构，本公司预期银行存</w:t>
      </w:r>
      <w:r>
        <w:rPr>
          <w:spacing w:val="-64"/>
        </w:rPr>
        <w:t> </w:t>
      </w:r>
      <w:r>
        <w:rPr>
          <w:spacing w:val="-64"/>
        </w:rPr>
      </w:r>
      <w:r>
        <w:rPr/>
        <w:t>款不存在重大的信用风险。</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对于应收款项，本公司设定相关政策以控制信用风险敞口。本公司基于对债务人的财务状况、外部评级、从第三方获取担保</w:t>
      </w:r>
      <w:r>
        <w:rPr>
          <w:spacing w:val="-66"/>
        </w:rPr>
        <w:t> </w:t>
      </w:r>
      <w:r>
        <w:rPr>
          <w:spacing w:val="-66"/>
        </w:rPr>
      </w:r>
      <w:r>
        <w:rPr>
          <w:spacing w:val="-2"/>
        </w:rPr>
        <w:t>的可能性、信用记录及其它因素诸如目前市场状况等评估债务人的信用资质并设置相应欠款额度与信用期限。本公司已采取</w:t>
      </w:r>
      <w:r>
        <w:rPr>
          <w:spacing w:val="-64"/>
        </w:rPr>
        <w:t> </w:t>
      </w:r>
      <w:r>
        <w:rPr>
          <w:spacing w:val="-64"/>
        </w:rPr>
      </w: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损失的风险。本公司会定期对债务人信用记录进行监控，对于信用记录不良的债务人，本公司会采用书面催款、缩短信用期</w:t>
      </w:r>
      <w:r>
        <w:rPr>
          <w:spacing w:val="-66"/>
        </w:rPr>
        <w:t> </w:t>
      </w:r>
      <w:r>
        <w:rPr>
          <w:spacing w:val="-66"/>
        </w:rPr>
      </w:r>
      <w:r>
        <w:rPr/>
        <w:t>或取消信用期等方式，以确保本公司的整体信用风险在可控的范围内。</w:t>
      </w:r>
    </w:p>
    <w:p>
      <w:pPr>
        <w:spacing w:line="240" w:lineRule="auto" w:before="12"/>
        <w:rPr>
          <w:rFonts w:ascii="宋体" w:hAnsi="宋体" w:cs="宋体" w:eastAsia="宋体" w:hint="default"/>
          <w:sz w:val="17"/>
          <w:szCs w:val="17"/>
        </w:rPr>
      </w:pPr>
    </w:p>
    <w:p>
      <w:pPr>
        <w:pStyle w:val="BodyText"/>
        <w:spacing w:line="240" w:lineRule="auto"/>
        <w:ind w:right="0"/>
        <w:jc w:val="both"/>
      </w:pPr>
      <w:r>
        <w:rPr/>
        <w:t>本公司应收账款的债务人为分布于不同行业和地区的客户。本公司持续对应收账款的财务状况实施信用评估。</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本公司所承受的最大信用风险敞口为资产负债表中每项金融资产的账面金额。本公司没有提供任何其他可能令本公司承受信</w:t>
      </w:r>
      <w:r>
        <w:rPr>
          <w:spacing w:val="-63"/>
        </w:rPr>
        <w:t> </w:t>
      </w:r>
      <w:r>
        <w:rPr>
          <w:spacing w:val="-63"/>
        </w:rPr>
      </w:r>
      <w:r>
        <w:rPr/>
        <w:t>用风险的担保。</w:t>
      </w:r>
    </w:p>
    <w:p>
      <w:pPr>
        <w:spacing w:after="0" w:line="316" w:lineRule="auto"/>
        <w:jc w:val="both"/>
        <w:sectPr>
          <w:footerReference w:type="default" r:id="rId26"/>
          <w:pgSz w:w="11910" w:h="16840"/>
          <w:pgMar w:footer="979" w:header="747" w:top="1060" w:bottom="1160" w:left="980" w:right="0"/>
          <w:pgNumType w:start="201"/>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本公司应收账款中，欠款金额前五大客户的应收账款占本公司应收账款总额的</w:t>
      </w:r>
      <w:r>
        <w:rPr>
          <w:rFonts w:ascii="Times New Roman" w:hAnsi="Times New Roman" w:cs="Times New Roman" w:eastAsia="Times New Roman" w:hint="default"/>
        </w:rPr>
        <w:t>30.67%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49.19%</w:t>
      </w:r>
      <w:r>
        <w:rPr/>
        <w:t>）；本公司其他应</w:t>
      </w:r>
      <w:r>
        <w:rPr>
          <w:spacing w:val="-32"/>
        </w:rPr>
        <w:t> </w:t>
      </w:r>
      <w:r>
        <w:rPr>
          <w:spacing w:val="-32"/>
        </w:rPr>
      </w:r>
      <w:r>
        <w:rPr/>
        <w:t>收款中，欠款金额前五大公司的其他应收款占本公司其他应收款总额的</w:t>
      </w:r>
      <w:r>
        <w:rPr>
          <w:rFonts w:ascii="Times New Roman" w:hAnsi="Times New Roman" w:cs="Times New Roman" w:eastAsia="Times New Roman" w:hint="default"/>
        </w:rPr>
        <w:t>82.50%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85.16%</w:t>
      </w:r>
      <w:r>
        <w:rPr/>
        <w:t>）。</w:t>
      </w:r>
    </w:p>
    <w:p>
      <w:pPr>
        <w:spacing w:line="240" w:lineRule="auto" w:before="7"/>
        <w:rPr>
          <w:rFonts w:ascii="宋体" w:hAnsi="宋体" w:cs="宋体" w:eastAsia="宋体" w:hint="default"/>
          <w:sz w:val="17"/>
          <w:szCs w:val="17"/>
        </w:rPr>
      </w:pPr>
    </w:p>
    <w:p>
      <w:pPr>
        <w:pStyle w:val="BodyText"/>
        <w:spacing w:line="508" w:lineRule="auto"/>
        <w:ind w:right="2652"/>
        <w:jc w:val="left"/>
      </w:pPr>
      <w:r>
        <w:rPr/>
        <w:t>（</w:t>
      </w:r>
      <w:r>
        <w:rPr>
          <w:rFonts w:ascii="Times New Roman" w:hAnsi="Times New Roman" w:cs="Times New Roman" w:eastAsia="Times New Roman" w:hint="default"/>
        </w:rPr>
        <w:t>2</w:t>
      </w:r>
      <w:r>
        <w:rPr/>
        <w:t>）流动性风险 流动性风险，是指本公司在履行以交付现金或其他金融资产的方式结算的义务时发生资金短缺的风险。</w:t>
      </w:r>
    </w:p>
    <w:p>
      <w:pPr>
        <w:pStyle w:val="BodyText"/>
        <w:spacing w:line="316" w:lineRule="auto" w:before="91"/>
        <w:ind w:right="1131"/>
        <w:jc w:val="both"/>
      </w:pPr>
      <w:r>
        <w:rPr>
          <w:spacing w:val="-2"/>
        </w:rPr>
        <w:t>管理流动风险时，本公司保持管理层认为充分的现金及现金等价物并对其进行监控，以满足本公司经营需要，并降低现金流</w:t>
      </w:r>
      <w:r>
        <w:rPr>
          <w:spacing w:val="-66"/>
        </w:rPr>
        <w:t> </w:t>
      </w:r>
      <w:r>
        <w:rPr>
          <w:spacing w:val="-66"/>
        </w:rPr>
      </w:r>
      <w:r>
        <w:rPr>
          <w:spacing w:val="-2"/>
        </w:rPr>
        <w:t>量波动的影响。本公司管理层对银行借款的使用情况进行监控并确保遵守借款协议。同时从主要金融机构获得提供足够备用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spacing w:line="240" w:lineRule="auto" w:before="12"/>
        <w:rPr>
          <w:rFonts w:ascii="宋体" w:hAnsi="宋体" w:cs="宋体" w:eastAsia="宋体" w:hint="default"/>
          <w:sz w:val="17"/>
          <w:szCs w:val="17"/>
        </w:rPr>
      </w:pPr>
    </w:p>
    <w:p>
      <w:pPr>
        <w:pStyle w:val="BodyText"/>
        <w:spacing w:line="240" w:lineRule="auto"/>
        <w:ind w:right="0"/>
        <w:jc w:val="both"/>
      </w:pPr>
      <w:r>
        <w:rPr/>
        <w:t>本公司通过经营业务产生的资金及银行及其他借款来筹措营运资金。于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w:t>
      </w:r>
    </w:p>
    <w:p>
      <w:pPr>
        <w:pStyle w:val="BodyText"/>
        <w:spacing w:line="508" w:lineRule="auto" w:before="63"/>
        <w:ind w:right="2652"/>
        <w:jc w:val="left"/>
      </w:pPr>
      <w:r>
        <w:rPr>
          <w:rFonts w:ascii="Times New Roman" w:hAnsi="Times New Roman" w:cs="Times New Roman" w:eastAsia="Times New Roman" w:hint="default"/>
        </w:rPr>
        <w:t>20,420.00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3,000.00</w:t>
      </w:r>
      <w:r>
        <w:rPr/>
        <w:t>万元）。 期末，本公司持有的金融负债按未折现剩余合同现金流量的到期期限分析如下（单位：人民币万元）：</w:t>
      </w:r>
    </w:p>
    <w:p>
      <w:pPr>
        <w:spacing w:line="240" w:lineRule="auto" w:before="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398"/>
        <w:gridCol w:w="2233"/>
        <w:gridCol w:w="973"/>
        <w:gridCol w:w="1425"/>
        <w:gridCol w:w="1509"/>
      </w:tblGrid>
      <w:tr>
        <w:trPr>
          <w:trHeight w:val="349" w:hRule="exact"/>
        </w:trPr>
        <w:tc>
          <w:tcPr>
            <w:tcW w:w="239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3" w:type="dxa"/>
            <w:tcBorders>
              <w:top w:val="single" w:sz="6" w:space="0" w:color="000000"/>
              <w:left w:val="nil" w:sz="6" w:space="0" w:color="auto"/>
              <w:bottom w:val="single" w:sz="8" w:space="0" w:color="000000"/>
              <w:right w:val="nil" w:sz="6" w:space="0" w:color="auto"/>
            </w:tcBorders>
          </w:tcPr>
          <w:p>
            <w:pPr/>
          </w:p>
        </w:tc>
        <w:tc>
          <w:tcPr>
            <w:tcW w:w="2398" w:type="dxa"/>
            <w:gridSpan w:val="2"/>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56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09"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2398" w:type="dxa"/>
            <w:tcBorders>
              <w:top w:val="nil" w:sz="6" w:space="0" w:color="auto"/>
              <w:left w:val="nil" w:sz="6" w:space="0" w:color="auto"/>
              <w:bottom w:val="single" w:sz="8" w:space="0" w:color="000000"/>
              <w:right w:val="nil" w:sz="6" w:space="0" w:color="auto"/>
            </w:tcBorders>
          </w:tcPr>
          <w:p>
            <w:pP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53"/>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
              <w:jc w:val="right"/>
              <w:rPr>
                <w:rFonts w:ascii="宋体" w:hAnsi="宋体" w:cs="宋体" w:eastAsia="宋体" w:hint="default"/>
                <w:sz w:val="18"/>
                <w:szCs w:val="18"/>
              </w:rPr>
            </w:pPr>
            <w:r>
              <w:rPr>
                <w:rFonts w:ascii="宋体" w:hAnsi="宋体" w:cs="宋体" w:eastAsia="宋体" w:hint="default"/>
                <w:b/>
                <w:bCs/>
                <w:w w:val="95"/>
                <w:sz w:val="18"/>
                <w:szCs w:val="18"/>
              </w:rPr>
              <w:t>一年至三年</w:t>
            </w:r>
            <w:r>
              <w:rPr>
                <w:rFonts w:ascii="宋体" w:hAnsi="宋体" w:cs="宋体" w:eastAsia="宋体" w:hint="default"/>
                <w:sz w:val="18"/>
                <w:szCs w:val="18"/>
              </w:rPr>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686"/>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2"/>
              <w:jc w:val="right"/>
              <w:rPr>
                <w:rFonts w:ascii="Times New Roman" w:hAnsi="Times New Roman" w:cs="Times New Roman" w:eastAsia="Times New Roman" w:hint="default"/>
                <w:sz w:val="18"/>
                <w:szCs w:val="18"/>
              </w:rPr>
            </w:pPr>
            <w:r>
              <w:rPr>
                <w:rFonts w:ascii="Times New Roman"/>
                <w:sz w:val="18"/>
              </w:rPr>
              <w:t>31,580.00</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z w:val="18"/>
              </w:rPr>
              <w:t>--</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z w:val="18"/>
              </w:rPr>
              <w:t>31,580.00</w:t>
            </w:r>
          </w:p>
        </w:tc>
      </w:tr>
      <w:tr>
        <w:trPr>
          <w:trHeight w:val="348"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2"/>
              <w:jc w:val="right"/>
              <w:rPr>
                <w:rFonts w:ascii="Times New Roman" w:hAnsi="Times New Roman" w:cs="Times New Roman" w:eastAsia="Times New Roman" w:hint="default"/>
                <w:sz w:val="18"/>
                <w:szCs w:val="18"/>
              </w:rPr>
            </w:pPr>
            <w:r>
              <w:rPr>
                <w:rFonts w:ascii="Times New Roman"/>
                <w:sz w:val="18"/>
              </w:rPr>
              <w:t>54,421.97</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z w:val="18"/>
              </w:rPr>
              <w:t>--</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z w:val="18"/>
              </w:rPr>
              <w:t>54,421.97</w:t>
            </w:r>
          </w:p>
        </w:tc>
      </w:tr>
      <w:tr>
        <w:trPr>
          <w:trHeight w:val="347"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52"/>
              <w:jc w:val="right"/>
              <w:rPr>
                <w:rFonts w:ascii="Times New Roman" w:hAnsi="Times New Roman" w:cs="Times New Roman" w:eastAsia="Times New Roman" w:hint="default"/>
                <w:sz w:val="18"/>
                <w:szCs w:val="18"/>
              </w:rPr>
            </w:pPr>
            <w:r>
              <w:rPr>
                <w:rFonts w:ascii="Times New Roman"/>
                <w:sz w:val="18"/>
              </w:rPr>
              <w:t>22,387.27</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2"/>
              <w:jc w:val="right"/>
              <w:rPr>
                <w:rFonts w:ascii="Times New Roman" w:hAnsi="Times New Roman" w:cs="Times New Roman" w:eastAsia="Times New Roman" w:hint="default"/>
                <w:sz w:val="18"/>
                <w:szCs w:val="18"/>
              </w:rPr>
            </w:pPr>
            <w:r>
              <w:rPr>
                <w:rFonts w:ascii="Times New Roman"/>
                <w:sz w:val="18"/>
              </w:rPr>
              <w:t>--</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z w:val="18"/>
              </w:rPr>
              <w:t>22,387.27</w:t>
            </w:r>
          </w:p>
        </w:tc>
      </w:tr>
      <w:tr>
        <w:trPr>
          <w:trHeight w:val="347"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2"/>
              <w:jc w:val="right"/>
              <w:rPr>
                <w:rFonts w:ascii="Times New Roman" w:hAnsi="Times New Roman" w:cs="Times New Roman" w:eastAsia="Times New Roman" w:hint="default"/>
                <w:sz w:val="18"/>
                <w:szCs w:val="18"/>
              </w:rPr>
            </w:pPr>
            <w:r>
              <w:rPr>
                <w:rFonts w:ascii="Times New Roman"/>
                <w:sz w:val="18"/>
              </w:rPr>
              <w:t>31,443.80</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z w:val="18"/>
              </w:rPr>
              <w:t>--</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z w:val="18"/>
              </w:rPr>
              <w:t>31,443.80</w:t>
            </w:r>
          </w:p>
        </w:tc>
      </w:tr>
      <w:tr>
        <w:trPr>
          <w:trHeight w:val="347"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2"/>
              <w:jc w:val="right"/>
              <w:rPr>
                <w:rFonts w:ascii="Times New Roman" w:hAnsi="Times New Roman" w:cs="Times New Roman" w:eastAsia="Times New Roman" w:hint="default"/>
                <w:sz w:val="18"/>
                <w:szCs w:val="18"/>
              </w:rPr>
            </w:pPr>
            <w:r>
              <w:rPr>
                <w:rFonts w:ascii="Times New Roman"/>
                <w:sz w:val="18"/>
              </w:rPr>
              <w:t>1,622.98</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z w:val="18"/>
              </w:rPr>
              <w:t>--</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z w:val="18"/>
              </w:rPr>
              <w:t>1,622.98</w:t>
            </w:r>
          </w:p>
        </w:tc>
      </w:tr>
      <w:tr>
        <w:trPr>
          <w:trHeight w:val="347"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3"/>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
              <w:jc w:val="right"/>
              <w:rPr>
                <w:rFonts w:ascii="Times New Roman" w:hAnsi="Times New Roman" w:cs="Times New Roman" w:eastAsia="Times New Roman" w:hint="default"/>
                <w:sz w:val="18"/>
                <w:szCs w:val="18"/>
              </w:rPr>
            </w:pPr>
            <w:r>
              <w:rPr>
                <w:rFonts w:ascii="Times New Roman"/>
                <w:sz w:val="18"/>
              </w:rPr>
              <w:t>18.18</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
              <w:jc w:val="right"/>
              <w:rPr>
                <w:rFonts w:ascii="Times New Roman" w:hAnsi="Times New Roman" w:cs="Times New Roman" w:eastAsia="Times New Roman" w:hint="default"/>
                <w:sz w:val="18"/>
                <w:szCs w:val="18"/>
              </w:rPr>
            </w:pPr>
            <w:r>
              <w:rPr>
                <w:rFonts w:ascii="Times New Roman"/>
                <w:sz w:val="18"/>
              </w:rPr>
              <w:t>18.18</w:t>
            </w:r>
          </w:p>
        </w:tc>
      </w:tr>
      <w:tr>
        <w:trPr>
          <w:trHeight w:val="347"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3"/>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
              <w:jc w:val="right"/>
              <w:rPr>
                <w:rFonts w:ascii="Times New Roman" w:hAnsi="Times New Roman" w:cs="Times New Roman" w:eastAsia="Times New Roman" w:hint="default"/>
                <w:sz w:val="18"/>
                <w:szCs w:val="18"/>
              </w:rPr>
            </w:pPr>
            <w:r>
              <w:rPr>
                <w:rFonts w:ascii="Times New Roman"/>
                <w:sz w:val="18"/>
              </w:rPr>
              <w:t>2.65</w:t>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86"/>
              <w:jc w:val="right"/>
              <w:rPr>
                <w:rFonts w:ascii="Times New Roman" w:hAnsi="Times New Roman" w:cs="Times New Roman" w:eastAsia="Times New Roman" w:hint="default"/>
                <w:sz w:val="18"/>
                <w:szCs w:val="18"/>
              </w:rPr>
            </w:pPr>
            <w:r>
              <w:rPr>
                <w:rFonts w:ascii="Times New Roman"/>
                <w:sz w:val="18"/>
              </w:rPr>
              <w:t>--</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7"/>
              <w:jc w:val="right"/>
              <w:rPr>
                <w:rFonts w:ascii="Times New Roman" w:hAnsi="Times New Roman" w:cs="Times New Roman" w:eastAsia="Times New Roman" w:hint="default"/>
                <w:sz w:val="18"/>
                <w:szCs w:val="18"/>
              </w:rPr>
            </w:pPr>
            <w:r>
              <w:rPr>
                <w:rFonts w:ascii="Times New Roman"/>
                <w:sz w:val="18"/>
              </w:rPr>
              <w:t>2.65</w:t>
            </w:r>
          </w:p>
        </w:tc>
      </w:tr>
      <w:tr>
        <w:trPr>
          <w:trHeight w:val="348" w:hRule="exact"/>
        </w:trPr>
        <w:tc>
          <w:tcPr>
            <w:tcW w:w="239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223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52"/>
              <w:jc w:val="right"/>
              <w:rPr>
                <w:rFonts w:ascii="Times New Roman" w:hAnsi="Times New Roman" w:cs="Times New Roman" w:eastAsia="Times New Roman" w:hint="default"/>
                <w:sz w:val="18"/>
                <w:szCs w:val="18"/>
              </w:rPr>
            </w:pPr>
            <w:r>
              <w:rPr>
                <w:rFonts w:ascii="Times New Roman"/>
                <w:b/>
                <w:sz w:val="18"/>
              </w:rPr>
              <w:t>141,456.02</w:t>
            </w:r>
            <w:r>
              <w:rPr>
                <w:rFonts w:ascii="Times New Roman"/>
                <w:sz w:val="18"/>
              </w:rPr>
            </w:r>
          </w:p>
        </w:tc>
        <w:tc>
          <w:tcPr>
            <w:tcW w:w="97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1"/>
              <w:jc w:val="right"/>
              <w:rPr>
                <w:rFonts w:ascii="Times New Roman" w:hAnsi="Times New Roman" w:cs="Times New Roman" w:eastAsia="Times New Roman" w:hint="default"/>
                <w:sz w:val="18"/>
                <w:szCs w:val="18"/>
              </w:rPr>
            </w:pPr>
            <w:r>
              <w:rPr>
                <w:rFonts w:ascii="Times New Roman"/>
                <w:b/>
                <w:sz w:val="18"/>
              </w:rPr>
              <w:t>20.83</w:t>
            </w:r>
            <w:r>
              <w:rPr>
                <w:rFonts w:ascii="Times New Roman"/>
                <w:sz w:val="18"/>
              </w:rPr>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68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b/>
                <w:sz w:val="18"/>
              </w:rPr>
              <w:t>141,476.85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right="0"/>
        <w:jc w:val="left"/>
      </w:pPr>
      <w:r>
        <w:rPr/>
        <w:t>期初，本公司持有的金融负债按未折现剩余合同现金流量的到期期限分析如下（单位：人民币万元）：</w:t>
      </w:r>
    </w:p>
    <w:p>
      <w:pPr>
        <w:spacing w:line="240" w:lineRule="auto" w:before="7"/>
        <w:rPr>
          <w:rFonts w:ascii="宋体" w:hAnsi="宋体" w:cs="宋体" w:eastAsia="宋体"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2960"/>
        <w:gridCol w:w="1734"/>
        <w:gridCol w:w="1510"/>
        <w:gridCol w:w="1258"/>
        <w:gridCol w:w="1077"/>
      </w:tblGrid>
      <w:tr>
        <w:trPr>
          <w:trHeight w:val="349" w:hRule="exact"/>
        </w:trPr>
        <w:tc>
          <w:tcPr>
            <w:tcW w:w="296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4" w:type="dxa"/>
            <w:tcBorders>
              <w:top w:val="single" w:sz="6" w:space="0" w:color="000000"/>
              <w:left w:val="nil" w:sz="6" w:space="0" w:color="auto"/>
              <w:bottom w:val="single" w:sz="8" w:space="0" w:color="000000"/>
              <w:right w:val="nil" w:sz="6" w:space="0" w:color="auto"/>
            </w:tcBorders>
          </w:tcPr>
          <w:p>
            <w:pPr/>
          </w:p>
        </w:tc>
        <w:tc>
          <w:tcPr>
            <w:tcW w:w="151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181"/>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258" w:type="dxa"/>
            <w:tcBorders>
              <w:top w:val="single" w:sz="6" w:space="0" w:color="000000"/>
              <w:left w:val="nil" w:sz="6" w:space="0" w:color="auto"/>
              <w:bottom w:val="single" w:sz="8" w:space="0" w:color="000000"/>
              <w:right w:val="nil" w:sz="6" w:space="0" w:color="auto"/>
            </w:tcBorders>
          </w:tcPr>
          <w:p>
            <w:pPr/>
          </w:p>
        </w:tc>
        <w:tc>
          <w:tcPr>
            <w:tcW w:w="1077" w:type="dxa"/>
            <w:tcBorders>
              <w:top w:val="single" w:sz="6" w:space="0" w:color="000000"/>
              <w:left w:val="nil" w:sz="6" w:space="0" w:color="auto"/>
              <w:bottom w:val="single" w:sz="8" w:space="0" w:color="000000"/>
              <w:right w:val="nil" w:sz="6" w:space="0" w:color="auto"/>
            </w:tcBorders>
          </w:tcPr>
          <w:p>
            <w:pPr/>
          </w:p>
        </w:tc>
      </w:tr>
      <w:tr>
        <w:trPr>
          <w:trHeight w:val="348" w:hRule="exact"/>
        </w:trPr>
        <w:tc>
          <w:tcPr>
            <w:tcW w:w="2960" w:type="dxa"/>
            <w:tcBorders>
              <w:top w:val="nil" w:sz="6" w:space="0" w:color="auto"/>
              <w:left w:val="nil" w:sz="6" w:space="0" w:color="auto"/>
              <w:bottom w:val="single" w:sz="8" w:space="0" w:color="000000"/>
              <w:right w:val="nil" w:sz="6" w:space="0" w:color="auto"/>
            </w:tcBorders>
          </w:tcPr>
          <w:p>
            <w:pP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327"/>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327" w:right="0"/>
              <w:jc w:val="left"/>
              <w:rPr>
                <w:rFonts w:ascii="宋体" w:hAnsi="宋体" w:cs="宋体" w:eastAsia="宋体" w:hint="default"/>
                <w:sz w:val="18"/>
                <w:szCs w:val="18"/>
              </w:rPr>
            </w:pPr>
            <w:r>
              <w:rPr>
                <w:rFonts w:ascii="宋体" w:hAnsi="宋体" w:cs="宋体" w:eastAsia="宋体" w:hint="default"/>
                <w:b/>
                <w:bCs/>
                <w:sz w:val="18"/>
                <w:szCs w:val="18"/>
              </w:rPr>
              <w:t>一年至三年</w:t>
            </w:r>
            <w:r>
              <w:rPr>
                <w:rFonts w:ascii="宋体" w:hAnsi="宋体" w:cs="宋体" w:eastAsia="宋体" w:hint="default"/>
                <w:sz w:val="18"/>
                <w:szCs w:val="18"/>
              </w:rPr>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256"/>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326"/>
              <w:jc w:val="right"/>
              <w:rPr>
                <w:rFonts w:ascii="Times New Roman" w:hAnsi="Times New Roman" w:cs="Times New Roman" w:eastAsia="Times New Roman" w:hint="default"/>
                <w:sz w:val="18"/>
                <w:szCs w:val="18"/>
              </w:rPr>
            </w:pPr>
            <w:r>
              <w:rPr>
                <w:rFonts w:ascii="Times New Roman"/>
                <w:sz w:val="18"/>
              </w:rPr>
              <w:t>10,000.00</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76"/>
              <w:jc w:val="right"/>
              <w:rPr>
                <w:rFonts w:ascii="Times New Roman" w:hAnsi="Times New Roman" w:cs="Times New Roman" w:eastAsia="Times New Roman" w:hint="default"/>
                <w:sz w:val="18"/>
                <w:szCs w:val="18"/>
              </w:rPr>
            </w:pPr>
            <w:r>
              <w:rPr>
                <w:rFonts w:ascii="Times New Roman"/>
                <w:sz w:val="18"/>
              </w:rPr>
              <w:t>--</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
              <w:jc w:val="right"/>
              <w:rPr>
                <w:rFonts w:ascii="Times New Roman" w:hAnsi="Times New Roman" w:cs="Times New Roman" w:eastAsia="Times New Roman" w:hint="default"/>
                <w:sz w:val="18"/>
                <w:szCs w:val="18"/>
              </w:rPr>
            </w:pPr>
            <w:r>
              <w:rPr>
                <w:rFonts w:ascii="Times New Roman"/>
                <w:sz w:val="18"/>
              </w:rPr>
              <w:t>10,000.00</w:t>
            </w:r>
          </w:p>
        </w:tc>
      </w:tr>
      <w:tr>
        <w:trPr>
          <w:trHeight w:val="347"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26"/>
              <w:jc w:val="right"/>
              <w:rPr>
                <w:rFonts w:ascii="Times New Roman" w:hAnsi="Times New Roman" w:cs="Times New Roman" w:eastAsia="Times New Roman" w:hint="default"/>
                <w:sz w:val="18"/>
                <w:szCs w:val="18"/>
              </w:rPr>
            </w:pPr>
            <w:r>
              <w:rPr>
                <w:rFonts w:ascii="Times New Roman"/>
                <w:sz w:val="18"/>
              </w:rPr>
              <w:t>51,046.30</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76"/>
              <w:jc w:val="right"/>
              <w:rPr>
                <w:rFonts w:ascii="Times New Roman" w:hAnsi="Times New Roman" w:cs="Times New Roman" w:eastAsia="Times New Roman" w:hint="default"/>
                <w:sz w:val="18"/>
                <w:szCs w:val="18"/>
              </w:rPr>
            </w:pPr>
            <w:r>
              <w:rPr>
                <w:rFonts w:ascii="Times New Roman"/>
                <w:sz w:val="18"/>
              </w:rPr>
              <w:t>--</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51,046.30</w:t>
            </w:r>
          </w:p>
        </w:tc>
      </w:tr>
      <w:tr>
        <w:trPr>
          <w:trHeight w:val="347"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26"/>
              <w:jc w:val="right"/>
              <w:rPr>
                <w:rFonts w:ascii="Times New Roman" w:hAnsi="Times New Roman" w:cs="Times New Roman" w:eastAsia="Times New Roman" w:hint="default"/>
                <w:sz w:val="18"/>
                <w:szCs w:val="18"/>
              </w:rPr>
            </w:pPr>
            <w:r>
              <w:rPr>
                <w:rFonts w:ascii="Times New Roman"/>
                <w:sz w:val="18"/>
              </w:rPr>
              <w:t>27,116.32</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75"/>
              <w:jc w:val="right"/>
              <w:rPr>
                <w:rFonts w:ascii="Times New Roman" w:hAnsi="Times New Roman" w:cs="Times New Roman" w:eastAsia="Times New Roman" w:hint="default"/>
                <w:sz w:val="18"/>
                <w:szCs w:val="18"/>
              </w:rPr>
            </w:pPr>
            <w:r>
              <w:rPr>
                <w:rFonts w:ascii="Times New Roman"/>
                <w:sz w:val="18"/>
              </w:rPr>
              <w:t>0.98</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27,117.30</w:t>
            </w:r>
          </w:p>
        </w:tc>
      </w:tr>
      <w:tr>
        <w:trPr>
          <w:trHeight w:val="347"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26"/>
              <w:jc w:val="right"/>
              <w:rPr>
                <w:rFonts w:ascii="Times New Roman" w:hAnsi="Times New Roman" w:cs="Times New Roman" w:eastAsia="Times New Roman" w:hint="default"/>
                <w:sz w:val="18"/>
                <w:szCs w:val="18"/>
              </w:rPr>
            </w:pPr>
            <w:r>
              <w:rPr>
                <w:rFonts w:ascii="Times New Roman"/>
                <w:sz w:val="18"/>
              </w:rPr>
              <w:t>25,480.28</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76"/>
              <w:jc w:val="right"/>
              <w:rPr>
                <w:rFonts w:ascii="Times New Roman" w:hAnsi="Times New Roman" w:cs="Times New Roman" w:eastAsia="Times New Roman" w:hint="default"/>
                <w:sz w:val="18"/>
                <w:szCs w:val="18"/>
              </w:rPr>
            </w:pPr>
            <w:r>
              <w:rPr>
                <w:rFonts w:ascii="Times New Roman"/>
                <w:sz w:val="18"/>
              </w:rPr>
              <w:t>--</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25,480.28</w:t>
            </w:r>
          </w:p>
        </w:tc>
      </w:tr>
      <w:tr>
        <w:trPr>
          <w:trHeight w:val="348"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26"/>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01" w:right="0"/>
              <w:jc w:val="left"/>
              <w:rPr>
                <w:rFonts w:ascii="Times New Roman" w:hAnsi="Times New Roman" w:cs="Times New Roman" w:eastAsia="Times New Roman" w:hint="default"/>
                <w:sz w:val="18"/>
                <w:szCs w:val="18"/>
              </w:rPr>
            </w:pPr>
            <w:r>
              <w:rPr>
                <w:rFonts w:ascii="Times New Roman"/>
                <w:sz w:val="18"/>
              </w:rPr>
              <w:t>9,837.66</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9,837.66</w:t>
            </w:r>
          </w:p>
        </w:tc>
      </w:tr>
      <w:tr>
        <w:trPr>
          <w:trHeight w:val="347"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326"/>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511" w:right="0"/>
              <w:jc w:val="left"/>
              <w:rPr>
                <w:rFonts w:ascii="Times New Roman" w:hAnsi="Times New Roman" w:cs="Times New Roman" w:eastAsia="Times New Roman" w:hint="default"/>
                <w:sz w:val="18"/>
                <w:szCs w:val="18"/>
              </w:rPr>
            </w:pPr>
            <w:r>
              <w:rPr>
                <w:rFonts w:ascii="Times New Roman"/>
                <w:sz w:val="18"/>
              </w:rPr>
              <w:t>29,919.17</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
              <w:jc w:val="right"/>
              <w:rPr>
                <w:rFonts w:ascii="Times New Roman" w:hAnsi="Times New Roman" w:cs="Times New Roman" w:eastAsia="Times New Roman" w:hint="default"/>
                <w:sz w:val="18"/>
                <w:szCs w:val="18"/>
              </w:rPr>
            </w:pPr>
            <w:r>
              <w:rPr>
                <w:rFonts w:ascii="Times New Roman"/>
                <w:sz w:val="18"/>
              </w:rPr>
              <w:t>29,919.17</w:t>
            </w:r>
          </w:p>
        </w:tc>
      </w:tr>
      <w:tr>
        <w:trPr>
          <w:trHeight w:val="347"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325"/>
              <w:jc w:val="right"/>
              <w:rPr>
                <w:rFonts w:ascii="Times New Roman" w:hAnsi="Times New Roman" w:cs="Times New Roman" w:eastAsia="Times New Roman" w:hint="default"/>
                <w:sz w:val="18"/>
                <w:szCs w:val="18"/>
              </w:rPr>
            </w:pPr>
            <w:r>
              <w:rPr>
                <w:rFonts w:ascii="Times New Roman"/>
                <w:sz w:val="18"/>
              </w:rPr>
              <w:t>5.07</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76"/>
              <w:jc w:val="right"/>
              <w:rPr>
                <w:rFonts w:ascii="Times New Roman" w:hAnsi="Times New Roman" w:cs="Times New Roman" w:eastAsia="Times New Roman" w:hint="default"/>
                <w:sz w:val="18"/>
                <w:szCs w:val="18"/>
              </w:rPr>
            </w:pPr>
            <w:r>
              <w:rPr>
                <w:rFonts w:ascii="Times New Roman"/>
                <w:sz w:val="18"/>
              </w:rPr>
              <w:t>--</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255"/>
              <w:jc w:val="righ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5.07</w:t>
            </w:r>
          </w:p>
        </w:tc>
      </w:tr>
      <w:tr>
        <w:trPr>
          <w:trHeight w:val="348" w:hRule="exact"/>
        </w:trPr>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326"/>
              <w:jc w:val="right"/>
              <w:rPr>
                <w:rFonts w:ascii="Times New Roman" w:hAnsi="Times New Roman" w:cs="Times New Roman" w:eastAsia="Times New Roman" w:hint="default"/>
                <w:sz w:val="18"/>
                <w:szCs w:val="18"/>
              </w:rPr>
            </w:pPr>
            <w:r>
              <w:rPr>
                <w:rFonts w:ascii="Times New Roman"/>
                <w:b/>
                <w:sz w:val="18"/>
              </w:rPr>
              <w:t>113,647.97</w:t>
            </w:r>
            <w:r>
              <w:rPr>
                <w:rFonts w:ascii="Times New Roman"/>
                <w:sz w:val="18"/>
              </w:rPr>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511" w:right="0"/>
              <w:jc w:val="left"/>
              <w:rPr>
                <w:rFonts w:ascii="Times New Roman" w:hAnsi="Times New Roman" w:cs="Times New Roman" w:eastAsia="Times New Roman" w:hint="default"/>
                <w:sz w:val="18"/>
                <w:szCs w:val="18"/>
              </w:rPr>
            </w:pPr>
            <w:r>
              <w:rPr>
                <w:rFonts w:ascii="Times New Roman"/>
                <w:b/>
                <w:sz w:val="18"/>
              </w:rPr>
              <w:t>39,757.81</w:t>
            </w:r>
            <w:r>
              <w:rPr>
                <w:rFonts w:ascii="Times New Roman"/>
                <w:sz w:val="18"/>
              </w:rPr>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5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b/>
                <w:sz w:val="18"/>
              </w:rPr>
              <w:t>153,405.78</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w:t>
      </w:r>
      <w:r>
        <w:rPr>
          <w:rFonts w:ascii="Times New Roman" w:hAnsi="Times New Roman" w:cs="Times New Roman" w:eastAsia="Times New Roman" w:hint="default"/>
        </w:rPr>
        <w:t>3</w:t>
      </w:r>
      <w:r>
        <w:rPr/>
        <w:t>）市场风险</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spacing w:line="240" w:lineRule="auto" w:before="12"/>
        <w:rPr>
          <w:rFonts w:ascii="宋体" w:hAnsi="宋体" w:cs="宋体" w:eastAsia="宋体" w:hint="default"/>
          <w:sz w:val="17"/>
          <w:szCs w:val="17"/>
        </w:rPr>
      </w:pPr>
    </w:p>
    <w:p>
      <w:pPr>
        <w:pStyle w:val="BodyText"/>
        <w:spacing w:line="240" w:lineRule="auto"/>
        <w:ind w:right="0"/>
        <w:jc w:val="left"/>
      </w:pPr>
      <w:r>
        <w:rPr/>
        <w:t>利率风险</w:t>
      </w:r>
    </w:p>
    <w:p>
      <w:pPr>
        <w:spacing w:line="240" w:lineRule="auto" w:before="5"/>
        <w:rPr>
          <w:rFonts w:ascii="宋体" w:hAnsi="宋体" w:cs="宋体" w:eastAsia="宋体" w:hint="default"/>
          <w:sz w:val="22"/>
          <w:szCs w:val="22"/>
        </w:rPr>
      </w:pPr>
    </w:p>
    <w:p>
      <w:pPr>
        <w:pStyle w:val="BodyText"/>
        <w:spacing w:line="316" w:lineRule="auto"/>
        <w:ind w:right="0"/>
        <w:jc w:val="left"/>
      </w:pP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工具和未确认的金融工具（如某些贷款承诺）。</w:t>
      </w:r>
    </w:p>
    <w:p>
      <w:pPr>
        <w:spacing w:line="240" w:lineRule="auto" w:before="12"/>
        <w:rPr>
          <w:rFonts w:ascii="宋体" w:hAnsi="宋体" w:cs="宋体" w:eastAsia="宋体" w:hint="default"/>
          <w:sz w:val="17"/>
          <w:szCs w:val="17"/>
        </w:rPr>
      </w:pPr>
    </w:p>
    <w:p>
      <w:pPr>
        <w:pStyle w:val="BodyText"/>
        <w:spacing w:line="316" w:lineRule="auto"/>
        <w:ind w:right="0"/>
        <w:jc w:val="left"/>
      </w:pPr>
      <w:r>
        <w:rPr/>
        <w:t>本公司的利率风险主要产生于银行借款及长期应付款等长期带息债务。浮动利率的金融负债使本公司面临现金流量利率风</w:t>
      </w:r>
      <w:r>
        <w:rPr>
          <w:spacing w:val="-4"/>
        </w:rPr>
        <w:t> </w:t>
      </w:r>
      <w:r>
        <w:rPr>
          <w:spacing w:val="-4"/>
        </w:rPr>
      </w:r>
      <w:r>
        <w:rPr/>
        <w:t>险，固定利率的金融负债使本公司面临公允价值利率风险。</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本公司密切关注利率变动对本公司利率风险的影响。本公司目前并未采取利率对冲政策。但管理层负责监控利率风险，并将</w:t>
      </w:r>
      <w:r>
        <w:rPr>
          <w:spacing w:val="-66"/>
        </w:rPr>
        <w:t> </w:t>
      </w:r>
      <w:r>
        <w:rPr>
          <w:spacing w:val="-66"/>
        </w:rPr>
      </w:r>
      <w:r>
        <w:rPr/>
        <w:t>于需要时考虑对冲重大利率风险。由于定期存款为短期存款，故银行存款的公允价值利率风险并不重大。</w:t>
      </w:r>
    </w:p>
    <w:p>
      <w:pPr>
        <w:spacing w:line="240" w:lineRule="auto" w:before="12"/>
        <w:rPr>
          <w:rFonts w:ascii="宋体" w:hAnsi="宋体" w:cs="宋体" w:eastAsia="宋体" w:hint="default"/>
          <w:sz w:val="17"/>
          <w:szCs w:val="17"/>
        </w:rPr>
      </w:pPr>
    </w:p>
    <w:p>
      <w:pPr>
        <w:pStyle w:val="BodyText"/>
        <w:spacing w:line="240" w:lineRule="auto"/>
        <w:ind w:right="0"/>
        <w:jc w:val="left"/>
      </w:pPr>
      <w:r>
        <w:rPr/>
        <w:t>本公司持有的计息金融工具如下（单位：人民币万元）：</w:t>
      </w:r>
    </w:p>
    <w:p>
      <w:pPr>
        <w:spacing w:line="240" w:lineRule="auto" w:before="7"/>
        <w:rPr>
          <w:rFonts w:ascii="宋体" w:hAnsi="宋体" w:cs="宋体" w:eastAsia="宋体"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3338"/>
        <w:gridCol w:w="3130"/>
        <w:gridCol w:w="1910"/>
      </w:tblGrid>
      <w:tr>
        <w:trPr>
          <w:trHeight w:val="349" w:hRule="exact"/>
        </w:trPr>
        <w:tc>
          <w:tcPr>
            <w:tcW w:w="3338"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3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982"/>
              <w:jc w:val="right"/>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1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113"/>
              <w:jc w:val="right"/>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3130" w:type="dxa"/>
            <w:tcBorders>
              <w:top w:val="single" w:sz="8" w:space="0" w:color="000000"/>
              <w:left w:val="nil" w:sz="6" w:space="0" w:color="auto"/>
              <w:bottom w:val="single" w:sz="8" w:space="0" w:color="000000"/>
              <w:right w:val="nil" w:sz="6" w:space="0" w:color="auto"/>
            </w:tcBorders>
          </w:tcPr>
          <w:p>
            <w:pPr/>
          </w:p>
        </w:tc>
        <w:tc>
          <w:tcPr>
            <w:tcW w:w="19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123,939.52</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78,274.06</w:t>
            </w:r>
          </w:p>
        </w:tc>
      </w:tr>
      <w:tr>
        <w:trPr>
          <w:trHeight w:val="348"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106,739.49</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72,103.47</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983"/>
              <w:jc w:val="right"/>
              <w:rPr>
                <w:rFonts w:ascii="Times New Roman" w:hAnsi="Times New Roman" w:cs="Times New Roman" w:eastAsia="Times New Roman" w:hint="default"/>
                <w:sz w:val="18"/>
                <w:szCs w:val="18"/>
              </w:rPr>
            </w:pPr>
            <w:r>
              <w:rPr>
                <w:rFonts w:ascii="Times New Roman"/>
                <w:sz w:val="18"/>
              </w:rPr>
              <w:t>17,134.16</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12"/>
              <w:jc w:val="right"/>
              <w:rPr>
                <w:rFonts w:ascii="Times New Roman" w:hAnsi="Times New Roman" w:cs="Times New Roman" w:eastAsia="Times New Roman" w:hint="default"/>
                <w:sz w:val="18"/>
                <w:szCs w:val="18"/>
              </w:rPr>
            </w:pPr>
            <w:r>
              <w:rPr>
                <w:rFonts w:ascii="Times New Roman"/>
                <w:sz w:val="18"/>
              </w:rPr>
              <w:t>6,170.59</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65.87</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3"/>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31,619.01</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13,323.32</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31,580.00</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10,000.00</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18.18</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19.86</w:t>
            </w:r>
          </w:p>
        </w:tc>
      </w:tr>
      <w:tr>
        <w:trPr>
          <w:trHeight w:val="348"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2.65</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3"/>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983"/>
              <w:jc w:val="right"/>
              <w:rPr>
                <w:rFonts w:ascii="Times New Roman" w:hAnsi="Times New Roman" w:cs="Times New Roman" w:eastAsia="Times New Roman" w:hint="default"/>
                <w:sz w:val="18"/>
                <w:szCs w:val="18"/>
              </w:rPr>
            </w:pPr>
            <w:r>
              <w:rPr>
                <w:rFonts w:ascii="Times New Roman"/>
                <w:sz w:val="18"/>
              </w:rPr>
              <w:t>18.18</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12"/>
              <w:jc w:val="right"/>
              <w:rPr>
                <w:rFonts w:ascii="Times New Roman" w:hAnsi="Times New Roman" w:cs="Times New Roman" w:eastAsia="Times New Roman" w:hint="default"/>
                <w:sz w:val="18"/>
                <w:szCs w:val="18"/>
              </w:rPr>
            </w:pPr>
            <w:r>
              <w:rPr>
                <w:rFonts w:ascii="Times New Roman"/>
                <w:sz w:val="18"/>
              </w:rPr>
              <w:t>36.36</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3,267.10</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983"/>
              <w:jc w:val="right"/>
              <w:rPr>
                <w:rFonts w:ascii="Times New Roman" w:hAnsi="Times New Roman" w:cs="Times New Roman" w:eastAsia="Times New Roman" w:hint="default"/>
                <w:sz w:val="18"/>
                <w:szCs w:val="18"/>
              </w:rPr>
            </w:pPr>
            <w:r>
              <w:rPr>
                <w:rFonts w:ascii="Times New Roman"/>
                <w:b/>
                <w:sz w:val="18"/>
              </w:rPr>
              <w:t>92,320.51</w:t>
            </w:r>
            <w:r>
              <w:rPr>
                <w:rFonts w:ascii="Times New Roman"/>
                <w:sz w:val="18"/>
              </w:rPr>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12"/>
              <w:jc w:val="right"/>
              <w:rPr>
                <w:rFonts w:ascii="Times New Roman" w:hAnsi="Times New Roman" w:cs="Times New Roman" w:eastAsia="Times New Roman" w:hint="default"/>
                <w:sz w:val="18"/>
                <w:szCs w:val="18"/>
              </w:rPr>
            </w:pPr>
            <w:r>
              <w:rPr>
                <w:rFonts w:ascii="Times New Roman"/>
                <w:b/>
                <w:sz w:val="18"/>
              </w:rPr>
              <w:t>64,950.74</w:t>
            </w:r>
            <w:r>
              <w:rPr>
                <w:rFonts w:ascii="Times New Roman"/>
                <w:sz w:val="18"/>
              </w:rPr>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130" w:type="dxa"/>
            <w:tcBorders>
              <w:top w:val="single" w:sz="8" w:space="0" w:color="000000"/>
              <w:left w:val="nil" w:sz="6" w:space="0" w:color="auto"/>
              <w:bottom w:val="single" w:sz="8" w:space="0" w:color="000000"/>
              <w:right w:val="nil" w:sz="6" w:space="0" w:color="auto"/>
            </w:tcBorders>
          </w:tcPr>
          <w:p>
            <w:pPr/>
          </w:p>
        </w:tc>
        <w:tc>
          <w:tcPr>
            <w:tcW w:w="19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3"/>
              <w:jc w:val="right"/>
              <w:rPr>
                <w:rFonts w:ascii="Times New Roman" w:hAnsi="Times New Roman" w:cs="Times New Roman" w:eastAsia="Times New Roman" w:hint="default"/>
                <w:sz w:val="18"/>
                <w:szCs w:val="18"/>
              </w:rPr>
            </w:pPr>
            <w:r>
              <w:rPr>
                <w:rFonts w:ascii="Times New Roman"/>
                <w:sz w:val="18"/>
              </w:rPr>
              <w:t>53,160.93</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118,000.00</w:t>
            </w:r>
          </w:p>
        </w:tc>
      </w:tr>
      <w:tr>
        <w:trPr>
          <w:trHeight w:val="348"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3"/>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983"/>
              <w:jc w:val="right"/>
              <w:rPr>
                <w:rFonts w:ascii="Times New Roman" w:hAnsi="Times New Roman" w:cs="Times New Roman" w:eastAsia="Times New Roman" w:hint="default"/>
                <w:sz w:val="18"/>
                <w:szCs w:val="18"/>
              </w:rPr>
            </w:pPr>
            <w:r>
              <w:rPr>
                <w:rFonts w:ascii="Times New Roman"/>
                <w:sz w:val="18"/>
              </w:rPr>
              <w:t>53,160.93</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12"/>
              <w:jc w:val="right"/>
              <w:rPr>
                <w:rFonts w:ascii="Times New Roman" w:hAnsi="Times New Roman" w:cs="Times New Roman" w:eastAsia="Times New Roman" w:hint="default"/>
                <w:sz w:val="18"/>
                <w:szCs w:val="18"/>
              </w:rPr>
            </w:pPr>
            <w:r>
              <w:rPr>
                <w:rFonts w:ascii="Times New Roman"/>
                <w:sz w:val="18"/>
              </w:rPr>
              <w:t>118,000.00</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9,801.30</w:t>
            </w:r>
          </w:p>
        </w:tc>
      </w:tr>
      <w:tr>
        <w:trPr>
          <w:trHeight w:val="347"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其中：长期借款</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98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12"/>
              <w:jc w:val="right"/>
              <w:rPr>
                <w:rFonts w:ascii="Times New Roman" w:hAnsi="Times New Roman" w:cs="Times New Roman" w:eastAsia="Times New Roman" w:hint="default"/>
                <w:sz w:val="18"/>
                <w:szCs w:val="18"/>
              </w:rPr>
            </w:pPr>
            <w:r>
              <w:rPr>
                <w:rFonts w:ascii="Times New Roman"/>
                <w:sz w:val="18"/>
              </w:rPr>
              <w:t>9,801.30</w:t>
            </w:r>
          </w:p>
        </w:tc>
      </w:tr>
      <w:tr>
        <w:trPr>
          <w:trHeight w:val="348" w:hRule="exact"/>
        </w:trPr>
        <w:tc>
          <w:tcPr>
            <w:tcW w:w="333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983"/>
              <w:jc w:val="right"/>
              <w:rPr>
                <w:rFonts w:ascii="Times New Roman" w:hAnsi="Times New Roman" w:cs="Times New Roman" w:eastAsia="Times New Roman" w:hint="default"/>
                <w:sz w:val="18"/>
                <w:szCs w:val="18"/>
              </w:rPr>
            </w:pPr>
            <w:r>
              <w:rPr>
                <w:rFonts w:ascii="Times New Roman"/>
                <w:b/>
                <w:sz w:val="18"/>
              </w:rPr>
              <w:t>53,160.93</w:t>
            </w:r>
            <w:r>
              <w:rPr>
                <w:rFonts w:ascii="Times New Roman"/>
                <w:sz w:val="18"/>
              </w:rPr>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12"/>
              <w:jc w:val="right"/>
              <w:rPr>
                <w:rFonts w:ascii="Times New Roman" w:hAnsi="Times New Roman" w:cs="Times New Roman" w:eastAsia="Times New Roman" w:hint="default"/>
                <w:sz w:val="18"/>
                <w:szCs w:val="18"/>
              </w:rPr>
            </w:pPr>
            <w:r>
              <w:rPr>
                <w:rFonts w:ascii="Times New Roman"/>
                <w:b/>
                <w:sz w:val="18"/>
              </w:rPr>
              <w:t>108,198.70</w:t>
            </w:r>
            <w:r>
              <w:rPr>
                <w:rFonts w:ascii="Times New Roman"/>
                <w:sz w:val="18"/>
              </w:rPr>
            </w:r>
          </w:p>
        </w:tc>
      </w:tr>
    </w:tbl>
    <w:p>
      <w:pPr>
        <w:spacing w:line="240" w:lineRule="auto" w:before="12"/>
        <w:rPr>
          <w:rFonts w:ascii="宋体" w:hAnsi="宋体" w:cs="宋体" w:eastAsia="宋体" w:hint="default"/>
          <w:sz w:val="13"/>
          <w:szCs w:val="13"/>
        </w:rPr>
      </w:pPr>
    </w:p>
    <w:p>
      <w:pPr>
        <w:pStyle w:val="BodyText"/>
        <w:spacing w:line="300" w:lineRule="auto" w:before="44"/>
        <w:ind w:right="1130"/>
        <w:jc w:val="both"/>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日，如果以浮动利率计算的借款利率上升或下降</w:t>
      </w:r>
      <w:r>
        <w:rPr>
          <w:rFonts w:ascii="Times New Roman" w:hAnsi="Times New Roman" w:cs="Times New Roman" w:eastAsia="Times New Roman" w:hint="default"/>
          <w:spacing w:val="-2"/>
        </w:rPr>
        <w:t>50</w:t>
      </w:r>
      <w:r>
        <w:rPr>
          <w:spacing w:val="-2"/>
        </w:rPr>
        <w:t>个基点，而其它因素保持不变，本公司的净利润及股东权</w:t>
      </w:r>
      <w:r>
        <w:rPr>
          <w:spacing w:val="-56"/>
        </w:rPr>
        <w:t> </w:t>
      </w:r>
      <w:r>
        <w:rPr>
          <w:spacing w:val="-56"/>
        </w:rPr>
      </w:r>
      <w:r>
        <w:rPr/>
        <w:t>益将减少或增加约</w:t>
      </w:r>
      <w:r>
        <w:rPr>
          <w:rFonts w:ascii="Times New Roman" w:hAnsi="Times New Roman" w:cs="Times New Roman" w:eastAsia="Times New Roman" w:hint="default"/>
        </w:rPr>
        <w:t>265.80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540.99</w:t>
      </w:r>
      <w:r>
        <w:rPr/>
        <w:t>万元）。</w:t>
      </w:r>
    </w:p>
    <w:p>
      <w:pPr>
        <w:spacing w:line="240" w:lineRule="auto" w:before="7"/>
        <w:rPr>
          <w:rFonts w:ascii="宋体" w:hAnsi="宋体" w:cs="宋体" w:eastAsia="宋体" w:hint="default"/>
          <w:sz w:val="17"/>
          <w:szCs w:val="17"/>
        </w:rPr>
      </w:pPr>
    </w:p>
    <w:p>
      <w:pPr>
        <w:pStyle w:val="BodyText"/>
        <w:spacing w:line="316" w:lineRule="auto"/>
        <w:ind w:right="1130"/>
        <w:jc w:val="both"/>
      </w:pPr>
      <w:r>
        <w:rPr>
          <w:spacing w:val="-2"/>
        </w:rPr>
        <w:t>对于资产负债表日持有的、使本公司面临公允价值利率风险的金融工具，上述敏感性分析中的净利润及股东权益的影响是假</w:t>
      </w:r>
      <w:r>
        <w:rPr>
          <w:spacing w:val="-63"/>
        </w:rPr>
        <w:t> </w:t>
      </w:r>
      <w:r>
        <w:rPr>
          <w:spacing w:val="-63"/>
        </w:rPr>
      </w:r>
      <w:r>
        <w:rPr>
          <w:spacing w:val="-2"/>
        </w:rPr>
        <w:t>设在资产负债表日利率发生变动，按照新利率对上述金融工具进行重新计量后的影响。对于资产负债表日持有的、使本公司</w:t>
      </w:r>
      <w:r>
        <w:rPr>
          <w:spacing w:val="-66"/>
        </w:rPr>
        <w:t> </w:t>
      </w:r>
      <w:r>
        <w:rPr>
          <w:spacing w:val="-66"/>
        </w:rPr>
      </w:r>
      <w:r>
        <w:rPr>
          <w:spacing w:val="-2"/>
        </w:rPr>
        <w:t>面临现金流量利率风险的浮动利率非衍生工具，上述敏感性分析中的净利润及股东权益的影响是上述利率变动对按年度估算</w:t>
      </w:r>
      <w:r>
        <w:rPr>
          <w:spacing w:val="-64"/>
        </w:rPr>
        <w:t> </w:t>
      </w:r>
      <w:r>
        <w:rPr>
          <w:spacing w:val="-64"/>
        </w:rPr>
      </w:r>
      <w:r>
        <w:rPr/>
        <w:t>的利息费用或收入的影响。上一年度的分析基于同样的假设和方法。</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汇率风险</w:t>
      </w:r>
    </w:p>
    <w:p>
      <w:pPr>
        <w:spacing w:line="240" w:lineRule="auto" w:before="5"/>
        <w:rPr>
          <w:rFonts w:ascii="宋体" w:hAnsi="宋体" w:cs="宋体" w:eastAsia="宋体" w:hint="default"/>
          <w:sz w:val="22"/>
          <w:szCs w:val="22"/>
        </w:rPr>
      </w:pPr>
    </w:p>
    <w:p>
      <w:pPr>
        <w:pStyle w:val="BodyText"/>
        <w:spacing w:line="316" w:lineRule="auto"/>
        <w:ind w:right="0"/>
        <w:jc w:val="left"/>
      </w:pP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w:t>
      </w:r>
    </w:p>
    <w:p>
      <w:pPr>
        <w:spacing w:line="240" w:lineRule="auto" w:before="13"/>
        <w:rPr>
          <w:rFonts w:ascii="宋体" w:hAnsi="宋体" w:cs="宋体" w:eastAsia="宋体" w:hint="default"/>
          <w:sz w:val="17"/>
          <w:szCs w:val="17"/>
        </w:rPr>
      </w:pPr>
    </w:p>
    <w:p>
      <w:pPr>
        <w:pStyle w:val="BodyText"/>
        <w:spacing w:line="309" w:lineRule="auto"/>
        <w:ind w:right="0"/>
        <w:jc w:val="left"/>
      </w:pPr>
      <w:r>
        <w:rPr>
          <w:spacing w:val="-2"/>
        </w:rPr>
        <w:t>汇率风险主要为本公司的财务状况和现金流量受外汇汇率波动的影响。本公司及境内子公司主要业务活动均以人民币计价结</w:t>
      </w:r>
      <w:r>
        <w:rPr>
          <w:spacing w:val="-64"/>
        </w:rPr>
        <w:t> </w:t>
      </w:r>
      <w:r>
        <w:rPr>
          <w:spacing w:val="-64"/>
        </w:rPr>
      </w:r>
      <w:r>
        <w:rPr>
          <w:spacing w:val="-2"/>
        </w:rPr>
        <w:t>算。本公司之境外子公司智度香港公司及其直接投资的公司均采用美元为其记账本位币，相关外币财务报表的折算方法参见</w:t>
      </w:r>
      <w:r>
        <w:rPr>
          <w:spacing w:val="-64"/>
        </w:rPr>
        <w:t> </w:t>
      </w:r>
      <w:r>
        <w:rPr>
          <w:spacing w:val="-64"/>
        </w:rPr>
      </w:r>
      <w:r>
        <w:rPr>
          <w:spacing w:val="-2"/>
        </w:rPr>
        <w:t>附注三、</w:t>
      </w:r>
      <w:r>
        <w:rPr>
          <w:rFonts w:ascii="Times New Roman" w:hAnsi="Times New Roman" w:cs="Times New Roman" w:eastAsia="Times New Roman" w:hint="default"/>
          <w:spacing w:val="-2"/>
        </w:rPr>
        <w:t>9</w:t>
      </w:r>
      <w:r>
        <w:rPr>
          <w:spacing w:val="-2"/>
        </w:rPr>
        <w:t>，境外子公司业务活动绝大部分以记账本位币结算，因而境外子公司不承担重大外汇风险，其持有的较少以英镑、</w:t>
      </w:r>
      <w:r>
        <w:rPr>
          <w:spacing w:val="-63"/>
        </w:rPr>
        <w:t> </w:t>
      </w:r>
      <w:r>
        <w:rPr>
          <w:spacing w:val="-63"/>
        </w:rPr>
      </w:r>
      <w:r>
        <w:rPr/>
        <w:t>欧元、港币为结算货币的资产依然存在汇率风险。本公司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日，境外子公司的资产占总资产比例</w:t>
      </w:r>
      <w:r>
        <w:rPr>
          <w:rFonts w:ascii="Times New Roman" w:hAnsi="Times New Roman" w:cs="Times New Roman" w:eastAsia="Times New Roman" w:hint="default"/>
        </w:rPr>
        <w:t>38.43%</w:t>
      </w:r>
      <w:r>
        <w:rPr>
          <w:rFonts w:ascii="Times New Roman" w:hAnsi="Times New Roman" w:cs="Times New Roman" w:eastAsia="Times New Roman" w:hint="default"/>
          <w:spacing w:val="31"/>
        </w:rPr>
        <w:t> </w:t>
      </w:r>
      <w:r>
        <w:rPr/>
        <w:t>、负债</w:t>
      </w:r>
      <w:r>
        <w:rPr>
          <w:spacing w:val="-86"/>
        </w:rPr>
        <w:t> </w:t>
      </w:r>
      <w:r>
        <w:rPr/>
        <w:t>占总负债比例</w:t>
      </w:r>
      <w:r>
        <w:rPr>
          <w:rFonts w:ascii="Times New Roman" w:hAnsi="Times New Roman" w:cs="Times New Roman" w:eastAsia="Times New Roman" w:hint="default"/>
        </w:rPr>
        <w:t>32.42%</w:t>
      </w:r>
      <w:r>
        <w:rPr/>
        <w:t>、营业收入占总营业收入比例</w:t>
      </w:r>
      <w:r>
        <w:rPr>
          <w:rFonts w:ascii="Times New Roman" w:hAnsi="Times New Roman" w:cs="Times New Roman" w:eastAsia="Times New Roman" w:hint="default"/>
        </w:rPr>
        <w:t>20.97%</w:t>
      </w:r>
      <w:r>
        <w:rPr/>
        <w:t>。</w:t>
      </w:r>
    </w:p>
    <w:p>
      <w:pPr>
        <w:spacing w:line="240" w:lineRule="auto" w:before="11"/>
        <w:rPr>
          <w:rFonts w:ascii="宋体" w:hAnsi="宋体" w:cs="宋体" w:eastAsia="宋体"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4336"/>
        <w:gridCol w:w="2808"/>
        <w:gridCol w:w="1393"/>
      </w:tblGrid>
      <w:tr>
        <w:trPr>
          <w:trHeight w:val="578" w:hRule="exact"/>
        </w:trPr>
        <w:tc>
          <w:tcPr>
            <w:tcW w:w="4336" w:type="dxa"/>
            <w:tcBorders>
              <w:top w:val="nil" w:sz="6" w:space="0" w:color="auto"/>
              <w:left w:val="nil" w:sz="6" w:space="0" w:color="auto"/>
              <w:bottom w:val="single" w:sz="8"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智度投资（香港）有限公司（合并）</w:t>
            </w:r>
            <w:r>
              <w:rPr>
                <w:rFonts w:ascii="宋体" w:hAnsi="宋体" w:cs="宋体" w:eastAsia="宋体" w:hint="default"/>
                <w:sz w:val="18"/>
                <w:szCs w:val="18"/>
              </w:rPr>
            </w:r>
          </w:p>
        </w:tc>
        <w:tc>
          <w:tcPr>
            <w:tcW w:w="2808" w:type="dxa"/>
            <w:tcBorders>
              <w:top w:val="nil" w:sz="6" w:space="0" w:color="auto"/>
              <w:left w:val="nil" w:sz="6" w:space="0" w:color="auto"/>
              <w:bottom w:val="single" w:sz="8" w:space="0" w:color="000000"/>
              <w:right w:val="nil" w:sz="6" w:space="0" w:color="auto"/>
            </w:tcBorders>
          </w:tcPr>
          <w:p>
            <w:pPr>
              <w:pStyle w:val="TableParagraph"/>
              <w:spacing w:line="180" w:lineRule="exact"/>
              <w:ind w:left="1784" w:right="0"/>
              <w:jc w:val="left"/>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p>
            <w:pPr>
              <w:pStyle w:val="TableParagraph"/>
              <w:spacing w:line="240" w:lineRule="auto" w:before="76"/>
              <w:ind w:left="1423" w:right="0"/>
              <w:jc w:val="left"/>
              <w:rPr>
                <w:rFonts w:ascii="宋体" w:hAnsi="宋体" w:cs="宋体" w:eastAsia="宋体" w:hint="default"/>
                <w:sz w:val="18"/>
                <w:szCs w:val="18"/>
              </w:rPr>
            </w:pPr>
            <w:r>
              <w:rPr>
                <w:rFonts w:ascii="宋体" w:hAnsi="宋体" w:cs="宋体" w:eastAsia="宋体" w:hint="default"/>
                <w:b/>
                <w:bCs/>
                <w:sz w:val="18"/>
                <w:szCs w:val="18"/>
              </w:rPr>
              <w:t>（万美元）</w:t>
            </w:r>
            <w:r>
              <w:rPr>
                <w:rFonts w:ascii="宋体" w:hAnsi="宋体" w:cs="宋体" w:eastAsia="宋体" w:hint="default"/>
                <w:sz w:val="18"/>
                <w:szCs w:val="18"/>
              </w:rPr>
            </w:r>
          </w:p>
        </w:tc>
        <w:tc>
          <w:tcPr>
            <w:tcW w:w="1393" w:type="dxa"/>
            <w:tcBorders>
              <w:top w:val="nil" w:sz="6" w:space="0" w:color="auto"/>
              <w:left w:val="nil" w:sz="6" w:space="0" w:color="auto"/>
              <w:bottom w:val="single" w:sz="8" w:space="0" w:color="000000"/>
              <w:right w:val="nil" w:sz="6" w:space="0" w:color="auto"/>
            </w:tcBorders>
          </w:tcPr>
          <w:p>
            <w:pPr>
              <w:pStyle w:val="TableParagraph"/>
              <w:spacing w:line="180" w:lineRule="exact"/>
              <w:ind w:left="841" w:right="0"/>
              <w:jc w:val="lef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p>
            <w:pPr>
              <w:pStyle w:val="TableParagraph"/>
              <w:spacing w:line="240" w:lineRule="auto" w:before="76"/>
              <w:ind w:left="480" w:right="0"/>
              <w:jc w:val="left"/>
              <w:rPr>
                <w:rFonts w:ascii="宋体" w:hAnsi="宋体" w:cs="宋体" w:eastAsia="宋体" w:hint="default"/>
                <w:sz w:val="18"/>
                <w:szCs w:val="18"/>
              </w:rPr>
            </w:pPr>
            <w:r>
              <w:rPr>
                <w:rFonts w:ascii="宋体" w:hAnsi="宋体" w:cs="宋体" w:eastAsia="宋体" w:hint="default"/>
                <w:b/>
                <w:bCs/>
                <w:sz w:val="18"/>
                <w:szCs w:val="18"/>
              </w:rPr>
              <w:t>（万美元）</w:t>
            </w:r>
            <w:r>
              <w:rPr>
                <w:rFonts w:ascii="宋体" w:hAnsi="宋体" w:cs="宋体" w:eastAsia="宋体" w:hint="default"/>
                <w:sz w:val="18"/>
                <w:szCs w:val="18"/>
              </w:rPr>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808" w:type="dxa"/>
            <w:tcBorders>
              <w:top w:val="single" w:sz="8" w:space="0" w:color="000000"/>
              <w:left w:val="nil" w:sz="6" w:space="0" w:color="auto"/>
              <w:bottom w:val="single" w:sz="8" w:space="0" w:color="000000"/>
              <w:right w:val="nil" w:sz="6" w:space="0" w:color="auto"/>
            </w:tcBorders>
          </w:tcPr>
          <w:p>
            <w:pPr/>
          </w:p>
        </w:tc>
        <w:tc>
          <w:tcPr>
            <w:tcW w:w="1393" w:type="dxa"/>
            <w:tcBorders>
              <w:top w:val="single" w:sz="8" w:space="0" w:color="000000"/>
              <w:left w:val="nil" w:sz="6" w:space="0" w:color="auto"/>
              <w:bottom w:val="single" w:sz="8" w:space="0" w:color="000000"/>
              <w:right w:val="nil" w:sz="6" w:space="0" w:color="auto"/>
            </w:tcBorders>
          </w:tcPr>
          <w:p>
            <w:pP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7,120.50</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2,055.38</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3,811.00</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4,496.50</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9"/>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11.61</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10.57</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4.71</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2,609.26</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2,996.95</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4,687.82</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5,270.38</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22,852.99</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22,852.99</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9"/>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968.99</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606.45</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0.12</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0.12</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4"/>
              <w:ind w:right="478"/>
              <w:jc w:val="right"/>
              <w:rPr>
                <w:rFonts w:ascii="Times New Roman" w:hAnsi="Times New Roman" w:cs="Times New Roman" w:eastAsia="Times New Roman" w:hint="default"/>
                <w:sz w:val="18"/>
                <w:szCs w:val="18"/>
              </w:rPr>
            </w:pPr>
            <w:r>
              <w:rPr>
                <w:rFonts w:ascii="Times New Roman"/>
                <w:b/>
                <w:sz w:val="18"/>
              </w:rPr>
              <w:t>42,061.25</w:t>
            </w:r>
            <w:r>
              <w:rPr>
                <w:rFonts w:ascii="Times New Roman"/>
                <w:sz w:val="18"/>
              </w:rPr>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4"/>
              <w:ind w:right="6"/>
              <w:jc w:val="right"/>
              <w:rPr>
                <w:rFonts w:ascii="Times New Roman" w:hAnsi="Times New Roman" w:cs="Times New Roman" w:eastAsia="Times New Roman" w:hint="default"/>
                <w:sz w:val="18"/>
                <w:szCs w:val="18"/>
              </w:rPr>
            </w:pPr>
            <w:r>
              <w:rPr>
                <w:rFonts w:ascii="Times New Roman"/>
                <w:b/>
                <w:sz w:val="18"/>
              </w:rPr>
              <w:t>38,295.09</w:t>
            </w:r>
            <w:r>
              <w:rPr>
                <w:rFonts w:ascii="Times New Roman"/>
                <w:sz w:val="18"/>
              </w:rPr>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
        </w:tc>
        <w:tc>
          <w:tcPr>
            <w:tcW w:w="2808" w:type="dxa"/>
            <w:tcBorders>
              <w:top w:val="single" w:sz="8" w:space="0" w:color="000000"/>
              <w:left w:val="nil" w:sz="6" w:space="0" w:color="auto"/>
              <w:bottom w:val="single" w:sz="8" w:space="0" w:color="000000"/>
              <w:right w:val="nil" w:sz="6" w:space="0" w:color="auto"/>
            </w:tcBorders>
          </w:tcPr>
          <w:p>
            <w:pPr/>
          </w:p>
        </w:tc>
        <w:tc>
          <w:tcPr>
            <w:tcW w:w="1393" w:type="dxa"/>
            <w:tcBorders>
              <w:top w:val="single" w:sz="8" w:space="0" w:color="000000"/>
              <w:left w:val="nil" w:sz="6" w:space="0" w:color="auto"/>
              <w:bottom w:val="single" w:sz="8" w:space="0" w:color="000000"/>
              <w:right w:val="nil" w:sz="6" w:space="0" w:color="auto"/>
            </w:tcBorders>
          </w:tcPr>
          <w:p>
            <w:pP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2808" w:type="dxa"/>
            <w:tcBorders>
              <w:top w:val="single" w:sz="8" w:space="0" w:color="000000"/>
              <w:left w:val="nil" w:sz="6" w:space="0" w:color="auto"/>
              <w:bottom w:val="single" w:sz="8" w:space="0" w:color="000000"/>
              <w:right w:val="nil" w:sz="6" w:space="0" w:color="auto"/>
            </w:tcBorders>
          </w:tcPr>
          <w:p>
            <w:pPr/>
          </w:p>
        </w:tc>
        <w:tc>
          <w:tcPr>
            <w:tcW w:w="1393" w:type="dxa"/>
            <w:tcBorders>
              <w:top w:val="single" w:sz="8" w:space="0" w:color="000000"/>
              <w:left w:val="nil" w:sz="6" w:space="0" w:color="auto"/>
              <w:bottom w:val="single" w:sz="8" w:space="0" w:color="000000"/>
              <w:right w:val="nil" w:sz="6" w:space="0" w:color="auto"/>
            </w:tcBorders>
          </w:tcPr>
          <w:p>
            <w:pP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1,308.81</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1,399.78</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3.48</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2.30</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3,092.91</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1,397.81</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331.48</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706.99</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106.86</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1,553.35</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一年内到期的长期负债</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4,578.86</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3,896.49</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9"/>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1,500.00</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9"/>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4,578.86</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9"/>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478"/>
              <w:jc w:val="right"/>
              <w:rPr>
                <w:rFonts w:ascii="Times New Roman" w:hAnsi="Times New Roman" w:cs="Times New Roman" w:eastAsia="Times New Roman" w:hint="default"/>
                <w:sz w:val="18"/>
                <w:szCs w:val="18"/>
              </w:rPr>
            </w:pPr>
            <w:r>
              <w:rPr>
                <w:rFonts w:ascii="Times New Roman"/>
                <w:sz w:val="18"/>
              </w:rPr>
              <w:t>140.57</w:t>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192.11</w:t>
            </w:r>
          </w:p>
        </w:tc>
      </w:tr>
      <w:tr>
        <w:trPr>
          <w:trHeight w:val="342" w:hRule="exact"/>
        </w:trPr>
        <w:tc>
          <w:tcPr>
            <w:tcW w:w="4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负债总计</w:t>
            </w:r>
            <w:r>
              <w:rPr>
                <w:rFonts w:ascii="宋体" w:hAnsi="宋体" w:cs="宋体" w:eastAsia="宋体" w:hint="default"/>
                <w:sz w:val="18"/>
                <w:szCs w:val="18"/>
              </w:rPr>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4"/>
              <w:ind w:right="478"/>
              <w:jc w:val="right"/>
              <w:rPr>
                <w:rFonts w:ascii="Times New Roman" w:hAnsi="Times New Roman" w:cs="Times New Roman" w:eastAsia="Times New Roman" w:hint="default"/>
                <w:sz w:val="18"/>
                <w:szCs w:val="18"/>
              </w:rPr>
            </w:pPr>
            <w:r>
              <w:rPr>
                <w:rFonts w:ascii="Times New Roman"/>
                <w:b/>
                <w:sz w:val="18"/>
              </w:rPr>
              <w:t>9,562.97</w:t>
            </w:r>
            <w:r>
              <w:rPr>
                <w:rFonts w:ascii="Times New Roman"/>
                <w:sz w:val="18"/>
              </w:rPr>
            </w:r>
          </w:p>
        </w:tc>
        <w:tc>
          <w:tcPr>
            <w:tcW w:w="1393" w:type="dxa"/>
            <w:tcBorders>
              <w:top w:val="single" w:sz="8" w:space="0" w:color="000000"/>
              <w:left w:val="nil" w:sz="6" w:space="0" w:color="auto"/>
              <w:bottom w:val="single" w:sz="8" w:space="0" w:color="000000"/>
              <w:right w:val="nil" w:sz="6" w:space="0" w:color="auto"/>
            </w:tcBorders>
          </w:tcPr>
          <w:p>
            <w:pPr>
              <w:pStyle w:val="TableParagraph"/>
              <w:spacing w:line="240" w:lineRule="auto" w:before="54"/>
              <w:ind w:right="6"/>
              <w:jc w:val="right"/>
              <w:rPr>
                <w:rFonts w:ascii="Times New Roman" w:hAnsi="Times New Roman" w:cs="Times New Roman" w:eastAsia="Times New Roman" w:hint="default"/>
                <w:sz w:val="18"/>
                <w:szCs w:val="18"/>
              </w:rPr>
            </w:pPr>
            <w:r>
              <w:rPr>
                <w:rFonts w:ascii="Times New Roman"/>
                <w:b/>
                <w:sz w:val="18"/>
              </w:rPr>
              <w:t>15,227.69</w:t>
            </w:r>
            <w:r>
              <w:rPr>
                <w:rFonts w:ascii="Times New Roman"/>
                <w:sz w:val="18"/>
              </w:rPr>
            </w:r>
          </w:p>
        </w:tc>
      </w:tr>
    </w:tbl>
    <w:p>
      <w:pPr>
        <w:spacing w:line="240" w:lineRule="auto" w:before="12"/>
        <w:rPr>
          <w:rFonts w:ascii="宋体" w:hAnsi="宋体" w:cs="宋体" w:eastAsia="宋体" w:hint="default"/>
          <w:sz w:val="13"/>
          <w:szCs w:val="13"/>
        </w:rPr>
      </w:pPr>
    </w:p>
    <w:p>
      <w:pPr>
        <w:pStyle w:val="BodyText"/>
        <w:spacing w:line="240" w:lineRule="auto" w:before="44"/>
        <w:ind w:right="0"/>
        <w:jc w:val="left"/>
      </w:pPr>
      <w:r>
        <w:rPr>
          <w:rFonts w:ascii="Times New Roman" w:hAnsi="Times New Roman" w:cs="Times New Roman" w:eastAsia="Times New Roman" w:hint="default"/>
        </w:rPr>
        <w:t>2</w:t>
      </w:r>
      <w:r>
        <w:rPr/>
        <w:t>、资本管理</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本公司资本管理政策的目标是为了保障本公司能够持续经营，从而为股东提供回报，并使其他利益相关者获益，同时维持最</w:t>
      </w:r>
      <w:r>
        <w:rPr>
          <w:spacing w:val="-66"/>
        </w:rPr>
        <w:t> </w:t>
      </w:r>
      <w:r>
        <w:rPr>
          <w:spacing w:val="-66"/>
        </w:rPr>
      </w:r>
      <w:r>
        <w:rPr/>
        <w:t>佳的资本结构以降低资本成本。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为了维持或调整资本结构，本公司可能会调整支付给股东的股利金额、向股东返还资本、发行新股或出售资产以减低债务。</w:t>
      </w:r>
    </w:p>
    <w:p>
      <w:pPr>
        <w:spacing w:line="240" w:lineRule="auto" w:before="5"/>
        <w:rPr>
          <w:rFonts w:ascii="宋体" w:hAnsi="宋体" w:cs="宋体" w:eastAsia="宋体" w:hint="default"/>
          <w:sz w:val="22"/>
          <w:szCs w:val="22"/>
        </w:rPr>
      </w:pPr>
    </w:p>
    <w:p>
      <w:pPr>
        <w:pStyle w:val="BodyText"/>
        <w:spacing w:line="240" w:lineRule="auto"/>
        <w:ind w:right="0"/>
        <w:jc w:val="left"/>
        <w:rPr>
          <w:rFonts w:ascii="Times New Roman" w:hAnsi="Times New Roman" w:cs="Times New Roman" w:eastAsia="Times New Roman" w:hint="default"/>
        </w:rPr>
      </w:pPr>
      <w:r>
        <w:rPr>
          <w:spacing w:val="-5"/>
        </w:rPr>
        <w:t>本公司以资产负债率（即总负债除以总资产）为基础对资本结构进行监控。于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日，本公司的资产负债率为</w:t>
      </w:r>
      <w:r>
        <w:rPr>
          <w:rFonts w:ascii="Times New Roman" w:hAnsi="Times New Roman" w:cs="Times New Roman" w:eastAsia="Times New Roman" w:hint="default"/>
          <w:spacing w:val="-5"/>
        </w:rPr>
        <w:t>25.66%</w:t>
      </w:r>
    </w:p>
    <w:p>
      <w:pPr>
        <w:pStyle w:val="BodyText"/>
        <w:spacing w:line="240" w:lineRule="auto" w:before="63"/>
        <w:ind w:right="0"/>
        <w:jc w:val="left"/>
      </w:pP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28.06%</w:t>
      </w:r>
      <w:r>
        <w:rPr/>
        <w:t>）。</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76,682,739.50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76,682,739.50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76,682,739.50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76,682,739.50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76,682,739.50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76,682,739.50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both"/>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5、持续的第三层次公允价值计量项目，期初与期末账面价值间的调节信息及不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6、持续的公允价值计量项目，本期内发生各层级之间转换的，转换的原因及确定转换时点" w:id="438"/>
      <w:bookmarkEnd w:id="43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7、本期内发生的估值技术变更及变更原因" w:id="439"/>
      <w:bookmarkEnd w:id="43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8、不以公允价值计量的金融资产和金融负债的公允价值情况" w:id="440"/>
      <w:bookmarkEnd w:id="44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本公司以摊余成本计量的金融资产和金融负债主要包括：货币资金、应收票据及应收账款、其他应收款、一年内到期的非流</w:t>
      </w:r>
      <w:r>
        <w:rPr>
          <w:spacing w:val="-66"/>
        </w:rPr>
        <w:t> </w:t>
      </w:r>
      <w:r>
        <w:rPr>
          <w:spacing w:val="-66"/>
        </w:rPr>
      </w:r>
      <w:r>
        <w:rPr>
          <w:spacing w:val="-2"/>
        </w:rPr>
        <w:t>动资产、其他流动资产、发放贷款及垫款、其他非流动资产、短期借款、应付票据及应付账款、其他应付款、一年内到期的</w:t>
      </w:r>
      <w:r>
        <w:rPr>
          <w:spacing w:val="-72"/>
        </w:rPr>
        <w:t> </w:t>
      </w:r>
      <w:r>
        <w:rPr>
          <w:spacing w:val="-72"/>
        </w:rPr>
      </w:r>
      <w:r>
        <w:rPr/>
        <w:t>非流动负债、长期应付款和长期借款等。</w:t>
      </w:r>
    </w:p>
    <w:p>
      <w:pPr>
        <w:spacing w:line="240" w:lineRule="auto" w:before="11"/>
        <w:rPr>
          <w:rFonts w:ascii="宋体" w:hAnsi="宋体" w:cs="宋体" w:eastAsia="宋体" w:hint="default"/>
          <w:sz w:val="17"/>
          <w:szCs w:val="17"/>
        </w:rPr>
      </w:pPr>
    </w:p>
    <w:p>
      <w:pPr>
        <w:pStyle w:val="BodyText"/>
        <w:spacing w:line="240" w:lineRule="auto"/>
        <w:ind w:right="0"/>
        <w:jc w:val="both"/>
      </w:pPr>
      <w:r>
        <w:rPr/>
        <w:t>不以公允价值计量的金融资产和金融负债的账面价值与公允价值相差很小。</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9、其他" w:id="441"/>
      <w:bookmarkEnd w:id="44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3"/>
      <w:bookmarkEnd w:id="44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center"/>
              <w:rPr>
                <w:rFonts w:ascii="宋体" w:hAnsi="宋体" w:cs="宋体" w:eastAsia="宋体" w:hint="default"/>
                <w:sz w:val="18"/>
                <w:szCs w:val="18"/>
              </w:rPr>
            </w:pPr>
            <w:r>
              <w:rPr>
                <w:rFonts w:ascii="宋体" w:hAnsi="宋体" w:cs="宋体" w:eastAsia="宋体" w:hint="default"/>
                <w:sz w:val="18"/>
                <w:szCs w:val="18"/>
              </w:rPr>
              <w:t>智度德普有限合伙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416,181.00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39.25%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39.25%</w:t>
            </w:r>
          </w:p>
        </w:tc>
      </w:tr>
    </w:tbl>
    <w:p>
      <w:pPr>
        <w:pStyle w:val="BodyText"/>
        <w:spacing w:line="240" w:lineRule="auto" w:before="51"/>
        <w:ind w:right="0"/>
        <w:jc w:val="left"/>
      </w:pPr>
      <w:r>
        <w:rPr/>
        <w:t>本企业的母公司情况的说明</w:t>
      </w:r>
    </w:p>
    <w:p>
      <w:pPr>
        <w:spacing w:line="240" w:lineRule="auto" w:before="12"/>
        <w:rPr>
          <w:rFonts w:ascii="宋体" w:hAnsi="宋体" w:cs="宋体" w:eastAsia="宋体" w:hint="default"/>
          <w:sz w:val="14"/>
          <w:szCs w:val="14"/>
        </w:rPr>
      </w:pPr>
    </w:p>
    <w:p>
      <w:pPr>
        <w:pStyle w:val="BodyText"/>
        <w:spacing w:line="240" w:lineRule="auto"/>
        <w:ind w:right="0"/>
        <w:jc w:val="left"/>
      </w:pPr>
      <w:r>
        <w:rPr/>
        <w:t>智度德普有限合伙直接和通过一致行动人智度集团有限公司、拉萨经济技术开发区智恒咨询有限公司间接持有本公司合计</w:t>
      </w:r>
    </w:p>
    <w:p>
      <w:pPr>
        <w:pStyle w:val="BodyText"/>
        <w:spacing w:line="508" w:lineRule="auto" w:before="76"/>
        <w:ind w:right="6972"/>
        <w:jc w:val="left"/>
      </w:pPr>
      <w:r>
        <w:rPr>
          <w:rFonts w:ascii="Times New Roman" w:hAnsi="Times New Roman" w:cs="Times New Roman" w:eastAsia="Times New Roman" w:hint="default"/>
        </w:rPr>
        <w:t>48.24%</w:t>
      </w:r>
      <w:r>
        <w:rPr/>
        <w:t>的股权，系本公司控股股东。 截至本期末，本公司实际控制人系吴红心先生。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57" w:lineRule="auto" w:before="149"/>
        <w:ind w:right="8412"/>
        <w:jc w:val="left"/>
      </w:pPr>
      <w:r>
        <w:rPr/>
        <w:t>本企业最终控制方是吴红心。 其他说明：</w:t>
      </w:r>
    </w:p>
    <w:p>
      <w:pPr>
        <w:spacing w:line="240" w:lineRule="auto" w:before="1"/>
        <w:rPr>
          <w:rFonts w:ascii="宋体" w:hAnsi="宋体" w:cs="宋体" w:eastAsia="宋体" w:hint="default"/>
          <w:sz w:val="20"/>
          <w:szCs w:val="20"/>
        </w:rPr>
      </w:pPr>
    </w:p>
    <w:p>
      <w:pPr>
        <w:spacing w:line="547" w:lineRule="auto" w:before="0"/>
        <w:ind w:left="154" w:right="6792" w:firstLine="0"/>
        <w:jc w:val="left"/>
        <w:rPr>
          <w:rFonts w:ascii="宋体" w:hAnsi="宋体" w:cs="宋体" w:eastAsia="宋体" w:hint="default"/>
          <w:sz w:val="21"/>
          <w:szCs w:val="21"/>
        </w:rPr>
      </w:pPr>
      <w:bookmarkStart w:name="2、本企业的子公司情况" w:id="444"/>
      <w:bookmarkEnd w:id="4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45"/>
      <w:bookmarkEnd w:id="44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2"/>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智度德正公司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智度德普股权投资（香港）有限公司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深圳智度德信股权投资管理有限公司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拉萨经济技术开发区智恒咨询有限公司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北京盈聚思成投资管理中心（有限合伙）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上海易晋网络公司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深圳市隽川科技有限公司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汤克云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子公司的法定代表人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Rodrigo</w:t>
            </w:r>
            <w:r>
              <w:rPr>
                <w:rFonts w:ascii="Times New Roman"/>
                <w:spacing w:val="-2"/>
                <w:sz w:val="18"/>
              </w:rPr>
              <w:t> </w:t>
            </w:r>
            <w:r>
              <w:rPr>
                <w:rFonts w:ascii="Times New Roman"/>
                <w:sz w:val="18"/>
              </w:rPr>
              <w:t>Sales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Ryan</w:t>
            </w:r>
            <w:r>
              <w:rPr>
                <w:rFonts w:ascii="Times New Roman"/>
                <w:spacing w:val="-13"/>
                <w:sz w:val="18"/>
              </w:rPr>
              <w:t> </w:t>
            </w:r>
            <w:r>
              <w:rPr>
                <w:rFonts w:ascii="Times New Roman"/>
                <w:sz w:val="18"/>
              </w:rPr>
              <w:t>Stephens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Michael</w:t>
            </w:r>
            <w:r>
              <w:rPr>
                <w:rFonts w:ascii="Times New Roman"/>
                <w:spacing w:val="-3"/>
                <w:sz w:val="18"/>
              </w:rPr>
              <w:t> </w:t>
            </w:r>
            <w:r>
              <w:rPr>
                <w:rFonts w:ascii="Times New Roman"/>
                <w:sz w:val="18"/>
              </w:rPr>
              <w:t>Levit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原子公司的关键管理人员</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8"/>
      <w:bookmarkEnd w:id="4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福建风灵创景科技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462,334.99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462,334.99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612,736.30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福建智度科技有限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媒介采购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33,575.47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33,575.47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28,094.34</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智度德正公司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劳务派遣</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97,158.33</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278,838.72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931,096.72</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52"/>
        <w:ind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深圳智度德信股权投资管理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305,825.92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7,105,766.94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7,144,328.69</w:t>
            </w:r>
          </w:p>
        </w:tc>
      </w:tr>
    </w:tbl>
    <w:p>
      <w:pPr>
        <w:pStyle w:val="BodyText"/>
        <w:spacing w:line="240" w:lineRule="auto" w:before="51"/>
        <w:ind w:right="0"/>
        <w:jc w:val="left"/>
      </w:pPr>
      <w:r>
        <w:rPr/>
        <w:t>关联租赁情况说明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c>
          <w:tcPr>
            <w:tcW w:w="1916"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Eightpoint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29,000,000.00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1858"/>
        <w:gridCol w:w="1808"/>
        <w:gridCol w:w="1187"/>
        <w:gridCol w:w="1160"/>
        <w:gridCol w:w="1373"/>
        <w:gridCol w:w="2126"/>
      </w:tblGrid>
      <w:tr>
        <w:trPr>
          <w:trHeight w:val="662" w:hRule="exact"/>
        </w:trPr>
        <w:tc>
          <w:tcPr>
            <w:tcW w:w="1858" w:type="dxa"/>
            <w:tcBorders>
              <w:top w:val="single" w:sz="6" w:space="0" w:color="000000"/>
              <w:left w:val="nil" w:sz="6" w:space="0" w:color="auto"/>
              <w:bottom w:val="single" w:sz="8" w:space="0" w:color="000000"/>
              <w:right w:val="single" w:sz="6"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8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1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447"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p>
            <w:pPr>
              <w:pStyle w:val="TableParagraph"/>
              <w:spacing w:line="240" w:lineRule="auto" w:before="76"/>
              <w:ind w:left="68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60"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601" w:right="1" w:firstLine="181"/>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373"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812" w:right="0" w:firstLine="181"/>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21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1844"/>
        <w:gridCol w:w="1808"/>
        <w:gridCol w:w="1187"/>
        <w:gridCol w:w="1160"/>
        <w:gridCol w:w="1373"/>
        <w:gridCol w:w="2126"/>
      </w:tblGrid>
      <w:tr>
        <w:trPr>
          <w:trHeight w:val="349" w:hRule="exact"/>
        </w:trPr>
        <w:tc>
          <w:tcPr>
            <w:tcW w:w="1844" w:type="dxa"/>
            <w:tcBorders>
              <w:top w:val="single" w:sz="6" w:space="0" w:color="000000"/>
              <w:left w:val="nil" w:sz="6" w:space="0" w:color="auto"/>
              <w:bottom w:val="single" w:sz="8" w:space="0" w:color="000000"/>
              <w:right w:val="single" w:sz="6"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180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187" w:type="dxa"/>
            <w:vMerge w:val="restart"/>
            <w:tcBorders>
              <w:top w:val="single" w:sz="6" w:space="0" w:color="000000"/>
              <w:left w:val="single" w:sz="6" w:space="0" w:color="000000"/>
              <w:right w:val="single" w:sz="6" w:space="0" w:color="000000"/>
            </w:tcBorders>
          </w:tcPr>
          <w:p>
            <w:pPr>
              <w:pStyle w:val="TableParagraph"/>
              <w:spacing w:line="240" w:lineRule="auto" w:before="61"/>
              <w:ind w:left="540" w:right="0"/>
              <w:jc w:val="left"/>
              <w:rPr>
                <w:rFonts w:ascii="Times New Roman" w:hAnsi="Times New Roman" w:cs="Times New Roman" w:eastAsia="Times New Roman" w:hint="default"/>
                <w:sz w:val="18"/>
                <w:szCs w:val="18"/>
              </w:rPr>
            </w:pPr>
            <w:r>
              <w:rPr>
                <w:rFonts w:ascii="Times New Roman"/>
                <w:sz w:val="18"/>
              </w:rPr>
              <w:t>3,000.00</w:t>
            </w:r>
          </w:p>
        </w:tc>
        <w:tc>
          <w:tcPr>
            <w:tcW w:w="11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2018-4-1</w:t>
            </w:r>
          </w:p>
        </w:tc>
        <w:tc>
          <w:tcPr>
            <w:tcW w:w="137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2019-3-31</w:t>
            </w:r>
            <w:r>
              <w:rPr>
                <w:rFonts w:ascii="宋体" w:hAnsi="宋体" w:cs="宋体" w:eastAsia="宋体" w:hint="default"/>
                <w:sz w:val="18"/>
                <w:szCs w:val="18"/>
              </w:rPr>
              <w:t>贷款到</w:t>
            </w:r>
          </w:p>
          <w:p>
            <w:pPr>
              <w:pStyle w:val="TableParagraph"/>
              <w:spacing w:line="240" w:lineRule="auto" w:before="64"/>
              <w:ind w:left="634" w:right="0"/>
              <w:jc w:val="left"/>
              <w:rPr>
                <w:rFonts w:ascii="宋体" w:hAnsi="宋体" w:cs="宋体" w:eastAsia="宋体" w:hint="default"/>
                <w:sz w:val="18"/>
                <w:szCs w:val="18"/>
              </w:rPr>
            </w:pPr>
            <w:r>
              <w:rPr>
                <w:rFonts w:ascii="宋体" w:hAnsi="宋体" w:cs="宋体" w:eastAsia="宋体" w:hint="default"/>
                <w:sz w:val="18"/>
                <w:szCs w:val="18"/>
              </w:rPr>
              <w:t>期后三年</w:t>
            </w:r>
          </w:p>
        </w:tc>
        <w:tc>
          <w:tcPr>
            <w:tcW w:w="2126" w:type="dxa"/>
            <w:vMerge w:val="restart"/>
            <w:tcBorders>
              <w:top w:val="single" w:sz="6" w:space="0" w:color="000000"/>
              <w:left w:val="single" w:sz="6" w:space="0" w:color="000000"/>
              <w:right w:val="single" w:sz="6" w:space="0" w:color="000000"/>
            </w:tcBorders>
          </w:tcPr>
          <w:p>
            <w:pPr>
              <w:pStyle w:val="TableParagraph"/>
              <w:spacing w:line="300" w:lineRule="auto" w:before="21"/>
              <w:ind w:left="39" w:right="1" w:firstLine="9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日实际 使用担保额度为</w:t>
            </w:r>
            <w:r>
              <w:rPr>
                <w:rFonts w:ascii="Times New Roman" w:hAnsi="Times New Roman" w:cs="Times New Roman" w:eastAsia="Times New Roman" w:hint="default"/>
                <w:sz w:val="18"/>
                <w:szCs w:val="18"/>
              </w:rPr>
              <w:t>1,680.00</w:t>
            </w:r>
            <w:r>
              <w:rPr>
                <w:rFonts w:ascii="宋体" w:hAnsi="宋体" w:cs="宋体" w:eastAsia="宋体" w:hint="default"/>
                <w:sz w:val="18"/>
                <w:szCs w:val="18"/>
              </w:rPr>
              <w:t>万</w:t>
            </w:r>
          </w:p>
          <w:p>
            <w:pPr>
              <w:pStyle w:val="TableParagraph"/>
              <w:spacing w:line="240" w:lineRule="auto" w:before="13"/>
              <w:ind w:left="669" w:right="0"/>
              <w:jc w:val="left"/>
              <w:rPr>
                <w:rFonts w:ascii="宋体" w:hAnsi="宋体" w:cs="宋体" w:eastAsia="宋体" w:hint="default"/>
                <w:sz w:val="18"/>
                <w:szCs w:val="18"/>
              </w:rPr>
            </w:pPr>
            <w:r>
              <w:rPr>
                <w:rFonts w:ascii="宋体" w:hAnsi="宋体" w:cs="宋体" w:eastAsia="宋体" w:hint="default"/>
                <w:sz w:val="18"/>
                <w:szCs w:val="18"/>
              </w:rPr>
              <w:t>元，尚未履行完毕</w:t>
            </w:r>
          </w:p>
        </w:tc>
      </w:tr>
      <w:tr>
        <w:trPr>
          <w:trHeight w:val="347"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深圳部落格公司</w:t>
            </w:r>
          </w:p>
        </w:tc>
        <w:tc>
          <w:tcPr>
            <w:tcW w:w="1808" w:type="dxa"/>
            <w:vMerge/>
            <w:tcBorders>
              <w:left w:val="single" w:sz="6" w:space="0" w:color="000000"/>
              <w:right w:val="single" w:sz="6" w:space="0" w:color="000000"/>
            </w:tcBorders>
          </w:tcPr>
          <w:p>
            <w:pPr/>
          </w:p>
        </w:tc>
        <w:tc>
          <w:tcPr>
            <w:tcW w:w="1187"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1373" w:type="dxa"/>
            <w:vMerge/>
            <w:tcBorders>
              <w:left w:val="single" w:sz="6" w:space="0" w:color="000000"/>
              <w:right w:val="single" w:sz="6" w:space="0" w:color="000000"/>
            </w:tcBorders>
          </w:tcPr>
          <w:p>
            <w:pPr/>
          </w:p>
        </w:tc>
        <w:tc>
          <w:tcPr>
            <w:tcW w:w="2126" w:type="dxa"/>
            <w:vMerge/>
            <w:tcBorders>
              <w:left w:val="single" w:sz="6" w:space="0" w:color="000000"/>
              <w:right w:val="single" w:sz="6" w:space="0" w:color="000000"/>
            </w:tcBorders>
          </w:tcPr>
          <w:p>
            <w:pPr/>
          </w:p>
        </w:tc>
      </w:tr>
      <w:tr>
        <w:trPr>
          <w:trHeight w:val="659"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56"/>
              <w:ind w:left="9" w:right="0"/>
              <w:jc w:val="left"/>
              <w:rPr>
                <w:rFonts w:ascii="Times New Roman" w:hAnsi="Times New Roman" w:cs="Times New Roman" w:eastAsia="Times New Roman" w:hint="default"/>
                <w:sz w:val="18"/>
                <w:szCs w:val="18"/>
              </w:rPr>
            </w:pPr>
            <w:r>
              <w:rPr>
                <w:rFonts w:ascii="Times New Roman"/>
                <w:sz w:val="18"/>
              </w:rPr>
              <w:t>JOHN ZHENG</w:t>
            </w:r>
            <w:r>
              <w:rPr>
                <w:rFonts w:ascii="Times New Roman"/>
                <w:spacing w:val="-2"/>
                <w:sz w:val="18"/>
              </w:rPr>
              <w:t> </w:t>
            </w:r>
            <w:r>
              <w:rPr>
                <w:rFonts w:ascii="Times New Roman"/>
                <w:sz w:val="18"/>
              </w:rPr>
              <w:t>TANG</w:t>
            </w:r>
          </w:p>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808" w:type="dxa"/>
            <w:vMerge/>
            <w:tcBorders>
              <w:left w:val="single" w:sz="6" w:space="0" w:color="000000"/>
              <w:right w:val="single" w:sz="6" w:space="0" w:color="000000"/>
            </w:tcBorders>
          </w:tcPr>
          <w:p>
            <w:pPr/>
          </w:p>
        </w:tc>
        <w:tc>
          <w:tcPr>
            <w:tcW w:w="1187"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1373" w:type="dxa"/>
            <w:vMerge/>
            <w:tcBorders>
              <w:left w:val="single" w:sz="6" w:space="0" w:color="000000"/>
              <w:right w:val="single" w:sz="6" w:space="0" w:color="000000"/>
            </w:tcBorders>
          </w:tcPr>
          <w:p>
            <w:pPr/>
          </w:p>
        </w:tc>
        <w:tc>
          <w:tcPr>
            <w:tcW w:w="2126" w:type="dxa"/>
            <w:vMerge/>
            <w:tcBorders>
              <w:left w:val="single" w:sz="6" w:space="0" w:color="000000"/>
              <w:right w:val="single" w:sz="6" w:space="0" w:color="000000"/>
            </w:tcBorders>
          </w:tcPr>
          <w:p>
            <w:pPr/>
          </w:p>
        </w:tc>
      </w:tr>
      <w:tr>
        <w:trPr>
          <w:trHeight w:val="348"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汤克云</w:t>
            </w:r>
          </w:p>
        </w:tc>
        <w:tc>
          <w:tcPr>
            <w:tcW w:w="1808" w:type="dxa"/>
            <w:vMerge/>
            <w:tcBorders>
              <w:left w:val="single" w:sz="6" w:space="0" w:color="000000"/>
              <w:bottom w:val="single" w:sz="8" w:space="0" w:color="000000"/>
              <w:right w:val="single" w:sz="6" w:space="0" w:color="000000"/>
            </w:tcBorders>
          </w:tcPr>
          <w:p>
            <w:pPr/>
          </w:p>
        </w:tc>
        <w:tc>
          <w:tcPr>
            <w:tcW w:w="1187" w:type="dxa"/>
            <w:vMerge/>
            <w:tcBorders>
              <w:left w:val="single" w:sz="6" w:space="0" w:color="000000"/>
              <w:bottom w:val="single" w:sz="8" w:space="0" w:color="000000"/>
              <w:right w:val="single" w:sz="6" w:space="0" w:color="000000"/>
            </w:tcBorders>
          </w:tcPr>
          <w:p>
            <w:pPr/>
          </w:p>
        </w:tc>
        <w:tc>
          <w:tcPr>
            <w:tcW w:w="1160" w:type="dxa"/>
            <w:vMerge/>
            <w:tcBorders>
              <w:left w:val="single" w:sz="6" w:space="0" w:color="000000"/>
              <w:bottom w:val="single" w:sz="8" w:space="0" w:color="000000"/>
              <w:right w:val="single" w:sz="6" w:space="0" w:color="000000"/>
            </w:tcBorders>
          </w:tcPr>
          <w:p>
            <w:pPr/>
          </w:p>
        </w:tc>
        <w:tc>
          <w:tcPr>
            <w:tcW w:w="1373" w:type="dxa"/>
            <w:vMerge/>
            <w:tcBorders>
              <w:left w:val="single" w:sz="6" w:space="0" w:color="000000"/>
              <w:bottom w:val="single" w:sz="8" w:space="0" w:color="000000"/>
              <w:right w:val="single" w:sz="6" w:space="0" w:color="000000"/>
            </w:tcBorders>
          </w:tcPr>
          <w:p>
            <w:pPr/>
          </w:p>
        </w:tc>
        <w:tc>
          <w:tcPr>
            <w:tcW w:w="2126" w:type="dxa"/>
            <w:vMerge/>
            <w:tcBorders>
              <w:left w:val="single" w:sz="6" w:space="0" w:color="000000"/>
              <w:bottom w:val="single" w:sz="8" w:space="0" w:color="000000"/>
              <w:right w:val="single" w:sz="6" w:space="0" w:color="000000"/>
            </w:tcBorders>
          </w:tcPr>
          <w:p>
            <w:pPr/>
          </w:p>
        </w:tc>
      </w:tr>
      <w:tr>
        <w:trPr>
          <w:trHeight w:val="347"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808" w:type="dxa"/>
            <w:vMerge w:val="restart"/>
            <w:tcBorders>
              <w:top w:val="single" w:sz="8" w:space="0" w:color="000000"/>
              <w:left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187" w:type="dxa"/>
            <w:vMerge w:val="restart"/>
            <w:tcBorders>
              <w:top w:val="single" w:sz="8" w:space="0" w:color="000000"/>
              <w:left w:val="single" w:sz="6" w:space="0" w:color="000000"/>
              <w:right w:val="single" w:sz="6" w:space="0" w:color="000000"/>
            </w:tcBorders>
          </w:tcPr>
          <w:p>
            <w:pPr>
              <w:pStyle w:val="TableParagraph"/>
              <w:spacing w:line="240" w:lineRule="auto" w:before="56"/>
              <w:ind w:left="540" w:right="0"/>
              <w:jc w:val="left"/>
              <w:rPr>
                <w:rFonts w:ascii="Times New Roman" w:hAnsi="Times New Roman" w:cs="Times New Roman" w:eastAsia="Times New Roman" w:hint="default"/>
                <w:sz w:val="18"/>
                <w:szCs w:val="18"/>
              </w:rPr>
            </w:pPr>
            <w:r>
              <w:rPr>
                <w:rFonts w:ascii="Times New Roman"/>
                <w:sz w:val="18"/>
              </w:rPr>
              <w:t>4,000.00</w:t>
            </w:r>
          </w:p>
        </w:tc>
        <w:tc>
          <w:tcPr>
            <w:tcW w:w="11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2017/4/27</w:t>
            </w:r>
          </w:p>
        </w:tc>
        <w:tc>
          <w:tcPr>
            <w:tcW w:w="13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2020/4/27</w:t>
            </w:r>
          </w:p>
        </w:tc>
        <w:tc>
          <w:tcPr>
            <w:tcW w:w="2126" w:type="dxa"/>
            <w:vMerge w:val="restart"/>
            <w:tcBorders>
              <w:top w:val="single" w:sz="8" w:space="0" w:color="000000"/>
              <w:left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肖燕</w:t>
            </w:r>
          </w:p>
        </w:tc>
        <w:tc>
          <w:tcPr>
            <w:tcW w:w="1808" w:type="dxa"/>
            <w:vMerge/>
            <w:tcBorders>
              <w:left w:val="single" w:sz="6" w:space="0" w:color="000000"/>
              <w:bottom w:val="single" w:sz="8" w:space="0" w:color="000000"/>
              <w:right w:val="single" w:sz="6" w:space="0" w:color="000000"/>
            </w:tcBorders>
          </w:tcPr>
          <w:p>
            <w:pPr/>
          </w:p>
        </w:tc>
        <w:tc>
          <w:tcPr>
            <w:tcW w:w="1187" w:type="dxa"/>
            <w:vMerge/>
            <w:tcBorders>
              <w:left w:val="single" w:sz="6" w:space="0" w:color="000000"/>
              <w:bottom w:val="single" w:sz="8" w:space="0" w:color="000000"/>
              <w:right w:val="single" w:sz="6" w:space="0" w:color="000000"/>
            </w:tcBorders>
          </w:tcPr>
          <w:p>
            <w:pPr/>
          </w:p>
        </w:tc>
        <w:tc>
          <w:tcPr>
            <w:tcW w:w="11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2018/5/9</w:t>
            </w:r>
          </w:p>
        </w:tc>
        <w:tc>
          <w:tcPr>
            <w:tcW w:w="13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2019/5/9</w:t>
            </w:r>
          </w:p>
        </w:tc>
        <w:tc>
          <w:tcPr>
            <w:tcW w:w="2126" w:type="dxa"/>
            <w:vMerge/>
            <w:tcBorders>
              <w:left w:val="single" w:sz="6" w:space="0" w:color="000000"/>
              <w:bottom w:val="single" w:sz="8" w:space="0" w:color="000000"/>
              <w:right w:val="single" w:sz="6" w:space="0" w:color="000000"/>
            </w:tcBorders>
          </w:tcPr>
          <w:p>
            <w:pPr/>
          </w:p>
        </w:tc>
      </w:tr>
      <w:tr>
        <w:trPr>
          <w:trHeight w:val="347"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1808" w:type="dxa"/>
            <w:vMerge w:val="restart"/>
            <w:tcBorders>
              <w:top w:val="single" w:sz="8" w:space="0" w:color="000000"/>
              <w:left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187" w:type="dxa"/>
            <w:vMerge w:val="restart"/>
            <w:tcBorders>
              <w:top w:val="single" w:sz="8" w:space="0" w:color="000000"/>
              <w:left w:val="single" w:sz="6" w:space="0" w:color="000000"/>
              <w:right w:val="single" w:sz="6" w:space="0" w:color="000000"/>
            </w:tcBorders>
          </w:tcPr>
          <w:p>
            <w:pPr>
              <w:pStyle w:val="TableParagraph"/>
              <w:spacing w:line="240" w:lineRule="auto" w:before="56"/>
              <w:ind w:left="540" w:right="0"/>
              <w:jc w:val="left"/>
              <w:rPr>
                <w:rFonts w:ascii="Times New Roman" w:hAnsi="Times New Roman" w:cs="Times New Roman" w:eastAsia="Times New Roman" w:hint="default"/>
                <w:sz w:val="18"/>
                <w:szCs w:val="18"/>
              </w:rPr>
            </w:pPr>
            <w:r>
              <w:rPr>
                <w:rFonts w:ascii="Times New Roman"/>
                <w:sz w:val="18"/>
              </w:rPr>
              <w:t>3,000.00</w:t>
            </w:r>
          </w:p>
        </w:tc>
        <w:tc>
          <w:tcPr>
            <w:tcW w:w="1160" w:type="dxa"/>
            <w:vMerge w:val="restart"/>
            <w:tcBorders>
              <w:top w:val="single" w:sz="8" w:space="0" w:color="000000"/>
              <w:left w:val="single" w:sz="6" w:space="0" w:color="000000"/>
              <w:right w:val="single" w:sz="6" w:space="0" w:color="000000"/>
            </w:tcBorders>
          </w:tcPr>
          <w:p>
            <w:pPr>
              <w:pStyle w:val="TableParagraph"/>
              <w:spacing w:line="240" w:lineRule="auto" w:before="56"/>
              <w:ind w:left="413" w:right="0"/>
              <w:jc w:val="left"/>
              <w:rPr>
                <w:rFonts w:ascii="Times New Roman" w:hAnsi="Times New Roman" w:cs="Times New Roman" w:eastAsia="Times New Roman" w:hint="default"/>
                <w:sz w:val="18"/>
                <w:szCs w:val="18"/>
              </w:rPr>
            </w:pPr>
            <w:r>
              <w:rPr>
                <w:rFonts w:ascii="Times New Roman"/>
                <w:sz w:val="18"/>
              </w:rPr>
              <w:t>2017/1/18</w:t>
            </w:r>
          </w:p>
        </w:tc>
        <w:tc>
          <w:tcPr>
            <w:tcW w:w="1373" w:type="dxa"/>
            <w:vMerge w:val="restart"/>
            <w:tcBorders>
              <w:top w:val="single" w:sz="8" w:space="0" w:color="000000"/>
              <w:left w:val="single" w:sz="6" w:space="0" w:color="000000"/>
              <w:right w:val="single" w:sz="6" w:space="0" w:color="000000"/>
            </w:tcBorders>
          </w:tcPr>
          <w:p>
            <w:pPr>
              <w:pStyle w:val="TableParagraph"/>
              <w:spacing w:line="240" w:lineRule="auto" w:before="16"/>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2018/3/15</w:t>
            </w:r>
            <w:r>
              <w:rPr>
                <w:rFonts w:ascii="宋体" w:hAnsi="宋体" w:cs="宋体" w:eastAsia="宋体" w:hint="default"/>
                <w:sz w:val="18"/>
                <w:szCs w:val="18"/>
              </w:rPr>
              <w:t>贷款到</w:t>
            </w:r>
          </w:p>
          <w:p>
            <w:pPr>
              <w:pStyle w:val="TableParagraph"/>
              <w:spacing w:line="240" w:lineRule="auto" w:before="63"/>
              <w:ind w:left="634" w:right="0"/>
              <w:jc w:val="left"/>
              <w:rPr>
                <w:rFonts w:ascii="宋体" w:hAnsi="宋体" w:cs="宋体" w:eastAsia="宋体" w:hint="default"/>
                <w:sz w:val="18"/>
                <w:szCs w:val="18"/>
              </w:rPr>
            </w:pPr>
            <w:r>
              <w:rPr>
                <w:rFonts w:ascii="宋体" w:hAnsi="宋体" w:cs="宋体" w:eastAsia="宋体" w:hint="default"/>
                <w:sz w:val="18"/>
                <w:szCs w:val="18"/>
              </w:rPr>
              <w:t>期后两年</w:t>
            </w:r>
          </w:p>
        </w:tc>
        <w:tc>
          <w:tcPr>
            <w:tcW w:w="2126" w:type="dxa"/>
            <w:vMerge w:val="restart"/>
            <w:tcBorders>
              <w:top w:val="single" w:sz="8" w:space="0" w:color="000000"/>
              <w:left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59"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56"/>
              <w:ind w:left="9" w:right="0"/>
              <w:jc w:val="left"/>
              <w:rPr>
                <w:rFonts w:ascii="Times New Roman" w:hAnsi="Times New Roman" w:cs="Times New Roman" w:eastAsia="Times New Roman" w:hint="default"/>
                <w:sz w:val="18"/>
                <w:szCs w:val="18"/>
              </w:rPr>
            </w:pPr>
            <w:r>
              <w:rPr>
                <w:rFonts w:ascii="Times New Roman"/>
                <w:sz w:val="18"/>
              </w:rPr>
              <w:t>JOHN ZHENG</w:t>
            </w:r>
            <w:r>
              <w:rPr>
                <w:rFonts w:ascii="Times New Roman"/>
                <w:spacing w:val="-2"/>
                <w:sz w:val="18"/>
              </w:rPr>
              <w:t> </w:t>
            </w:r>
            <w:r>
              <w:rPr>
                <w:rFonts w:ascii="Times New Roman"/>
                <w:sz w:val="18"/>
              </w:rPr>
              <w:t>TANG</w:t>
            </w:r>
          </w:p>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808" w:type="dxa"/>
            <w:vMerge/>
            <w:tcBorders>
              <w:left w:val="single" w:sz="6" w:space="0" w:color="000000"/>
              <w:right w:val="single" w:sz="6" w:space="0" w:color="000000"/>
            </w:tcBorders>
          </w:tcPr>
          <w:p>
            <w:pPr/>
          </w:p>
        </w:tc>
        <w:tc>
          <w:tcPr>
            <w:tcW w:w="1187"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1373" w:type="dxa"/>
            <w:vMerge/>
            <w:tcBorders>
              <w:left w:val="single" w:sz="6" w:space="0" w:color="000000"/>
              <w:right w:val="single" w:sz="6" w:space="0" w:color="000000"/>
            </w:tcBorders>
          </w:tcPr>
          <w:p>
            <w:pPr/>
          </w:p>
        </w:tc>
        <w:tc>
          <w:tcPr>
            <w:tcW w:w="2126" w:type="dxa"/>
            <w:vMerge/>
            <w:tcBorders>
              <w:left w:val="single" w:sz="6" w:space="0" w:color="000000"/>
              <w:right w:val="single" w:sz="6" w:space="0" w:color="000000"/>
            </w:tcBorders>
          </w:tcPr>
          <w:p>
            <w:pPr/>
          </w:p>
        </w:tc>
      </w:tr>
      <w:tr>
        <w:trPr>
          <w:trHeight w:val="348"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汤克云</w:t>
            </w:r>
          </w:p>
        </w:tc>
        <w:tc>
          <w:tcPr>
            <w:tcW w:w="1808" w:type="dxa"/>
            <w:vMerge/>
            <w:tcBorders>
              <w:left w:val="single" w:sz="6" w:space="0" w:color="000000"/>
              <w:bottom w:val="single" w:sz="8" w:space="0" w:color="000000"/>
              <w:right w:val="single" w:sz="6" w:space="0" w:color="000000"/>
            </w:tcBorders>
          </w:tcPr>
          <w:p>
            <w:pPr/>
          </w:p>
        </w:tc>
        <w:tc>
          <w:tcPr>
            <w:tcW w:w="1187" w:type="dxa"/>
            <w:vMerge/>
            <w:tcBorders>
              <w:left w:val="single" w:sz="6" w:space="0" w:color="000000"/>
              <w:bottom w:val="single" w:sz="8" w:space="0" w:color="000000"/>
              <w:right w:val="single" w:sz="6" w:space="0" w:color="000000"/>
            </w:tcBorders>
          </w:tcPr>
          <w:p>
            <w:pPr/>
          </w:p>
        </w:tc>
        <w:tc>
          <w:tcPr>
            <w:tcW w:w="1160" w:type="dxa"/>
            <w:vMerge/>
            <w:tcBorders>
              <w:left w:val="single" w:sz="6" w:space="0" w:color="000000"/>
              <w:bottom w:val="single" w:sz="8" w:space="0" w:color="000000"/>
              <w:right w:val="single" w:sz="6" w:space="0" w:color="000000"/>
            </w:tcBorders>
          </w:tcPr>
          <w:p>
            <w:pPr/>
          </w:p>
        </w:tc>
        <w:tc>
          <w:tcPr>
            <w:tcW w:w="1373" w:type="dxa"/>
            <w:vMerge/>
            <w:tcBorders>
              <w:left w:val="single" w:sz="6" w:space="0" w:color="000000"/>
              <w:bottom w:val="single" w:sz="8" w:space="0" w:color="000000"/>
              <w:right w:val="single" w:sz="6" w:space="0" w:color="000000"/>
            </w:tcBorders>
          </w:tcPr>
          <w:p>
            <w:pPr/>
          </w:p>
        </w:tc>
        <w:tc>
          <w:tcPr>
            <w:tcW w:w="2126" w:type="dxa"/>
            <w:vMerge/>
            <w:tcBorders>
              <w:left w:val="single" w:sz="6" w:space="0" w:color="000000"/>
              <w:bottom w:val="single" w:sz="8" w:space="0" w:color="000000"/>
              <w:right w:val="single" w:sz="6" w:space="0" w:color="000000"/>
            </w:tcBorders>
          </w:tcPr>
          <w:p>
            <w:pPr/>
          </w:p>
        </w:tc>
      </w:tr>
      <w:tr>
        <w:trPr>
          <w:trHeight w:val="659"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316" w:lineRule="auto" w:before="15"/>
              <w:ind w:left="9" w:right="744"/>
              <w:jc w:val="left"/>
              <w:rPr>
                <w:rFonts w:ascii="宋体" w:hAnsi="宋体" w:cs="宋体" w:eastAsia="宋体" w:hint="default"/>
                <w:sz w:val="18"/>
                <w:szCs w:val="18"/>
              </w:rPr>
            </w:pPr>
            <w:r>
              <w:rPr>
                <w:rFonts w:ascii="宋体" w:hAnsi="宋体" w:cs="宋体" w:eastAsia="宋体" w:hint="default"/>
                <w:sz w:val="18"/>
                <w:szCs w:val="18"/>
              </w:rPr>
              <w:t>上海亦复信息 公司</w:t>
            </w:r>
          </w:p>
        </w:tc>
        <w:tc>
          <w:tcPr>
            <w:tcW w:w="1808" w:type="dxa"/>
            <w:vMerge w:val="restart"/>
            <w:tcBorders>
              <w:top w:val="single" w:sz="8" w:space="0" w:color="000000"/>
              <w:left w:val="single" w:sz="6" w:space="0" w:color="000000"/>
              <w:right w:val="single" w:sz="6" w:space="0" w:color="000000"/>
            </w:tcBorders>
          </w:tcPr>
          <w:p>
            <w:pPr>
              <w:pStyle w:val="TableParagraph"/>
              <w:spacing w:line="316" w:lineRule="auto" w:before="15"/>
              <w:ind w:left="2" w:right="169"/>
              <w:jc w:val="left"/>
              <w:rPr>
                <w:rFonts w:ascii="宋体" w:hAnsi="宋体" w:cs="宋体" w:eastAsia="宋体" w:hint="default"/>
                <w:sz w:val="18"/>
                <w:szCs w:val="18"/>
              </w:rPr>
            </w:pPr>
            <w:r>
              <w:rPr>
                <w:rFonts w:ascii="宋体" w:hAnsi="宋体" w:cs="宋体" w:eastAsia="宋体" w:hint="default"/>
                <w:sz w:val="18"/>
                <w:szCs w:val="18"/>
              </w:rPr>
              <w:t>上海菲索广告有限公 司</w:t>
            </w:r>
          </w:p>
        </w:tc>
        <w:tc>
          <w:tcPr>
            <w:tcW w:w="1187" w:type="dxa"/>
            <w:vMerge w:val="restart"/>
            <w:tcBorders>
              <w:top w:val="single" w:sz="8" w:space="0" w:color="000000"/>
              <w:left w:val="single" w:sz="6" w:space="0" w:color="000000"/>
              <w:right w:val="single" w:sz="6" w:space="0" w:color="000000"/>
            </w:tcBorders>
          </w:tcPr>
          <w:p>
            <w:pPr>
              <w:pStyle w:val="TableParagraph"/>
              <w:spacing w:line="240" w:lineRule="auto" w:before="55"/>
              <w:ind w:left="540" w:right="0"/>
              <w:jc w:val="left"/>
              <w:rPr>
                <w:rFonts w:ascii="Times New Roman" w:hAnsi="Times New Roman" w:cs="Times New Roman" w:eastAsia="Times New Roman" w:hint="default"/>
                <w:sz w:val="18"/>
                <w:szCs w:val="18"/>
              </w:rPr>
            </w:pPr>
            <w:r>
              <w:rPr>
                <w:rFonts w:ascii="Times New Roman"/>
                <w:sz w:val="18"/>
              </w:rPr>
              <w:t>3,000.00</w:t>
            </w:r>
          </w:p>
        </w:tc>
        <w:tc>
          <w:tcPr>
            <w:tcW w:w="1160" w:type="dxa"/>
            <w:vMerge w:val="restart"/>
            <w:tcBorders>
              <w:top w:val="single" w:sz="8" w:space="0" w:color="000000"/>
              <w:left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373" w:type="dxa"/>
            <w:vMerge w:val="restart"/>
            <w:tcBorders>
              <w:top w:val="single" w:sz="8" w:space="0" w:color="000000"/>
              <w:left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2126" w:type="dxa"/>
            <w:vMerge w:val="restart"/>
            <w:tcBorders>
              <w:top w:val="single" w:sz="8" w:space="0" w:color="000000"/>
              <w:left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808" w:type="dxa"/>
            <w:vMerge/>
            <w:tcBorders>
              <w:left w:val="single" w:sz="6" w:space="0" w:color="000000"/>
              <w:bottom w:val="single" w:sz="8" w:space="0" w:color="000000"/>
              <w:right w:val="single" w:sz="6" w:space="0" w:color="000000"/>
            </w:tcBorders>
          </w:tcPr>
          <w:p>
            <w:pPr/>
          </w:p>
        </w:tc>
        <w:tc>
          <w:tcPr>
            <w:tcW w:w="1187" w:type="dxa"/>
            <w:vMerge/>
            <w:tcBorders>
              <w:left w:val="single" w:sz="6" w:space="0" w:color="000000"/>
              <w:bottom w:val="single" w:sz="8" w:space="0" w:color="000000"/>
              <w:right w:val="single" w:sz="6" w:space="0" w:color="000000"/>
            </w:tcBorders>
          </w:tcPr>
          <w:p>
            <w:pPr/>
          </w:p>
        </w:tc>
        <w:tc>
          <w:tcPr>
            <w:tcW w:w="1160" w:type="dxa"/>
            <w:vMerge/>
            <w:tcBorders>
              <w:left w:val="single" w:sz="6" w:space="0" w:color="000000"/>
              <w:bottom w:val="single" w:sz="8" w:space="0" w:color="000000"/>
              <w:right w:val="single" w:sz="6" w:space="0" w:color="000000"/>
            </w:tcBorders>
          </w:tcPr>
          <w:p>
            <w:pPr/>
          </w:p>
        </w:tc>
        <w:tc>
          <w:tcPr>
            <w:tcW w:w="1373" w:type="dxa"/>
            <w:vMerge/>
            <w:tcBorders>
              <w:left w:val="single" w:sz="6" w:space="0" w:color="000000"/>
              <w:bottom w:val="single" w:sz="8" w:space="0" w:color="000000"/>
              <w:right w:val="single" w:sz="6" w:space="0" w:color="000000"/>
            </w:tcBorders>
          </w:tcPr>
          <w:p>
            <w:pPr/>
          </w:p>
        </w:tc>
        <w:tc>
          <w:tcPr>
            <w:tcW w:w="2126" w:type="dxa"/>
            <w:vMerge/>
            <w:tcBorders>
              <w:left w:val="single" w:sz="6" w:space="0" w:color="000000"/>
              <w:bottom w:val="single" w:sz="8" w:space="0" w:color="000000"/>
              <w:right w:val="single" w:sz="6" w:space="0" w:color="000000"/>
            </w:tcBorders>
          </w:tcPr>
          <w:p>
            <w:pPr/>
          </w:p>
        </w:tc>
      </w:tr>
      <w:tr>
        <w:trPr>
          <w:trHeight w:val="347"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808" w:type="dxa"/>
            <w:vMerge w:val="restart"/>
            <w:tcBorders>
              <w:top w:val="single" w:sz="8" w:space="0" w:color="000000"/>
              <w:left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187" w:type="dxa"/>
            <w:vMerge w:val="restart"/>
            <w:tcBorders>
              <w:top w:val="single" w:sz="8" w:space="0" w:color="000000"/>
              <w:left w:val="single" w:sz="6" w:space="0" w:color="000000"/>
              <w:right w:val="single" w:sz="6" w:space="0" w:color="000000"/>
            </w:tcBorders>
          </w:tcPr>
          <w:p>
            <w:pPr>
              <w:pStyle w:val="TableParagraph"/>
              <w:spacing w:line="240" w:lineRule="auto" w:before="56"/>
              <w:ind w:left="540" w:right="0"/>
              <w:jc w:val="left"/>
              <w:rPr>
                <w:rFonts w:ascii="Times New Roman" w:hAnsi="Times New Roman" w:cs="Times New Roman" w:eastAsia="Times New Roman" w:hint="default"/>
                <w:sz w:val="18"/>
                <w:szCs w:val="18"/>
              </w:rPr>
            </w:pPr>
            <w:r>
              <w:rPr>
                <w:rFonts w:ascii="Times New Roman"/>
                <w:sz w:val="18"/>
              </w:rPr>
              <w:t>3,000.00</w:t>
            </w:r>
          </w:p>
        </w:tc>
        <w:tc>
          <w:tcPr>
            <w:tcW w:w="1160" w:type="dxa"/>
            <w:vMerge w:val="restart"/>
            <w:tcBorders>
              <w:top w:val="single" w:sz="8" w:space="0" w:color="000000"/>
              <w:left w:val="single" w:sz="6" w:space="0" w:color="000000"/>
              <w:right w:val="single" w:sz="6" w:space="0" w:color="000000"/>
            </w:tcBorders>
          </w:tcPr>
          <w:p>
            <w:pPr>
              <w:pStyle w:val="TableParagraph"/>
              <w:spacing w:line="240" w:lineRule="auto" w:before="56"/>
              <w:ind w:left="503" w:right="0"/>
              <w:jc w:val="left"/>
              <w:rPr>
                <w:rFonts w:ascii="Times New Roman" w:hAnsi="Times New Roman" w:cs="Times New Roman" w:eastAsia="Times New Roman" w:hint="default"/>
                <w:sz w:val="18"/>
                <w:szCs w:val="18"/>
              </w:rPr>
            </w:pPr>
            <w:r>
              <w:rPr>
                <w:rFonts w:ascii="Times New Roman"/>
                <w:sz w:val="18"/>
              </w:rPr>
              <w:t>2017/7/7</w:t>
            </w:r>
          </w:p>
        </w:tc>
        <w:tc>
          <w:tcPr>
            <w:tcW w:w="1373" w:type="dxa"/>
            <w:vMerge w:val="restart"/>
            <w:tcBorders>
              <w:top w:val="single" w:sz="8" w:space="0" w:color="000000"/>
              <w:left w:val="single" w:sz="6" w:space="0" w:color="000000"/>
              <w:right w:val="single" w:sz="6" w:space="0" w:color="000000"/>
            </w:tcBorders>
          </w:tcPr>
          <w:p>
            <w:pPr>
              <w:pStyle w:val="TableParagraph"/>
              <w:spacing w:line="240" w:lineRule="auto" w:before="56"/>
              <w:ind w:left="715" w:right="0"/>
              <w:jc w:val="left"/>
              <w:rPr>
                <w:rFonts w:ascii="Times New Roman" w:hAnsi="Times New Roman" w:cs="Times New Roman" w:eastAsia="Times New Roman" w:hint="default"/>
                <w:sz w:val="18"/>
                <w:szCs w:val="18"/>
              </w:rPr>
            </w:pPr>
            <w:r>
              <w:rPr>
                <w:rFonts w:ascii="Times New Roman"/>
                <w:sz w:val="18"/>
              </w:rPr>
              <w:t>2018/7/6</w:t>
            </w:r>
          </w:p>
        </w:tc>
        <w:tc>
          <w:tcPr>
            <w:tcW w:w="2126" w:type="dxa"/>
            <w:vMerge w:val="restart"/>
            <w:tcBorders>
              <w:top w:val="single" w:sz="8" w:space="0" w:color="000000"/>
              <w:left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1844"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肖燕</w:t>
            </w:r>
          </w:p>
        </w:tc>
        <w:tc>
          <w:tcPr>
            <w:tcW w:w="1808" w:type="dxa"/>
            <w:vMerge/>
            <w:tcBorders>
              <w:left w:val="single" w:sz="6" w:space="0" w:color="000000"/>
              <w:bottom w:val="single" w:sz="8" w:space="0" w:color="000000"/>
              <w:right w:val="single" w:sz="6" w:space="0" w:color="000000"/>
            </w:tcBorders>
          </w:tcPr>
          <w:p>
            <w:pPr/>
          </w:p>
        </w:tc>
        <w:tc>
          <w:tcPr>
            <w:tcW w:w="1187" w:type="dxa"/>
            <w:vMerge/>
            <w:tcBorders>
              <w:left w:val="single" w:sz="6" w:space="0" w:color="000000"/>
              <w:bottom w:val="single" w:sz="8" w:space="0" w:color="000000"/>
              <w:right w:val="single" w:sz="6" w:space="0" w:color="000000"/>
            </w:tcBorders>
          </w:tcPr>
          <w:p>
            <w:pPr/>
          </w:p>
        </w:tc>
        <w:tc>
          <w:tcPr>
            <w:tcW w:w="1160" w:type="dxa"/>
            <w:vMerge/>
            <w:tcBorders>
              <w:left w:val="single" w:sz="6" w:space="0" w:color="000000"/>
              <w:bottom w:val="single" w:sz="8" w:space="0" w:color="000000"/>
              <w:right w:val="single" w:sz="6" w:space="0" w:color="000000"/>
            </w:tcBorders>
          </w:tcPr>
          <w:p>
            <w:pPr/>
          </w:p>
        </w:tc>
        <w:tc>
          <w:tcPr>
            <w:tcW w:w="1373" w:type="dxa"/>
            <w:vMerge/>
            <w:tcBorders>
              <w:left w:val="single" w:sz="6" w:space="0" w:color="000000"/>
              <w:bottom w:val="single" w:sz="8" w:space="0" w:color="000000"/>
              <w:right w:val="single" w:sz="6" w:space="0" w:color="000000"/>
            </w:tcBorders>
          </w:tcPr>
          <w:p>
            <w:pPr/>
          </w:p>
        </w:tc>
        <w:tc>
          <w:tcPr>
            <w:tcW w:w="2126" w:type="dxa"/>
            <w:vMerge/>
            <w:tcBorders>
              <w:left w:val="single" w:sz="6" w:space="0" w:color="000000"/>
              <w:bottom w:val="single" w:sz="8"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Rodrigo</w:t>
            </w:r>
            <w:r>
              <w:rPr>
                <w:rFonts w:ascii="Times New Roman"/>
                <w:spacing w:val="-2"/>
                <w:sz w:val="18"/>
              </w:rPr>
              <w:t> </w:t>
            </w:r>
            <w:r>
              <w:rPr>
                <w:rFonts w:ascii="Times New Roman"/>
                <w:sz w:val="18"/>
              </w:rPr>
              <w:t>Sales</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，单位： 美元</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Michael</w:t>
            </w:r>
            <w:r>
              <w:rPr>
                <w:rFonts w:ascii="Times New Roman"/>
                <w:spacing w:val="-3"/>
                <w:sz w:val="18"/>
              </w:rPr>
              <w:t> </w:t>
            </w:r>
            <w:r>
              <w:rPr>
                <w:rFonts w:ascii="Times New Roman"/>
                <w:sz w:val="18"/>
              </w:rPr>
              <w:t>Levitt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，单位： 美元</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Ryan</w:t>
            </w:r>
            <w:r>
              <w:rPr>
                <w:rFonts w:ascii="Times New Roman"/>
                <w:spacing w:val="-13"/>
                <w:sz w:val="18"/>
              </w:rPr>
              <w:t> </w:t>
            </w:r>
            <w:r>
              <w:rPr>
                <w:rFonts w:ascii="Times New Roman"/>
                <w:sz w:val="18"/>
              </w:rPr>
              <w:t>Stephens</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，单位： 美元</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计付、计收关联方利息</w:t>
      </w:r>
    </w:p>
    <w:p>
      <w:pPr>
        <w:spacing w:line="240" w:lineRule="auto" w:before="12"/>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3502"/>
        <w:gridCol w:w="2057"/>
        <w:gridCol w:w="1634"/>
        <w:gridCol w:w="1345"/>
      </w:tblGrid>
      <w:tr>
        <w:trPr>
          <w:trHeight w:val="263" w:hRule="exact"/>
        </w:trPr>
        <w:tc>
          <w:tcPr>
            <w:tcW w:w="3502" w:type="dxa"/>
            <w:tcBorders>
              <w:top w:val="nil" w:sz="6" w:space="0" w:color="auto"/>
              <w:left w:val="nil" w:sz="6" w:space="0" w:color="auto"/>
              <w:bottom w:val="single" w:sz="6"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057" w:type="dxa"/>
            <w:tcBorders>
              <w:top w:val="nil" w:sz="6" w:space="0" w:color="auto"/>
              <w:left w:val="nil" w:sz="6" w:space="0" w:color="auto"/>
              <w:bottom w:val="single" w:sz="6" w:space="0" w:color="000000"/>
              <w:right w:val="nil" w:sz="6" w:space="0" w:color="auto"/>
            </w:tcBorders>
          </w:tcPr>
          <w:p>
            <w:pPr>
              <w:pStyle w:val="TableParagraph"/>
              <w:spacing w:line="180" w:lineRule="exact"/>
              <w:ind w:right="374"/>
              <w:jc w:val="righ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sz w:val="18"/>
                <w:szCs w:val="18"/>
              </w:rPr>
            </w:r>
          </w:p>
        </w:tc>
        <w:tc>
          <w:tcPr>
            <w:tcW w:w="1634" w:type="dxa"/>
            <w:tcBorders>
              <w:top w:val="nil" w:sz="6" w:space="0" w:color="auto"/>
              <w:left w:val="nil" w:sz="6" w:space="0" w:color="auto"/>
              <w:bottom w:val="single" w:sz="6" w:space="0" w:color="000000"/>
              <w:right w:val="nil" w:sz="6" w:space="0" w:color="auto"/>
            </w:tcBorders>
          </w:tcPr>
          <w:p>
            <w:pPr>
              <w:pStyle w:val="TableParagraph"/>
              <w:spacing w:line="180" w:lineRule="exact"/>
              <w:ind w:right="352"/>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345" w:type="dxa"/>
            <w:tcBorders>
              <w:top w:val="nil" w:sz="6" w:space="0" w:color="auto"/>
              <w:left w:val="nil" w:sz="6" w:space="0" w:color="auto"/>
              <w:bottom w:val="single" w:sz="6" w:space="0" w:color="000000"/>
              <w:right w:val="nil" w:sz="6" w:space="0" w:color="auto"/>
            </w:tcBorders>
          </w:tcPr>
          <w:p>
            <w:pPr>
              <w:pStyle w:val="TableParagraph"/>
              <w:spacing w:line="180" w:lineRule="exact"/>
              <w:ind w:right="45"/>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37"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计付利息：</w:t>
            </w:r>
          </w:p>
        </w:tc>
        <w:tc>
          <w:tcPr>
            <w:tcW w:w="2057" w:type="dxa"/>
            <w:tcBorders>
              <w:top w:val="single" w:sz="6" w:space="0" w:color="000000"/>
              <w:left w:val="nil" w:sz="6" w:space="0" w:color="auto"/>
              <w:bottom w:val="single" w:sz="6" w:space="0" w:color="000000"/>
              <w:right w:val="nil" w:sz="6" w:space="0" w:color="auto"/>
            </w:tcBorders>
          </w:tcPr>
          <w:p>
            <w:pPr/>
          </w:p>
        </w:tc>
        <w:tc>
          <w:tcPr>
            <w:tcW w:w="1634" w:type="dxa"/>
            <w:tcBorders>
              <w:top w:val="single" w:sz="6" w:space="0" w:color="000000"/>
              <w:left w:val="nil" w:sz="6" w:space="0" w:color="auto"/>
              <w:bottom w:val="single" w:sz="6" w:space="0" w:color="000000"/>
              <w:right w:val="nil" w:sz="6" w:space="0" w:color="auto"/>
            </w:tcBorders>
          </w:tcPr>
          <w:p>
            <w:pPr/>
          </w:p>
        </w:tc>
        <w:tc>
          <w:tcPr>
            <w:tcW w:w="1345" w:type="dxa"/>
            <w:tcBorders>
              <w:top w:val="single" w:sz="6" w:space="0" w:color="000000"/>
              <w:left w:val="nil" w:sz="6" w:space="0" w:color="auto"/>
              <w:bottom w:val="single" w:sz="6" w:space="0" w:color="000000"/>
              <w:right w:val="nil" w:sz="6" w:space="0" w:color="auto"/>
            </w:tcBorders>
          </w:tcPr>
          <w:p>
            <w:pPr/>
          </w:p>
        </w:tc>
      </w:tr>
      <w:tr>
        <w:trPr>
          <w:trHeight w:val="337"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51"/>
              <w:jc w:val="right"/>
              <w:rPr>
                <w:rFonts w:ascii="Times New Roman" w:hAnsi="Times New Roman" w:cs="Times New Roman" w:eastAsia="Times New Roman" w:hint="default"/>
                <w:sz w:val="18"/>
                <w:szCs w:val="18"/>
              </w:rPr>
            </w:pPr>
            <w:r>
              <w:rPr>
                <w:rFonts w:ascii="Times New Roman"/>
                <w:sz w:val="18"/>
              </w:rPr>
              <w:t>67,812.33</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4"/>
              <w:jc w:val="right"/>
              <w:rPr>
                <w:rFonts w:ascii="Times New Roman" w:hAnsi="Times New Roman" w:cs="Times New Roman" w:eastAsia="Times New Roman" w:hint="default"/>
                <w:sz w:val="18"/>
                <w:szCs w:val="18"/>
              </w:rPr>
            </w:pPr>
            <w:r>
              <w:rPr>
                <w:rFonts w:ascii="Times New Roman"/>
                <w:sz w:val="18"/>
              </w:rPr>
              <w:t>115,364.38</w:t>
            </w:r>
          </w:p>
        </w:tc>
      </w:tr>
      <w:tr>
        <w:trPr>
          <w:trHeight w:val="337"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Rodrigo</w:t>
            </w:r>
            <w:r>
              <w:rPr>
                <w:rFonts w:ascii="Times New Roman"/>
                <w:spacing w:val="-2"/>
                <w:sz w:val="18"/>
              </w:rPr>
              <w:t> </w:t>
            </w:r>
            <w:r>
              <w:rPr>
                <w:rFonts w:ascii="Times New Roman"/>
                <w:sz w:val="18"/>
              </w:rPr>
              <w:t>Sales</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51"/>
              <w:jc w:val="right"/>
              <w:rPr>
                <w:rFonts w:ascii="Times New Roman" w:hAnsi="Times New Roman" w:cs="Times New Roman" w:eastAsia="Times New Roman" w:hint="default"/>
                <w:sz w:val="18"/>
                <w:szCs w:val="18"/>
              </w:rPr>
            </w:pPr>
            <w:r>
              <w:rPr>
                <w:rFonts w:ascii="Times New Roman"/>
                <w:sz w:val="18"/>
              </w:rPr>
              <w:t>450,397.50</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4"/>
              <w:jc w:val="right"/>
              <w:rPr>
                <w:rFonts w:ascii="Times New Roman" w:hAnsi="Times New Roman" w:cs="Times New Roman" w:eastAsia="Times New Roman" w:hint="default"/>
                <w:sz w:val="18"/>
                <w:szCs w:val="18"/>
              </w:rPr>
            </w:pPr>
            <w:r>
              <w:rPr>
                <w:rFonts w:ascii="Times New Roman"/>
                <w:spacing w:val="-1"/>
                <w:sz w:val="18"/>
              </w:rPr>
              <w:t>1,060,285.10</w:t>
            </w:r>
          </w:p>
        </w:tc>
      </w:tr>
      <w:tr>
        <w:trPr>
          <w:trHeight w:val="336"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Michael</w:t>
            </w:r>
            <w:r>
              <w:rPr>
                <w:rFonts w:ascii="Times New Roman"/>
                <w:spacing w:val="-3"/>
                <w:sz w:val="18"/>
              </w:rPr>
              <w:t> </w:t>
            </w:r>
            <w:r>
              <w:rPr>
                <w:rFonts w:ascii="Times New Roman"/>
                <w:sz w:val="18"/>
              </w:rPr>
              <w:t>Levitt</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51"/>
              <w:jc w:val="right"/>
              <w:rPr>
                <w:rFonts w:ascii="Times New Roman" w:hAnsi="Times New Roman" w:cs="Times New Roman" w:eastAsia="Times New Roman" w:hint="default"/>
                <w:sz w:val="18"/>
                <w:szCs w:val="18"/>
              </w:rPr>
            </w:pPr>
            <w:r>
              <w:rPr>
                <w:rFonts w:ascii="Times New Roman"/>
                <w:sz w:val="18"/>
              </w:rPr>
              <w:t>228,773.33</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4"/>
              <w:jc w:val="right"/>
              <w:rPr>
                <w:rFonts w:ascii="Times New Roman" w:hAnsi="Times New Roman" w:cs="Times New Roman" w:eastAsia="Times New Roman" w:hint="default"/>
                <w:sz w:val="18"/>
                <w:szCs w:val="18"/>
              </w:rPr>
            </w:pPr>
            <w:r>
              <w:rPr>
                <w:rFonts w:ascii="Times New Roman"/>
                <w:sz w:val="18"/>
              </w:rPr>
              <w:t>538,557.49</w:t>
            </w:r>
          </w:p>
        </w:tc>
      </w:tr>
      <w:tr>
        <w:trPr>
          <w:trHeight w:val="337"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sz w:val="18"/>
              </w:rPr>
              <w:t>Ryan</w:t>
            </w:r>
            <w:r>
              <w:rPr>
                <w:rFonts w:ascii="Times New Roman"/>
                <w:spacing w:val="-3"/>
                <w:sz w:val="18"/>
              </w:rPr>
              <w:t> </w:t>
            </w:r>
            <w:r>
              <w:rPr>
                <w:rFonts w:ascii="Times New Roman"/>
                <w:sz w:val="18"/>
              </w:rPr>
              <w:t>Stephens</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351"/>
              <w:jc w:val="right"/>
              <w:rPr>
                <w:rFonts w:ascii="Times New Roman" w:hAnsi="Times New Roman" w:cs="Times New Roman" w:eastAsia="Times New Roman" w:hint="default"/>
                <w:sz w:val="18"/>
                <w:szCs w:val="18"/>
              </w:rPr>
            </w:pPr>
            <w:r>
              <w:rPr>
                <w:rFonts w:ascii="Times New Roman"/>
                <w:sz w:val="18"/>
              </w:rPr>
              <w:t>35,745.83</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z w:val="18"/>
              </w:rPr>
              <w:t>84,149.60</w:t>
            </w:r>
          </w:p>
        </w:tc>
      </w:tr>
      <w:tr>
        <w:trPr>
          <w:trHeight w:val="337"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智度德普有限合伙</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352"/>
              <w:jc w:val="righ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pacing w:val="-1"/>
                <w:sz w:val="18"/>
              </w:rPr>
              <w:t>4,126,302.74</w:t>
            </w:r>
          </w:p>
        </w:tc>
      </w:tr>
      <w:tr>
        <w:trPr>
          <w:trHeight w:val="649"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316" w:lineRule="auto" w:before="11"/>
              <w:ind w:left="24" w:right="957"/>
              <w:jc w:val="left"/>
              <w:rPr>
                <w:rFonts w:ascii="宋体" w:hAnsi="宋体" w:cs="宋体" w:eastAsia="宋体" w:hint="default"/>
                <w:sz w:val="18"/>
                <w:szCs w:val="18"/>
              </w:rPr>
            </w:pPr>
            <w:r>
              <w:rPr>
                <w:rFonts w:ascii="宋体" w:hAnsi="宋体" w:cs="宋体" w:eastAsia="宋体" w:hint="default"/>
                <w:sz w:val="18"/>
                <w:szCs w:val="18"/>
              </w:rPr>
              <w:t>智度德普股权投资（香港）有限 公司</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352"/>
              <w:jc w:val="righ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18"/>
                <w:szCs w:val="18"/>
              </w:rPr>
            </w:pPr>
            <w:r>
              <w:rPr>
                <w:rFonts w:ascii="Times New Roman"/>
                <w:spacing w:val="-1"/>
                <w:sz w:val="18"/>
              </w:rPr>
              <w:t>4,483,526.12</w:t>
            </w:r>
          </w:p>
        </w:tc>
      </w:tr>
      <w:tr>
        <w:trPr>
          <w:trHeight w:val="337" w:hRule="exact"/>
        </w:trPr>
        <w:tc>
          <w:tcPr>
            <w:tcW w:w="350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上海易晋网络科技有限公司</w:t>
            </w:r>
          </w:p>
        </w:tc>
        <w:tc>
          <w:tcPr>
            <w:tcW w:w="20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163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52"/>
              <w:jc w:val="righ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4"/>
              <w:jc w:val="right"/>
              <w:rPr>
                <w:rFonts w:ascii="Times New Roman" w:hAnsi="Times New Roman" w:cs="Times New Roman" w:eastAsia="Times New Roman" w:hint="default"/>
                <w:sz w:val="18"/>
                <w:szCs w:val="18"/>
              </w:rPr>
            </w:pPr>
            <w:r>
              <w:rPr>
                <w:rFonts w:ascii="Times New Roman"/>
                <w:sz w:val="18"/>
              </w:rPr>
              <w:t>258,704.17</w:t>
            </w:r>
          </w:p>
        </w:tc>
      </w:tr>
    </w:tbl>
    <w:p>
      <w:pPr>
        <w:pStyle w:val="Heading5"/>
        <w:spacing w:line="260" w:lineRule="exact"/>
        <w:ind w:right="0"/>
        <w:jc w:val="left"/>
      </w:pPr>
      <w:r>
        <w:rPr/>
        <w:t>其他关联交易</w:t>
      </w:r>
    </w:p>
    <w:p>
      <w:pPr>
        <w:spacing w:line="240" w:lineRule="auto" w:before="13"/>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4638"/>
        <w:gridCol w:w="2335"/>
        <w:gridCol w:w="1550"/>
      </w:tblGrid>
      <w:tr>
        <w:trPr>
          <w:trHeight w:val="349" w:hRule="exact"/>
        </w:trPr>
        <w:tc>
          <w:tcPr>
            <w:tcW w:w="4638"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35"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635"/>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55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660" w:hRule="exact"/>
        </w:trPr>
        <w:tc>
          <w:tcPr>
            <w:tcW w:w="4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6"/>
              <w:ind w:left="9" w:right="570"/>
              <w:jc w:val="left"/>
              <w:rPr>
                <w:rFonts w:ascii="宋体" w:hAnsi="宋体" w:cs="宋体" w:eastAsia="宋体" w:hint="default"/>
                <w:sz w:val="18"/>
                <w:szCs w:val="18"/>
              </w:rPr>
            </w:pPr>
            <w:r>
              <w:rPr>
                <w:rFonts w:ascii="宋体" w:hAnsi="宋体" w:cs="宋体" w:eastAsia="宋体" w:hint="default"/>
                <w:spacing w:val="-4"/>
                <w:sz w:val="18"/>
                <w:szCs w:val="18"/>
              </w:rPr>
              <w:t>深圳智度惠信新兴产业股权投资基金合伙企业（有限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惠信基金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3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35"/>
              <w:jc w:val="right"/>
              <w:rPr>
                <w:rFonts w:ascii="Times New Roman" w:hAnsi="Times New Roman" w:cs="Times New Roman" w:eastAsia="Times New Roman" w:hint="default"/>
                <w:sz w:val="18"/>
                <w:szCs w:val="18"/>
              </w:rPr>
            </w:pPr>
            <w:r>
              <w:rPr>
                <w:rFonts w:ascii="Times New Roman"/>
                <w:spacing w:val="-1"/>
                <w:sz w:val="18"/>
              </w:rPr>
              <w:t>205,000,000.00</w:t>
            </w:r>
          </w:p>
        </w:tc>
        <w:tc>
          <w:tcPr>
            <w:tcW w:w="155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13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日，本公司召开的第八届董事会第三次会议审议通过了《关于拟认购产业投资基金份额的议案》，同意本公司以</w:t>
      </w:r>
      <w:r>
        <w:rPr>
          <w:spacing w:val="-60"/>
        </w:rPr>
        <w:t> </w:t>
      </w:r>
      <w:r>
        <w:rPr>
          <w:spacing w:val="-60"/>
        </w:rPr>
      </w:r>
      <w:r>
        <w:rPr>
          <w:spacing w:val="-2"/>
        </w:rPr>
        <w:t>自有资金认购深圳智度德信股权投资管理有限公司发起设立的惠信基金的基金份额。惠信基金总规模</w:t>
      </w:r>
      <w:r>
        <w:rPr>
          <w:rFonts w:ascii="Times New Roman" w:hAnsi="Times New Roman" w:cs="Times New Roman" w:eastAsia="Times New Roman" w:hint="default"/>
          <w:spacing w:val="-2"/>
        </w:rPr>
        <w:t>30</w:t>
      </w:r>
      <w:r>
        <w:rPr>
          <w:spacing w:val="-2"/>
        </w:rPr>
        <w:t>亿元，本公司首次认</w:t>
      </w:r>
      <w:r>
        <w:rPr>
          <w:spacing w:val="-61"/>
        </w:rPr>
        <w:t> </w:t>
      </w:r>
      <w:r>
        <w:rPr>
          <w:spacing w:val="-61"/>
        </w:rPr>
      </w:r>
      <w:r>
        <w:rPr/>
        <w:t>缴出资额为</w:t>
      </w:r>
      <w:r>
        <w:rPr>
          <w:rFonts w:ascii="Times New Roman" w:hAnsi="Times New Roman" w:cs="Times New Roman" w:eastAsia="Times New Roman" w:hint="default"/>
        </w:rPr>
        <w:t>4.1</w:t>
      </w:r>
      <w:r>
        <w:rPr/>
        <w:t>亿元，截止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2.05</w:t>
      </w:r>
      <w:r>
        <w:rPr/>
        <w:t>亿元</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6"/>
          <w:szCs w:val="16"/>
        </w:rPr>
      </w:pPr>
    </w:p>
    <w:p>
      <w:pPr>
        <w:pStyle w:val="Heading4"/>
        <w:spacing w:line="240" w:lineRule="auto"/>
        <w:ind w:right="0"/>
        <w:jc w:val="both"/>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应收项目" w:id="457"/>
      <w:bookmarkEnd w:id="45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福建风灵创景科技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21,882.42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深圳智度德信股权 投资管理有限公司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322,113.78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7,821.74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深圳市隽川科技有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96,241.69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64,091.49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15,549.22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11,118.26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Rodrigo</w:t>
            </w:r>
            <w:r>
              <w:rPr>
                <w:rFonts w:ascii="Times New Roman"/>
                <w:spacing w:val="-2"/>
                <w:sz w:val="18"/>
              </w:rPr>
              <w:t> </w:t>
            </w:r>
            <w:r>
              <w:rPr>
                <w:rFonts w:ascii="Times New Roman"/>
                <w:sz w:val="18"/>
              </w:rPr>
              <w:t>Sales</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20,840,014.12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Michael</w:t>
            </w:r>
            <w:r>
              <w:rPr>
                <w:rFonts w:ascii="Times New Roman"/>
                <w:spacing w:val="-3"/>
                <w:sz w:val="18"/>
              </w:rPr>
              <w:t> </w:t>
            </w:r>
            <w:r>
              <w:rPr>
                <w:rFonts w:ascii="Times New Roman"/>
                <w:sz w:val="18"/>
              </w:rPr>
              <w:t>Levit</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10,585,404.00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Ryan</w:t>
            </w:r>
            <w:r>
              <w:rPr>
                <w:rFonts w:ascii="Times New Roman"/>
                <w:spacing w:val="-13"/>
                <w:sz w:val="18"/>
              </w:rPr>
              <w:t> </w:t>
            </w:r>
            <w:r>
              <w:rPr>
                <w:rFonts w:ascii="Times New Roman"/>
                <w:sz w:val="18"/>
              </w:rPr>
              <w:t>Stephens</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1,653,969.38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115,364.38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Rodrigo Sales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等原股东</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299,191,739.44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Rodrigo Sales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等原股东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314,256,182.26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254,604,253.55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1"/>
      <w:bookmarkEnd w:id="46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87,289,293.00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35.67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35.67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参见说明</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按预计离职率及可行权条件确定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4,809,100.54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4,809,100.54</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15"/>
          <w:szCs w:val="15"/>
        </w:rPr>
      </w:pPr>
    </w:p>
    <w:p>
      <w:pPr>
        <w:pStyle w:val="BodyText"/>
        <w:spacing w:line="316" w:lineRule="auto"/>
        <w:ind w:right="0"/>
        <w:jc w:val="left"/>
      </w:pPr>
      <w:r>
        <w:rPr>
          <w:spacing w:val="-2"/>
        </w:rPr>
        <w:t>授予日限制性股票公允价值的确定方法如下：授予日限制性股票公允价值使用授予日股票收盘价减授予价格后的金额，确定</w:t>
      </w:r>
      <w:r>
        <w:rPr>
          <w:spacing w:val="-64"/>
        </w:rPr>
        <w:t> </w:t>
      </w:r>
      <w:r>
        <w:rPr>
          <w:spacing w:val="-64"/>
        </w:rPr>
      </w:r>
      <w:r>
        <w:rPr/>
        <w:t>的公允价值为</w:t>
      </w:r>
      <w:r>
        <w:rPr>
          <w:rFonts w:ascii="Times New Roman" w:hAnsi="Times New Roman" w:cs="Times New Roman" w:eastAsia="Times New Roman" w:hint="default"/>
        </w:rPr>
        <w:t>4.34</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16"/>
          <w:szCs w:val="16"/>
        </w:rPr>
      </w:pPr>
    </w:p>
    <w:p>
      <w:pPr>
        <w:pStyle w:val="BodyText"/>
        <w:spacing w:line="300" w:lineRule="auto"/>
        <w:ind w:right="0"/>
        <w:jc w:val="left"/>
      </w:pPr>
      <w:r>
        <w:rPr>
          <w:spacing w:val="-2"/>
        </w:rPr>
        <w:t>授予日期权公允价值的确定方法如下：使用布莱克</w:t>
      </w:r>
      <w:r>
        <w:rPr>
          <w:rFonts w:ascii="Times New Roman" w:hAnsi="Times New Roman" w:cs="Times New Roman" w:eastAsia="Times New Roman" w:hint="default"/>
          <w:spacing w:val="-2"/>
        </w:rPr>
        <w:t>-</w:t>
      </w:r>
      <w:r>
        <w:rPr>
          <w:spacing w:val="-2"/>
        </w:rPr>
        <w:t>斯科尔斯股票期权模型进行估计，确定的公允价值分别为</w:t>
      </w:r>
      <w:r>
        <w:rPr>
          <w:rFonts w:ascii="Times New Roman" w:hAnsi="Times New Roman" w:cs="Times New Roman" w:eastAsia="Times New Roman" w:hint="default"/>
          <w:spacing w:val="-2"/>
        </w:rPr>
        <w:t>1.41</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1.83</w:t>
      </w:r>
      <w:r>
        <w:rPr>
          <w:rFonts w:ascii="Times New Roman" w:hAnsi="Times New Roman" w:cs="Times New Roman" w:eastAsia="Times New Roman" w:hint="default"/>
          <w:spacing w:val="-28"/>
        </w:rPr>
        <w:t> </w:t>
      </w:r>
      <w:r>
        <w:rPr/>
        <w:t>元</w:t>
      </w:r>
      <w:r>
        <w:rPr>
          <w:rFonts w:ascii="Times New Roman" w:hAnsi="Times New Roman" w:cs="Times New Roman" w:eastAsia="Times New Roman" w:hint="default"/>
        </w:rPr>
        <w:t>/</w:t>
      </w:r>
      <w:r>
        <w:rPr/>
        <w:t>股及</w:t>
      </w:r>
      <w:r>
        <w:rPr>
          <w:rFonts w:ascii="Times New Roman" w:hAnsi="Times New Roman" w:cs="Times New Roman" w:eastAsia="Times New Roman" w:hint="default"/>
        </w:rPr>
        <w:t>2.75</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7"/>
      <w:bookmarkEnd w:id="46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8"/>
      <w:bookmarkEnd w:id="468"/>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9"/>
        <w:ind w:right="0"/>
        <w:jc w:val="left"/>
      </w:pPr>
      <w:r>
        <w:rPr/>
        <w:t>资产负债表日存在的重要承诺</w:t>
      </w:r>
    </w:p>
    <w:p>
      <w:pPr>
        <w:pStyle w:val="BodyText"/>
        <w:spacing w:line="240" w:lineRule="auto" w:before="115"/>
        <w:ind w:right="0"/>
        <w:jc w:val="left"/>
      </w:pPr>
      <w:r>
        <w:rPr/>
        <w:t>（</w:t>
      </w:r>
      <w:r>
        <w:rPr>
          <w:rFonts w:ascii="Times New Roman" w:hAnsi="Times New Roman" w:cs="Times New Roman" w:eastAsia="Times New Roman" w:hint="default"/>
        </w:rPr>
        <w:t>1</w:t>
      </w:r>
      <w:r>
        <w:rPr/>
        <w:t>）资本承诺</w:t>
      </w:r>
    </w:p>
    <w:p>
      <w:pPr>
        <w:spacing w:line="240" w:lineRule="auto" w:before="5"/>
        <w:rPr>
          <w:rFonts w:ascii="宋体" w:hAnsi="宋体" w:cs="宋体" w:eastAsia="宋体" w:hint="default"/>
          <w:sz w:val="26"/>
          <w:szCs w:val="26"/>
        </w:rPr>
      </w:pPr>
    </w:p>
    <w:tbl>
      <w:tblPr>
        <w:tblW w:w="0" w:type="auto"/>
        <w:jc w:val="left"/>
        <w:tblInd w:w="153" w:type="dxa"/>
        <w:tblLayout w:type="fixed"/>
        <w:tblCellMar>
          <w:top w:w="0" w:type="dxa"/>
          <w:left w:w="0" w:type="dxa"/>
          <w:bottom w:w="0" w:type="dxa"/>
          <w:right w:w="0" w:type="dxa"/>
        </w:tblCellMar>
        <w:tblLook w:val="01E0"/>
      </w:tblPr>
      <w:tblGrid>
        <w:gridCol w:w="4674"/>
        <w:gridCol w:w="2238"/>
        <w:gridCol w:w="1611"/>
      </w:tblGrid>
      <w:tr>
        <w:trPr>
          <w:trHeight w:val="263" w:hRule="exact"/>
        </w:trPr>
        <w:tc>
          <w:tcPr>
            <w:tcW w:w="4674" w:type="dxa"/>
            <w:tcBorders>
              <w:top w:val="nil" w:sz="6" w:space="0" w:color="auto"/>
              <w:left w:val="nil" w:sz="6" w:space="0" w:color="auto"/>
              <w:bottom w:val="single" w:sz="6" w:space="0" w:color="000000"/>
              <w:right w:val="nil" w:sz="6" w:space="0" w:color="auto"/>
            </w:tcBorders>
          </w:tcPr>
          <w:p>
            <w:pPr>
              <w:pStyle w:val="TableParagraph"/>
              <w:spacing w:line="180" w:lineRule="exact"/>
              <w:ind w:left="607" w:right="0"/>
              <w:jc w:val="left"/>
              <w:rPr>
                <w:rFonts w:ascii="宋体" w:hAnsi="宋体" w:cs="宋体" w:eastAsia="宋体" w:hint="default"/>
                <w:sz w:val="18"/>
                <w:szCs w:val="18"/>
              </w:rPr>
            </w:pPr>
            <w:r>
              <w:rPr>
                <w:rFonts w:ascii="宋体" w:hAnsi="宋体" w:cs="宋体" w:eastAsia="宋体" w:hint="default"/>
                <w:b/>
                <w:bCs/>
                <w:sz w:val="18"/>
                <w:szCs w:val="18"/>
              </w:rPr>
              <w:t>已签约但尚未于财务报表中确认的资本承诺</w:t>
            </w:r>
            <w:r>
              <w:rPr>
                <w:rFonts w:ascii="宋体" w:hAnsi="宋体" w:cs="宋体" w:eastAsia="宋体" w:hint="default"/>
                <w:sz w:val="18"/>
                <w:szCs w:val="18"/>
              </w:rPr>
            </w:r>
          </w:p>
        </w:tc>
        <w:tc>
          <w:tcPr>
            <w:tcW w:w="2238" w:type="dxa"/>
            <w:tcBorders>
              <w:top w:val="nil" w:sz="6" w:space="0" w:color="auto"/>
              <w:left w:val="nil" w:sz="6" w:space="0" w:color="auto"/>
              <w:bottom w:val="single" w:sz="6" w:space="0" w:color="000000"/>
              <w:right w:val="nil" w:sz="6" w:space="0" w:color="auto"/>
            </w:tcBorders>
          </w:tcPr>
          <w:p>
            <w:pPr>
              <w:pStyle w:val="TableParagraph"/>
              <w:spacing w:line="180" w:lineRule="exact"/>
              <w:ind w:right="336"/>
              <w:jc w:val="right"/>
              <w:rPr>
                <w:rFonts w:ascii="宋体" w:hAnsi="宋体" w:cs="宋体" w:eastAsia="宋体" w:hint="default"/>
                <w:sz w:val="18"/>
                <w:szCs w:val="18"/>
              </w:rPr>
            </w:pPr>
            <w:r>
              <w:rPr>
                <w:rFonts w:ascii="宋体" w:hAnsi="宋体" w:cs="宋体" w:eastAsia="宋体" w:hint="default"/>
                <w:b/>
                <w:bCs/>
                <w:w w:val="95"/>
                <w:sz w:val="18"/>
                <w:szCs w:val="18"/>
              </w:rPr>
              <w:t>期末数（万元）</w:t>
            </w:r>
            <w:r>
              <w:rPr>
                <w:rFonts w:ascii="宋体" w:hAnsi="宋体" w:cs="宋体" w:eastAsia="宋体" w:hint="default"/>
                <w:sz w:val="18"/>
                <w:szCs w:val="18"/>
              </w:rPr>
            </w:r>
          </w:p>
        </w:tc>
        <w:tc>
          <w:tcPr>
            <w:tcW w:w="1611" w:type="dxa"/>
            <w:tcBorders>
              <w:top w:val="nil" w:sz="6" w:space="0" w:color="auto"/>
              <w:left w:val="nil" w:sz="6" w:space="0" w:color="auto"/>
              <w:bottom w:val="single" w:sz="6" w:space="0" w:color="000000"/>
              <w:right w:val="nil" w:sz="6" w:space="0" w:color="auto"/>
            </w:tcBorders>
          </w:tcPr>
          <w:p>
            <w:pPr>
              <w:pStyle w:val="TableParagraph"/>
              <w:spacing w:line="180" w:lineRule="exact"/>
              <w:ind w:right="10"/>
              <w:jc w:val="right"/>
              <w:rPr>
                <w:rFonts w:ascii="宋体" w:hAnsi="宋体" w:cs="宋体" w:eastAsia="宋体" w:hint="default"/>
                <w:sz w:val="18"/>
                <w:szCs w:val="18"/>
              </w:rPr>
            </w:pPr>
            <w:r>
              <w:rPr>
                <w:rFonts w:ascii="宋体" w:hAnsi="宋体" w:cs="宋体" w:eastAsia="宋体" w:hint="default"/>
                <w:b/>
                <w:bCs/>
                <w:w w:val="95"/>
                <w:sz w:val="18"/>
                <w:szCs w:val="18"/>
              </w:rPr>
              <w:t>期初数（万元）</w:t>
            </w:r>
            <w:r>
              <w:rPr>
                <w:rFonts w:ascii="宋体" w:hAnsi="宋体" w:cs="宋体" w:eastAsia="宋体" w:hint="default"/>
                <w:sz w:val="18"/>
                <w:szCs w:val="18"/>
              </w:rPr>
            </w:r>
          </w:p>
        </w:tc>
      </w:tr>
      <w:tr>
        <w:trPr>
          <w:trHeight w:val="337" w:hRule="exact"/>
        </w:trPr>
        <w:tc>
          <w:tcPr>
            <w:tcW w:w="467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对外投资承诺</w:t>
            </w:r>
          </w:p>
        </w:tc>
        <w:tc>
          <w:tcPr>
            <w:tcW w:w="2238"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333"/>
              <w:jc w:val="right"/>
              <w:rPr>
                <w:rFonts w:ascii="Times New Roman" w:hAnsi="Times New Roman" w:cs="Times New Roman" w:eastAsia="Times New Roman" w:hint="default"/>
                <w:sz w:val="18"/>
                <w:szCs w:val="18"/>
              </w:rPr>
            </w:pPr>
            <w:r>
              <w:rPr>
                <w:rFonts w:ascii="Times New Roman"/>
                <w:sz w:val="18"/>
              </w:rPr>
              <w:t>21,400.00</w:t>
            </w:r>
          </w:p>
        </w:tc>
        <w:tc>
          <w:tcPr>
            <w:tcW w:w="1611"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900.00</w:t>
            </w:r>
          </w:p>
        </w:tc>
      </w:tr>
      <w:tr>
        <w:trPr>
          <w:trHeight w:val="337" w:hRule="exact"/>
        </w:trPr>
        <w:tc>
          <w:tcPr>
            <w:tcW w:w="467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对内投资承诺</w:t>
            </w:r>
          </w:p>
        </w:tc>
        <w:tc>
          <w:tcPr>
            <w:tcW w:w="223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33"/>
              <w:jc w:val="right"/>
              <w:rPr>
                <w:rFonts w:ascii="Times New Roman" w:hAnsi="Times New Roman" w:cs="Times New Roman" w:eastAsia="Times New Roman" w:hint="default"/>
                <w:sz w:val="18"/>
                <w:szCs w:val="18"/>
              </w:rPr>
            </w:pPr>
            <w:r>
              <w:rPr>
                <w:rFonts w:ascii="Times New Roman"/>
                <w:sz w:val="18"/>
              </w:rPr>
              <w:t>18,011.12</w:t>
            </w:r>
          </w:p>
        </w:tc>
        <w:tc>
          <w:tcPr>
            <w:tcW w:w="1611"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467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构建长期资产承诺</w:t>
            </w:r>
          </w:p>
        </w:tc>
        <w:tc>
          <w:tcPr>
            <w:tcW w:w="223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33"/>
              <w:jc w:val="right"/>
              <w:rPr>
                <w:rFonts w:ascii="Times New Roman" w:hAnsi="Times New Roman" w:cs="Times New Roman" w:eastAsia="Times New Roman" w:hint="default"/>
                <w:sz w:val="18"/>
                <w:szCs w:val="18"/>
              </w:rPr>
            </w:pPr>
            <w:r>
              <w:rPr>
                <w:rFonts w:ascii="Times New Roman"/>
                <w:sz w:val="18"/>
              </w:rPr>
              <w:t>360.00</w:t>
            </w:r>
          </w:p>
        </w:tc>
        <w:tc>
          <w:tcPr>
            <w:tcW w:w="1611"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508" w:lineRule="auto" w:before="44"/>
        <w:ind w:right="4812"/>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2"/>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4044"/>
        <w:gridCol w:w="2808"/>
        <w:gridCol w:w="1672"/>
      </w:tblGrid>
      <w:tr>
        <w:trPr>
          <w:trHeight w:val="349" w:hRule="exact"/>
        </w:trPr>
        <w:tc>
          <w:tcPr>
            <w:tcW w:w="4044"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2808"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624"/>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672"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7" w:hRule="exact"/>
        </w:trPr>
        <w:tc>
          <w:tcPr>
            <w:tcW w:w="4044"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9"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25"/>
              <w:jc w:val="right"/>
              <w:rPr>
                <w:rFonts w:ascii="Times New Roman" w:hAnsi="Times New Roman" w:cs="Times New Roman" w:eastAsia="Times New Roman" w:hint="default"/>
                <w:sz w:val="18"/>
                <w:szCs w:val="18"/>
              </w:rPr>
            </w:pPr>
            <w:r>
              <w:rPr>
                <w:rFonts w:ascii="Times New Roman"/>
                <w:spacing w:val="-1"/>
                <w:sz w:val="18"/>
              </w:rPr>
              <w:t>28,372,423.46</w:t>
            </w:r>
          </w:p>
        </w:tc>
        <w:tc>
          <w:tcPr>
            <w:tcW w:w="167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18,443,942.87</w:t>
            </w:r>
          </w:p>
        </w:tc>
      </w:tr>
      <w:tr>
        <w:trPr>
          <w:trHeight w:val="348" w:hRule="exact"/>
        </w:trPr>
        <w:tc>
          <w:tcPr>
            <w:tcW w:w="4044"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9"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25"/>
              <w:jc w:val="right"/>
              <w:rPr>
                <w:rFonts w:ascii="Times New Roman" w:hAnsi="Times New Roman" w:cs="Times New Roman" w:eastAsia="Times New Roman" w:hint="default"/>
                <w:sz w:val="18"/>
                <w:szCs w:val="18"/>
              </w:rPr>
            </w:pPr>
            <w:r>
              <w:rPr>
                <w:rFonts w:ascii="Times New Roman"/>
                <w:spacing w:val="-1"/>
                <w:sz w:val="18"/>
              </w:rPr>
              <w:t>9,337,266.58</w:t>
            </w:r>
          </w:p>
        </w:tc>
        <w:tc>
          <w:tcPr>
            <w:tcW w:w="167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18,269,314.38</w:t>
            </w:r>
          </w:p>
        </w:tc>
      </w:tr>
      <w:tr>
        <w:trPr>
          <w:trHeight w:val="347" w:hRule="exact"/>
        </w:trPr>
        <w:tc>
          <w:tcPr>
            <w:tcW w:w="4044"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25"/>
              <w:jc w:val="right"/>
              <w:rPr>
                <w:rFonts w:ascii="Times New Roman" w:hAnsi="Times New Roman" w:cs="Times New Roman" w:eastAsia="Times New Roman" w:hint="default"/>
                <w:sz w:val="18"/>
                <w:szCs w:val="18"/>
              </w:rPr>
            </w:pPr>
            <w:r>
              <w:rPr>
                <w:rFonts w:ascii="Times New Roman"/>
                <w:spacing w:val="-1"/>
                <w:sz w:val="18"/>
              </w:rPr>
              <w:t>4,000,385.98</w:t>
            </w:r>
          </w:p>
        </w:tc>
        <w:tc>
          <w:tcPr>
            <w:tcW w:w="167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5,016,823.49</w:t>
            </w:r>
          </w:p>
        </w:tc>
      </w:tr>
      <w:tr>
        <w:trPr>
          <w:trHeight w:val="348" w:hRule="exact"/>
        </w:trPr>
        <w:tc>
          <w:tcPr>
            <w:tcW w:w="4044"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625"/>
              <w:jc w:val="right"/>
              <w:rPr>
                <w:rFonts w:ascii="Times New Roman" w:hAnsi="Times New Roman" w:cs="Times New Roman" w:eastAsia="Times New Roman" w:hint="default"/>
                <w:sz w:val="18"/>
                <w:szCs w:val="18"/>
              </w:rPr>
            </w:pPr>
            <w:r>
              <w:rPr>
                <w:rFonts w:ascii="Times New Roman"/>
                <w:b/>
                <w:spacing w:val="-1"/>
                <w:sz w:val="18"/>
              </w:rPr>
              <w:t>41,710,076.02</w:t>
            </w:r>
            <w:r>
              <w:rPr>
                <w:rFonts w:ascii="Times New Roman"/>
                <w:spacing w:val="-1"/>
                <w:sz w:val="18"/>
              </w:rPr>
            </w:r>
          </w:p>
        </w:tc>
        <w:tc>
          <w:tcPr>
            <w:tcW w:w="167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b/>
                <w:spacing w:val="-1"/>
                <w:sz w:val="18"/>
              </w:rPr>
              <w:t>41,730,080.74</w:t>
            </w:r>
            <w:r>
              <w:rPr>
                <w:rFonts w:ascii="Times New Roman"/>
                <w:spacing w:val="-1"/>
                <w:sz w:val="18"/>
              </w:rPr>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日，本公司不存在其他应披露的承诺事项。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70"/>
      <w:bookmarkEnd w:id="47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）未决诉讼仲裁形成的或有负债及其财务影响</w:t>
      </w:r>
    </w:p>
    <w:p>
      <w:pPr>
        <w:spacing w:line="240" w:lineRule="auto" w:before="4"/>
        <w:rPr>
          <w:rFonts w:ascii="宋体" w:hAnsi="宋体" w:cs="宋体" w:eastAsia="宋体" w:hint="default"/>
          <w:sz w:val="21"/>
          <w:szCs w:val="21"/>
        </w:rPr>
      </w:pPr>
    </w:p>
    <w:p>
      <w:pPr>
        <w:pStyle w:val="BodyText"/>
        <w:spacing w:line="304" w:lineRule="auto"/>
        <w:ind w:right="1129"/>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月，北京康智乐思网络科技有限公司起诉厦门美柚科技有限公司、北京掌汇天下公司</w:t>
      </w:r>
      <w:r>
        <w:rPr>
          <w:spacing w:val="-32"/>
        </w:rPr>
        <w:t> </w:t>
      </w:r>
      <w:r>
        <w:rPr>
          <w:rFonts w:ascii="Times New Roman" w:hAnsi="Times New Roman" w:cs="Times New Roman" w:eastAsia="Times New Roman" w:hint="default"/>
        </w:rPr>
        <w:t>“</w:t>
      </w:r>
      <w:r>
        <w:rPr/>
        <w:t>美柚</w:t>
      </w:r>
      <w:r>
        <w:rPr>
          <w:rFonts w:ascii="Times New Roman" w:hAnsi="Times New Roman" w:cs="Times New Roman" w:eastAsia="Times New Roman" w:hint="default"/>
        </w:rPr>
        <w:t>”APP</w:t>
      </w:r>
      <w:r>
        <w:rPr/>
        <w:t>著作权侵权案，请 求法院判令：①被告立即停止侵权行为及不正当竞争行为；②被告赔偿原告经济损失及合理支出</w:t>
      </w:r>
      <w:r>
        <w:rPr>
          <w:rFonts w:ascii="Times New Roman" w:hAnsi="Times New Roman" w:cs="Times New Roman" w:eastAsia="Times New Roman" w:hint="default"/>
        </w:rPr>
        <w:t>5</w:t>
      </w:r>
      <w:r>
        <w:rPr/>
        <w:t>万元；③被告在《知识产</w:t>
      </w:r>
      <w:r>
        <w:rPr>
          <w:spacing w:val="-82"/>
        </w:rPr>
        <w:t> </w:t>
      </w:r>
      <w:r>
        <w:rPr>
          <w:spacing w:val="-82"/>
        </w:rPr>
      </w:r>
      <w:r>
        <w:rPr>
          <w:spacing w:val="-2"/>
        </w:rPr>
        <w:t>权报》、被告官方微信、微博、被告美柚手机软件及原告大姨吗手机软件上刊登声明，赔礼道歉，消除影响；④被告承担本</w:t>
      </w:r>
      <w:r>
        <w:rPr>
          <w:spacing w:val="-72"/>
        </w:rPr>
        <w:t> </w:t>
      </w:r>
      <w:r>
        <w:rPr>
          <w:spacing w:val="-72"/>
        </w:rPr>
      </w:r>
      <w:r>
        <w:rPr>
          <w:spacing w:val="-2"/>
        </w:rPr>
        <w:t>案全部诉讼费用。北京掌汇天下公司主张作为平台尽到下架义务，应适用</w:t>
      </w:r>
      <w:r>
        <w:rPr>
          <w:rFonts w:ascii="Times New Roman" w:hAnsi="Times New Roman" w:cs="Times New Roman" w:eastAsia="Times New Roman" w:hint="default"/>
          <w:spacing w:val="-2"/>
        </w:rPr>
        <w:t>“</w:t>
      </w:r>
      <w:r>
        <w:rPr>
          <w:spacing w:val="-2"/>
        </w:rPr>
        <w:t>避风港原则</w:t>
      </w:r>
      <w:r>
        <w:rPr>
          <w:rFonts w:ascii="Times New Roman" w:hAnsi="Times New Roman" w:cs="Times New Roman" w:eastAsia="Times New Roman" w:hint="default"/>
          <w:spacing w:val="-2"/>
        </w:rPr>
        <w:t>”</w:t>
      </w:r>
      <w:r>
        <w:rPr>
          <w:spacing w:val="-2"/>
        </w:rPr>
        <w:t>免责，案件于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日做出一</w:t>
      </w:r>
      <w:r>
        <w:rPr>
          <w:spacing w:val="-37"/>
        </w:rPr>
        <w:t> </w:t>
      </w:r>
      <w:r>
        <w:rPr>
          <w:spacing w:val="-1"/>
        </w:rPr>
        <w:t>审判决，判决厦门美柚科技有限公司赔偿北京康智乐思网络科技有限公司经济损失及合理费用</w:t>
      </w:r>
      <w:r>
        <w:rPr>
          <w:rFonts w:ascii="Times New Roman" w:hAnsi="Times New Roman" w:cs="Times New Roman" w:eastAsia="Times New Roman" w:hint="default"/>
          <w:spacing w:val="-1"/>
        </w:rPr>
        <w:t>10,000</w:t>
      </w:r>
      <w:r>
        <w:rPr>
          <w:spacing w:val="-1"/>
        </w:rPr>
        <w:t>元，北京掌汇天下公司</w:t>
      </w:r>
      <w:r>
        <w:rPr>
          <w:spacing w:val="-70"/>
        </w:rPr>
        <w:t> </w:t>
      </w:r>
      <w:r>
        <w:rPr>
          <w:spacing w:val="-70"/>
        </w:rPr>
      </w:r>
      <w:r>
        <w:rPr/>
        <w:t>不承担责任，北京康智乐思网络科技有限公司不服一审判决提起上诉，现在二审尚未开庭。</w:t>
      </w:r>
    </w:p>
    <w:p>
      <w:pPr>
        <w:spacing w:line="240" w:lineRule="auto" w:before="8"/>
        <w:rPr>
          <w:rFonts w:ascii="宋体" w:hAnsi="宋体" w:cs="宋体" w:eastAsia="宋体" w:hint="default"/>
          <w:sz w:val="18"/>
          <w:szCs w:val="18"/>
        </w:rPr>
      </w:pPr>
    </w:p>
    <w:p>
      <w:pPr>
        <w:pStyle w:val="BodyText"/>
        <w:spacing w:line="508" w:lineRule="auto"/>
        <w:ind w:right="4272"/>
        <w:jc w:val="left"/>
      </w:pPr>
      <w:r>
        <w:rPr/>
        <w:t>（</w:t>
      </w:r>
      <w:r>
        <w:rPr>
          <w:rFonts w:ascii="Times New Roman" w:hAnsi="Times New Roman" w:cs="Times New Roman" w:eastAsia="Times New Roman" w:hint="default"/>
        </w:rPr>
        <w:t>2</w:t>
      </w:r>
      <w:r>
        <w:rPr/>
        <w:t>）为其他单位提供债务担保形成的或有负债及其财务影响 为其他单位提供债务担保形成的或有负债及财务影响情况参见附注十二、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日，本公司不存在其他应披露的或有事项。</w:t>
      </w:r>
    </w:p>
    <w:p>
      <w:pPr>
        <w:pStyle w:val="Heading4"/>
        <w:spacing w:line="240" w:lineRule="auto" w:before="115"/>
        <w:ind w:right="0"/>
        <w:jc w:val="left"/>
        <w:rPr>
          <w:b w:val="0"/>
          <w:bCs w:val="0"/>
        </w:rPr>
      </w:pPr>
      <w:bookmarkStart w:name="（2）公司没有需要披露的重要或有事项，也应予以说明" w:id="471"/>
      <w:bookmarkEnd w:id="47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4"/>
      <w:bookmarkEnd w:id="47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475"/>
      <w:bookmarkEnd w:id="47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30,902,745.02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30,902,745.02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77"/>
      <w:bookmarkEnd w:id="47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、重要的资产负债表日后事项说明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2"/>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日，惠信基金取得由中国证券投资基金业协会出具的《私募投资基金备案证明》（备案编码：</w:t>
      </w:r>
      <w:r>
        <w:rPr>
          <w:rFonts w:ascii="Times New Roman" w:hAnsi="Times New Roman" w:cs="Times New Roman" w:eastAsia="Times New Roman" w:hint="default"/>
          <w:spacing w:val="-1"/>
        </w:rPr>
        <w:t>SEW750</w:t>
      </w:r>
      <w:r>
        <w:rPr>
          <w:spacing w:val="-1"/>
        </w:rPr>
        <w:t>），</w:t>
      </w:r>
      <w:r>
        <w:rPr>
          <w:spacing w:val="-48"/>
        </w:rPr>
        <w:t> </w:t>
      </w:r>
      <w:r>
        <w:rPr/>
        <w:t>管理人名称：深圳智度德信股权投资管理有限公司，托管人名称：宁波银行股份有限公司。</w:t>
      </w:r>
    </w:p>
    <w:p>
      <w:pPr>
        <w:spacing w:line="240" w:lineRule="auto" w:before="12"/>
        <w:rPr>
          <w:rFonts w:ascii="宋体" w:hAnsi="宋体" w:cs="宋体" w:eastAsia="宋体" w:hint="default"/>
          <w:sz w:val="18"/>
          <w:szCs w:val="18"/>
        </w:rPr>
      </w:pPr>
    </w:p>
    <w:p>
      <w:pPr>
        <w:pStyle w:val="BodyText"/>
        <w:spacing w:line="300" w:lineRule="auto"/>
        <w:ind w:right="1132"/>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日，本公司召开的第八届董事会第十二次会议审议通过了《关于投资设立控股子公司的议案》，同意本公</w:t>
      </w:r>
      <w:r>
        <w:rPr>
          <w:spacing w:val="-59"/>
        </w:rPr>
        <w:t> </w:t>
      </w:r>
      <w:r>
        <w:rPr>
          <w:spacing w:val="-59"/>
        </w:rPr>
      </w:r>
      <w:r>
        <w:rPr>
          <w:spacing w:val="-1"/>
        </w:rPr>
        <w:t>司以自有或自筹资金</w:t>
      </w:r>
      <w:r>
        <w:rPr>
          <w:rFonts w:ascii="Times New Roman" w:hAnsi="Times New Roman" w:cs="Times New Roman" w:eastAsia="Times New Roman" w:hint="default"/>
          <w:spacing w:val="-1"/>
        </w:rPr>
        <w:t>10,000</w:t>
      </w:r>
      <w:r>
        <w:rPr>
          <w:spacing w:val="-1"/>
        </w:rPr>
        <w:t>万元与苏州跃盟信息科技有限公司、上海邑炎信息科技有限公司共同设立深圳智度邑盟信息技术</w:t>
      </w:r>
      <w:r>
        <w:rPr>
          <w:spacing w:val="-73"/>
        </w:rPr>
        <w:t> </w:t>
      </w:r>
      <w:r>
        <w:rPr>
          <w:spacing w:val="-73"/>
        </w:rPr>
      </w:r>
      <w:r>
        <w:rPr/>
        <w:t>有限公司（以下简称</w:t>
      </w:r>
      <w:r>
        <w:rPr>
          <w:rFonts w:ascii="Times New Roman" w:hAnsi="Times New Roman" w:cs="Times New Roman" w:eastAsia="Times New Roman" w:hint="default"/>
        </w:rPr>
        <w:t>“</w:t>
      </w:r>
      <w:r>
        <w:rPr/>
        <w:t>智度邑盟公司</w:t>
      </w:r>
      <w:r>
        <w:rPr>
          <w:rFonts w:ascii="Times New Roman" w:hAnsi="Times New Roman" w:cs="Times New Roman" w:eastAsia="Times New Roman" w:hint="default"/>
        </w:rPr>
        <w:t>”</w:t>
      </w:r>
      <w:r>
        <w:rPr/>
        <w:t>），注册资本</w:t>
      </w:r>
      <w:r>
        <w:rPr>
          <w:rFonts w:ascii="Times New Roman" w:hAnsi="Times New Roman" w:cs="Times New Roman" w:eastAsia="Times New Roman" w:hint="default"/>
        </w:rPr>
        <w:t>2</w:t>
      </w:r>
      <w:r>
        <w:rPr/>
        <w:t>亿元。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日，智度邑盟公司完成了工商注册登记手续。</w:t>
      </w:r>
    </w:p>
    <w:p>
      <w:pPr>
        <w:spacing w:line="240" w:lineRule="auto" w:before="7"/>
        <w:rPr>
          <w:rFonts w:ascii="宋体" w:hAnsi="宋体" w:cs="宋体" w:eastAsia="宋体" w:hint="default"/>
          <w:sz w:val="17"/>
          <w:szCs w:val="17"/>
        </w:rPr>
      </w:pPr>
    </w:p>
    <w:p>
      <w:pPr>
        <w:pStyle w:val="BodyText"/>
        <w:spacing w:line="307" w:lineRule="auto"/>
        <w:ind w:right="1130"/>
        <w:jc w:val="both"/>
      </w:pPr>
      <w:r>
        <w:rPr/>
        <w:t>（</w:t>
      </w:r>
      <w:r>
        <w:rPr>
          <w:rFonts w:ascii="Times New Roman" w:hAnsi="Times New Roman" w:cs="Times New Roman" w:eastAsia="Times New Roman" w:hint="default"/>
        </w:rPr>
        <w:t>3</w:t>
      </w:r>
      <w:r>
        <w:rPr/>
        <w:t>）智度德普有限合伙系本公司控股股东，智度集团有限公司系智度德普有限合伙的普通合伙人及执行事务合伙人，拥有</w:t>
      </w:r>
      <w:r>
        <w:rPr>
          <w:spacing w:val="-83"/>
        </w:rPr>
        <w:t> </w:t>
      </w:r>
      <w:r>
        <w:rPr>
          <w:spacing w:val="-83"/>
        </w:rPr>
      </w:r>
      <w:r>
        <w:rPr>
          <w:spacing w:val="-2"/>
        </w:rPr>
        <w:t>对智度德普的控制权，智度德正公司系智度集团有限公司的控股股东，吴红心先生系智度德正公司实际控制人，亦是本公司</w:t>
      </w:r>
      <w:r>
        <w:rPr>
          <w:spacing w:val="-66"/>
        </w:rPr>
        <w:t> </w:t>
      </w:r>
      <w:r>
        <w:rPr>
          <w:spacing w:val="-66"/>
        </w:rPr>
      </w:r>
      <w:r>
        <w:rPr/>
        <w:t>实际控制人。智度德正公司及其原股东于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日与两位自然人签署《增资协议》，此次增资后智度德正公司无实际</w:t>
      </w:r>
      <w:r>
        <w:rPr>
          <w:spacing w:val="-83"/>
        </w:rPr>
        <w:t> </w:t>
      </w:r>
      <w:r>
        <w:rPr>
          <w:spacing w:val="-83"/>
        </w:rPr>
      </w:r>
      <w:r>
        <w:rPr/>
        <w:t>控制人，故本公司于该增资实施后不存在实际控制人。</w:t>
      </w:r>
    </w:p>
    <w:p>
      <w:pPr>
        <w:spacing w:line="240" w:lineRule="auto" w:before="7"/>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2</w:t>
      </w:r>
      <w:r>
        <w:rPr/>
        <w:t>、资产负债表日后利润分配情况</w:t>
      </w:r>
    </w:p>
    <w:p>
      <w:pPr>
        <w:spacing w:line="240" w:lineRule="auto" w:before="4"/>
        <w:rPr>
          <w:rFonts w:ascii="宋体" w:hAnsi="宋体" w:cs="宋体" w:eastAsia="宋体" w:hint="default"/>
          <w:sz w:val="21"/>
          <w:szCs w:val="21"/>
        </w:rPr>
      </w:pPr>
    </w:p>
    <w:p>
      <w:pPr>
        <w:pStyle w:val="BodyText"/>
        <w:spacing w:line="240" w:lineRule="auto"/>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日，经本公司第八届董事会第十四次会议决议批准，拟提交</w:t>
      </w:r>
      <w:r>
        <w:rPr>
          <w:rFonts w:ascii="Times New Roman" w:hAnsi="Times New Roman" w:cs="Times New Roman" w:eastAsia="Times New Roman" w:hint="default"/>
        </w:rPr>
        <w:t>2018</w:t>
      </w:r>
      <w:r>
        <w:rPr/>
        <w:t>年度股东大会审议，拟定以本公司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pStyle w:val="BodyText"/>
        <w:spacing w:line="240" w:lineRule="auto" w:before="63"/>
        <w:ind w:right="0"/>
        <w:jc w:val="both"/>
      </w:pPr>
      <w:r>
        <w:rPr>
          <w:rFonts w:ascii="Times New Roman" w:hAnsi="Times New Roman" w:cs="Times New Roman" w:eastAsia="Times New Roman" w:hint="default"/>
          <w:spacing w:val="7"/>
        </w:rPr>
        <w:t>31</w:t>
      </w:r>
      <w:r>
        <w:rPr>
          <w:spacing w:val="7"/>
        </w:rPr>
        <w:t>日总股本</w:t>
      </w:r>
      <w:r>
        <w:rPr>
          <w:rFonts w:ascii="Times New Roman" w:hAnsi="Times New Roman" w:cs="Times New Roman" w:eastAsia="Times New Roman" w:hint="default"/>
          <w:spacing w:val="7"/>
        </w:rPr>
        <w:t>965,710,782</w:t>
      </w:r>
      <w:r>
        <w:rPr>
          <w:spacing w:val="7"/>
        </w:rPr>
        <w:t>股为基数，向全体股东每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0.32</w:t>
      </w:r>
      <w:r>
        <w:rPr>
          <w:spacing w:val="7"/>
        </w:rPr>
        <w:t>元（含税），共计派发现金股利人民币</w:t>
      </w:r>
    </w:p>
    <w:p>
      <w:pPr>
        <w:pStyle w:val="BodyText"/>
        <w:spacing w:line="508" w:lineRule="auto" w:before="63"/>
        <w:ind w:right="5037"/>
        <w:jc w:val="left"/>
      </w:pPr>
      <w:r>
        <w:rPr>
          <w:rFonts w:ascii="Times New Roman" w:hAnsi="Times New Roman" w:cs="Times New Roman" w:eastAsia="Times New Roman" w:hint="default"/>
        </w:rPr>
        <w:t>30,902,745.02</w:t>
      </w:r>
      <w:r>
        <w:rPr/>
        <w:t>元（含税）。本次利润分配方案尚待本公司股东大会批准。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日，本公司不存在其他应披露的资产负债表日后事项。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both"/>
        <w:rPr>
          <w:b w:val="0"/>
          <w:bCs w:val="0"/>
        </w:rPr>
      </w:pPr>
      <w:bookmarkStart w:name="十六、其他重要事项" w:id="478"/>
      <w:bookmarkEnd w:id="478"/>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前期会计差错更正" w:id="479"/>
      <w:bookmarkEnd w:id="47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追溯重述法" w:id="480"/>
      <w:bookmarkEnd w:id="48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81"/>
      <w:bookmarkEnd w:id="48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债务重组" w:id="482"/>
      <w:bookmarkEnd w:id="48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83"/>
      <w:bookmarkEnd w:id="48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4"/>
      <w:bookmarkEnd w:id="48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85"/>
      <w:bookmarkEnd w:id="48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86"/>
      <w:bookmarkEnd w:id="48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87"/>
      <w:bookmarkEnd w:id="48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both"/>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6、分部信息" w:id="488"/>
      <w:bookmarkEnd w:id="48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报告分部的确定依据与会计政策" w:id="489"/>
      <w:bookmarkEnd w:id="48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jc w:val="both"/>
      </w:pPr>
      <w:r>
        <w:rPr/>
        <w:t>根据本公司的内部组织结构、管理要求及内部报告制度，本公司的经营业务划分为</w:t>
      </w:r>
      <w:r>
        <w:rPr>
          <w:rFonts w:ascii="Times New Roman" w:hAnsi="Times New Roman" w:cs="Times New Roman" w:eastAsia="Times New Roman" w:hint="default"/>
        </w:rPr>
        <w:t>3</w:t>
      </w:r>
      <w:r>
        <w:rPr/>
        <w:t>个报告分部。这些报告分部是以公司日</w:t>
      </w:r>
      <w:r>
        <w:rPr>
          <w:spacing w:val="-83"/>
        </w:rPr>
        <w:t> </w:t>
      </w:r>
      <w:r>
        <w:rPr>
          <w:spacing w:val="-83"/>
        </w:rPr>
      </w:r>
      <w:r>
        <w:rPr>
          <w:spacing w:val="-2"/>
        </w:rPr>
        <w:t>常内部管理要求的财务信息为基础确定的。公司的管理层定期评价这些报告分部的经营成果，以决定向其分配资源及评价其</w:t>
      </w:r>
      <w:r>
        <w:rPr>
          <w:spacing w:val="-64"/>
        </w:rPr>
        <w:t> </w:t>
      </w:r>
      <w:r>
        <w:rPr>
          <w:spacing w:val="-64"/>
        </w:rPr>
      </w:r>
      <w:r>
        <w:rPr/>
        <w:t>业绩。</w:t>
      </w:r>
    </w:p>
    <w:p>
      <w:pPr>
        <w:spacing w:line="240" w:lineRule="auto" w:before="5"/>
        <w:rPr>
          <w:rFonts w:ascii="宋体" w:hAnsi="宋体" w:cs="宋体" w:eastAsia="宋体" w:hint="default"/>
          <w:sz w:val="18"/>
          <w:szCs w:val="18"/>
        </w:rPr>
      </w:pPr>
    </w:p>
    <w:p>
      <w:pPr>
        <w:pStyle w:val="BodyText"/>
        <w:spacing w:line="240" w:lineRule="auto"/>
        <w:ind w:right="0"/>
        <w:jc w:val="both"/>
      </w:pPr>
      <w:r>
        <w:rPr/>
        <w:t>本公司报告分部包括：</w:t>
      </w:r>
    </w:p>
    <w:p>
      <w:pPr>
        <w:spacing w:line="240" w:lineRule="auto" w:before="5"/>
        <w:rPr>
          <w:rFonts w:ascii="宋体" w:hAnsi="宋体" w:cs="宋体" w:eastAsia="宋体" w:hint="default"/>
          <w:sz w:val="22"/>
          <w:szCs w:val="22"/>
        </w:rPr>
      </w:pPr>
    </w:p>
    <w:p>
      <w:pPr>
        <w:pStyle w:val="BodyText"/>
        <w:spacing w:line="300" w:lineRule="auto"/>
        <w:ind w:right="1128"/>
        <w:jc w:val="left"/>
      </w:pPr>
      <w:r>
        <w:rPr>
          <w:spacing w:val="-1"/>
        </w:rPr>
        <w:t>（</w:t>
      </w:r>
      <w:r>
        <w:rPr>
          <w:rFonts w:ascii="Times New Roman" w:hAnsi="Times New Roman" w:cs="Times New Roman" w:eastAsia="Times New Roman" w:hint="default"/>
          <w:spacing w:val="-1"/>
        </w:rPr>
        <w:t>1</w:t>
      </w:r>
      <w:r>
        <w:rPr>
          <w:spacing w:val="-1"/>
        </w:rPr>
        <w:t>）互联网媒体业务分部，主要包括本公司运用自主研发的应用产品、依托</w:t>
      </w:r>
      <w:r>
        <w:rPr>
          <w:rFonts w:ascii="Times New Roman" w:hAnsi="Times New Roman" w:cs="Times New Roman" w:eastAsia="Times New Roman" w:hint="default"/>
          <w:spacing w:val="-1"/>
        </w:rPr>
        <w:t>ssp</w:t>
      </w:r>
      <w:r>
        <w:rPr>
          <w:spacing w:val="-1"/>
        </w:rPr>
        <w:t>等技术形成的媒体平台，基于媒体优化经验</w:t>
      </w:r>
      <w:r>
        <w:rPr>
          <w:spacing w:val="-80"/>
        </w:rPr>
        <w:t> </w:t>
      </w:r>
      <w:r>
        <w:rPr>
          <w:spacing w:val="-80"/>
        </w:rPr>
      </w:r>
      <w:r>
        <w:rPr/>
        <w:t>及大数据分析技术等帮助合作伙伴提升广告效果，从而获得可观的商业变现收入；</w:t>
      </w:r>
    </w:p>
    <w:p>
      <w:pPr>
        <w:spacing w:line="240" w:lineRule="auto" w:before="12"/>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2</w:t>
      </w:r>
      <w:r>
        <w:rPr/>
        <w:t>）数字营销业务分部，主要包括整合营销、实效营销和信息流业务；</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3</w:t>
      </w:r>
      <w:r>
        <w:rPr/>
        <w:t>）其他业务分部，主要包括互联网游戏业务和互联网金融业务。</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分部报告信息根据各分部向管理层报告时采用的会计政策及计量标准披露，这些会计政策及计量基础与编制财务报表时的会</w:t>
      </w:r>
      <w:r>
        <w:rPr>
          <w:spacing w:val="-64"/>
        </w:rPr>
        <w:t> </w:t>
      </w:r>
      <w:r>
        <w:rPr>
          <w:spacing w:val="-64"/>
        </w:rPr>
      </w:r>
      <w:r>
        <w:rPr/>
        <w:t>计政策及计量基础保持一致。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2）报告分部的财务信息" w:id="490"/>
      <w:bookmarkEnd w:id="49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4"/>
      </w:tblGrid>
      <w:tr>
        <w:trPr>
          <w:trHeight w:val="402" w:hRule="exact"/>
        </w:trPr>
        <w:tc>
          <w:tcPr>
            <w:tcW w:w="159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4"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2,016,790,346.64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5,328,547,972.16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370,888,094.71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-42,434,345.13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7,673,792,068.38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2,009,261,641.63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5,294,594,327.10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369,936,099.65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7,673,792,068.38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7,528,705.01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33,953,645.06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951,995.06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-42,434,345.13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2,016,790,346.64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5,328,542,866.12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356,301,609.68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-42,434,345.13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7,659,200,477.31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1,050,796,531.13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5,051,914,439.17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163,118,469.36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-40,949,741.80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6,224,879,697.86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1,049,081,339.23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5,053,629,631.07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161,773,763.36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-40,949,741.80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6,223,534,991.86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47,224,982.64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87,494,476.50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5,824,126.38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-1,470,862.97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139,072,722.55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257,787,019.84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15,210,708.71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118,383,918.42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391,381,646.97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83,377,068.54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34,916,119.57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118,293,188.11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10,571,716.23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28,200,414.91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268,752,206.71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-256,963,770.84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50,560,567.01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581,277,945.62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139,932,373.12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312,355,645.97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-257,914,704.48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775,651,260.23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3,943,008,192.86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2,284,198,042.19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5,113,410,659.67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-3,450,958,812.45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7,889,658,082.27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859,581,228.60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1,561,037,354.90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188,529,504.77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-584,527,099.91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2,024,620,988.36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资本性支出</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326,641.86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4,960,378.72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21,878,324.95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27,165,345.53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41,195,509.06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6,065,664.75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21,444,437.89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68,705,611.70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资产减值损失</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4,103,881.49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47,108,235.45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9,536,659.17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60,748,776.11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上期或上期期末</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1,403,253,918.98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4,844,517,826.64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149,812,833.62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-22,192,075.30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6,375,392,503.94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1,391,948,633.48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4,844,517,826.64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138,926,043.82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6,375,392,503.94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11,305,285.50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10,886,789.80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-22,192,075.30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1,403,253,918.98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4,844,517,826.64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148,215,248.39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-22,192,075.30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6,373,794,918.71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747,501,426.35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4,672,780,020.52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50,295,168.86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-11,797,283.77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5,458,779,331.96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747,501,426.35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4,672,780,020.52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50,293,865.66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-11,797,283.77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5,458,778,028.76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32,619,348.55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63,629,509.22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3,884,620.60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-960,829.27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99,172,649.10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132,415,342.95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11,010,589.56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70,868,227.49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214,294,160.00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77,082,313.96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4,280,097.20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12,025,901.26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-9,433,962.26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83,954,350.16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18,309,847.38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31,757,180.68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306,822,702.84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-292,806,996.36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64,082,734.54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386,302,552.76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137,754,043.02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318,008,669.92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-292,793,256.00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549,272,009.70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2,665,296,291.13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1,612,951,914.07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5,311,500,864.49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-2,562,439,381.71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7,027,309,687.98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1,049,153,959.12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1,252,230,406.33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135,929,442.76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-465,165,479.53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1,972,148,328.68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资本性支出</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229,151.70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17,034,632.33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28,185,642.63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45,449,426.66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44,769,837.22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163,137,845.84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20,813,673.60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228,721,356.66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资产减值损失</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11,678,588.03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2,488,060.69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14,336,669.11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3）公司无报告分部的，或者不能披露各报告分部的资产总额和负债总额的，应说明原因" w:id="491"/>
      <w:bookmarkEnd w:id="49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92"/>
      <w:bookmarkEnd w:id="49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①</w:t>
      </w:r>
      <w:r>
        <w:rPr>
          <w:spacing w:val="-19"/>
        </w:rPr>
        <w:t> </w:t>
      </w:r>
      <w:r>
        <w:rPr/>
        <w:t>产品和劳务对外交易收入</w:t>
      </w:r>
    </w:p>
    <w:p>
      <w:pPr>
        <w:spacing w:line="240" w:lineRule="auto" w:before="7"/>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3000"/>
        <w:gridCol w:w="4002"/>
        <w:gridCol w:w="2280"/>
      </w:tblGrid>
      <w:tr>
        <w:trPr>
          <w:trHeight w:val="349" w:hRule="exact"/>
        </w:trPr>
        <w:tc>
          <w:tcPr>
            <w:tcW w:w="300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02"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1009"/>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28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7" w:hRule="exact"/>
        </w:trPr>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400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009"/>
              <w:jc w:val="right"/>
              <w:rPr>
                <w:rFonts w:ascii="Times New Roman" w:hAnsi="Times New Roman" w:cs="Times New Roman" w:eastAsia="Times New Roman" w:hint="default"/>
                <w:sz w:val="18"/>
                <w:szCs w:val="18"/>
              </w:rPr>
            </w:pPr>
            <w:r>
              <w:rPr>
                <w:rFonts w:ascii="Times New Roman"/>
                <w:spacing w:val="-1"/>
                <w:sz w:val="18"/>
              </w:rPr>
              <w:t>2,009,261,641.63</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1,391,948,633.48</w:t>
            </w:r>
          </w:p>
        </w:tc>
      </w:tr>
      <w:tr>
        <w:trPr>
          <w:trHeight w:val="348" w:hRule="exact"/>
        </w:trPr>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400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009"/>
              <w:jc w:val="right"/>
              <w:rPr>
                <w:rFonts w:ascii="Times New Roman" w:hAnsi="Times New Roman" w:cs="Times New Roman" w:eastAsia="Times New Roman" w:hint="default"/>
                <w:sz w:val="18"/>
                <w:szCs w:val="18"/>
              </w:rPr>
            </w:pPr>
            <w:r>
              <w:rPr>
                <w:rFonts w:ascii="Times New Roman"/>
                <w:spacing w:val="-1"/>
                <w:sz w:val="18"/>
              </w:rPr>
              <w:t>5,294,594,327.10</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4,844,517,826.64</w:t>
            </w:r>
          </w:p>
        </w:tc>
      </w:tr>
      <w:tr>
        <w:trPr>
          <w:trHeight w:val="347" w:hRule="exact"/>
        </w:trPr>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400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008"/>
              <w:jc w:val="right"/>
              <w:rPr>
                <w:rFonts w:ascii="Times New Roman" w:hAnsi="Times New Roman" w:cs="Times New Roman" w:eastAsia="Times New Roman" w:hint="default"/>
                <w:sz w:val="18"/>
                <w:szCs w:val="18"/>
              </w:rPr>
            </w:pPr>
            <w:r>
              <w:rPr>
                <w:rFonts w:ascii="Times New Roman"/>
                <w:spacing w:val="-1"/>
                <w:sz w:val="18"/>
              </w:rPr>
              <w:t>369,936,099.65</w:t>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138,926,043.82</w:t>
            </w:r>
          </w:p>
        </w:tc>
      </w:tr>
      <w:tr>
        <w:trPr>
          <w:trHeight w:val="348" w:hRule="exact"/>
        </w:trPr>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0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09"/>
              <w:jc w:val="right"/>
              <w:rPr>
                <w:rFonts w:ascii="Times New Roman" w:hAnsi="Times New Roman" w:cs="Times New Roman" w:eastAsia="Times New Roman" w:hint="default"/>
                <w:sz w:val="18"/>
                <w:szCs w:val="18"/>
              </w:rPr>
            </w:pPr>
            <w:r>
              <w:rPr>
                <w:rFonts w:ascii="Times New Roman"/>
                <w:b/>
                <w:spacing w:val="-1"/>
                <w:sz w:val="18"/>
              </w:rPr>
              <w:t>7,673,792,068.38</w:t>
            </w:r>
            <w:r>
              <w:rPr>
                <w:rFonts w:ascii="Times New Roman"/>
                <w:spacing w:val="-1"/>
                <w:sz w:val="18"/>
              </w:rPr>
            </w:r>
          </w:p>
        </w:tc>
        <w:tc>
          <w:tcPr>
            <w:tcW w:w="228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b/>
                <w:spacing w:val="-1"/>
                <w:sz w:val="18"/>
              </w:rPr>
              <w:t>6,375,392,503.94</w:t>
            </w:r>
            <w:r>
              <w:rPr>
                <w:rFonts w:ascii="Times New Roman"/>
                <w:spacing w:val="-1"/>
                <w:sz w:val="18"/>
              </w:rPr>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②</w:t>
      </w:r>
      <w:r>
        <w:rPr>
          <w:spacing w:val="-17"/>
        </w:rPr>
        <w:t> </w:t>
      </w:r>
      <w:r>
        <w:rPr/>
        <w:t>地区信息</w:t>
      </w:r>
    </w:p>
    <w:p>
      <w:pPr>
        <w:spacing w:line="240" w:lineRule="auto" w:before="4"/>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2060"/>
        <w:gridCol w:w="2229"/>
        <w:gridCol w:w="1821"/>
        <w:gridCol w:w="1712"/>
        <w:gridCol w:w="1461"/>
      </w:tblGrid>
      <w:tr>
        <w:trPr>
          <w:trHeight w:val="577" w:hRule="exact"/>
        </w:trPr>
        <w:tc>
          <w:tcPr>
            <w:tcW w:w="2060"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本期或</w:t>
            </w:r>
            <w:r>
              <w:rPr>
                <w:rFonts w:ascii="宋体" w:hAnsi="宋体" w:cs="宋体" w:eastAsia="宋体" w:hint="default"/>
                <w:sz w:val="18"/>
                <w:szCs w:val="18"/>
              </w:rPr>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b/>
                <w:bCs/>
                <w:sz w:val="18"/>
                <w:szCs w:val="18"/>
              </w:rPr>
              <w:t>本期期末</w:t>
            </w:r>
            <w:r>
              <w:rPr>
                <w:rFonts w:ascii="宋体" w:hAnsi="宋体" w:cs="宋体" w:eastAsia="宋体" w:hint="default"/>
                <w:sz w:val="18"/>
                <w:szCs w:val="18"/>
              </w:rPr>
            </w:r>
          </w:p>
        </w:tc>
        <w:tc>
          <w:tcPr>
            <w:tcW w:w="2229" w:type="dxa"/>
            <w:tcBorders>
              <w:top w:val="nil" w:sz="6" w:space="0" w:color="auto"/>
              <w:left w:val="nil" w:sz="6" w:space="0" w:color="auto"/>
              <w:bottom w:val="single" w:sz="8" w:space="0" w:color="000000"/>
              <w:right w:val="nil" w:sz="6" w:space="0" w:color="auto"/>
            </w:tcBorders>
          </w:tcPr>
          <w:p>
            <w:pPr>
              <w:pStyle w:val="TableParagraph"/>
              <w:spacing w:line="180" w:lineRule="exact"/>
              <w:ind w:right="356"/>
              <w:jc w:val="right"/>
              <w:rPr>
                <w:rFonts w:ascii="宋体" w:hAnsi="宋体" w:cs="宋体" w:eastAsia="宋体" w:hint="default"/>
                <w:sz w:val="18"/>
                <w:szCs w:val="18"/>
              </w:rPr>
            </w:pPr>
            <w:r>
              <w:rPr>
                <w:rFonts w:ascii="宋体" w:hAnsi="宋体" w:cs="宋体" w:eastAsia="宋体" w:hint="default"/>
                <w:b/>
                <w:bCs/>
                <w:w w:val="95"/>
                <w:sz w:val="18"/>
                <w:szCs w:val="18"/>
              </w:rPr>
              <w:t>中国境内</w:t>
            </w:r>
            <w:r>
              <w:rPr>
                <w:rFonts w:ascii="宋体" w:hAnsi="宋体" w:cs="宋体" w:eastAsia="宋体" w:hint="default"/>
                <w:sz w:val="18"/>
                <w:szCs w:val="18"/>
              </w:rPr>
            </w:r>
          </w:p>
        </w:tc>
        <w:tc>
          <w:tcPr>
            <w:tcW w:w="1821" w:type="dxa"/>
            <w:tcBorders>
              <w:top w:val="nil" w:sz="6" w:space="0" w:color="auto"/>
              <w:left w:val="nil" w:sz="6" w:space="0" w:color="auto"/>
              <w:bottom w:val="single" w:sz="8" w:space="0" w:color="000000"/>
              <w:right w:val="nil" w:sz="6" w:space="0" w:color="auto"/>
            </w:tcBorders>
          </w:tcPr>
          <w:p>
            <w:pPr>
              <w:pStyle w:val="TableParagraph"/>
              <w:spacing w:line="180" w:lineRule="exact"/>
              <w:ind w:right="197"/>
              <w:jc w:val="right"/>
              <w:rPr>
                <w:rFonts w:ascii="宋体" w:hAnsi="宋体" w:cs="宋体" w:eastAsia="宋体" w:hint="default"/>
                <w:sz w:val="18"/>
                <w:szCs w:val="18"/>
              </w:rPr>
            </w:pPr>
            <w:r>
              <w:rPr>
                <w:rFonts w:ascii="宋体" w:hAnsi="宋体" w:cs="宋体" w:eastAsia="宋体" w:hint="default"/>
                <w:b/>
                <w:bCs/>
                <w:w w:val="95"/>
                <w:sz w:val="18"/>
                <w:szCs w:val="18"/>
              </w:rPr>
              <w:t>其他国家或地区</w:t>
            </w:r>
            <w:r>
              <w:rPr>
                <w:rFonts w:ascii="宋体" w:hAnsi="宋体" w:cs="宋体" w:eastAsia="宋体" w:hint="default"/>
                <w:sz w:val="18"/>
                <w:szCs w:val="18"/>
              </w:rPr>
            </w:r>
          </w:p>
        </w:tc>
        <w:tc>
          <w:tcPr>
            <w:tcW w:w="1712" w:type="dxa"/>
            <w:tcBorders>
              <w:top w:val="nil" w:sz="6" w:space="0" w:color="auto"/>
              <w:left w:val="nil" w:sz="6" w:space="0" w:color="auto"/>
              <w:bottom w:val="single" w:sz="8" w:space="0" w:color="000000"/>
              <w:right w:val="nil" w:sz="6" w:space="0" w:color="auto"/>
            </w:tcBorders>
          </w:tcPr>
          <w:p>
            <w:pPr>
              <w:pStyle w:val="TableParagraph"/>
              <w:spacing w:line="180" w:lineRule="exact"/>
              <w:ind w:right="189"/>
              <w:jc w:val="righ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61" w:type="dxa"/>
            <w:tcBorders>
              <w:top w:val="nil" w:sz="6" w:space="0" w:color="auto"/>
              <w:left w:val="nil" w:sz="6" w:space="0" w:color="auto"/>
              <w:bottom w:val="single" w:sz="8" w:space="0" w:color="000000"/>
              <w:right w:val="nil" w:sz="6" w:space="0" w:color="auto"/>
            </w:tcBorders>
          </w:tcPr>
          <w:p>
            <w:pPr>
              <w:pStyle w:val="TableParagraph"/>
              <w:spacing w:line="180" w:lineRule="exact"/>
              <w:ind w:right="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20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222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357"/>
              <w:jc w:val="right"/>
              <w:rPr>
                <w:rFonts w:ascii="Times New Roman" w:hAnsi="Times New Roman" w:cs="Times New Roman" w:eastAsia="Times New Roman" w:hint="default"/>
                <w:sz w:val="18"/>
                <w:szCs w:val="18"/>
              </w:rPr>
            </w:pPr>
            <w:r>
              <w:rPr>
                <w:rFonts w:ascii="Times New Roman"/>
                <w:spacing w:val="-1"/>
                <w:sz w:val="18"/>
              </w:rPr>
              <w:t>6,060,556,222.03</w:t>
            </w:r>
          </w:p>
        </w:tc>
        <w:tc>
          <w:tcPr>
            <w:tcW w:w="182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96"/>
              <w:jc w:val="right"/>
              <w:rPr>
                <w:rFonts w:ascii="Times New Roman" w:hAnsi="Times New Roman" w:cs="Times New Roman" w:eastAsia="Times New Roman" w:hint="default"/>
                <w:sz w:val="18"/>
                <w:szCs w:val="18"/>
              </w:rPr>
            </w:pPr>
            <w:r>
              <w:rPr>
                <w:rFonts w:ascii="Times New Roman"/>
                <w:spacing w:val="-1"/>
                <w:sz w:val="18"/>
              </w:rPr>
              <w:t>1,613,235,846.35</w:t>
            </w:r>
          </w:p>
        </w:tc>
        <w:tc>
          <w:tcPr>
            <w:tcW w:w="171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90"/>
              <w:jc w:val="right"/>
              <w:rPr>
                <w:rFonts w:ascii="Times New Roman" w:hAnsi="Times New Roman" w:cs="Times New Roman" w:eastAsia="Times New Roman" w:hint="default"/>
                <w:sz w:val="18"/>
                <w:szCs w:val="18"/>
              </w:rPr>
            </w:pPr>
            <w:r>
              <w:rPr>
                <w:rFonts w:ascii="Times New Roman"/>
                <w:sz w:val="18"/>
              </w:rPr>
              <w:t>--</w:t>
            </w:r>
          </w:p>
        </w:tc>
        <w:tc>
          <w:tcPr>
            <w:tcW w:w="146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pacing w:val="-1"/>
                <w:sz w:val="18"/>
              </w:rPr>
              <w:t>7,673,792,068.38</w:t>
            </w:r>
          </w:p>
        </w:tc>
      </w:tr>
      <w:tr>
        <w:trPr>
          <w:trHeight w:val="343" w:hRule="exact"/>
        </w:trPr>
        <w:tc>
          <w:tcPr>
            <w:tcW w:w="20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2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357"/>
              <w:jc w:val="right"/>
              <w:rPr>
                <w:rFonts w:ascii="Times New Roman" w:hAnsi="Times New Roman" w:cs="Times New Roman" w:eastAsia="Times New Roman" w:hint="default"/>
                <w:sz w:val="18"/>
                <w:szCs w:val="18"/>
              </w:rPr>
            </w:pPr>
            <w:r>
              <w:rPr>
                <w:rFonts w:ascii="Times New Roman"/>
                <w:spacing w:val="-1"/>
                <w:sz w:val="18"/>
              </w:rPr>
              <w:t>2,846,301,992.12</w:t>
            </w:r>
          </w:p>
        </w:tc>
        <w:tc>
          <w:tcPr>
            <w:tcW w:w="182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96"/>
              <w:jc w:val="right"/>
              <w:rPr>
                <w:rFonts w:ascii="Times New Roman" w:hAnsi="Times New Roman" w:cs="Times New Roman" w:eastAsia="Times New Roman" w:hint="default"/>
                <w:sz w:val="18"/>
                <w:szCs w:val="18"/>
              </w:rPr>
            </w:pPr>
            <w:r>
              <w:rPr>
                <w:rFonts w:ascii="Times New Roman"/>
                <w:spacing w:val="-1"/>
                <w:sz w:val="18"/>
              </w:rPr>
              <w:t>2,102,006,908.64</w:t>
            </w:r>
          </w:p>
        </w:tc>
        <w:tc>
          <w:tcPr>
            <w:tcW w:w="171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91"/>
              <w:jc w:val="right"/>
              <w:rPr>
                <w:rFonts w:ascii="Times New Roman" w:hAnsi="Times New Roman" w:cs="Times New Roman" w:eastAsia="Times New Roman" w:hint="default"/>
                <w:sz w:val="18"/>
                <w:szCs w:val="18"/>
              </w:rPr>
            </w:pPr>
            <w:r>
              <w:rPr>
                <w:rFonts w:ascii="Times New Roman"/>
                <w:spacing w:val="-1"/>
                <w:sz w:val="18"/>
              </w:rPr>
              <w:t>-1,423,114,337.93</w:t>
            </w:r>
          </w:p>
        </w:tc>
        <w:tc>
          <w:tcPr>
            <w:tcW w:w="146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pacing w:val="-1"/>
                <w:sz w:val="18"/>
              </w:rPr>
              <w:t>3,525,194,562.83</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（续）</w:t>
      </w:r>
    </w:p>
    <w:p>
      <w:pPr>
        <w:spacing w:line="240" w:lineRule="auto" w:before="4"/>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1875"/>
        <w:gridCol w:w="2407"/>
        <w:gridCol w:w="1841"/>
        <w:gridCol w:w="1713"/>
        <w:gridCol w:w="1447"/>
      </w:tblGrid>
      <w:tr>
        <w:trPr>
          <w:trHeight w:val="578" w:hRule="exact"/>
        </w:trPr>
        <w:tc>
          <w:tcPr>
            <w:tcW w:w="1875"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上期或</w:t>
            </w:r>
            <w:r>
              <w:rPr>
                <w:rFonts w:ascii="宋体" w:hAnsi="宋体" w:cs="宋体" w:eastAsia="宋体" w:hint="default"/>
                <w:sz w:val="18"/>
                <w:szCs w:val="18"/>
              </w:rPr>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sz w:val="18"/>
                <w:szCs w:val="18"/>
              </w:rPr>
            </w:r>
          </w:p>
        </w:tc>
        <w:tc>
          <w:tcPr>
            <w:tcW w:w="2407" w:type="dxa"/>
            <w:tcBorders>
              <w:top w:val="nil" w:sz="6" w:space="0" w:color="auto"/>
              <w:left w:val="nil" w:sz="6" w:space="0" w:color="auto"/>
              <w:bottom w:val="single" w:sz="8" w:space="0" w:color="000000"/>
              <w:right w:val="nil" w:sz="6" w:space="0" w:color="auto"/>
            </w:tcBorders>
          </w:tcPr>
          <w:p>
            <w:pPr>
              <w:pStyle w:val="TableParagraph"/>
              <w:spacing w:line="180" w:lineRule="exact"/>
              <w:ind w:right="360"/>
              <w:jc w:val="right"/>
              <w:rPr>
                <w:rFonts w:ascii="宋体" w:hAnsi="宋体" w:cs="宋体" w:eastAsia="宋体" w:hint="default"/>
                <w:sz w:val="18"/>
                <w:szCs w:val="18"/>
              </w:rPr>
            </w:pPr>
            <w:r>
              <w:rPr>
                <w:rFonts w:ascii="宋体" w:hAnsi="宋体" w:cs="宋体" w:eastAsia="宋体" w:hint="default"/>
                <w:b/>
                <w:bCs/>
                <w:w w:val="95"/>
                <w:sz w:val="18"/>
                <w:szCs w:val="18"/>
              </w:rPr>
              <w:t>中国境内</w:t>
            </w:r>
            <w:r>
              <w:rPr>
                <w:rFonts w:ascii="宋体" w:hAnsi="宋体" w:cs="宋体" w:eastAsia="宋体" w:hint="default"/>
                <w:sz w:val="18"/>
                <w:szCs w:val="18"/>
              </w:rPr>
            </w:r>
          </w:p>
        </w:tc>
        <w:tc>
          <w:tcPr>
            <w:tcW w:w="1841" w:type="dxa"/>
            <w:tcBorders>
              <w:top w:val="nil" w:sz="6" w:space="0" w:color="auto"/>
              <w:left w:val="nil" w:sz="6" w:space="0" w:color="auto"/>
              <w:bottom w:val="single" w:sz="8" w:space="0" w:color="000000"/>
              <w:right w:val="nil" w:sz="6" w:space="0" w:color="auto"/>
            </w:tcBorders>
          </w:tcPr>
          <w:p>
            <w:pPr>
              <w:pStyle w:val="TableParagraph"/>
              <w:spacing w:line="180" w:lineRule="exact"/>
              <w:ind w:right="212"/>
              <w:jc w:val="right"/>
              <w:rPr>
                <w:rFonts w:ascii="宋体" w:hAnsi="宋体" w:cs="宋体" w:eastAsia="宋体" w:hint="default"/>
                <w:sz w:val="18"/>
                <w:szCs w:val="18"/>
              </w:rPr>
            </w:pPr>
            <w:r>
              <w:rPr>
                <w:rFonts w:ascii="宋体" w:hAnsi="宋体" w:cs="宋体" w:eastAsia="宋体" w:hint="default"/>
                <w:b/>
                <w:bCs/>
                <w:w w:val="95"/>
                <w:sz w:val="18"/>
                <w:szCs w:val="18"/>
              </w:rPr>
              <w:t>其他国家或地区</w:t>
            </w:r>
            <w:r>
              <w:rPr>
                <w:rFonts w:ascii="宋体" w:hAnsi="宋体" w:cs="宋体" w:eastAsia="宋体" w:hint="default"/>
                <w:sz w:val="18"/>
                <w:szCs w:val="18"/>
              </w:rPr>
            </w:r>
          </w:p>
        </w:tc>
        <w:tc>
          <w:tcPr>
            <w:tcW w:w="1713" w:type="dxa"/>
            <w:tcBorders>
              <w:top w:val="nil" w:sz="6" w:space="0" w:color="auto"/>
              <w:left w:val="nil" w:sz="6" w:space="0" w:color="auto"/>
              <w:bottom w:val="single" w:sz="8" w:space="0" w:color="000000"/>
              <w:right w:val="nil" w:sz="6" w:space="0" w:color="auto"/>
            </w:tcBorders>
          </w:tcPr>
          <w:p>
            <w:pPr>
              <w:pStyle w:val="TableParagraph"/>
              <w:spacing w:line="180" w:lineRule="exact"/>
              <w:ind w:right="176"/>
              <w:jc w:val="righ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47" w:type="dxa"/>
            <w:tcBorders>
              <w:top w:val="nil" w:sz="6" w:space="0" w:color="auto"/>
              <w:left w:val="nil" w:sz="6" w:space="0" w:color="auto"/>
              <w:bottom w:val="single" w:sz="8" w:space="0" w:color="000000"/>
              <w:right w:val="nil" w:sz="6" w:space="0" w:color="auto"/>
            </w:tcBorders>
          </w:tcPr>
          <w:p>
            <w:pPr>
              <w:pStyle w:val="TableParagraph"/>
              <w:spacing w:line="180" w:lineRule="exact"/>
              <w:ind w:right="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1875"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240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361"/>
              <w:jc w:val="right"/>
              <w:rPr>
                <w:rFonts w:ascii="Times New Roman" w:hAnsi="Times New Roman" w:cs="Times New Roman" w:eastAsia="Times New Roman" w:hint="default"/>
                <w:sz w:val="18"/>
                <w:szCs w:val="18"/>
              </w:rPr>
            </w:pPr>
            <w:r>
              <w:rPr>
                <w:rFonts w:ascii="Times New Roman"/>
                <w:spacing w:val="-1"/>
                <w:sz w:val="18"/>
              </w:rPr>
              <w:t>5,258,548,154.71</w:t>
            </w:r>
          </w:p>
        </w:tc>
        <w:tc>
          <w:tcPr>
            <w:tcW w:w="1841"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pacing w:val="-1"/>
                <w:sz w:val="18"/>
              </w:rPr>
              <w:t>1,116,844,349.23</w:t>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76"/>
              <w:jc w:val="right"/>
              <w:rPr>
                <w:rFonts w:ascii="Times New Roman" w:hAnsi="Times New Roman" w:cs="Times New Roman" w:eastAsia="Times New Roman" w:hint="default"/>
                <w:sz w:val="18"/>
                <w:szCs w:val="18"/>
              </w:rPr>
            </w:pPr>
            <w:r>
              <w:rPr>
                <w:rFonts w:ascii="Times New Roman"/>
                <w:sz w:val="18"/>
              </w:rPr>
              <w:t>--</w:t>
            </w:r>
          </w:p>
        </w:tc>
        <w:tc>
          <w:tcPr>
            <w:tcW w:w="14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6,375,392,503.94</w:t>
            </w:r>
          </w:p>
        </w:tc>
      </w:tr>
      <w:tr>
        <w:trPr>
          <w:trHeight w:val="342" w:hRule="exact"/>
        </w:trPr>
        <w:tc>
          <w:tcPr>
            <w:tcW w:w="18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361"/>
              <w:jc w:val="right"/>
              <w:rPr>
                <w:rFonts w:ascii="Times New Roman" w:hAnsi="Times New Roman" w:cs="Times New Roman" w:eastAsia="Times New Roman" w:hint="default"/>
                <w:sz w:val="18"/>
                <w:szCs w:val="18"/>
              </w:rPr>
            </w:pPr>
            <w:r>
              <w:rPr>
                <w:rFonts w:ascii="Times New Roman"/>
                <w:spacing w:val="-1"/>
                <w:sz w:val="18"/>
              </w:rPr>
              <w:t>2,273,639,827.42</w:t>
            </w:r>
          </w:p>
        </w:tc>
        <w:tc>
          <w:tcPr>
            <w:tcW w:w="1841"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pacing w:val="-1"/>
                <w:sz w:val="18"/>
              </w:rPr>
              <w:t>1,877,271,186.36</w:t>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-1,104,161,065.23</w:t>
            </w:r>
          </w:p>
        </w:tc>
        <w:tc>
          <w:tcPr>
            <w:tcW w:w="144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3,046,749,948.55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其他对投资者决策有影响的重要交易和事项" w:id="493"/>
      <w:bookmarkEnd w:id="49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2"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5"/>
      <w:bookmarkEnd w:id="49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6"/>
          <w:w w:val="95"/>
          <w:sz w:val="24"/>
          <w:szCs w:val="24"/>
        </w:rPr>
        <w:t> </w:t>
      </w:r>
      <w:r>
        <w:rPr>
          <w:rFonts w:ascii="宋体" w:hAnsi="宋体" w:cs="宋体" w:eastAsia="宋体" w:hint="default"/>
          <w:b/>
          <w:bCs/>
          <w:spacing w:val="66"/>
          <w:w w:val="95"/>
          <w:sz w:val="24"/>
          <w:szCs w:val="24"/>
        </w:rPr>
      </w:r>
      <w:bookmarkStart w:name="1、应收票据及应收账款" w:id="496"/>
      <w:bookmarkEnd w:id="496"/>
      <w:r>
        <w:rPr>
          <w:rFonts w:ascii="宋体" w:hAnsi="宋体" w:cs="宋体" w:eastAsia="宋体" w:hint="default"/>
          <w:b/>
          <w:bCs/>
          <w:spacing w:val="66"/>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97"/>
      <w:bookmarkEnd w:id="49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98"/>
      <w:bookmarkEnd w:id="498"/>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499"/>
      <w:bookmarkEnd w:id="49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520"/>
        <w:jc w:val="left"/>
      </w:pPr>
      <w:r>
        <w:rPr/>
        <w:t>期末单项金额重大并单项计提坏账准备的应收账款：</w:t>
      </w:r>
    </w:p>
    <w:p>
      <w:pPr>
        <w:pStyle w:val="BodyText"/>
        <w:spacing w:line="338" w:lineRule="auto" w:before="117"/>
        <w:ind w:right="8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8"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 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015" w:space="38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13"/>
          <w:szCs w:val="13"/>
        </w:rPr>
      </w:pPr>
    </w:p>
    <w:p>
      <w:pPr>
        <w:pStyle w:val="BodyText"/>
        <w:spacing w:line="300" w:lineRule="auto"/>
        <w:ind w:right="1126"/>
        <w:jc w:val="left"/>
      </w:pPr>
      <w:r>
        <w:rPr>
          <w:spacing w:val="-1"/>
        </w:rPr>
        <w:t>本期按欠款方归集的期末余额前五名应收账款汇总金额</w:t>
      </w:r>
      <w:r>
        <w:rPr>
          <w:rFonts w:ascii="Times New Roman" w:hAnsi="Times New Roman" w:cs="Times New Roman" w:eastAsia="Times New Roman" w:hint="default"/>
          <w:spacing w:val="-1"/>
        </w:rPr>
        <w:t>3,750,000.00</w:t>
      </w:r>
      <w:r>
        <w:rPr>
          <w:spacing w:val="-1"/>
        </w:rPr>
        <w:t>元，占应收账款期末余额合计数的比例</w:t>
      </w:r>
      <w:r>
        <w:rPr>
          <w:rFonts w:ascii="Times New Roman" w:hAnsi="Times New Roman" w:cs="Times New Roman" w:eastAsia="Times New Roman" w:hint="default"/>
          <w:spacing w:val="-1"/>
        </w:rPr>
        <w:t>100.00%</w:t>
      </w:r>
      <w:r>
        <w:rPr>
          <w:spacing w:val="-1"/>
        </w:rPr>
        <w:t>，相应计</w:t>
      </w:r>
      <w:r>
        <w:rPr>
          <w:spacing w:val="-82"/>
        </w:rPr>
        <w:t> </w:t>
      </w:r>
      <w:r>
        <w:rPr>
          <w:spacing w:val="-82"/>
        </w:rPr>
      </w:r>
      <w:r>
        <w:rPr/>
        <w:t>提的坏账准备期末余额汇总金额</w:t>
      </w:r>
      <w:r>
        <w:rPr>
          <w:spacing w:val="-17"/>
        </w:rPr>
        <w:t> </w:t>
      </w:r>
      <w:r>
        <w:rPr>
          <w:rFonts w:ascii="Times New Roman" w:hAnsi="Times New Roman" w:cs="Times New Roman" w:eastAsia="Times New Roman" w:hint="default"/>
        </w:rPr>
        <w:t>0.00</w:t>
      </w:r>
      <w:r>
        <w:rPr/>
        <w:t>元。</w:t>
      </w:r>
    </w:p>
    <w:p>
      <w:pPr>
        <w:spacing w:line="240" w:lineRule="auto" w:before="8"/>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其他应收款" w:id="500"/>
      <w:bookmarkEnd w:id="50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412,246,425.25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219,392,635.30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315,852,246.97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270,882,387.63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728,098,672.22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490,275,022.93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501"/>
      <w:bookmarkEnd w:id="50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502"/>
      <w:bookmarkEnd w:id="50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317,042,840.26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160,400,283.45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95,203,584.99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58,992,351.85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412,246,425.25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219,392,635.30</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160,400,283.45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上海智度亦复信息技术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58,992,351.85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219,392,635.30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503"/>
      <w:bookmarkEnd w:id="50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315,852,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246.97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315,852,2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46.97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270,883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,517.17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1,129.54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270,882,38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7.63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315,852,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246.97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315,852,2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46.97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270,883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,517.17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1,129.54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270,882,38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7.63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84"/>
        <w:gridCol w:w="2307"/>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340"/>
        <w:jc w:val="left"/>
      </w:pPr>
      <w:r>
        <w:rPr/>
        <w:t>确定该组合依据的说明： 组合中，采用余额百分比法计提坏账准备的其他应收款：</w:t>
      </w:r>
    </w:p>
    <w:p>
      <w:pPr>
        <w:pStyle w:val="BodyText"/>
        <w:spacing w:line="340" w:lineRule="auto" w:before="26"/>
        <w:ind w:right="7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8" w:lineRule="auto" w:before="102"/>
        <w:ind w:right="-2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本期计提坏账准备金额元；本期收回或转回坏账准备金额元。</w:t>
      </w:r>
      <w:r>
        <w:rPr>
          <w:w w:val="99"/>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015" w:space="38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314,126,704.83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268,542,188.71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1,705,542.14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2,313,236.18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28,092.28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315,852,246.97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270,883,517.17</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229,652,812.24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59,426,414.18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24,959,666.59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1,688,930.43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43,719.46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315,771,542.90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504"/>
      <w:bookmarkEnd w:id="50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3,266,488,975.04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3,266,488,975.04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2,924,221,670.50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2,924,221,670.50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3,266,488,975.04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3,266,488,975.04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2,924,221,670.50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2,924,221,670.50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05"/>
      <w:bookmarkEnd w:id="50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智度香港公司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1,104,161,065.23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318,953,272.70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1,423,114,337.93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868,199,907.00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1,189,415.12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869,389,322.12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智度小贷公司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217,220.94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500,217,220.94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303,697.89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385,303,697.89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45,860,698.27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45,860,698.27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上海智度网络科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13,303,697.89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13,303,697.89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深圳智度信息技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霍尔果斯白猫公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2,924,221,670.50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342,267,304.54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3,266,488,975.04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对联营、合营企业投资" w:id="506"/>
      <w:bookmarkEnd w:id="50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507"/>
      <w:bookmarkEnd w:id="50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08"/>
      <w:bookmarkEnd w:id="50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3,537,735.85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3,537,735.85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509"/>
      <w:bookmarkEnd w:id="50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211,482,658.18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254,458,702.71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25,507,320.63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44,269,319.23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236,989,978.81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298,728,021.94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10"/>
      <w:bookmarkEnd w:id="51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1"/>
      <w:bookmarkEnd w:id="51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12"/>
      <w:bookmarkEnd w:id="51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-184,397.51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9,743,043.99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35,816,282.17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-332,417.26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46,534.55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10,409,547.93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63,922.72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34,615,575.29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13"/>
      <w:bookmarkEnd w:id="51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0.7388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0.7029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14"/>
      <w:bookmarkEnd w:id="51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15"/>
      <w:bookmarkEnd w:id="51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16"/>
      <w:bookmarkEnd w:id="51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17"/>
      <w:bookmarkEnd w:id="51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18"/>
      <w:bookmarkEnd w:id="51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19"/>
      <w:bookmarkStart w:name="第十二节 备查文件目录" w:id="520"/>
      <w:r>
        <w:rPr>
          <w:b w:val="0"/>
          <w:bCs w:val="0"/>
        </w:rPr>
      </w:r>
      <w:r>
        <w:rPr/>
        <w:t>第十二节</w:t>
      </w:r>
      <w:r>
        <w:rPr>
          <w:spacing w:val="-8"/>
        </w:rPr>
        <w:t> </w:t>
      </w:r>
      <w:r>
        <w:rPr/>
        <w:t>备查文件目录</w:t>
      </w:r>
      <w:bookmarkEnd w:id="519"/>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（一）《公司</w:t>
      </w:r>
      <w:r>
        <w:rPr>
          <w:rFonts w:ascii="Times New Roman" w:hAnsi="Times New Roman" w:cs="Times New Roman" w:eastAsia="Times New Roman" w:hint="default"/>
        </w:rPr>
        <w:t>2018</w:t>
      </w:r>
      <w:r>
        <w:rPr/>
        <w:t>年度报告》全文及摘要；</w:t>
      </w:r>
    </w:p>
    <w:p>
      <w:pPr>
        <w:pStyle w:val="BodyText"/>
        <w:spacing w:line="240" w:lineRule="auto" w:before="63"/>
        <w:ind w:right="0"/>
        <w:jc w:val="left"/>
      </w:pPr>
      <w:r>
        <w:rPr/>
        <w:t>（二）载有公司法定代表人、主管会计工作负责人、会计机构负责人签名并盖章的《公司</w:t>
      </w:r>
      <w:r>
        <w:rPr>
          <w:rFonts w:ascii="Times New Roman" w:hAnsi="Times New Roman" w:cs="Times New Roman" w:eastAsia="Times New Roman" w:hint="default"/>
        </w:rPr>
        <w:t>2018</w:t>
      </w:r>
      <w:r>
        <w:rPr/>
        <w:t>年度财务报表》；</w:t>
      </w:r>
    </w:p>
    <w:p>
      <w:pPr>
        <w:pStyle w:val="BodyText"/>
        <w:spacing w:line="240" w:lineRule="auto" w:before="63"/>
        <w:ind w:right="0"/>
        <w:jc w:val="left"/>
      </w:pPr>
      <w:r>
        <w:rPr/>
        <w:t>（三）载有会计师事务所、注册会计师签章的审计报告原件；</w:t>
      </w:r>
    </w:p>
    <w:p>
      <w:pPr>
        <w:pStyle w:val="BodyText"/>
        <w:spacing w:line="316" w:lineRule="auto" w:before="76"/>
        <w:ind w:right="0"/>
        <w:jc w:val="left"/>
      </w:pPr>
      <w:r>
        <w:rPr>
          <w:spacing w:val="-2"/>
        </w:rPr>
        <w:t>（四）报告期内在《证券时报》、《证券日报》、《中国证券报》、《上海证券报》和巨潮资讯网上公开披露的所有公司文</w:t>
      </w:r>
      <w:r>
        <w:rPr>
          <w:spacing w:val="-72"/>
        </w:rPr>
        <w:t> </w:t>
      </w:r>
      <w:r>
        <w:rPr>
          <w:spacing w:val="-72"/>
        </w:rPr>
      </w:r>
      <w:r>
        <w:rPr/>
        <w:t>件正本及公告原文。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316" w:lineRule="auto"/>
        <w:ind w:left="7993" w:right="1130" w:firstLine="180"/>
        <w:jc w:val="right"/>
      </w:pPr>
      <w:r>
        <w:rPr/>
        <w:t>法定代表人：赵立仁 智度科技股份有限公司</w:t>
      </w:r>
    </w:p>
    <w:p>
      <w:pPr>
        <w:pStyle w:val="BodyText"/>
        <w:spacing w:line="240" w:lineRule="auto" w:before="19"/>
        <w:ind w:left="0"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008" type="#_x0000_t75" stroked="false">
          <v:imagedata r:id="rId1" o:title=""/>
        </v:shape>
      </w:pict>
    </w:r>
    <w:r>
      <w:rPr/>
      <w:pict>
        <v:shape style="position:absolute;margin-left:533.179993pt;margin-top:795.517944pt;width:6.5pt;height:11pt;mso-position-horizontal-relative:page;mso-position-vertical-relative:page;z-index:-1264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4960" type="#_x0000_t75" stroked="false">
          <v:imagedata r:id="rId1" o:title=""/>
        </v:shape>
      </w:pict>
    </w:r>
    <w:r>
      <w:rPr/>
      <w:pict>
        <v:shape style="position:absolute;margin-left:527.679993pt;margin-top:781.957947pt;width:13pt;height:11pt;mso-position-horizontal-relative:page;mso-position-vertical-relative:page;z-index:-1264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4912" type="#_x0000_t75" stroked="false">
          <v:imagedata r:id="rId1" o:title=""/>
        </v:shape>
      </w:pict>
    </w:r>
    <w:r>
      <w:rPr/>
      <w:pict>
        <v:shape style="position:absolute;margin-left:527.679993pt;margin-top:781.957947pt;width:13pt;height:11pt;mso-position-horizontal-relative:page;mso-position-vertical-relative:page;z-index:-1264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4864" type="#_x0000_t75" stroked="false">
          <v:imagedata r:id="rId1" o:title=""/>
        </v:shape>
      </w:pict>
    </w:r>
    <w:r>
      <w:rPr/>
      <w:pict>
        <v:shape style="position:absolute;margin-left:524.179993pt;margin-top:781.957947pt;width:15.5pt;height:11pt;mso-position-horizontal-relative:page;mso-position-vertical-relative:page;z-index:-12648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4816" type="#_x0000_t75" stroked="false">
          <v:imagedata r:id="rId1" o:title=""/>
        </v:shape>
      </w:pict>
    </w:r>
    <w:r>
      <w:rPr/>
      <w:pict>
        <v:shape style="position:absolute;margin-left:523.179993pt;margin-top:781.957947pt;width:17.5pt;height:11pt;mso-position-horizontal-relative:page;mso-position-vertical-relative:page;z-index:-1264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4768" type="#_x0000_t75" stroked="false">
          <v:imagedata r:id="rId1" o:title=""/>
        </v:shape>
      </w:pict>
    </w:r>
    <w:r>
      <w:rPr/>
      <w:pict>
        <v:shape style="position:absolute;margin-left:524.179993pt;margin-top:781.957947pt;width:15.5pt;height:11pt;mso-position-horizontal-relative:page;mso-position-vertical-relative:page;z-index:-1264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4720" type="#_x0000_t75" stroked="false">
          <v:imagedata r:id="rId1" o:title=""/>
        </v:shape>
      </w:pict>
    </w:r>
    <w:r>
      <w:rPr/>
      <w:pict>
        <v:shape style="position:absolute;margin-left:523.179993pt;margin-top:781.957947pt;width:17.5pt;height:11pt;mso-position-horizontal-relative:page;mso-position-vertical-relative:page;z-index:-1264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265032"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96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81"/>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Heading6" w:type="paragraph">
    <w:name w:val="Heading 6"/>
    <w:basedOn w:val="Normal"/>
    <w:uiPriority w:val="1"/>
    <w:qFormat/>
    <w:pPr>
      <w:ind w:left="515"/>
      <w:outlineLvl w:val="6"/>
    </w:pPr>
    <w:rPr>
      <w:rFonts w:ascii="宋体" w:hAnsi="宋体" w:eastAsia="宋体"/>
      <w:b/>
      <w:bCs/>
      <w:sz w:val="20"/>
      <w:szCs w:val="20"/>
    </w:rPr>
  </w:style>
  <w:style w:styleId="Heading7" w:type="paragraph">
    <w:name w:val="Heading 7"/>
    <w:basedOn w:val="Normal"/>
    <w:uiPriority w:val="1"/>
    <w:qFormat/>
    <w:pPr>
      <w:ind w:left="154"/>
      <w:outlineLvl w:val="7"/>
    </w:pPr>
    <w:rPr>
      <w:rFonts w:ascii="宋体" w:hAnsi="宋体" w:eastAsia="宋体"/>
      <w:sz w:val="20"/>
      <w:szCs w:val="20"/>
    </w:rPr>
  </w:style>
  <w:style w:styleId="Heading8" w:type="paragraph">
    <w:name w:val="Heading 8"/>
    <w:basedOn w:val="Normal"/>
    <w:uiPriority w:val="1"/>
    <w:qFormat/>
    <w:pPr>
      <w:ind w:left="154"/>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enimous.com/" TargetMode="External"/><Relationship Id="rId10" Type="http://schemas.openxmlformats.org/officeDocument/2006/relationships/hyperlink" Target="mailto:zhidugufen@genimous.com" TargetMode="External"/><Relationship Id="rId11" Type="http://schemas.openxmlformats.org/officeDocument/2006/relationships/hyperlink" Target="mailto:pengfen@genimous.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footer" Target="footer3.xml"/><Relationship Id="rId17" Type="http://schemas.openxmlformats.org/officeDocument/2006/relationships/hyperlink" Target="http://w/" TargetMode="External"/><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hyperlink" Target="http://irm.cninfo.com.cn/ssessgs/S00067" TargetMode="External"/><Relationship Id="rId21" Type="http://schemas.openxmlformats.org/officeDocument/2006/relationships/image" Target="media/image8.jpeg"/><Relationship Id="rId22" Type="http://schemas.openxmlformats.org/officeDocument/2006/relationships/hyperlink" Target="http://www.cninfo.co/" TargetMode="Externa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智度科技股份有限公司</dc:creator>
  <dc:title>智度科技股份有限公司2018年年度报告全文</dc:title>
  <dcterms:created xsi:type="dcterms:W3CDTF">2020-05-05T03:28:42Z</dcterms:created>
  <dcterms:modified xsi:type="dcterms:W3CDTF">2020-05-05T03:28:42Z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