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14" w:lineRule="exact"/>
        <w:ind w:left="35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874321" cy="14695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74321" cy="1469517"/>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660" w:lineRule="exact" w:before="0"/>
        <w:ind w:left="2141" w:right="2141" w:firstLine="0"/>
        <w:jc w:val="center"/>
        <w:rPr>
          <w:rFonts w:ascii="宋体" w:hAnsi="宋体" w:cs="宋体" w:eastAsia="宋体" w:hint="default"/>
          <w:sz w:val="56"/>
          <w:szCs w:val="56"/>
        </w:rPr>
      </w:pPr>
      <w:r>
        <w:rPr>
          <w:rFonts w:ascii="宋体" w:hAnsi="宋体" w:cs="宋体" w:eastAsia="宋体" w:hint="default"/>
          <w:b/>
          <w:bCs/>
          <w:sz w:val="56"/>
          <w:szCs w:val="56"/>
        </w:rPr>
        <w:t>远东实业股份有限公司</w:t>
      </w:r>
      <w:r>
        <w:rPr>
          <w:rFonts w:ascii="宋体" w:hAnsi="宋体" w:cs="宋体" w:eastAsia="宋体" w:hint="default"/>
          <w:sz w:val="56"/>
          <w:szCs w:val="56"/>
        </w:rPr>
      </w:r>
    </w:p>
    <w:p>
      <w:pPr>
        <w:spacing w:before="394"/>
        <w:ind w:left="2141" w:right="2139" w:firstLine="0"/>
        <w:jc w:val="center"/>
        <w:rPr>
          <w:rFonts w:ascii="宋体" w:hAnsi="宋体" w:cs="宋体" w:eastAsia="宋体" w:hint="default"/>
          <w:sz w:val="56"/>
          <w:szCs w:val="56"/>
        </w:rPr>
      </w:pPr>
      <w:r>
        <w:rPr>
          <w:rFonts w:ascii="宋体" w:hAnsi="宋体" w:cs="宋体" w:eastAsia="宋体" w:hint="default"/>
          <w:b/>
          <w:bCs/>
          <w:sz w:val="56"/>
          <w:szCs w:val="56"/>
        </w:rPr>
        <w:t>2012</w:t>
      </w:r>
      <w:r>
        <w:rPr>
          <w:rFonts w:ascii="宋体" w:hAnsi="宋体" w:cs="宋体" w:eastAsia="宋体" w:hint="default"/>
          <w:b/>
          <w:bCs/>
          <w:spacing w:val="-149"/>
          <w:sz w:val="56"/>
          <w:szCs w:val="56"/>
        </w:rPr>
        <w:t> </w:t>
      </w:r>
      <w:r>
        <w:rPr>
          <w:rFonts w:ascii="宋体" w:hAnsi="宋体" w:cs="宋体" w:eastAsia="宋体" w:hint="default"/>
          <w:b/>
          <w:bCs/>
          <w:sz w:val="56"/>
          <w:szCs w:val="56"/>
        </w:rPr>
        <w:t>年年度报告</w:t>
      </w:r>
      <w:r>
        <w:rPr>
          <w:rFonts w:ascii="宋体" w:hAnsi="宋体" w:cs="宋体" w:eastAsia="宋体" w:hint="default"/>
          <w:sz w:val="56"/>
          <w:szCs w:val="56"/>
        </w:rPr>
      </w:r>
    </w:p>
    <w:p>
      <w:pPr>
        <w:spacing w:line="240" w:lineRule="auto" w:before="0"/>
        <w:rPr>
          <w:rFonts w:ascii="宋体" w:hAnsi="宋体" w:cs="宋体" w:eastAsia="宋体" w:hint="default"/>
          <w:b/>
          <w:bCs/>
          <w:sz w:val="56"/>
          <w:szCs w:val="56"/>
        </w:rPr>
      </w:pPr>
    </w:p>
    <w:p>
      <w:pPr>
        <w:spacing w:line="240" w:lineRule="auto" w:before="0"/>
        <w:rPr>
          <w:rFonts w:ascii="宋体" w:hAnsi="宋体" w:cs="宋体" w:eastAsia="宋体" w:hint="default"/>
          <w:b/>
          <w:bCs/>
          <w:sz w:val="56"/>
          <w:szCs w:val="56"/>
        </w:rPr>
      </w:pPr>
    </w:p>
    <w:p>
      <w:pPr>
        <w:spacing w:line="240" w:lineRule="auto" w:before="0"/>
        <w:rPr>
          <w:rFonts w:ascii="宋体" w:hAnsi="宋体" w:cs="宋体" w:eastAsia="宋体" w:hint="default"/>
          <w:b/>
          <w:bCs/>
          <w:sz w:val="56"/>
          <w:szCs w:val="56"/>
        </w:rPr>
      </w:pPr>
    </w:p>
    <w:p>
      <w:pPr>
        <w:spacing w:line="240" w:lineRule="auto" w:before="12"/>
        <w:rPr>
          <w:rFonts w:ascii="宋体" w:hAnsi="宋体" w:cs="宋体" w:eastAsia="宋体" w:hint="default"/>
          <w:b/>
          <w:bCs/>
          <w:sz w:val="68"/>
          <w:szCs w:val="68"/>
        </w:rPr>
      </w:pPr>
    </w:p>
    <w:p>
      <w:pPr>
        <w:pStyle w:val="Heading2"/>
        <w:spacing w:line="240" w:lineRule="auto" w:before="0"/>
        <w:ind w:right="2141"/>
        <w:jc w:val="center"/>
        <w:rPr>
          <w:b w:val="0"/>
          <w:bCs w:val="0"/>
        </w:rPr>
      </w:pPr>
      <w:r>
        <w:rPr/>
        <w:t>二</w:t>
      </w:r>
      <w:r>
        <w:rPr>
          <w:spacing w:val="-84"/>
        </w:rPr>
        <w:t> </w:t>
      </w:r>
      <w:r>
        <w:rPr>
          <w:rFonts w:ascii="Times New Roman" w:hAnsi="Times New Roman" w:cs="Times New Roman" w:eastAsia="Times New Roman" w:hint="default"/>
        </w:rPr>
        <w:t>O</w:t>
      </w:r>
      <w:r>
        <w:rPr>
          <w:rFonts w:ascii="Times New Roman" w:hAnsi="Times New Roman" w:cs="Times New Roman" w:eastAsia="Times New Roman" w:hint="default"/>
          <w:spacing w:val="-4"/>
        </w:rPr>
        <w:t> </w:t>
      </w:r>
      <w:r>
        <w:rPr/>
        <w:t>一三年三月十九日</w:t>
      </w:r>
      <w:r>
        <w:rPr>
          <w:b w:val="0"/>
          <w:bCs w:val="0"/>
        </w:rPr>
      </w:r>
    </w:p>
    <w:p>
      <w:pPr>
        <w:spacing w:after="0" w:line="240" w:lineRule="auto"/>
        <w:jc w:val="cente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2"/>
        <w:spacing w:line="240" w:lineRule="auto"/>
        <w:ind w:left="2804" w:right="1619"/>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408" w:lineRule="auto" w:before="211"/>
        <w:ind w:right="147" w:firstLine="561"/>
        <w:jc w:val="both"/>
        <w:rPr>
          <w:b w:val="0"/>
          <w:bCs w:val="0"/>
        </w:rPr>
      </w:pPr>
      <w:r>
        <w:rPr>
          <w:spacing w:val="4"/>
          <w:w w:val="95"/>
        </w:rPr>
        <w:t>本公司董事会、监事会及董事、监事、高级管理人员保证本报告所载资料</w:t>
      </w:r>
      <w:r>
        <w:rPr>
          <w:spacing w:val="4"/>
          <w:w w:val="99"/>
        </w:rPr>
        <w:t> </w:t>
      </w:r>
      <w:r>
        <w:rPr>
          <w:spacing w:val="3"/>
          <w:w w:val="95"/>
        </w:rPr>
        <w:t>不存在任何虚假记载、误导性陈述或者重大遗漏，并对其内容的真实性、准确</w:t>
      </w:r>
      <w:r>
        <w:rPr>
          <w:spacing w:val="19"/>
          <w:w w:val="95"/>
        </w:rPr>
        <w:t> </w:t>
      </w:r>
      <w:r>
        <w:rPr>
          <w:spacing w:val="19"/>
          <w:w w:val="95"/>
        </w:rPr>
      </w:r>
      <w:r>
        <w:rPr/>
        <w:t>性和完整性承担个别及连带责任。</w:t>
      </w:r>
      <w:r>
        <w:rPr>
          <w:b w:val="0"/>
          <w:bCs w:val="0"/>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spacing w:val="6"/>
          <w:w w:val="95"/>
          <w:sz w:val="28"/>
          <w:szCs w:val="28"/>
        </w:rPr>
        <w:t>公司负责人姜放、主管会计工作负责人及会计机构负责人</w:t>
      </w:r>
      <w:r>
        <w:rPr>
          <w:rFonts w:ascii="Times New Roman" w:hAnsi="Times New Roman" w:cs="Times New Roman" w:eastAsia="Times New Roman" w:hint="default"/>
          <w:b/>
          <w:bCs/>
          <w:spacing w:val="6"/>
          <w:w w:val="95"/>
          <w:sz w:val="28"/>
          <w:szCs w:val="28"/>
        </w:rPr>
        <w:t>(</w:t>
      </w:r>
      <w:r>
        <w:rPr>
          <w:rFonts w:ascii="宋体" w:hAnsi="宋体" w:cs="宋体" w:eastAsia="宋体" w:hint="default"/>
          <w:b/>
          <w:bCs/>
          <w:spacing w:val="6"/>
          <w:w w:val="95"/>
          <w:sz w:val="28"/>
          <w:szCs w:val="28"/>
        </w:rPr>
        <w:t>会计主管人员</w:t>
      </w:r>
      <w:r>
        <w:rPr>
          <w:rFonts w:ascii="Times New Roman" w:hAnsi="Times New Roman" w:cs="Times New Roman" w:eastAsia="Times New Roman" w:hint="default"/>
          <w:b/>
          <w:bCs/>
          <w:spacing w:val="6"/>
          <w:w w:val="95"/>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王丽荣声明：保证年度报告中财务报告的真实、准确、完整。</w:t>
      </w:r>
      <w:r>
        <w:rPr>
          <w:rFonts w:ascii="宋体" w:hAnsi="宋体" w:cs="宋体" w:eastAsia="宋体" w:hint="default"/>
          <w:sz w:val="28"/>
          <w:szCs w:val="28"/>
        </w:rPr>
      </w:r>
    </w:p>
    <w:p>
      <w:pPr>
        <w:spacing w:line="472" w:lineRule="auto" w:before="186"/>
        <w:ind w:left="715" w:right="1619"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141" w:right="214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p>
      <w:pPr>
        <w:pStyle w:val="Heading4"/>
        <w:tabs>
          <w:tab w:pos="9781"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p>
    <w:p>
      <w:pPr>
        <w:pStyle w:val="Heading4"/>
        <w:tabs>
          <w:tab w:pos="9781"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141</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2141" w:right="21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远东实业股份有限公司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控股股东、大股东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艾特凡斯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750" w:right="384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103"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b/>
          <w:bCs/>
          <w:spacing w:val="1"/>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1"/>
        <w:ind w:left="2141" w:right="2140" w:firstLine="0"/>
        <w:jc w:val="center"/>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5"/>
          <w:sz w:val="32"/>
          <w:szCs w:val="32"/>
        </w:rPr>
        <w:t> </w:t>
      </w:r>
      <w:r>
        <w:rPr>
          <w:rFonts w:ascii="宋体" w:hAnsi="宋体" w:cs="宋体" w:eastAsia="宋体" w:hint="default"/>
          <w:b/>
          <w:bCs/>
          <w:sz w:val="32"/>
          <w:szCs w:val="32"/>
        </w:rPr>
        <w:t>公司简介</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161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远东</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远东实业股份有限公司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远东股份</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Far East Industrial Stock</w:t>
            </w:r>
            <w:r>
              <w:rPr>
                <w:rFonts w:ascii="Times New Roman"/>
                <w:spacing w:val="-8"/>
                <w:sz w:val="18"/>
              </w:rPr>
              <w:t> </w:t>
            </w:r>
            <w:r>
              <w:rPr>
                <w:rFonts w:ascii="Times New Roman"/>
                <w:sz w:val="18"/>
              </w:rPr>
              <w:t>Co.,Ltd.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江苏省常州市清潭荆川南路</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213015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213002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http://www.chinafareast.com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spacing w:before="26"/>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10" w:space="0" w:color="D3D3D3"/>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幢－</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幢－</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0"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2"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10"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0519-85130681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0519-85130681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0519-85132666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0519-85132666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spacing w:before="26"/>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2"/>
        <w:rPr>
          <w:rFonts w:ascii="宋体" w:hAnsi="宋体" w:cs="宋体" w:eastAsia="宋体" w:hint="default"/>
          <w:b/>
          <w:bCs/>
          <w:sz w:val="18"/>
          <w:szCs w:val="18"/>
        </w:rPr>
      </w:pPr>
    </w:p>
    <w:p>
      <w:pPr>
        <w:spacing w:before="26"/>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企业法人营业执照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before="44"/>
        <w:ind w:left="0" w:right="160" w:firstLine="0"/>
        <w:jc w:val="right"/>
        <w:rPr>
          <w:rFonts w:ascii="宋体" w:hAnsi="宋体" w:cs="宋体" w:eastAsia="宋体" w:hint="default"/>
          <w:sz w:val="18"/>
          <w:szCs w:val="18"/>
        </w:rPr>
      </w:pPr>
      <w:r>
        <w:rPr/>
        <w:pict>
          <v:shape style="position:absolute;margin-left:57.029995pt;margin-top:-152.707993pt;width:478.5pt;height:239.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6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629"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江苏省常州市清潭 荆川南路</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企股苏常总字第</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苏常字</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320408608117856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（国税号）苏字地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320401608117856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（地税号）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63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江苏省常州市清潭 荆川南路</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320400400000497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320400608117856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2"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73"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tcPr>
                      <w:p>
                        <w:pPr>
                          <w:pStyle w:val="TableParagraph"/>
                          <w:spacing w:line="314" w:lineRule="auto" w:before="51"/>
                          <w:ind w:left="17"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日，经公司第七届董事会第十一次会议审议通过，公司经营范围 </w:t>
                        </w:r>
                        <w:r>
                          <w:rPr>
                            <w:rFonts w:ascii="宋体" w:hAnsi="宋体" w:cs="宋体" w:eastAsia="宋体" w:hint="default"/>
                            <w:spacing w:val="-3"/>
                            <w:sz w:val="18"/>
                            <w:szCs w:val="18"/>
                          </w:rPr>
                          <w:t>变更为：动漫设计；智能控制人机交互软件的技术开发；机电一体化、机态仿真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机械结构以及多媒体产品的技术开发及系统集成；开发计算机软件，销售自产产 品并提供相关技术和工程咨询、服务、培训，转让本企业所开发的技术。上述议 案将提交公司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w:t>
                        </w:r>
                      </w:p>
                    </w:tc>
                  </w:tr>
                  <w:tr>
                    <w:trPr>
                      <w:trHeight w:val="704"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9" w:space="0" w:color="D3D3D3"/>
                          <w:right w:val="single" w:sz="4" w:space="0" w:color="000000"/>
                        </w:tcBorders>
                      </w:tcPr>
                      <w:p>
                        <w:pPr/>
                      </w:p>
                    </w:tc>
                  </w:tr>
                  <w:tr>
                    <w:trPr>
                      <w:trHeight w:val="474"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tcPr>
                      <w:p>
                        <w:pPr/>
                      </w:p>
                    </w:tc>
                  </w:tr>
                  <w:tr>
                    <w:trPr>
                      <w:trHeight w:val="402"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报告期内无控股股东变更情况。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right="1619"/>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孙淑平、孙晓爽</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6"/>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公司股票恢复上市之日起计</w:t>
            </w:r>
          </w:p>
        </w:tc>
      </w:tr>
      <w:tr>
        <w:trPr>
          <w:trHeight w:val="63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童星、李阳</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算，包括公司恢复上市当年剩 余时间及其后一个完整会计</w:t>
            </w: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年度的期间。</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2644" w:right="1619"/>
        <w:jc w:val="left"/>
        <w:rPr>
          <w:b w:val="0"/>
          <w:bCs w:val="0"/>
        </w:rPr>
      </w:pP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right="1619"/>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36,083,823.45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18,849,467.00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141,675.00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6,489,233.08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5,629,285.46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631,360.01</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5,840,837.96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-12,981,098.14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-11,095,857.14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20,401,495.04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-14,929,555.80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-25,978,968.71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596" w:type="dxa"/>
            <w:vMerge w:val="restart"/>
            <w:tcBorders>
              <w:top w:val="nil" w:sz="6" w:space="0" w:color="auto"/>
              <w:left w:val="single" w:sz="4" w:space="0" w:color="000000"/>
              <w:right w:val="single" w:sz="4" w:space="0" w:color="000000"/>
            </w:tcBorders>
            <w:shd w:val="clear" w:color="auto" w:fill="D3D3D3"/>
          </w:tcPr>
          <w:p>
            <w:pPr/>
          </w:p>
        </w:tc>
        <w:tc>
          <w:tcPr>
            <w:tcW w:w="17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bottom w:val="nil" w:sz="6" w:space="0" w:color="auto"/>
              <w:right w:val="single" w:sz="4" w:space="0" w:color="000000"/>
            </w:tcBorders>
            <w:shd w:val="clear" w:color="auto" w:fill="D3D3D3"/>
          </w:tcPr>
          <w:p>
            <w:pPr/>
          </w:p>
        </w:tc>
        <w:tc>
          <w:tcPr>
            <w:tcW w:w="17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596" w:type="dxa"/>
            <w:vMerge/>
            <w:tcBorders>
              <w:left w:val="single" w:sz="4" w:space="0" w:color="000000"/>
              <w:bottom w:val="nil" w:sz="6" w:space="0" w:color="auto"/>
              <w:right w:val="single" w:sz="4" w:space="0" w:color="000000"/>
            </w:tcBorders>
            <w:shd w:val="clear" w:color="auto" w:fill="D3D3D3"/>
          </w:tcPr>
          <w:p>
            <w:pPr/>
          </w:p>
        </w:tc>
        <w:tc>
          <w:tcPr>
            <w:tcW w:w="1750" w:type="dxa"/>
            <w:vMerge/>
            <w:tcBorders>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bottom w:val="nil" w:sz="6" w:space="0" w:color="auto"/>
              <w:right w:val="single" w:sz="4" w:space="0" w:color="000000"/>
            </w:tcBorders>
            <w:shd w:val="clear" w:color="auto" w:fill="D3D3D3"/>
          </w:tcPr>
          <w:p>
            <w:pPr/>
          </w:p>
        </w:tc>
        <w:tc>
          <w:tcPr>
            <w:tcW w:w="17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194,748,703.76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141,525,156.35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132,112,915.86</w:t>
            </w:r>
          </w:p>
        </w:tc>
      </w:tr>
      <w:tr>
        <w:trPr>
          <w:trHeight w:val="357"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50" w:type="dxa"/>
            <w:tcBorders>
              <w:top w:val="single" w:sz="4" w:space="0" w:color="000000"/>
              <w:left w:val="single" w:sz="13" w:space="0" w:color="D3D3D3"/>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9"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w:t>
            </w:r>
          </w:p>
        </w:tc>
        <w:tc>
          <w:tcPr>
            <w:tcW w:w="1750"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144,923,318.52</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138,434,085.44</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4.69%</w:t>
            </w:r>
          </w:p>
        </w:tc>
        <w:tc>
          <w:tcPr>
            <w:tcW w:w="1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129,077,762.21</w:t>
            </w:r>
          </w:p>
        </w:tc>
      </w:tr>
      <w:tr>
        <w:trPr>
          <w:trHeight w:val="353"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1750" w:type="dxa"/>
            <w:tcBorders>
              <w:top w:val="nil" w:sz="6" w:space="0" w:color="auto"/>
              <w:left w:val="single" w:sz="13" w:space="0" w:color="D3D3D3"/>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9" w:type="dxa"/>
            <w:tcBorders>
              <w:top w:val="nil" w:sz="6" w:space="0" w:color="auto"/>
              <w:left w:val="single" w:sz="4" w:space="0" w:color="000000"/>
              <w:bottom w:val="single" w:sz="4" w:space="0" w:color="000000"/>
              <w:right w:val="single" w:sz="4" w:space="0" w:color="000000"/>
            </w:tcBorders>
          </w:tcPr>
          <w:p>
            <w:pPr/>
          </w:p>
        </w:tc>
        <w:tc>
          <w:tcPr>
            <w:tcW w:w="1735"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1619"/>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21,788,519.60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8,478,454.63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206,062.50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-2,441,489.44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219,600.01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8"/>
        <w:gridCol w:w="1548"/>
        <w:gridCol w:w="1520"/>
        <w:gridCol w:w="1522"/>
        <w:gridCol w:w="1710"/>
      </w:tblGrid>
      <w:tr>
        <w:trPr>
          <w:trHeight w:val="1298"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5"/>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-740,646.56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3,345,554.44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101,068.82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16,391.93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648,395.12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18,610,383.60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11,727,217.15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3591" w:right="3647"/>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20"/>
        <w:jc w:val="left"/>
      </w:pPr>
      <w:r>
        <w:rPr/>
        <w:t>公司因2006年、2007年、2008年连续三年亏损，公司股票于2009年3月24日起暂停上市。为了转变公</w:t>
      </w:r>
      <w:r>
        <w:rPr>
          <w:spacing w:val="2"/>
        </w:rPr>
        <w:t> </w:t>
      </w:r>
      <w:r>
        <w:rPr/>
        <w:t>司的经营状况，公司凭借子公司—远东文化的主营优势适时进入文化产业市场，与北京中外名人影视制作</w:t>
      </w:r>
      <w:r>
        <w:rPr/>
        <w:t> 有限责任公司联合摄制了电视剧《革命人永远是年轻》、《老爸的筒子楼》。目前，联合摄制的电视剧已 完成发行工作，电视剧取得的营业收入成为公司新的利润增长点。同时，为促进公司恢复上市进程，实现 </w:t>
      </w:r>
      <w:r>
        <w:rPr>
          <w:spacing w:val="-1"/>
        </w:rPr>
        <w:t>公司主营业务的突破和转型，2012年6月20日，公司与江苏仁众投资管理有限公司、程波、王星、钟祥明、</w:t>
      </w:r>
      <w:r>
        <w:rPr>
          <w:spacing w:val="-79"/>
        </w:rPr>
        <w:t> </w:t>
      </w:r>
      <w:r>
        <w:rPr>
          <w:spacing w:val="-79"/>
        </w:rPr>
      </w:r>
      <w:r>
        <w:rPr/>
        <w:t>高新良、陈坤、汤芝加及艾特凡斯签署了《关于深圳艾特凡斯智能科技有限公司的股权转让协议书》，以</w:t>
      </w:r>
      <w:r>
        <w:rPr/>
        <w:t> 1200万元价格收购了以经营智能游乐项目和特种影视项目为主营业务的艾特凡斯51%的股权。</w:t>
      </w:r>
    </w:p>
    <w:p>
      <w:pPr>
        <w:pStyle w:val="BodyText"/>
        <w:spacing w:line="408" w:lineRule="auto" w:before="46"/>
        <w:ind w:right="204" w:firstLine="420"/>
        <w:jc w:val="both"/>
      </w:pPr>
      <w:r>
        <w:rPr>
          <w:spacing w:val="-1"/>
        </w:rPr>
        <w:t>鉴于公司主营业务和生产经营等情况发生重大变化，公司根据相关规定向深交所提交了公司股票恢复</w:t>
      </w:r>
      <w:r>
        <w:rPr/>
        <w:t> </w:t>
      </w:r>
      <w:r>
        <w:rPr>
          <w:spacing w:val="3"/>
        </w:rPr>
        <w:t>上市申请补充文件。经深交所上市委员会2012年12月25日召开的第七届上市委员会第十四次工作会议审</w:t>
      </w:r>
      <w:r>
        <w:rPr>
          <w:spacing w:val="-94"/>
        </w:rPr>
        <w:t> </w:t>
      </w:r>
      <w:r>
        <w:rPr>
          <w:spacing w:val="-94"/>
        </w:rPr>
      </w:r>
      <w:r>
        <w:rPr>
          <w:spacing w:val="-1"/>
        </w:rPr>
        <w:t>议，通过了公司股票恢复上市申请事项。2012年12月31日，公司收到深交所《关于同意远东实业股份有限</w:t>
      </w:r>
      <w:r>
        <w:rPr>
          <w:spacing w:val="-82"/>
        </w:rPr>
        <w:t> </w:t>
      </w:r>
      <w:r>
        <w:rPr>
          <w:spacing w:val="-82"/>
        </w:rPr>
      </w:r>
      <w:r>
        <w:rPr/>
        <w:t>公司股票恢复上市的决定》（深证上【2012】470号），核准公司股票自2013年2月8日起在深交所恢复上</w:t>
      </w:r>
      <w:r>
        <w:rPr>
          <w:spacing w:val="-37"/>
        </w:rPr>
        <w:t> </w:t>
      </w:r>
      <w:r>
        <w:rPr>
          <w:spacing w:val="-37"/>
        </w:rPr>
      </w:r>
      <w:r>
        <w:rPr/>
        <w:t>市交易。</w:t>
      </w:r>
    </w:p>
    <w:p>
      <w:pPr>
        <w:pStyle w:val="BodyText"/>
        <w:spacing w:line="408" w:lineRule="auto" w:before="46"/>
        <w:ind w:right="210" w:firstLine="420"/>
        <w:jc w:val="both"/>
      </w:pPr>
      <w:r>
        <w:rPr>
          <w:spacing w:val="-1"/>
        </w:rPr>
        <w:t>公司将进一步扩展在文化科技产业领域的发展，通过主营业务的全面转型，公司的可持续盈利能力将</w:t>
      </w:r>
      <w:r>
        <w:rPr/>
        <w:t> </w:t>
      </w:r>
      <w:r>
        <w:rPr>
          <w:spacing w:val="-1"/>
        </w:rPr>
        <w:t>从根本上得到改善。公司董事会将根据新的发展方向，认真做好经营计划，努力实现企业经济效益和股东</w:t>
      </w:r>
      <w:r>
        <w:rPr>
          <w:spacing w:val="-83"/>
        </w:rPr>
        <w:t> </w:t>
      </w:r>
      <w:r>
        <w:rPr>
          <w:spacing w:val="-83"/>
        </w:rPr>
      </w:r>
      <w:r>
        <w:rPr/>
        <w:t>利益的最大化。</w:t>
      </w:r>
    </w:p>
    <w:p>
      <w:pPr>
        <w:spacing w:line="240" w:lineRule="auto" w:before="11"/>
        <w:rPr>
          <w:rFonts w:ascii="宋体" w:hAnsi="宋体" w:cs="宋体" w:eastAsia="宋体" w:hint="default"/>
          <w:sz w:val="18"/>
          <w:szCs w:val="18"/>
        </w:rPr>
      </w:pPr>
    </w:p>
    <w:p>
      <w:pPr>
        <w:pStyle w:val="Heading4"/>
        <w:spacing w:line="240" w:lineRule="auto" w:before="0"/>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207" w:firstLine="420"/>
        <w:jc w:val="both"/>
      </w:pPr>
      <w:r>
        <w:rPr>
          <w:spacing w:val="-1"/>
        </w:rPr>
        <w:t>2012年，公司实现营业收入3608.38万元，其中，艾特凡斯实现主营业务收入2007.44万元，远东文化</w:t>
      </w:r>
      <w:r>
        <w:rPr/>
        <w:t> 联合摄制电视剧项目实现营业收入1600.94万元。截至2012年12月31日，公司总资产19474.87万元，净资</w:t>
      </w:r>
      <w:r>
        <w:rPr>
          <w:spacing w:val="-43"/>
        </w:rPr>
        <w:t> </w:t>
      </w:r>
      <w:r>
        <w:rPr>
          <w:spacing w:val="-43"/>
        </w:rPr>
      </w:r>
      <w:r>
        <w:rPr/>
        <w:t>产14492.33万元。</w:t>
      </w:r>
    </w:p>
    <w:p>
      <w:pPr>
        <w:pStyle w:val="BodyText"/>
        <w:spacing w:line="408" w:lineRule="auto" w:before="87"/>
        <w:ind w:right="209" w:firstLine="420"/>
        <w:jc w:val="both"/>
      </w:pPr>
      <w:r>
        <w:rPr>
          <w:spacing w:val="-1"/>
        </w:rPr>
        <w:t>2011年10月17日，公司第六届董事会第二十七次会议审议通过了《关于远东实业股份有限公司吸收合</w:t>
      </w:r>
      <w:r>
        <w:rPr/>
        <w:t> </w:t>
      </w:r>
      <w:r>
        <w:rPr>
          <w:spacing w:val="-1"/>
        </w:rPr>
        <w:t>并四川永祥股份有限公司具体方案的议案》，公司拟通过吸收合并四川永祥股份有限公司，转型成为以多</w:t>
      </w:r>
      <w:r>
        <w:rPr>
          <w:spacing w:val="-83"/>
        </w:rPr>
        <w:t> </w:t>
      </w:r>
      <w:r>
        <w:rPr>
          <w:spacing w:val="-83"/>
        </w:rPr>
      </w:r>
      <w:r>
        <w:rPr>
          <w:spacing w:val="-1"/>
        </w:rPr>
        <w:t>晶硅生产制造为主营业务的光伏企业。重组光伏产业资产的方案公布后，以太阳能光伏为代表的新兴能源</w:t>
      </w:r>
      <w:r>
        <w:rPr>
          <w:spacing w:val="-81"/>
        </w:rPr>
        <w:t> </w:t>
      </w:r>
      <w:r>
        <w:rPr>
          <w:spacing w:val="-81"/>
        </w:rPr>
      </w:r>
      <w:r>
        <w:rPr>
          <w:spacing w:val="-1"/>
        </w:rPr>
        <w:t>产业的市场环境发生重大变化，在金融危机以及世界各国对我国光伏产品实施“双反”贸易管制等多重因</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0"/>
        <w:jc w:val="left"/>
      </w:pPr>
      <w:r>
        <w:rPr>
          <w:spacing w:val="-1"/>
        </w:rPr>
        <w:t>素影响下，多晶硅市场行情一落千丈，重组光伏产业相关事项难以继续推进，为了维护全体股东利益，公</w:t>
      </w:r>
      <w:r>
        <w:rPr>
          <w:spacing w:val="-82"/>
        </w:rPr>
        <w:t> </w:t>
      </w:r>
      <w:r>
        <w:rPr>
          <w:spacing w:val="-82"/>
        </w:rPr>
      </w:r>
      <w:r>
        <w:rPr/>
        <w:t>司于2012年7月3日发布公告终止筹划该次重组。</w:t>
      </w:r>
    </w:p>
    <w:p>
      <w:pPr>
        <w:pStyle w:val="BodyText"/>
        <w:spacing w:line="240" w:lineRule="auto" w:before="82"/>
        <w:ind w:left="679" w:right="0"/>
        <w:jc w:val="left"/>
      </w:pPr>
      <w:r>
        <w:rPr/>
        <w:t>2012年6月20日，公司与江苏仁众投资管理有限公司、程波、王星、钟祥明、高新良、陈坤、汤芝加</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3"/>
        </w:rPr>
        <w:t>（以上各方合称“转让方”）及艾特凡斯签署了《关于深圳艾特凡斯智能科技有限公司的股权转让协议书》</w:t>
      </w:r>
    </w:p>
    <w:p>
      <w:pPr>
        <w:spacing w:line="240" w:lineRule="auto" w:before="10"/>
        <w:rPr>
          <w:rFonts w:ascii="宋体" w:hAnsi="宋体" w:cs="宋体" w:eastAsia="宋体" w:hint="default"/>
          <w:sz w:val="14"/>
          <w:szCs w:val="14"/>
        </w:rPr>
      </w:pPr>
    </w:p>
    <w:p>
      <w:pPr>
        <w:pStyle w:val="BodyText"/>
        <w:spacing w:line="405" w:lineRule="auto"/>
        <w:ind w:right="0"/>
        <w:jc w:val="left"/>
        <w:rPr>
          <w:sz w:val="18"/>
          <w:szCs w:val="18"/>
        </w:rPr>
      </w:pPr>
      <w:r>
        <w:rPr/>
        <w:t>（以下简称“股权转让协议书”），转让方拟将所持艾特凡斯的51%股权转让给公司，转让金额为人民币</w:t>
      </w:r>
      <w:r>
        <w:rPr>
          <w:spacing w:val="-34"/>
        </w:rPr>
        <w:t> </w:t>
      </w:r>
      <w:r>
        <w:rPr>
          <w:spacing w:val="-34"/>
        </w:rPr>
      </w:r>
      <w:r>
        <w:rPr/>
        <w:t>1,200万元。2012年7月17日，艾特凡斯完成了股权转让工商变更登记手续。随后，公司与艾特凡斯其他小</w:t>
      </w:r>
      <w:r>
        <w:rPr/>
        <w:t> </w:t>
      </w:r>
      <w:r>
        <w:rPr>
          <w:spacing w:val="-1"/>
        </w:rPr>
        <w:t>股东同比例对艾特凡斯进行增资，增资完成后艾特凡斯注册资本变更为1,000万元，各股东持股比例不变，</w:t>
      </w:r>
      <w:r>
        <w:rPr>
          <w:spacing w:val="-80"/>
        </w:rPr>
        <w:t> </w:t>
      </w:r>
      <w:r>
        <w:rPr>
          <w:spacing w:val="-80"/>
        </w:rPr>
      </w:r>
      <w:r>
        <w:rPr/>
        <w:t>增资相关工商变更手续已于2012年8月1日办理完毕。</w:t>
      </w:r>
      <w:r>
        <w:rPr/>
        <w:t> </w:t>
      </w:r>
      <w:r>
        <w:rPr>
          <w:sz w:val="18"/>
          <w:szCs w:val="18"/>
        </w:rPr>
        <w:t>公司实际经营业绩较曾公开披露过的本年度盈利预测低于或高于</w:t>
      </w:r>
      <w:r>
        <w:rPr>
          <w:spacing w:val="-46"/>
          <w:sz w:val="18"/>
          <w:szCs w:val="18"/>
        </w:rPr>
        <w:t> </w:t>
      </w:r>
      <w:r>
        <w:rPr>
          <w:rFonts w:ascii="Times New Roman" w:hAnsi="Times New Roman" w:cs="Times New Roman" w:eastAsia="Times New Roman" w:hint="default"/>
          <w:sz w:val="18"/>
          <w:szCs w:val="18"/>
        </w:rPr>
        <w:t>20%</w:t>
      </w:r>
      <w:r>
        <w:rPr>
          <w:sz w:val="18"/>
          <w:szCs w:val="18"/>
        </w:rPr>
        <w:t>以上的差异原因</w:t>
      </w:r>
    </w:p>
    <w:p>
      <w:pPr>
        <w:spacing w:line="202"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left="153" w:right="0" w:firstLine="420"/>
        <w:jc w:val="left"/>
        <w:rPr>
          <w:sz w:val="18"/>
          <w:szCs w:val="18"/>
        </w:rPr>
      </w:pPr>
      <w:r>
        <w:rPr>
          <w:spacing w:val="-1"/>
        </w:rPr>
        <w:t>本报告期，公司实现营业收入36,083,823.45元，较去年同期增加17,234,356.45元，增幅91.43%，其</w:t>
      </w:r>
      <w:r>
        <w:rPr/>
        <w:t> 中主营业务收入20,074,413.45元，主要是收购艾特凡斯51%股权形成新的主营业务收入。 </w:t>
      </w:r>
      <w:r>
        <w:rPr>
          <w:sz w:val="18"/>
          <w:szCs w:val="18"/>
        </w:rPr>
        <w:t>公司实物销售收入是否大于劳务收入</w:t>
      </w:r>
    </w:p>
    <w:p>
      <w:pPr>
        <w:spacing w:line="357" w:lineRule="auto" w:before="0"/>
        <w:ind w:left="153" w:right="7851" w:firstLine="0"/>
        <w:jc w:val="left"/>
        <w:rPr>
          <w:rFonts w:ascii="宋体" w:hAnsi="宋体" w:cs="宋体" w:eastAsia="宋体" w:hint="default"/>
          <w:sz w:val="18"/>
          <w:szCs w:val="18"/>
        </w:rPr>
      </w:pPr>
      <w:r>
        <w:rPr>
          <w:rFonts w:ascii="宋体" w:hAnsi="宋体" w:cs="宋体" w:eastAsia="宋体" w:hint="default"/>
          <w:sz w:val="18"/>
          <w:szCs w:val="18"/>
        </w:rPr>
        <w:t>□ 是 √ 否 公司重大的在手订单情况</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78"/>
        <w:gridCol w:w="1026"/>
        <w:gridCol w:w="3631"/>
        <w:gridCol w:w="1555"/>
        <w:gridCol w:w="1434"/>
      </w:tblGrid>
      <w:tr>
        <w:trPr>
          <w:trHeight w:val="694"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6" w:right="53" w:hanging="360"/>
              <w:jc w:val="left"/>
              <w:rPr>
                <w:rFonts w:ascii="宋体" w:hAnsi="宋体" w:cs="宋体" w:eastAsia="宋体" w:hint="default"/>
                <w:sz w:val="18"/>
                <w:szCs w:val="18"/>
              </w:rPr>
            </w:pPr>
            <w:r>
              <w:rPr>
                <w:rFonts w:ascii="宋体" w:hAnsi="宋体" w:cs="宋体" w:eastAsia="宋体" w:hint="default"/>
                <w:sz w:val="18"/>
                <w:szCs w:val="18"/>
              </w:rPr>
              <w:t>合同签订日 期</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b/>
                <w:bCs/>
                <w:sz w:val="18"/>
                <w:szCs w:val="18"/>
              </w:rPr>
              <w:t>已收款金额</w:t>
            </w:r>
            <w:r>
              <w:rPr>
                <w:rFonts w:ascii="宋体" w:hAnsi="宋体" w:cs="宋体" w:eastAsia="宋体" w:hint="default"/>
                <w:sz w:val="18"/>
                <w:szCs w:val="18"/>
              </w:rPr>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2011.7</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《激战太平洋》数字影片制作协议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1,012,500.00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2011.7</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《客家传说》数字影片制作协议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2011.9</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球幕影院数字放映系统集成工程</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3,320,000.00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3,154,000.00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2012.2.2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儿童</w:t>
            </w:r>
            <w:r>
              <w:rPr>
                <w:rFonts w:ascii="Times New Roman" w:hAnsi="Times New Roman" w:cs="Times New Roman" w:eastAsia="Times New Roman" w:hint="default"/>
                <w:sz w:val="18"/>
                <w:szCs w:val="18"/>
              </w:rPr>
              <w:t>4D“</w:t>
            </w:r>
            <w:r>
              <w:rPr>
                <w:rFonts w:ascii="宋体" w:hAnsi="宋体" w:cs="宋体" w:eastAsia="宋体" w:hint="default"/>
                <w:sz w:val="18"/>
                <w:szCs w:val="18"/>
              </w:rPr>
              <w:t>海底精灵城续集</w:t>
            </w:r>
            <w:r>
              <w:rPr>
                <w:rFonts w:ascii="Times New Roman" w:hAnsi="Times New Roman" w:cs="Times New Roman" w:eastAsia="Times New Roman" w:hint="default"/>
                <w:sz w:val="18"/>
                <w:szCs w:val="18"/>
              </w:rPr>
              <w:t>”</w:t>
            </w:r>
            <w:r>
              <w:rPr>
                <w:rFonts w:ascii="宋体" w:hAnsi="宋体" w:cs="宋体" w:eastAsia="宋体" w:hint="default"/>
                <w:sz w:val="18"/>
                <w:szCs w:val="18"/>
              </w:rPr>
              <w:t>影片制作项目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2012.2.2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魔幻剧场</w:t>
            </w:r>
            <w:r>
              <w:rPr>
                <w:rFonts w:ascii="Times New Roman" w:hAnsi="Times New Roman" w:cs="Times New Roman" w:eastAsia="Times New Roman" w:hint="default"/>
                <w:sz w:val="18"/>
                <w:szCs w:val="18"/>
              </w:rPr>
              <w:t>“</w:t>
            </w:r>
            <w:r>
              <w:rPr>
                <w:rFonts w:ascii="宋体" w:hAnsi="宋体" w:cs="宋体" w:eastAsia="宋体" w:hint="default"/>
                <w:sz w:val="18"/>
                <w:szCs w:val="18"/>
              </w:rPr>
              <w:t>冰剑国度</w:t>
            </w:r>
            <w:r>
              <w:rPr>
                <w:rFonts w:ascii="Times New Roman" w:hAnsi="Times New Roman" w:cs="Times New Roman" w:eastAsia="Times New Roman" w:hint="default"/>
                <w:sz w:val="18"/>
                <w:szCs w:val="18"/>
              </w:rPr>
              <w:t>”</w:t>
            </w:r>
            <w:r>
              <w:rPr>
                <w:rFonts w:ascii="宋体" w:hAnsi="宋体" w:cs="宋体" w:eastAsia="宋体" w:hint="default"/>
                <w:sz w:val="18"/>
                <w:szCs w:val="18"/>
              </w:rPr>
              <w:t>改造工程</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1,697,500.00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2012.3</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《龙帝惊临》</w:t>
            </w:r>
            <w:r>
              <w:rPr>
                <w:rFonts w:ascii="Times New Roman" w:hAnsi="Times New Roman" w:cs="Times New Roman" w:eastAsia="Times New Roman" w:hint="default"/>
                <w:sz w:val="18"/>
                <w:szCs w:val="18"/>
              </w:rPr>
              <w:t>DARK PIDE</w:t>
            </w:r>
            <w:r>
              <w:rPr>
                <w:rFonts w:ascii="宋体" w:hAnsi="宋体" w:cs="宋体" w:eastAsia="宋体" w:hint="default"/>
                <w:sz w:val="18"/>
                <w:szCs w:val="18"/>
              </w:rPr>
              <w:t>项目</w:t>
            </w:r>
            <w:r>
              <w:rPr>
                <w:rFonts w:ascii="宋体" w:hAnsi="宋体" w:cs="宋体" w:eastAsia="宋体" w:hint="default"/>
                <w:spacing w:val="-23"/>
                <w:sz w:val="18"/>
                <w:szCs w:val="18"/>
              </w:rPr>
              <w:t> </w:t>
            </w:r>
            <w:r>
              <w:rPr>
                <w:rFonts w:ascii="宋体" w:hAnsi="宋体" w:cs="宋体" w:eastAsia="宋体" w:hint="default"/>
                <w:sz w:val="18"/>
                <w:szCs w:val="18"/>
              </w:rPr>
              <w:t>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2012.5</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特洛伊动感球幕娱乐项目视频演示方案</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2012.5</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乘骑影视娱乐项目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210,000.00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《天幕》项目建设合同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38,500,000.00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19,250,000.00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《天幕》项目建设合同补充协议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《三国争雄》</w:t>
            </w:r>
            <w:r>
              <w:rPr>
                <w:rFonts w:ascii="Times New Roman" w:hAnsi="Times New Roman" w:cs="Times New Roman" w:eastAsia="Times New Roman" w:hint="default"/>
                <w:sz w:val="18"/>
                <w:szCs w:val="18"/>
              </w:rPr>
              <w:t>360</w:t>
            </w:r>
            <w:r>
              <w:rPr>
                <w:rFonts w:ascii="宋体" w:hAnsi="宋体" w:cs="宋体" w:eastAsia="宋体" w:hint="default"/>
                <w:sz w:val="18"/>
                <w:szCs w:val="18"/>
              </w:rPr>
              <w:t>动感穿越项目合同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9,560,000.00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2012.9</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馆建设合同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18,340,700.00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7,347,510.00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《丛林影院》环境</w:t>
            </w:r>
            <w:r>
              <w:rPr>
                <w:rFonts w:ascii="Times New Roman" w:hAnsi="Times New Roman" w:cs="Times New Roman" w:eastAsia="Times New Roman" w:hint="default"/>
                <w:sz w:val="18"/>
                <w:szCs w:val="18"/>
              </w:rPr>
              <w:t>4D</w:t>
            </w:r>
            <w:r>
              <w:rPr>
                <w:rFonts w:ascii="宋体" w:hAnsi="宋体" w:cs="宋体" w:eastAsia="宋体" w:hint="default"/>
                <w:sz w:val="18"/>
                <w:szCs w:val="18"/>
              </w:rPr>
              <w:t>交互影院项目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66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6"/>
                <w:sz w:val="18"/>
                <w:szCs w:val="18"/>
              </w:rPr>
              <w:t>《地心历险》</w:t>
            </w:r>
            <w:r>
              <w:rPr>
                <w:rFonts w:ascii="Times New Roman" w:hAnsi="Times New Roman" w:cs="Times New Roman" w:eastAsia="Times New Roman" w:hint="default"/>
                <w:spacing w:val="-6"/>
                <w:sz w:val="18"/>
                <w:szCs w:val="18"/>
              </w:rPr>
              <w:t>DARK</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RIDE</w:t>
            </w:r>
            <w:r>
              <w:rPr>
                <w:rFonts w:ascii="宋体" w:hAnsi="宋体" w:cs="宋体" w:eastAsia="宋体" w:hint="default"/>
                <w:sz w:val="18"/>
                <w:szCs w:val="18"/>
              </w:rPr>
              <w:t>项目系统集成技术服 务项目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78"/>
        <w:gridCol w:w="1026"/>
        <w:gridCol w:w="3631"/>
        <w:gridCol w:w="1555"/>
        <w:gridCol w:w="1434"/>
      </w:tblGrid>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1" w:right="0"/>
              <w:jc w:val="left"/>
              <w:rPr>
                <w:rFonts w:ascii="Times New Roman" w:hAnsi="Times New Roman" w:cs="Times New Roman" w:eastAsia="Times New Roman" w:hint="default"/>
                <w:sz w:val="18"/>
                <w:szCs w:val="18"/>
              </w:rPr>
            </w:pPr>
            <w:r>
              <w:rPr>
                <w:rFonts w:ascii="Times New Roman"/>
                <w:sz w:val="18"/>
              </w:rPr>
              <w:t>15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3" w:right="0"/>
              <w:jc w:val="left"/>
              <w:rPr>
                <w:rFonts w:ascii="Times New Roman" w:hAnsi="Times New Roman" w:cs="Times New Roman" w:eastAsia="Times New Roman" w:hint="default"/>
                <w:sz w:val="18"/>
                <w:szCs w:val="18"/>
              </w:rPr>
            </w:pPr>
            <w:r>
              <w:rPr>
                <w:rFonts w:ascii="Times New Roman"/>
                <w:sz w:val="18"/>
              </w:rPr>
              <w:t>2012.11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室内娱乐配套服务项目建设合同书</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12,766,240.00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196,476,940.00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58,161,510.00</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before="117"/>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215" w:firstLine="420"/>
        <w:jc w:val="left"/>
      </w:pPr>
      <w:r>
        <w:rPr/>
        <w:t>2009年以来公司原服装加工的主营业务已基本停止，2012年，公司通过收购艾特凡斯51%股权实现公 司主营业务的突破和转型，公司主营业务和生产经营等情况发生了重大变化。</w:t>
      </w:r>
    </w:p>
    <w:p>
      <w:pPr>
        <w:spacing w:before="34"/>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26,316,413.45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99.89%</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江苏嬉戏族有限公司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16,101,169.81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宿迁市湖滨新城投资开发有限公司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深圳市圣天元数字科技有限公司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1,824,706.91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华谊兄弟（天津）实景娱乐有限公司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重庆市野生动物世界有限公司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290,536.73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26,316,413.45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99.89%</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数字影片设计制 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2,524,533.96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27.93%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48" w:lineRule="auto" w:before="51"/>
        <w:ind w:left="153" w:right="3681" w:firstLine="0"/>
        <w:jc w:val="left"/>
        <w:rPr>
          <w:rFonts w:ascii="宋体" w:hAnsi="宋体" w:cs="宋体" w:eastAsia="宋体" w:hint="default"/>
          <w:sz w:val="18"/>
          <w:szCs w:val="18"/>
        </w:rPr>
      </w:pPr>
      <w:r>
        <w:rPr>
          <w:rFonts w:ascii="宋体" w:hAnsi="宋体" w:cs="宋体" w:eastAsia="宋体" w:hint="default"/>
          <w:sz w:val="18"/>
          <w:szCs w:val="18"/>
        </w:rPr>
        <w:t>说明 公司主营业务由本报告期内收购艾特凡斯</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股权后形成，上年未有该项目。 公司主要供应商情况</w:t>
      </w:r>
    </w:p>
    <w:p>
      <w:pPr>
        <w:spacing w:line="240" w:lineRule="auto" w:before="0"/>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4230"/>
        <w:gridCol w:w="531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14,434,160.00</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947"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20%</w:t>
            </w:r>
          </w:p>
        </w:tc>
      </w:tr>
    </w:tbl>
    <w:p>
      <w:pPr>
        <w:spacing w:before="49"/>
        <w:ind w:left="154" w:right="1619" w:firstLine="0"/>
        <w:jc w:val="left"/>
        <w:rPr>
          <w:rFonts w:ascii="宋体" w:hAnsi="宋体" w:cs="宋体" w:eastAsia="宋体" w:hint="default"/>
          <w:sz w:val="18"/>
          <w:szCs w:val="18"/>
        </w:rPr>
      </w:pPr>
      <w:r>
        <w:rPr/>
        <w:pict>
          <v:group style="position:absolute;margin-left:269.820007pt;margin-top:-20.807981pt;width:263.9pt;height:20.75pt;mso-position-horizontal-relative:page;mso-position-vertical-relative:paragraph;z-index:-762328" coordorigin="5396,-416" coordsize="5278,415">
            <v:group style="position:absolute;left:5408;top:-405;width:2;height:392" coordorigin="5408,-405" coordsize="2,392">
              <v:shape style="position:absolute;left:5408;top:-405;width:2;height:392" coordorigin="5408,-405" coordsize="0,392" path="m5408,-405l5408,-13e" filled="false" stroked="true" strokeweight="1.140pt" strokecolor="#ffffff">
                <v:path arrowok="t"/>
              </v:shape>
            </v:group>
            <v:group style="position:absolute;left:5419;top:-404;width:5255;height:392" coordorigin="5419,-404" coordsize="5255,392">
              <v:shape style="position:absolute;left:5419;top:-404;width:5255;height:392" coordorigin="5419,-404" coordsize="5255,392" path="m5419,-13l10674,-13,10674,-404,5419,-404,5419,-13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40"/>
        <w:gridCol w:w="1404"/>
        <w:gridCol w:w="1560"/>
        <w:gridCol w:w="924"/>
        <w:gridCol w:w="3815"/>
      </w:tblGrid>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变动比率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（或本期金额）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4" w:right="0"/>
              <w:jc w:val="left"/>
              <w:rPr>
                <w:rFonts w:ascii="宋体" w:hAnsi="宋体" w:cs="宋体" w:eastAsia="宋体" w:hint="default"/>
                <w:sz w:val="18"/>
                <w:szCs w:val="18"/>
              </w:rPr>
            </w:pPr>
            <w:r>
              <w:rPr>
                <w:rFonts w:ascii="宋体" w:hAnsi="宋体" w:cs="宋体" w:eastAsia="宋体" w:hint="default"/>
                <w:sz w:val="18"/>
                <w:szCs w:val="18"/>
              </w:rPr>
              <w:t>（或上期金额）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815" w:type="dxa"/>
            <w:tcBorders>
              <w:top w:val="single" w:sz="4" w:space="0" w:color="000000"/>
              <w:left w:val="single" w:sz="4" w:space="0" w:color="000000"/>
              <w:bottom w:val="single" w:sz="4" w:space="0" w:color="000000"/>
              <w:right w:val="single" w:sz="4" w:space="0" w:color="000000"/>
            </w:tcBorders>
          </w:tcPr>
          <w:p>
            <w:pPr/>
          </w:p>
        </w:tc>
      </w:tr>
      <w:tr>
        <w:trPr>
          <w:trHeight w:val="127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2,396,899.10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1,877,279.00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27.68</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both"/>
              <w:rPr>
                <w:rFonts w:ascii="宋体" w:hAnsi="宋体" w:cs="宋体" w:eastAsia="宋体" w:hint="default"/>
                <w:sz w:val="18"/>
                <w:szCs w:val="18"/>
              </w:rPr>
            </w:pPr>
            <w:r>
              <w:rPr>
                <w:rFonts w:ascii="宋体" w:hAnsi="宋体" w:cs="宋体" w:eastAsia="宋体" w:hint="default"/>
                <w:sz w:val="18"/>
                <w:szCs w:val="18"/>
              </w:rPr>
              <w:t>上期销售费用为联合摄制电视剧已投放市场，结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转了相关收入的税金及发行费用，本期销售费用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为收购艾特凡斯导致销售费用纳入合并报表范围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12,140,027.96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15,704,367.91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-22.70</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系上期支付了重组费用、职工补偿费用及本期员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工工资总额减少所致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-507,949.49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-390,849.84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29.96</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系本期收购艾特凡斯导致其财务费用纳入合并报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表范围内所致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-77,668.75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667,438.39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-111.64</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5"/>
              <w:jc w:val="left"/>
              <w:rPr>
                <w:rFonts w:ascii="宋体" w:hAnsi="宋体" w:cs="宋体" w:eastAsia="宋体" w:hint="default"/>
                <w:sz w:val="18"/>
                <w:szCs w:val="18"/>
              </w:rPr>
            </w:pPr>
            <w:r>
              <w:rPr>
                <w:rFonts w:ascii="宋体" w:hAnsi="宋体" w:cs="宋体" w:eastAsia="宋体" w:hint="default"/>
                <w:spacing w:val="6"/>
                <w:sz w:val="18"/>
                <w:szCs w:val="18"/>
              </w:rPr>
              <w:t>系本期其他应收款收回</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故计提的坏账准备转回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-290,573.90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系本期收购艾特凡斯股权需根据未来两年效益支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付或有对价的现值与终值的差异所致</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839,342.47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-3,867,754.79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-121.70</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系上期处置了</w:t>
            </w:r>
            <w:r>
              <w:rPr>
                <w:rFonts w:ascii="Times New Roman" w:hAnsi="Times New Roman" w:cs="Times New Roman" w:eastAsia="Times New Roman" w:hint="default"/>
                <w:sz w:val="18"/>
                <w:szCs w:val="18"/>
              </w:rPr>
              <w:t>3</w:t>
            </w:r>
            <w:r>
              <w:rPr>
                <w:rFonts w:ascii="宋体" w:hAnsi="宋体" w:cs="宋体" w:eastAsia="宋体" w:hint="default"/>
                <w:sz w:val="18"/>
                <w:szCs w:val="18"/>
              </w:rPr>
              <w:t>家子公司所致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206,262.90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spacing w:val="-1"/>
                <w:sz w:val="18"/>
              </w:rPr>
              <w:t>25,779,535.86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-99.20</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系上期处置固定资产取得的收入所致</w:t>
            </w:r>
          </w:p>
        </w:tc>
      </w:tr>
      <w:tr>
        <w:trPr>
          <w:trHeight w:val="65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sz w:val="18"/>
              </w:rPr>
              <w:t>5,567.53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z w:val="18"/>
              </w:rPr>
              <w:t>859,908.03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-99.35</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系上期发生宿舍楼转让补交税金及滞纳金所致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408" w:lineRule="auto"/>
        <w:ind w:left="153" w:right="150" w:firstLine="420"/>
        <w:jc w:val="both"/>
      </w:pPr>
      <w:r>
        <w:rPr>
          <w:spacing w:val="-1"/>
        </w:rPr>
        <w:t>研发支出包括电影中心、智能中心两个部门的研发经费支出。其中，电影中心的研发经费由以下项目</w:t>
      </w:r>
      <w:r>
        <w:rPr/>
        <w:t> </w:t>
      </w:r>
      <w:r>
        <w:rPr>
          <w:spacing w:val="-1"/>
        </w:rPr>
        <w:t>产生：数字图像图形成像技术、立体成像技术、全息成像技术、轨道式立体跟踪技术、异形图像融合拼接</w:t>
      </w:r>
      <w:r>
        <w:rPr>
          <w:spacing w:val="-83"/>
        </w:rPr>
        <w:t> </w:t>
      </w:r>
      <w:r>
        <w:rPr>
          <w:spacing w:val="-83"/>
        </w:rPr>
      </w:r>
      <w:r>
        <w:rPr>
          <w:spacing w:val="-1"/>
        </w:rPr>
        <w:t>技术、多画面融合拼接技术；智能中心的研发经费则支持下列研发项目及工作的运营：游乐设备机械结构</w:t>
      </w:r>
      <w:r>
        <w:rPr>
          <w:spacing w:val="-83"/>
        </w:rPr>
        <w:t> </w:t>
      </w:r>
      <w:r>
        <w:rPr>
          <w:spacing w:val="-83"/>
        </w:rPr>
      </w:r>
      <w:r>
        <w:rPr>
          <w:spacing w:val="-1"/>
        </w:rPr>
        <w:t>研发试制、制定新设备控制系统方案、项目系统集成软件开发等，以及相应专利、软件著作权详细设计说</w:t>
      </w:r>
      <w:r>
        <w:rPr>
          <w:spacing w:val="-82"/>
        </w:rPr>
        <w:t> </w:t>
      </w:r>
      <w:r>
        <w:rPr>
          <w:spacing w:val="-82"/>
        </w:rPr>
      </w:r>
      <w:r>
        <w:rPr/>
        <w:t>明书等技术文件编写工作。2012年研发费用279,527.56元，占营业收入的1.39%。</w:t>
      </w:r>
    </w:p>
    <w:p>
      <w:pPr>
        <w:spacing w:line="240" w:lineRule="auto" w:before="8"/>
        <w:rPr>
          <w:rFonts w:ascii="宋体" w:hAnsi="宋体" w:cs="宋体" w:eastAsia="宋体" w:hint="default"/>
          <w:sz w:val="20"/>
          <w:szCs w:val="20"/>
        </w:rPr>
      </w:pPr>
    </w:p>
    <w:p>
      <w:pPr>
        <w:pStyle w:val="Heading5"/>
        <w:spacing w:line="240" w:lineRule="auto"/>
        <w:ind w:left="153" w:right="1619"/>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49,962,553.57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937,444.71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5,229.65%</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29,561,058.53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15,867,000.51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86.31%</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20,401,495.04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-14,929,555.80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15,190,807.47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31,770,349.29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102,663,131.92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35,337.25%</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-87,472,324.45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31,480,645.29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-377.86%</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777,502.65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-777,502.65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667.2%</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-62,660,829.41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15,773,586.84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-497.25%</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4" w:right="1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本报告期现金流各项数据与上年同期相比变动幅度较大，主要由于公司于本报告期内收购艾特凡斯</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股权后艾特凡斯并入</w:t>
      </w:r>
      <w:r>
        <w:rPr>
          <w:rFonts w:ascii="宋体" w:hAnsi="宋体" w:cs="宋体" w:eastAsia="宋体" w:hint="default"/>
          <w:spacing w:val="-87"/>
          <w:sz w:val="18"/>
          <w:szCs w:val="18"/>
        </w:rPr>
        <w:t> </w:t>
      </w:r>
      <w:r>
        <w:rPr>
          <w:rFonts w:ascii="宋体" w:hAnsi="宋体" w:cs="宋体" w:eastAsia="宋体" w:hint="default"/>
          <w:sz w:val="18"/>
          <w:szCs w:val="18"/>
        </w:rPr>
        <w:t>合并范围引起。</w:t>
      </w:r>
    </w:p>
    <w:p>
      <w:pPr>
        <w:spacing w:before="58"/>
        <w:ind w:left="154" w:right="1619"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4"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4"/>
        <w:spacing w:line="240" w:lineRule="auto" w:before="0"/>
        <w:ind w:right="1619"/>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4"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数字影片设计制 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20,074,413.45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2,524,533.96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87.42%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before="0"/>
        <w:ind w:right="1619"/>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2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40,623,323.11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20.86%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103,284,152.52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72.98%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-52.12%</w:t>
            </w:r>
          </w:p>
        </w:tc>
        <w:tc>
          <w:tcPr>
            <w:tcW w:w="2917"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万元自有资金购买“一佳 赢”永利系列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号专属理财产品。</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11,972,207.85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13,248,621.54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15,128,041.85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6,169,123.39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3.41%</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2,523,537.31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780,429.38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20" w:lineRule="auto" w:before="35"/>
        <w:ind w:left="153" w:right="58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报告期内，公司未发生负债项目重大变动。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before="76"/>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3"/>
        <w:gridCol w:w="1190"/>
        <w:gridCol w:w="1196"/>
        <w:gridCol w:w="1190"/>
        <w:gridCol w:w="1202"/>
        <w:gridCol w:w="1195"/>
        <w:gridCol w:w="1194"/>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4"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bottom w:val="nil" w:sz="6" w:space="0" w:color="auto"/>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vMerge/>
            <w:tcBorders>
              <w:left w:val="single" w:sz="4" w:space="0" w:color="000000"/>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03" w:right="4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2"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right w:val="single" w:sz="4" w:space="0" w:color="000000"/>
            </w:tcBorders>
            <w:shd w:val="clear" w:color="auto" w:fill="D3D3D3"/>
          </w:tcPr>
          <w:p>
            <w:pPr/>
          </w:p>
        </w:tc>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3D3D3"/>
          </w:tcPr>
          <w:p>
            <w:pPr/>
          </w:p>
        </w:tc>
        <w:tc>
          <w:tcPr>
            <w:tcW w:w="1213" w:type="dxa"/>
            <w:vMerge w:val="restart"/>
            <w:tcBorders>
              <w:top w:val="nil" w:sz="6" w:space="0" w:color="auto"/>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202"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175"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3" w:hRule="exact"/>
        </w:trPr>
        <w:tc>
          <w:tcPr>
            <w:tcW w:w="117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w:t>
            </w:r>
          </w:p>
        </w:tc>
        <w:tc>
          <w:tcPr>
            <w:tcW w:w="1213" w:type="dxa"/>
            <w:vMerge w:val="restart"/>
            <w:tcBorders>
              <w:top w:val="single" w:sz="4" w:space="0" w:color="000000"/>
              <w:left w:val="single" w:sz="13" w:space="0" w:color="D3D3D3"/>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r>
      <w:tr>
        <w:trPr>
          <w:trHeight w:val="306"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计量且其变动</w:t>
            </w:r>
          </w:p>
        </w:tc>
        <w:tc>
          <w:tcPr>
            <w:tcW w:w="1213" w:type="dxa"/>
            <w:vMerge/>
            <w:tcBorders>
              <w:left w:val="single" w:sz="13" w:space="0" w:color="D3D3D3"/>
              <w:right w:val="single" w:sz="4" w:space="0" w:color="000000"/>
            </w:tcBorders>
          </w:tcPr>
          <w:p>
            <w:pPr/>
          </w:p>
        </w:tc>
        <w:tc>
          <w:tcPr>
            <w:tcW w:w="1190"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r>
      <w:tr>
        <w:trPr>
          <w:trHeight w:val="624"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 w:right="71"/>
              <w:jc w:val="left"/>
              <w:rPr>
                <w:rFonts w:ascii="宋体" w:hAnsi="宋体" w:cs="宋体" w:eastAsia="宋体" w:hint="default"/>
                <w:sz w:val="18"/>
                <w:szCs w:val="18"/>
              </w:rPr>
            </w:pPr>
            <w:r>
              <w:rPr>
                <w:rFonts w:ascii="宋体" w:hAnsi="宋体" w:cs="宋体" w:eastAsia="宋体" w:hint="default"/>
                <w:sz w:val="18"/>
                <w:szCs w:val="18"/>
              </w:rPr>
              <w:t>计入当期损益 的金融资产</w:t>
            </w:r>
          </w:p>
        </w:tc>
        <w:tc>
          <w:tcPr>
            <w:tcW w:w="1213" w:type="dxa"/>
            <w:vMerge/>
            <w:tcBorders>
              <w:left w:val="single" w:sz="13" w:space="0" w:color="D3D3D3"/>
              <w:right w:val="single" w:sz="4" w:space="0" w:color="000000"/>
            </w:tcBorders>
          </w:tcPr>
          <w:p>
            <w:pPr/>
          </w:p>
        </w:tc>
        <w:tc>
          <w:tcPr>
            <w:tcW w:w="1190"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vMerge/>
            <w:tcBorders>
              <w:left w:val="single" w:sz="4" w:space="0" w:color="000000"/>
              <w:right w:val="single" w:sz="4" w:space="0" w:color="000000"/>
            </w:tcBorders>
          </w:tcPr>
          <w:p>
            <w:pPr/>
          </w:p>
        </w:tc>
      </w:tr>
      <w:tr>
        <w:trPr>
          <w:trHeight w:val="313"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（不含衍生金</w:t>
            </w:r>
          </w:p>
        </w:tc>
        <w:tc>
          <w:tcPr>
            <w:tcW w:w="1213" w:type="dxa"/>
            <w:vMerge/>
            <w:tcBorders>
              <w:left w:val="single" w:sz="13" w:space="0" w:color="D3D3D3"/>
              <w:right w:val="single" w:sz="4" w:space="0" w:color="000000"/>
            </w:tcBorders>
          </w:tcPr>
          <w:p>
            <w:pPr/>
          </w:p>
        </w:tc>
        <w:tc>
          <w:tcPr>
            <w:tcW w:w="1190"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r>
      <w:tr>
        <w:trPr>
          <w:trHeight w:val="357" w:hRule="exact"/>
        </w:trPr>
        <w:tc>
          <w:tcPr>
            <w:tcW w:w="117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213" w:type="dxa"/>
            <w:vMerge/>
            <w:tcBorders>
              <w:left w:val="single" w:sz="13" w:space="0" w:color="D3D3D3"/>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4"/>
        <w:spacing w:line="240" w:lineRule="auto" w:before="0"/>
        <w:ind w:right="0"/>
        <w:jc w:val="left"/>
        <w:rPr>
          <w:b w:val="0"/>
          <w:bCs w:val="0"/>
        </w:rPr>
      </w:pP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1" w:firstLine="420"/>
        <w:jc w:val="both"/>
      </w:pPr>
      <w:r>
        <w:rPr>
          <w:spacing w:val="-1"/>
        </w:rPr>
        <w:t>近年来，国家和地方有关部门相继出台了一系列政策措施，支持我国旅游和文化业进一步发展，其中</w:t>
      </w:r>
      <w:r>
        <w:rPr/>
        <w:t> </w:t>
      </w:r>
      <w:r>
        <w:rPr>
          <w:spacing w:val="-1"/>
        </w:rPr>
        <w:t>个性化、多样化的旅游以及文化产品获得了重点扶持。目前，国内主题公园建设呈现出规模不断扩大、投</w:t>
      </w:r>
      <w:r>
        <w:rPr>
          <w:spacing w:val="-82"/>
        </w:rPr>
        <w:t> </w:t>
      </w:r>
      <w:r>
        <w:rPr>
          <w:spacing w:val="-82"/>
        </w:rPr>
      </w:r>
      <w:r>
        <w:rPr>
          <w:spacing w:val="-1"/>
        </w:rPr>
        <w:t>资不断上升的特点，向着主题型、综合型的方向迈进。公司收购艾特凡斯后，进一步拓展公司在文化科技</w:t>
      </w:r>
      <w:r>
        <w:rPr>
          <w:spacing w:val="-82"/>
        </w:rPr>
        <w:t> </w:t>
      </w:r>
      <w:r>
        <w:rPr>
          <w:spacing w:val="-82"/>
        </w:rPr>
      </w:r>
      <w:r>
        <w:rPr>
          <w:spacing w:val="-1"/>
        </w:rPr>
        <w:t>产业领域的布局，实现公司主营业务的全面转型。艾特凡斯的主营业务市场定位主要为室内主题公园智能</w:t>
      </w:r>
      <w:r>
        <w:rPr>
          <w:spacing w:val="-81"/>
        </w:rPr>
        <w:t> </w:t>
      </w:r>
      <w:r>
        <w:rPr>
          <w:spacing w:val="-81"/>
        </w:rPr>
      </w:r>
      <w:r>
        <w:rPr/>
        <w:t>游乐设施和特种影视制作，行业的良好发展前景为艾特凡斯带来了庞大的市场需求。</w:t>
      </w:r>
    </w:p>
    <w:p>
      <w:pPr>
        <w:pStyle w:val="BodyText"/>
        <w:spacing w:line="408" w:lineRule="auto" w:before="46"/>
        <w:ind w:right="0" w:firstLine="420"/>
        <w:jc w:val="left"/>
      </w:pPr>
      <w:r>
        <w:rPr/>
        <w:t>艾特凡斯作为一家文化科技项目集成公司，拥有一支具有国际视野，丰富经验的设计、研发团队，文 </w:t>
      </w:r>
      <w:r>
        <w:rPr>
          <w:spacing w:val="-1"/>
        </w:rPr>
        <w:t>化科技的整合及项目的持续创新是公司的核心竞争力。目前，公司已有《360动感穿越项目》、《蝶、恋、</w:t>
      </w:r>
      <w:r>
        <w:rPr>
          <w:spacing w:val="-87"/>
        </w:rPr>
        <w:t> </w:t>
      </w:r>
      <w:r>
        <w:rPr>
          <w:spacing w:val="-87"/>
        </w:rPr>
      </w:r>
      <w:r>
        <w:rPr/>
        <w:t>花》机械水舞表演项目等多项产品成功研发并申请了知识产权，并自主研发了视频播放、机械结构、控制</w:t>
      </w:r>
      <w:r>
        <w:rPr/>
        <w:t> 同步等多项专利技术，这些新技术的研发和运用进一步加强了公司产品的核心竞争力。</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right="1619"/>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spacing w:line="520" w:lineRule="auto" w:before="0"/>
        <w:ind w:left="153" w:right="22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截止报告期期末，公司无对外投资情形、未持有金融企业股权，无证券投资情况。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pStyle w:val="Heading5"/>
        <w:spacing w:line="240" w:lineRule="auto" w:before="51"/>
        <w:ind w:right="161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713"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9"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韩亚银行</w:t>
            </w:r>
          </w:p>
          <w:p>
            <w:pPr>
              <w:pStyle w:val="TableParagraph"/>
              <w:spacing w:line="319" w:lineRule="auto" w:before="75"/>
              <w:ind w:left="22" w:right="37"/>
              <w:jc w:val="left"/>
              <w:rPr>
                <w:rFonts w:ascii="宋体" w:hAnsi="宋体" w:cs="宋体" w:eastAsia="宋体" w:hint="default"/>
                <w:sz w:val="18"/>
                <w:szCs w:val="18"/>
              </w:rPr>
            </w:pPr>
            <w:r>
              <w:rPr>
                <w:rFonts w:ascii="宋体" w:hAnsi="宋体" w:cs="宋体" w:eastAsia="宋体" w:hint="default"/>
                <w:sz w:val="18"/>
                <w:szCs w:val="18"/>
              </w:rPr>
              <w:t>（中国）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839,342.4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10" w:space="0" w:color="D3D3D3"/>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0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839,342.4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10" w:space="0" w:color="D3D3D3"/>
              <w:right w:val="single" w:sz="9" w:space="0" w:color="D3D3D3"/>
            </w:tcBorders>
          </w:tcPr>
          <w:p>
            <w:pP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99" w:type="dxa"/>
            <w:vMerge/>
            <w:tcBorders>
              <w:left w:val="single" w:sz="9" w:space="0" w:color="D3D3D3"/>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shd w:val="clear" w:color="auto" w:fill="D3D3D3"/>
          </w:tcPr>
          <w:p>
            <w:pPr/>
          </w:p>
        </w:tc>
        <w:tc>
          <w:tcPr>
            <w:tcW w:w="792" w:type="dxa"/>
            <w:vMerge/>
            <w:tcBorders>
              <w:left w:val="single" w:sz="4" w:space="0" w:color="000000"/>
              <w:right w:val="single" w:sz="4" w:space="0" w:color="000000"/>
            </w:tcBorders>
            <w:shd w:val="clear" w:color="auto" w:fill="D3D3D3"/>
          </w:tcPr>
          <w:p>
            <w:pPr/>
          </w:p>
        </w:tc>
      </w:tr>
      <w:tr>
        <w:trPr>
          <w:trHeight w:val="162"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10" w:space="0" w:color="D3D3D3"/>
              <w:bottom w:val="single" w:sz="4" w:space="0" w:color="000000"/>
              <w:right w:val="single" w:sz="9" w:space="0" w:color="D3D3D3"/>
            </w:tcBorders>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80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vMerge/>
            <w:tcBorders>
              <w:left w:val="single" w:sz="9" w:space="0" w:color="D3D3D3"/>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上述委托理财为固定期限类，到期一次性收回本金与收益。</w:t>
            </w:r>
          </w:p>
        </w:tc>
      </w:tr>
    </w:tbl>
    <w:p>
      <w:pPr>
        <w:pStyle w:val="BodyText"/>
        <w:spacing w:line="240" w:lineRule="auto" w:before="26"/>
        <w:ind w:right="1619"/>
        <w:jc w:val="left"/>
      </w:pPr>
      <w:r>
        <w:rPr/>
        <w:t>说明</w:t>
      </w:r>
    </w:p>
    <w:p>
      <w:pPr>
        <w:pStyle w:val="BodyText"/>
        <w:spacing w:line="408" w:lineRule="auto" w:before="154"/>
        <w:ind w:right="0" w:firstLine="420"/>
        <w:jc w:val="left"/>
      </w:pPr>
      <w:r>
        <w:rPr>
          <w:spacing w:val="-1"/>
        </w:rPr>
        <w:t>公司2012年第三次临时股东大会审议通过了《关于利用自有资金委托理财的议案》，为充分利用公司</w:t>
      </w:r>
      <w:r>
        <w:rPr/>
        <w:t> 自有资金，提高自有资金使用效率，增加公司现金资产收益，公司计划运用不超过1亿元的自有闲置资金 进行委托理财，资金可滚动使用，期限自股东大会审议通过之日起一年内有效。</w:t>
      </w:r>
    </w:p>
    <w:p>
      <w:pPr>
        <w:pStyle w:val="BodyText"/>
        <w:spacing w:line="408" w:lineRule="auto" w:before="46"/>
        <w:ind w:right="108" w:firstLine="420"/>
        <w:jc w:val="left"/>
      </w:pPr>
      <w:r>
        <w:rPr>
          <w:spacing w:val="-1"/>
        </w:rPr>
        <w:t>公司于2012年10月16日与韩亚银行（中国）有限公司（以下简称“韩亚银行”）签署了《人民币理财</w:t>
      </w:r>
      <w:r>
        <w:rPr/>
        <w:t> 产品框架合同》，合同约定：使用人民币9000万元自有资金购买“一佳赢”永利系列</w:t>
      </w:r>
      <w:r>
        <w:rPr>
          <w:rFonts w:ascii="宋体" w:hAnsi="宋体" w:cs="宋体" w:eastAsia="宋体" w:hint="default"/>
          <w:b/>
          <w:bCs/>
        </w:rPr>
        <w:t>A1</w:t>
      </w:r>
      <w:r>
        <w:rPr/>
        <w:t>号专属理财产品。</w:t>
      </w:r>
    </w:p>
    <w:p>
      <w:pPr>
        <w:spacing w:line="240" w:lineRule="auto" w:before="8"/>
        <w:rPr>
          <w:rFonts w:ascii="宋体" w:hAnsi="宋体" w:cs="宋体" w:eastAsia="宋体" w:hint="default"/>
          <w:sz w:val="20"/>
          <w:szCs w:val="20"/>
        </w:rPr>
      </w:pPr>
    </w:p>
    <w:p>
      <w:pPr>
        <w:spacing w:line="506" w:lineRule="auto" w:before="0"/>
        <w:ind w:left="153" w:right="64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报告期内公司无衍生品投资的情形。</w:t>
      </w:r>
    </w:p>
    <w:p>
      <w:pPr>
        <w:spacing w:line="520" w:lineRule="auto" w:before="103"/>
        <w:ind w:left="154" w:right="66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报告期内公司无委托贷款的情形。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pStyle w:val="BodyText"/>
        <w:spacing w:line="240" w:lineRule="auto" w:before="51"/>
        <w:ind w:left="153" w:right="1619"/>
        <w:jc w:val="left"/>
      </w:pPr>
      <w:r>
        <w:rPr/>
        <w:t>报告期内无募集资金使用情况及报告期之前募集资金延续到报告内使用的情形。</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214"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9"/>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952"/>
        <w:gridCol w:w="911"/>
        <w:gridCol w:w="942"/>
        <w:gridCol w:w="1516"/>
        <w:gridCol w:w="942"/>
        <w:gridCol w:w="858"/>
        <w:gridCol w:w="900"/>
        <w:gridCol w:w="900"/>
        <w:gridCol w:w="900"/>
        <w:gridCol w:w="900"/>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9" w:right="17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7"/>
              <w:ind w:left="15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5" w:right="173" w:hanging="3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 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5" w:right="173" w:hanging="3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 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363" w:hRule="exact"/>
        </w:trPr>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常州远东</w:t>
            </w:r>
          </w:p>
        </w:tc>
        <w:tc>
          <w:tcPr>
            <w:tcW w:w="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文化及娱乐产</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11,116,1</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5,065,83</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16,009,4</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-293,470</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-293,470</w:t>
            </w:r>
          </w:p>
        </w:tc>
      </w:tr>
      <w:tr>
        <w:trPr>
          <w:trHeight w:val="311" w:hRule="exact"/>
        </w:trPr>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品、动画网络游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34.62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4.62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.40</w:t>
            </w:r>
          </w:p>
        </w:tc>
      </w:tr>
      <w:tr>
        <w:trPr>
          <w:trHeight w:val="308" w:hRule="exact"/>
        </w:trPr>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戏的技术开发，</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互联网络的传</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播、互联网络游</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戏及娱乐的技术</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开发，移动通信</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网络游戏及娱乐</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2"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的技术开发</w:t>
            </w:r>
          </w:p>
        </w:tc>
        <w:tc>
          <w:tcPr>
            <w:tcW w:w="942"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深圳艾特</w:t>
            </w:r>
          </w:p>
        </w:tc>
        <w:tc>
          <w:tcPr>
            <w:tcW w:w="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智能控制人机交</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43,659,3</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22,749,6</w:t>
            </w: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凡斯智能</w:t>
            </w: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互软件的技术开</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18.61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43.77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z w:val="18"/>
              </w:rPr>
              <w:t>26,344,4</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z w:val="18"/>
              </w:rPr>
              <w:t>13,454,9</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z w:val="18"/>
              </w:rPr>
              <w:t>13,660,3</w:t>
            </w:r>
          </w:p>
        </w:tc>
      </w:tr>
      <w:tr>
        <w:trPr>
          <w:trHeight w:val="313" w:hRule="exact"/>
        </w:trPr>
        <w:tc>
          <w:tcPr>
            <w:tcW w:w="952"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发；机电一体化、</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13.45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97.09</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72.43</w:t>
            </w:r>
          </w:p>
        </w:tc>
      </w:tr>
      <w:tr>
        <w:trPr>
          <w:trHeight w:val="289" w:hRule="exact"/>
        </w:trPr>
        <w:tc>
          <w:tcPr>
            <w:tcW w:w="952"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动态仿真、机械</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结构以及多媒体</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产品的技术开发</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及系统集成；动</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漫设计；计算机</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软硬件的技术开</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发与销售；机电</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一体化设备的生</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产（仅限分支机</w:t>
            </w:r>
          </w:p>
        </w:tc>
        <w:tc>
          <w:tcPr>
            <w:tcW w:w="942"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2"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7"/>
                <w:sz w:val="18"/>
                <w:szCs w:val="18"/>
              </w:rPr>
              <w:t>构生产）与销售。</w:t>
            </w:r>
          </w:p>
        </w:tc>
        <w:tc>
          <w:tcPr>
            <w:tcW w:w="942"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441" w:lineRule="auto" w:before="35"/>
        <w:ind w:left="634" w:right="215" w:hanging="420"/>
        <w:jc w:val="left"/>
      </w:pPr>
      <w:r>
        <w:rPr/>
        <w:t>主要子公司、参股公司情况说明 2012年6月20日，公司与江苏仁众投资管理有限公司、程波、王星、钟祥明、高新良、陈坤、汤芝加</w:t>
      </w:r>
    </w:p>
    <w:p>
      <w:pPr>
        <w:pStyle w:val="BodyText"/>
        <w:spacing w:line="408" w:lineRule="auto" w:before="17"/>
        <w:ind w:left="214" w:right="0"/>
        <w:jc w:val="left"/>
      </w:pPr>
      <w:r>
        <w:rPr>
          <w:spacing w:val="-1"/>
        </w:rPr>
        <w:t>及艾特凡斯签署了《关于深圳艾特凡斯智能科技有限公司的股权转让协议书》，公司以1200万元收购艾特</w:t>
      </w:r>
      <w:r>
        <w:rPr>
          <w:spacing w:val="-81"/>
        </w:rPr>
        <w:t> </w:t>
      </w:r>
      <w:r>
        <w:rPr>
          <w:spacing w:val="-81"/>
        </w:rPr>
      </w:r>
      <w:r>
        <w:rPr/>
        <w:t>凡斯51%的股权。本报告期艾特凡斯纳入合并报表范围。</w:t>
      </w:r>
    </w:p>
    <w:p>
      <w:pPr>
        <w:spacing w:before="34"/>
        <w:ind w:left="21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21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61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深圳艾特凡斯智能科技有限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通过收购艾特凡斯</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股权将 进一步拓展公司在文化科技 产业领域的布局，实现公司主 营业务的全面转型。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日，公司与江 苏仁众投资管理有限公司、程 波、王星、钟祥明、高新良、 陈坤、汤芝加及艾特凡斯签署 了《关于深圳艾特凡斯智能科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年艾特凡斯实现营业收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p>
          <w:p>
            <w:pPr>
              <w:pStyle w:val="TableParagraph"/>
              <w:spacing w:line="309"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1229.08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万元。通过此次收购 公司实现了主营业务的全面 转型，公司的可持续盈利能力</w:t>
            </w:r>
          </w:p>
        </w:tc>
      </w:tr>
    </w:tbl>
    <w:p>
      <w:pPr>
        <w:spacing w:after="0" w:line="309" w:lineRule="auto"/>
        <w:jc w:val="left"/>
        <w:rPr>
          <w:rFonts w:ascii="宋体" w:hAnsi="宋体" w:cs="宋体" w:eastAsia="宋体" w:hint="default"/>
          <w:sz w:val="18"/>
          <w:szCs w:val="18"/>
        </w:rPr>
        <w:sectPr>
          <w:pgSz w:w="11910" w:h="16840"/>
          <w:pgMar w:header="747" w:footer="982" w:top="1060" w:bottom="1180" w:left="92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技有限公司的股权转让协议 </w:t>
            </w:r>
            <w:r>
              <w:rPr>
                <w:rFonts w:ascii="宋体" w:hAnsi="宋体" w:cs="宋体" w:eastAsia="宋体" w:hint="default"/>
                <w:spacing w:val="-16"/>
                <w:sz w:val="18"/>
                <w:szCs w:val="18"/>
              </w:rPr>
              <w:t>书》，公司以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万元收购艾 特凡斯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将从根本上得到改善。</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606"/>
        <w:gridCol w:w="1582"/>
        <w:gridCol w:w="1594"/>
        <w:gridCol w:w="1595"/>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20" w:right="70"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2"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5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2"/>
        <w:rPr>
          <w:rFonts w:ascii="宋体" w:hAnsi="宋体" w:cs="宋体" w:eastAsia="宋体" w:hint="default"/>
          <w:sz w:val="18"/>
          <w:szCs w:val="18"/>
        </w:rPr>
      </w:pPr>
    </w:p>
    <w:p>
      <w:pPr>
        <w:spacing w:line="499" w:lineRule="auto" w:before="26"/>
        <w:ind w:left="154" w:right="5360" w:firstLine="0"/>
        <w:jc w:val="left"/>
        <w:rPr>
          <w:rFonts w:ascii="宋体" w:hAnsi="宋体" w:cs="宋体" w:eastAsia="宋体" w:hint="default"/>
          <w:sz w:val="24"/>
          <w:szCs w:val="24"/>
        </w:rPr>
      </w:pPr>
      <w:r>
        <w:rPr>
          <w:rFonts w:ascii="宋体" w:hAnsi="宋体" w:cs="宋体" w:eastAsia="宋体" w:hint="default"/>
          <w:b/>
          <w:bCs/>
          <w:sz w:val="24"/>
          <w:szCs w:val="24"/>
        </w:rPr>
        <w:t>七、公司控制的特殊目的主体情况</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报告期内，公司不存在控制特殊目的主体情况。 </w:t>
      </w:r>
      <w:r>
        <w:rPr>
          <w:rFonts w:ascii="宋体" w:hAnsi="宋体" w:cs="宋体" w:eastAsia="宋体" w:hint="default"/>
          <w:b/>
          <w:bCs/>
          <w:sz w:val="24"/>
          <w:szCs w:val="24"/>
        </w:rPr>
        <w:t>八、公司未来发展的展望</w:t>
      </w:r>
      <w:r>
        <w:rPr>
          <w:rFonts w:ascii="宋体" w:hAnsi="宋体" w:cs="宋体" w:eastAsia="宋体" w:hint="default"/>
          <w:sz w:val="24"/>
          <w:szCs w:val="24"/>
        </w:rPr>
      </w:r>
    </w:p>
    <w:p>
      <w:pPr>
        <w:pStyle w:val="BodyText"/>
        <w:spacing w:line="408" w:lineRule="auto" w:before="139"/>
        <w:ind w:right="149" w:firstLine="420"/>
        <w:jc w:val="both"/>
      </w:pPr>
      <w:r>
        <w:rPr>
          <w:spacing w:val="-1"/>
        </w:rPr>
        <w:t>2010年以来，公司利用子公司远东文化适时进入文化产业领域，与北京中外名人影视制作有限责任公</w:t>
      </w:r>
      <w:r>
        <w:rPr/>
        <w:t> </w:t>
      </w:r>
      <w:r>
        <w:rPr>
          <w:spacing w:val="-1"/>
        </w:rPr>
        <w:t>司签署联合摄制电视剧《老爸的筒子楼》和《革命人永远是年轻》。目前，联合摄制的电视剧已完成发行</w:t>
      </w:r>
      <w:r>
        <w:rPr>
          <w:spacing w:val="-83"/>
        </w:rPr>
        <w:t> </w:t>
      </w:r>
      <w:r>
        <w:rPr>
          <w:spacing w:val="-83"/>
        </w:rPr>
      </w:r>
      <w:r>
        <w:rPr/>
        <w:t>工作，电视剧取得的营业收入形成公司新的利润增长点，2012年为公司带来营业收入1600.91万元。</w:t>
      </w:r>
    </w:p>
    <w:p>
      <w:pPr>
        <w:pStyle w:val="BodyText"/>
        <w:spacing w:line="408" w:lineRule="auto" w:before="46"/>
        <w:ind w:left="153" w:right="146" w:firstLine="420"/>
        <w:jc w:val="both"/>
      </w:pPr>
      <w:r>
        <w:rPr>
          <w:spacing w:val="-1"/>
        </w:rPr>
        <w:t>为了进一步拓展公司在文化产业领域的业务范围，增强公司的持续经营能力，推动公司业务的全面转</w:t>
      </w:r>
      <w:r>
        <w:rPr/>
        <w:t> 型，2012年6月20日，公司第七届董事会第三次会议审议通过了《关于公司收购深圳艾特凡斯智能科技有</w:t>
      </w:r>
      <w:r>
        <w:rPr>
          <w:spacing w:val="-34"/>
        </w:rPr>
        <w:t> </w:t>
      </w:r>
      <w:r>
        <w:rPr>
          <w:spacing w:val="-34"/>
        </w:rPr>
      </w:r>
      <w:r>
        <w:rPr>
          <w:spacing w:val="-1"/>
        </w:rPr>
        <w:t>限公司51%股权的议案》，公司受让艾特凡斯51%股权。收购完成后，公司对艾特凡斯进行了增资扩股，增</w:t>
      </w:r>
      <w:r>
        <w:rPr>
          <w:spacing w:val="-81"/>
        </w:rPr>
        <w:t> </w:t>
      </w:r>
      <w:r>
        <w:rPr>
          <w:spacing w:val="-81"/>
        </w:rPr>
      </w:r>
      <w:r>
        <w:rPr/>
        <w:t>加艾特凡斯的注册资本至1,000万元。2012年度，艾特凡斯实现营业收入2007.44万元，净利润1229.08万</w:t>
      </w:r>
      <w:r>
        <w:rPr>
          <w:spacing w:val="-45"/>
        </w:rPr>
        <w:t> </w:t>
      </w:r>
      <w:r>
        <w:rPr>
          <w:spacing w:val="-45"/>
        </w:rPr>
      </w:r>
      <w:r>
        <w:rPr>
          <w:spacing w:val="-1"/>
        </w:rPr>
        <w:t>元，归属于上市公司股东净利润648.92万元。公司收购并增资投入艾特凡斯后，公司2012年实现营业收入</w:t>
      </w:r>
      <w:r>
        <w:rPr>
          <w:spacing w:val="-82"/>
        </w:rPr>
        <w:t> </w:t>
      </w:r>
      <w:r>
        <w:rPr>
          <w:spacing w:val="-82"/>
        </w:rPr>
      </w:r>
      <w:r>
        <w:rPr>
          <w:spacing w:val="-2"/>
        </w:rPr>
        <w:t>3,608.38万元、营业利润1,231.10万元、净利润1,251.17万元。市场份额的不断扩大显示出艾特凡斯的市</w:t>
      </w:r>
      <w:r>
        <w:rPr>
          <w:spacing w:val="-49"/>
        </w:rPr>
        <w:t> </w:t>
      </w:r>
      <w:r>
        <w:rPr>
          <w:spacing w:val="-49"/>
        </w:rPr>
      </w:r>
      <w:r>
        <w:rPr/>
        <w:t>场口碑和影响力呈现良性发展，从收购完成至今艾特凡斯表现出了快速增长的态势。</w:t>
      </w:r>
    </w:p>
    <w:p>
      <w:pPr>
        <w:pStyle w:val="BodyText"/>
        <w:spacing w:line="408" w:lineRule="auto" w:before="46"/>
        <w:ind w:left="153" w:right="151" w:firstLine="420"/>
        <w:jc w:val="both"/>
      </w:pPr>
      <w:r>
        <w:rPr>
          <w:spacing w:val="-1"/>
        </w:rPr>
        <w:t>公司将在远东文化和艾特凡斯现有业务基础上进一步拓展公司在文化科技产业领域的布局，公司未来</w:t>
      </w:r>
      <w:r>
        <w:rPr/>
        <w:t> </w:t>
      </w:r>
      <w:r>
        <w:rPr>
          <w:spacing w:val="-1"/>
        </w:rPr>
        <w:t>的主营业务明确定位在文化科技产业领域。通过主营业务的全面转型，公司可持续盈利能力从根本上得到</w:t>
      </w:r>
      <w:r>
        <w:rPr>
          <w:spacing w:val="-81"/>
        </w:rPr>
        <w:t> </w:t>
      </w:r>
      <w:r>
        <w:rPr>
          <w:spacing w:val="-81"/>
        </w:rPr>
      </w:r>
      <w:r>
        <w:rPr/>
        <w:t>改善。公司将根据新的发展方向，认真做好经营计划，努力实现企业经济效益和股东利益的最大化。</w:t>
      </w:r>
    </w:p>
    <w:p>
      <w:pPr>
        <w:spacing w:line="240" w:lineRule="auto" w:before="11"/>
        <w:rPr>
          <w:rFonts w:ascii="宋体" w:hAnsi="宋体" w:cs="宋体" w:eastAsia="宋体" w:hint="default"/>
          <w:sz w:val="18"/>
          <w:szCs w:val="18"/>
        </w:rPr>
      </w:pPr>
    </w:p>
    <w:p>
      <w:pPr>
        <w:pStyle w:val="Heading4"/>
        <w:spacing w:line="240" w:lineRule="auto" w:before="0"/>
        <w:ind w:right="1619"/>
        <w:jc w:val="left"/>
        <w:rPr>
          <w:b w:val="0"/>
          <w:bCs w:val="0"/>
        </w:rPr>
      </w:pPr>
      <w:r>
        <w:rPr/>
        <w:t>九、与上年度财务报告相比，合并报表范围发生变化的情况说明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33" w:firstLine="420"/>
        <w:jc w:val="both"/>
      </w:pPr>
      <w:r>
        <w:rPr/>
        <w:t>与上期相比，本期新增合并报表单位一家，系2012年7月公司以非同一控制下的企业合并的方式购买 了艾特凡斯51%的股权，纳入本公司的合并报表范围。</w:t>
      </w:r>
    </w:p>
    <w:p>
      <w:pPr>
        <w:spacing w:after="0" w:line="408"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t>十、公司利润分配及分红派息情况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4" w:right="0"/>
        <w:jc w:val="left"/>
      </w:pPr>
      <w:r>
        <w:rPr/>
        <w:t>报告期内利润分配政策特别是现金分红政策的制定、执行或调整情况 </w:t>
      </w:r>
      <w:r>
        <w:rPr>
          <w:spacing w:val="8"/>
        </w:rPr>
        <w:t>经立信会计师事务所（特殊普通合伙）审计，公司2012年度实现归属于上市公司股东的净利润为</w:t>
      </w:r>
    </w:p>
    <w:p>
      <w:pPr>
        <w:pStyle w:val="BodyText"/>
        <w:spacing w:line="408" w:lineRule="auto" w:before="46"/>
        <w:ind w:right="0"/>
        <w:jc w:val="left"/>
      </w:pPr>
      <w:r>
        <w:rPr>
          <w:spacing w:val="-1"/>
        </w:rPr>
        <w:t>6,489,233.08元，加期初未分配利润-180,513,386.86元，可供股东分配的利润为-174,024,153.78元。公</w:t>
      </w:r>
      <w:r>
        <w:rPr>
          <w:spacing w:val="-87"/>
        </w:rPr>
        <w:t> </w:t>
      </w:r>
      <w:r>
        <w:rPr>
          <w:spacing w:val="-87"/>
        </w:rPr>
      </w:r>
      <w:r>
        <w:rPr/>
        <w:t>司本年度拟不进行利润分配，也不进行资本公积金转增股本。</w:t>
      </w:r>
    </w:p>
    <w:p>
      <w:pPr>
        <w:pStyle w:val="BodyText"/>
        <w:spacing w:line="408" w:lineRule="auto" w:before="46"/>
        <w:ind w:left="574" w:right="1432"/>
        <w:jc w:val="left"/>
      </w:pPr>
      <w:r>
        <w:rPr/>
        <w:t>本次利润分配预案需提交年度股东大会审议批准后执行。 公司报告期利润分配预案及资本公积金转增股本预案符合公司章程等的相关规定。 公司近</w:t>
      </w:r>
      <w:r>
        <w:rPr>
          <w:spacing w:val="-54"/>
        </w:rPr>
        <w:t> </w:t>
      </w:r>
      <w:r>
        <w:rPr/>
        <w:t>3</w:t>
      </w:r>
      <w:r>
        <w:rPr>
          <w:spacing w:val="-53"/>
        </w:rPr>
        <w:t> </w:t>
      </w:r>
      <w:r>
        <w:rPr/>
        <w:t>年（含报告期）的利润分配预案或方案及资本公积金转增股本预案或方案情况</w:t>
      </w:r>
      <w:r>
        <w:rPr/>
        <w:t> 公司近3年均未进行利润分配和资本公积金转增股本。</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0"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6,489,233.08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5,629,285.46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631,360.01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4"/>
        <w:spacing w:line="240" w:lineRule="auto" w:before="0"/>
        <w:ind w:right="0"/>
        <w:jc w:val="left"/>
        <w:rPr>
          <w:b w:val="0"/>
          <w:bCs w:val="0"/>
        </w:rPr>
      </w:pPr>
      <w:r>
        <w:rPr/>
        <w:t>十一、社会责任情况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1"/>
        </w:rPr>
        <w:t>公司因2006年、2007年、2008年连续三年亏损，公司股票于2009年3月24日起暂停上市。本报告期内，</w:t>
      </w:r>
      <w:r>
        <w:rPr/>
        <w:t> 公司通过联合摄制电视剧、收购艾特凡斯51%股权等项目，经自身努力实现公司主营业务的突破和转型形 成公司新的利润增长点。由于公司主营业务和生产经营等情况已发生重大变化，根据相关规定，公司向深 交所提交了公司股票恢复上市申请补充文件，经深交所上市委员会2012年12月25日召开的第七届上市委员 会第十四次工作会议审议，本公司股票恢复上市申请事项获得审议通过。2012年12月31日公司收到深交所</w:t>
      </w:r>
    </w:p>
    <w:p>
      <w:pPr>
        <w:pStyle w:val="BodyText"/>
        <w:spacing w:line="408" w:lineRule="auto" w:before="46"/>
        <w:ind w:left="153" w:right="0"/>
        <w:jc w:val="left"/>
      </w:pPr>
      <w:r>
        <w:rPr>
          <w:spacing w:val="-3"/>
        </w:rPr>
        <w:t>《关于同意远东实业股份有限公司股票恢复上市的决定》（深证上【2012】470号），核准公司股票于2013</w:t>
      </w:r>
      <w:r>
        <w:rPr>
          <w:spacing w:val="-80"/>
        </w:rPr>
        <w:t> </w:t>
      </w:r>
      <w:r>
        <w:rPr>
          <w:spacing w:val="-80"/>
        </w:rPr>
      </w:r>
      <w:r>
        <w:rPr>
          <w:spacing w:val="-3"/>
        </w:rPr>
        <w:t>年2月8日起在深交所恢复上市交易。通过主营业务的全面转型，公司的可持续盈利能力从根本上得到改善。</w:t>
      </w:r>
      <w:r>
        <w:rPr>
          <w:spacing w:val="-91"/>
        </w:rPr>
        <w:t> </w:t>
      </w:r>
      <w:r>
        <w:rPr>
          <w:spacing w:val="-91"/>
        </w:rPr>
      </w:r>
      <w:r>
        <w:rPr/>
        <w:t>公司将根据新的发展方向，认真做好经营计划，努力实现企业经济效益和股东利益的最大化。公司将在守</w:t>
      </w:r>
      <w:r>
        <w:rPr/>
        <w:t> 法经营、依法纳税的基础上，努力为股东创造价值，对股东、员工、客户等利益相关方承担相应的社会责 任，追求公司与社会的和谐可持续发展。</w:t>
      </w:r>
    </w:p>
    <w:p>
      <w:pPr>
        <w:spacing w:after="0" w:line="408" w:lineRule="auto"/>
        <w:jc w:val="left"/>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4"/>
        <w:spacing w:line="240" w:lineRule="auto"/>
        <w:ind w:right="1619"/>
        <w:jc w:val="left"/>
        <w:rPr>
          <w:b w:val="0"/>
          <w:bCs w:val="0"/>
        </w:rPr>
      </w:pPr>
      <w:r>
        <w:rPr/>
        <w:t>十二、报告期内接待调研、沟通、采访等活动登记表</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51" w:firstLine="420"/>
        <w:jc w:val="both"/>
      </w:pPr>
      <w:r>
        <w:rPr>
          <w:spacing w:val="-1"/>
        </w:rPr>
        <w:t>报告期内，公司严格按照《深圳证券交易所上市公司公平信息披露指引》的相关规定和要求，没有发</w:t>
      </w:r>
      <w:r>
        <w:rPr/>
        <w:t> </w:t>
      </w:r>
      <w:r>
        <w:rPr>
          <w:spacing w:val="-1"/>
        </w:rPr>
        <w:t>生有选择性地、私下、提前向特定对象单独披露、透露或泄露重大信息的情形，保证了公司信息披露的公</w:t>
      </w:r>
      <w:r>
        <w:rPr>
          <w:spacing w:val="-82"/>
        </w:rPr>
        <w:t> </w:t>
      </w:r>
      <w:r>
        <w:rPr>
          <w:spacing w:val="-82"/>
        </w:rPr>
      </w:r>
      <w:r>
        <w:rPr/>
        <w:t>平性。报告期内，公司未接待调研及采访。</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right="2140"/>
        <w:jc w:val="center"/>
        <w:rPr>
          <w:b w:val="0"/>
          <w:bCs w:val="0"/>
        </w:rPr>
      </w:pP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tabs>
          <w:tab w:pos="993" w:val="left" w:leader="none"/>
        </w:tabs>
        <w:spacing w:line="499" w:lineRule="auto" w:before="26"/>
        <w:ind w:left="154" w:right="3281"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重大诉讼仲裁事项</w:t>
      </w:r>
      <w:r>
        <w:rPr>
          <w:rFonts w:ascii="宋体" w:hAnsi="宋体" w:cs="宋体" w:eastAsia="宋体" w:hint="default"/>
          <w:b/>
          <w:bCs/>
          <w:spacing w:val="1"/>
          <w:w w:val="99"/>
          <w:sz w:val="24"/>
          <w:szCs w:val="24"/>
        </w:rPr>
        <w:t> </w:t>
      </w:r>
      <w:r>
        <w:rPr>
          <w:rFonts w:ascii="宋体" w:hAnsi="宋体" w:cs="宋体" w:eastAsia="宋体" w:hint="default"/>
          <w:sz w:val="21"/>
          <w:szCs w:val="21"/>
        </w:rPr>
        <w:t>本报告期公司无重大诉讼、仲裁或媒体质疑事项。 </w:t>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sz w:val="24"/>
          <w:szCs w:val="24"/>
        </w:rPr>
      </w:r>
    </w:p>
    <w:p>
      <w:pPr>
        <w:spacing w:line="240" w:lineRule="auto" w:before="11"/>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29"/>
        <w:gridCol w:w="986"/>
        <w:gridCol w:w="956"/>
        <w:gridCol w:w="956"/>
        <w:gridCol w:w="956"/>
        <w:gridCol w:w="956"/>
        <w:gridCol w:w="958"/>
        <w:gridCol w:w="956"/>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2" w:right="2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26"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2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4"/>
                <w:sz w:val="18"/>
                <w:szCs w:val="18"/>
              </w:rPr>
              <w:t>营性资金占用情况的原因、责任人追</w:t>
            </w:r>
            <w:r>
              <w:rPr>
                <w:rFonts w:ascii="宋体" w:hAnsi="宋体" w:cs="宋体" w:eastAsia="宋体" w:hint="default"/>
                <w:sz w:val="18"/>
                <w:szCs w:val="18"/>
              </w:rPr>
              <w:t> 究及董事会拟定采取措施的情况说 明</w:t>
            </w:r>
          </w:p>
        </w:tc>
        <w:tc>
          <w:tcPr>
            <w:tcW w:w="6726"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报告期内，公司不存在控股股东及其关联方非经营性占用资金情况。</w:t>
            </w:r>
          </w:p>
        </w:tc>
      </w:tr>
      <w:tr>
        <w:trPr>
          <w:trHeight w:val="714" w:hRule="exact"/>
        </w:trPr>
        <w:tc>
          <w:tcPr>
            <w:tcW w:w="2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26"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26" w:type="dxa"/>
            <w:gridSpan w:val="7"/>
            <w:tcBorders>
              <w:top w:val="single" w:sz="4" w:space="0" w:color="000000"/>
              <w:left w:val="single" w:sz="13" w:space="0" w:color="D3D3D3"/>
              <w:bottom w:val="single" w:sz="4" w:space="0" w:color="000000"/>
              <w:right w:val="single" w:sz="4" w:space="0" w:color="000000"/>
            </w:tcBorders>
          </w:tcPr>
          <w:p>
            <w:pPr>
              <w:pStyle w:val="TableParagraph"/>
              <w:spacing w:line="302" w:lineRule="auto" w:before="51"/>
              <w:ind w:left="40" w:right="20"/>
              <w:jc w:val="left"/>
              <w:rPr>
                <w:rFonts w:ascii="宋体" w:hAnsi="宋体" w:cs="宋体" w:eastAsia="宋体" w:hint="default"/>
                <w:sz w:val="18"/>
                <w:szCs w:val="18"/>
              </w:rPr>
            </w:pPr>
            <w:r>
              <w:rPr>
                <w:rFonts w:ascii="宋体" w:hAnsi="宋体" w:cs="宋体" w:eastAsia="宋体" w:hint="default"/>
                <w:spacing w:val="-3"/>
                <w:sz w:val="18"/>
                <w:szCs w:val="18"/>
              </w:rPr>
              <w:t>巨潮网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披露的《</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年度控股股东及其他关联方资金占用情</w:t>
            </w:r>
            <w:r>
              <w:rPr>
                <w:rFonts w:ascii="宋体" w:hAnsi="宋体" w:cs="宋体" w:eastAsia="宋体" w:hint="default"/>
                <w:spacing w:val="-80"/>
                <w:sz w:val="18"/>
                <w:szCs w:val="18"/>
              </w:rPr>
              <w:t> </w:t>
            </w:r>
            <w:r>
              <w:rPr>
                <w:rFonts w:ascii="宋体" w:hAnsi="宋体" w:cs="宋体" w:eastAsia="宋体" w:hint="default"/>
                <w:sz w:val="18"/>
                <w:szCs w:val="18"/>
              </w:rPr>
              <w:t>况的专项说明》</w:t>
            </w:r>
          </w:p>
        </w:tc>
      </w:tr>
    </w:tbl>
    <w:p>
      <w:pPr>
        <w:spacing w:line="240" w:lineRule="auto" w:before="2"/>
        <w:rPr>
          <w:rFonts w:ascii="宋体" w:hAnsi="宋体" w:cs="宋体" w:eastAsia="宋体" w:hint="default"/>
          <w:b/>
          <w:bCs/>
          <w:sz w:val="18"/>
          <w:szCs w:val="18"/>
        </w:rPr>
      </w:pPr>
    </w:p>
    <w:p>
      <w:pPr>
        <w:spacing w:line="496" w:lineRule="auto" w:before="26"/>
        <w:ind w:left="154" w:right="6410" w:firstLine="0"/>
        <w:jc w:val="left"/>
        <w:rPr>
          <w:rFonts w:ascii="宋体" w:hAnsi="宋体" w:cs="宋体" w:eastAsia="宋体" w:hint="default"/>
          <w:sz w:val="21"/>
          <w:szCs w:val="21"/>
        </w:rPr>
      </w:pPr>
      <w:r>
        <w:rPr>
          <w:rFonts w:ascii="宋体" w:hAnsi="宋体" w:cs="宋体" w:eastAsia="宋体" w:hint="default"/>
          <w:b/>
          <w:bCs/>
          <w:sz w:val="24"/>
          <w:szCs w:val="24"/>
        </w:rPr>
        <w:t>三、破产重整相关事项</w:t>
      </w:r>
      <w:r>
        <w:rPr>
          <w:rFonts w:ascii="宋体" w:hAnsi="宋体" w:cs="宋体" w:eastAsia="宋体" w:hint="default"/>
          <w:b/>
          <w:bCs/>
          <w:spacing w:val="1"/>
          <w:w w:val="99"/>
          <w:sz w:val="24"/>
          <w:szCs w:val="24"/>
        </w:rPr>
        <w:t> </w:t>
      </w:r>
      <w:r>
        <w:rPr>
          <w:rFonts w:ascii="宋体" w:hAnsi="宋体" w:cs="宋体" w:eastAsia="宋体" w:hint="default"/>
          <w:sz w:val="21"/>
          <w:szCs w:val="21"/>
        </w:rPr>
        <w:t>本报告期公司未发生破产重整事项。 </w:t>
      </w:r>
      <w:r>
        <w:rPr>
          <w:rFonts w:ascii="宋体" w:hAnsi="宋体" w:cs="宋体" w:eastAsia="宋体" w:hint="default"/>
          <w:b/>
          <w:bCs/>
          <w:sz w:val="24"/>
          <w:szCs w:val="24"/>
        </w:rPr>
        <w:t>四、资产交易事项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752"/>
        <w:gridCol w:w="748"/>
        <w:gridCol w:w="748"/>
        <w:gridCol w:w="749"/>
        <w:gridCol w:w="1214"/>
        <w:gridCol w:w="1121"/>
        <w:gridCol w:w="749"/>
        <w:gridCol w:w="624"/>
        <w:gridCol w:w="872"/>
        <w:gridCol w:w="996"/>
        <w:gridCol w:w="996"/>
      </w:tblGrid>
      <w:tr>
        <w:trPr>
          <w:trHeight w:val="2586" w:hRule="exact"/>
        </w:trPr>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100" w:right="10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98" w:right="97"/>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98" w:right="9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79" w:right="9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60" w:firstLine="39"/>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净利润（万元</w:t>
            </w:r>
          </w:p>
          <w:p>
            <w:pPr>
              <w:pStyle w:val="TableParagraph"/>
              <w:spacing w:line="319" w:lineRule="auto" w:before="19"/>
              <w:ind w:left="62" w:right="60"/>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6" w:right="102"/>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w:t>
            </w:r>
          </w:p>
          <w:p>
            <w:pPr>
              <w:pStyle w:val="TableParagraph"/>
              <w:spacing w:line="196" w:lineRule="exact" w:before="19"/>
              <w:ind w:left="106" w:right="0"/>
              <w:jc w:val="both"/>
              <w:rPr>
                <w:rFonts w:ascii="宋体" w:hAnsi="宋体" w:cs="宋体" w:eastAsia="宋体" w:hint="default"/>
                <w:sz w:val="18"/>
                <w:szCs w:val="18"/>
              </w:rPr>
            </w:pPr>
            <w:r>
              <w:rPr>
                <w:rFonts w:ascii="宋体" w:hAnsi="宋体" w:cs="宋体" w:eastAsia="宋体" w:hint="default"/>
                <w:sz w:val="18"/>
                <w:szCs w:val="18"/>
              </w:rPr>
              <w:t>献的净利润</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6" w:right="0" w:hanging="46"/>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（适</w:t>
            </w:r>
          </w:p>
          <w:p>
            <w:pPr>
              <w:pStyle w:val="TableParagraph"/>
              <w:spacing w:line="319" w:lineRule="auto" w:before="76"/>
              <w:ind w:left="106" w:right="102"/>
              <w:jc w:val="center"/>
              <w:rPr>
                <w:rFonts w:ascii="宋体" w:hAnsi="宋体" w:cs="宋体" w:eastAsia="宋体" w:hint="default"/>
                <w:sz w:val="18"/>
                <w:szCs w:val="18"/>
              </w:rPr>
            </w:pPr>
            <w:r>
              <w:rPr>
                <w:rFonts w:ascii="宋体" w:hAnsi="宋体" w:cs="宋体" w:eastAsia="宋体" w:hint="default"/>
                <w:sz w:val="18"/>
                <w:szCs w:val="18"/>
              </w:rPr>
              <w:t>用于同一控 制下的企业 合并）</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9"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35" w:right="3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52"/>
        <w:gridCol w:w="748"/>
        <w:gridCol w:w="748"/>
        <w:gridCol w:w="749"/>
        <w:gridCol w:w="1214"/>
        <w:gridCol w:w="1121"/>
        <w:gridCol w:w="749"/>
        <w:gridCol w:w="624"/>
        <w:gridCol w:w="872"/>
        <w:gridCol w:w="996"/>
        <w:gridCol w:w="996"/>
      </w:tblGrid>
      <w:tr>
        <w:trPr>
          <w:trHeight w:val="357" w:hRule="exact"/>
        </w:trPr>
        <w:tc>
          <w:tcPr>
            <w:tcW w:w="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江苏仁</w:t>
            </w:r>
          </w:p>
        </w:tc>
        <w:tc>
          <w:tcPr>
            <w:tcW w:w="748"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1214"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w:t>
            </w: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深圳艾</w:t>
            </w: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《证券日</w:t>
            </w:r>
          </w:p>
        </w:tc>
      </w:tr>
      <w:tr>
        <w:trPr>
          <w:trHeight w:val="311"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限公司、</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特凡斯</w:t>
            </w: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巨潮资</w:t>
            </w:r>
          </w:p>
        </w:tc>
      </w:tr>
      <w:tr>
        <w:trPr>
          <w:trHeight w:val="630"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程波、王</w:t>
            </w:r>
            <w:r>
              <w:rPr>
                <w:rFonts w:ascii="宋体" w:hAnsi="宋体" w:cs="宋体" w:eastAsia="宋体" w:hint="default"/>
                <w:sz w:val="18"/>
                <w:szCs w:val="18"/>
              </w:rPr>
              <w:t> </w:t>
            </w:r>
            <w:r>
              <w:rPr>
                <w:rFonts w:ascii="宋体" w:hAnsi="宋体" w:cs="宋体" w:eastAsia="宋体" w:hint="default"/>
                <w:spacing w:val="-6"/>
                <w:sz w:val="18"/>
                <w:szCs w:val="18"/>
              </w:rPr>
              <w:t>星、钟祥</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智能科 技有限</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1,200</w:t>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6,268,308.01</w:t>
            </w: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50.1%</w:t>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p>
        </w:tc>
      </w:tr>
      <w:tr>
        <w:trPr>
          <w:trHeight w:val="310"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明、高新</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w.cninfo.co</w:t>
            </w:r>
          </w:p>
        </w:tc>
      </w:tr>
      <w:tr>
        <w:trPr>
          <w:trHeight w:val="314"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良、陈</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307"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坤、汤芝</w:t>
            </w: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748"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5"/>
          <w:szCs w:val="5"/>
        </w:rPr>
      </w:pPr>
    </w:p>
    <w:p>
      <w:pPr>
        <w:pStyle w:val="BodyText"/>
        <w:spacing w:line="444" w:lineRule="auto" w:before="35"/>
        <w:ind w:left="574" w:right="215" w:hanging="420"/>
        <w:jc w:val="left"/>
      </w:pPr>
      <w:r>
        <w:rPr/>
        <w:t>收购资产情况概述 2012年6月20日和7月6日，公司分别召开第七届董事会第三次会议和2012年第一次临时股东大会，审</w:t>
      </w:r>
    </w:p>
    <w:p>
      <w:pPr>
        <w:pStyle w:val="BodyText"/>
        <w:spacing w:line="408" w:lineRule="auto" w:before="14"/>
        <w:ind w:right="110"/>
        <w:jc w:val="left"/>
      </w:pPr>
      <w:r>
        <w:rPr/>
        <w:t>议通过了《关于公司收购深圳艾特凡斯智能科技有限公司51%股权的议案》，公司受让艾特凡斯51%股权， 本次收购相关工商变更登记已于2012年7月17日办理完毕。</w:t>
      </w:r>
    </w:p>
    <w:p>
      <w:pPr>
        <w:spacing w:line="240" w:lineRule="auto" w:before="8"/>
        <w:rPr>
          <w:rFonts w:ascii="宋体" w:hAnsi="宋体" w:cs="宋体" w:eastAsia="宋体" w:hint="default"/>
          <w:sz w:val="20"/>
          <w:szCs w:val="20"/>
        </w:rPr>
      </w:pPr>
    </w:p>
    <w:p>
      <w:pPr>
        <w:spacing w:line="516" w:lineRule="auto" w:before="0"/>
        <w:ind w:left="154" w:right="5674"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报告期内，公司未发生资产出售事项。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报告期内，公司无企业合并事项。 </w:t>
      </w:r>
      <w:r>
        <w:rPr>
          <w:rFonts w:ascii="宋体" w:hAnsi="宋体" w:cs="宋体" w:eastAsia="宋体" w:hint="default"/>
          <w:b/>
          <w:bCs/>
          <w:sz w:val="24"/>
          <w:szCs w:val="24"/>
        </w:rPr>
        <w:t>五、公司股权激励的实施情况及其影响</w:t>
      </w:r>
      <w:r>
        <w:rPr>
          <w:rFonts w:ascii="宋体" w:hAnsi="宋体" w:cs="宋体" w:eastAsia="宋体" w:hint="default"/>
          <w:sz w:val="24"/>
          <w:szCs w:val="24"/>
        </w:rPr>
      </w:r>
    </w:p>
    <w:p>
      <w:pPr>
        <w:spacing w:line="501" w:lineRule="auto" w:before="45"/>
        <w:ind w:left="154" w:right="5449" w:firstLine="0"/>
        <w:jc w:val="left"/>
        <w:rPr>
          <w:rFonts w:ascii="宋体" w:hAnsi="宋体" w:cs="宋体" w:eastAsia="宋体" w:hint="default"/>
          <w:sz w:val="21"/>
          <w:szCs w:val="21"/>
        </w:rPr>
      </w:pPr>
      <w:r>
        <w:rPr>
          <w:rFonts w:ascii="宋体" w:hAnsi="宋体" w:cs="宋体" w:eastAsia="宋体" w:hint="default"/>
          <w:sz w:val="21"/>
          <w:szCs w:val="21"/>
        </w:rPr>
        <w:t>报告期内，公司未实施股权激励。 </w:t>
      </w:r>
      <w:r>
        <w:rPr>
          <w:rFonts w:ascii="宋体" w:hAnsi="宋体" w:cs="宋体" w:eastAsia="宋体" w:hint="default"/>
          <w:b/>
          <w:bCs/>
          <w:sz w:val="24"/>
          <w:szCs w:val="24"/>
        </w:rPr>
        <w:t>六、重大关联交易</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、报告期内，公司未发生日常关联交易事项。</w:t>
      </w:r>
      <w:r>
        <w:rPr>
          <w:rFonts w:ascii="宋体" w:hAnsi="宋体" w:cs="宋体" w:eastAsia="宋体" w:hint="default"/>
          <w:sz w:val="21"/>
          <w:szCs w:val="21"/>
        </w:rPr>
      </w:r>
    </w:p>
    <w:p>
      <w:pPr>
        <w:pStyle w:val="Heading5"/>
        <w:spacing w:line="240" w:lineRule="auto" w:before="69"/>
        <w:ind w:right="1619"/>
        <w:jc w:val="left"/>
        <w:rPr>
          <w:b w:val="0"/>
          <w:bCs w:val="0"/>
        </w:rPr>
      </w:pPr>
      <w:r>
        <w:rPr>
          <w:rFonts w:ascii="Times New Roman" w:hAnsi="Times New Roman" w:cs="Times New Roman" w:eastAsia="Times New Roman" w:hint="default"/>
        </w:rPr>
        <w:t>2</w:t>
      </w:r>
      <w:r>
        <w:rPr/>
        <w:t>、报告期内，公司未发生资产收购、出售关联交易事项。</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、报告期内，公司未发生共同对外投资的重大关联交易。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、报告期内，公司未发生关联债权债务往来。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、本报告期无其他重大关联交易事项。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0"/>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七、重大合同及其履行情况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、报告期内公司未发生托管、承包、租赁其他公司资产或其他公司托管、承包本公司资产的情况。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、报告期内公司无重大担保和为关联方提供担保及质押担保的情况。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5191" w:lineRule="exact"/>
        <w:ind w:left="144" w:right="0" w:firstLine="0"/>
        <w:rPr>
          <w:rFonts w:ascii="宋体" w:hAnsi="宋体" w:cs="宋体" w:eastAsia="宋体" w:hint="default"/>
          <w:sz w:val="20"/>
          <w:szCs w:val="20"/>
        </w:rPr>
      </w:pPr>
      <w:r>
        <w:rPr>
          <w:rFonts w:ascii="宋体" w:hAnsi="宋体" w:cs="宋体" w:eastAsia="宋体" w:hint="default"/>
          <w:position w:val="-103"/>
          <w:sz w:val="20"/>
          <w:szCs w:val="20"/>
        </w:rPr>
        <w:pict>
          <v:group style="width:479.1pt;height:259.6pt;mso-position-horizontal-relative:char;mso-position-vertical-relative:line" coordorigin="0,0" coordsize="9582,5192">
            <v:group style="position:absolute;left:14;top:1186;width:861;height:156" coordorigin="14,1186" coordsize="861,156">
              <v:shape style="position:absolute;left:14;top:1186;width:861;height:156" coordorigin="14,1186" coordsize="861,156" path="m14,1342l875,1342,875,1186,14,1186,14,1342xe" filled="true" fillcolor="#d3d3d3" stroked="false">
                <v:path arrowok="t"/>
                <v:fill type="solid"/>
              </v:shape>
            </v:group>
            <v:group style="position:absolute;left:26;top:170;width:2;height:1016" coordorigin="26,170" coordsize="2,1016">
              <v:shape style="position:absolute;left:26;top:170;width:2;height:1016" coordorigin="26,170" coordsize="0,1016" path="m26,170l26,1186e" filled="false" stroked="true" strokeweight="1.140pt" strokecolor="#d3d3d3">
                <v:path arrowok="t"/>
              </v:shape>
            </v:group>
            <v:group style="position:absolute;left:14;top:14;width:861;height:156" coordorigin="14,14" coordsize="861,156">
              <v:shape style="position:absolute;left:14;top:14;width:861;height:156" coordorigin="14,14" coordsize="861,156" path="m14,170l875,170,875,14,14,14,14,170xe" filled="true" fillcolor="#d3d3d3" stroked="false">
                <v:path arrowok="t"/>
                <v:fill type="solid"/>
              </v:shape>
            </v:group>
            <v:group style="position:absolute;left:863;top:170;width:2;height:1017" coordorigin="863,170" coordsize="2,1017">
              <v:shape style="position:absolute;left:863;top:170;width:2;height:1017" coordorigin="863,170" coordsize="0,1017" path="m863,170l863,1187e" filled="false" stroked="true" strokeweight="1.2pt" strokecolor="#d3d3d3">
                <v:path arrowok="t"/>
              </v:shape>
            </v:group>
            <v:group style="position:absolute;left:37;top:170;width:814;height:352" coordorigin="37,170" coordsize="814,352">
              <v:shape style="position:absolute;left:37;top:170;width:814;height:352" coordorigin="37,170" coordsize="814,352" path="m37,522l851,522,851,170,37,170,37,522xe" filled="true" fillcolor="#d3d3d3" stroked="false">
                <v:path arrowok="t"/>
                <v:fill type="solid"/>
              </v:shape>
            </v:group>
            <v:group style="position:absolute;left:37;top:522;width:814;height:312" coordorigin="37,522" coordsize="814,312">
              <v:shape style="position:absolute;left:37;top:522;width:814;height:312" coordorigin="37,522" coordsize="814,312" path="m37,834l851,834,851,522,37,522,37,834xe" filled="true" fillcolor="#d3d3d3" stroked="false">
                <v:path arrowok="t"/>
                <v:fill type="solid"/>
              </v:shape>
            </v:group>
            <v:group style="position:absolute;left:37;top:834;width:814;height:353" coordorigin="37,834" coordsize="814,353">
              <v:shape style="position:absolute;left:37;top:834;width:814;height:353" coordorigin="37,834" coordsize="814,353" path="m37,1187l851,1187,851,834,37,834,37,1187xe" filled="true" fillcolor="#d3d3d3" stroked="false">
                <v:path arrowok="t"/>
                <v:fill type="solid"/>
              </v:shape>
            </v:group>
            <v:group style="position:absolute;left:884;top:1030;width:861;height:312" coordorigin="884,1030" coordsize="861,312">
              <v:shape style="position:absolute;left:884;top:1030;width:861;height:312" coordorigin="884,1030" coordsize="861,312" path="m884,1342l1745,1342,1745,1030,884,1030,884,1342xe" filled="true" fillcolor="#d3d3d3" stroked="false">
                <v:path arrowok="t"/>
                <v:fill type="solid"/>
              </v:shape>
            </v:group>
            <v:group style="position:absolute;left:896;top:326;width:2;height:704" coordorigin="896,326" coordsize="2,704">
              <v:shape style="position:absolute;left:896;top:326;width:2;height:704" coordorigin="896,326" coordsize="0,704" path="m896,326l896,1030e" filled="false" stroked="true" strokeweight="1.140pt" strokecolor="#d3d3d3">
                <v:path arrowok="t"/>
              </v:shape>
            </v:group>
            <v:group style="position:absolute;left:884;top:14;width:861;height:312" coordorigin="884,14" coordsize="861,312">
              <v:shape style="position:absolute;left:884;top:14;width:861;height:312" coordorigin="884,14" coordsize="861,312" path="m884,326l1745,326,1745,14,884,14,884,326xe" filled="true" fillcolor="#d3d3d3" stroked="false">
                <v:path arrowok="t"/>
                <v:fill type="solid"/>
              </v:shape>
            </v:group>
            <v:group style="position:absolute;left:1733;top:326;width:2;height:705" coordorigin="1733,326" coordsize="2,705">
              <v:shape style="position:absolute;left:1733;top:326;width:2;height:705" coordorigin="1733,326" coordsize="0,705" path="m1733,326l1733,1031e" filled="false" stroked="true" strokeweight="1.2pt" strokecolor="#d3d3d3">
                <v:path arrowok="t"/>
              </v:shape>
            </v:group>
            <v:group style="position:absolute;left:907;top:326;width:814;height:352" coordorigin="907,326" coordsize="814,352">
              <v:shape style="position:absolute;left:907;top:326;width:814;height:352" coordorigin="907,326" coordsize="814,352" path="m907,678l1721,678,1721,326,907,326,907,678xe" filled="true" fillcolor="#d3d3d3" stroked="false">
                <v:path arrowok="t"/>
                <v:fill type="solid"/>
              </v:shape>
            </v:group>
            <v:group style="position:absolute;left:907;top:678;width:814;height:353" coordorigin="907,678" coordsize="814,353">
              <v:shape style="position:absolute;left:907;top:678;width:814;height:353" coordorigin="907,678" coordsize="814,353" path="m907,1031l1721,1031,1721,678,907,678,907,1031xe" filled="true" fillcolor="#d3d3d3" stroked="false">
                <v:path arrowok="t"/>
                <v:fill type="solid"/>
              </v:shape>
            </v:group>
            <v:group style="position:absolute;left:1766;top:14;width:2;height:1329" coordorigin="1766,14" coordsize="2,1329">
              <v:shape style="position:absolute;left:1766;top:14;width:2;height:1329" coordorigin="1766,14" coordsize="0,1329" path="m1766,14l1766,1343e" filled="false" stroked="true" strokeweight="1.140pt" strokecolor="#d3d3d3">
                <v:path arrowok="t"/>
              </v:shape>
            </v:group>
            <v:group style="position:absolute;left:2603;top:14;width:2;height:1329" coordorigin="2603,14" coordsize="2,1329">
              <v:shape style="position:absolute;left:2603;top:14;width:2;height:1329" coordorigin="2603,14" coordsize="0,1329" path="m2603,14l2603,1343e" filled="false" stroked="true" strokeweight="1.2pt" strokecolor="#d3d3d3">
                <v:path arrowok="t"/>
              </v:shape>
            </v:group>
            <v:group style="position:absolute;left:1777;top:14;width:814;height:352" coordorigin="1777,14" coordsize="814,352">
              <v:shape style="position:absolute;left:1777;top:14;width:814;height:352" coordorigin="1777,14" coordsize="814,352" path="m1777,366l2591,366,2591,14,1777,14,1777,366xe" filled="true" fillcolor="#d3d3d3" stroked="false">
                <v:path arrowok="t"/>
                <v:fill type="solid"/>
              </v:shape>
            </v:group>
            <v:group style="position:absolute;left:1777;top:366;width:814;height:312" coordorigin="1777,366" coordsize="814,312">
              <v:shape style="position:absolute;left:1777;top:366;width:814;height:312" coordorigin="1777,366" coordsize="814,312" path="m1777,678l2591,678,2591,366,1777,366,1777,678xe" filled="true" fillcolor="#d3d3d3" stroked="false">
                <v:path arrowok="t"/>
                <v:fill type="solid"/>
              </v:shape>
            </v:group>
            <v:group style="position:absolute;left:1777;top:678;width:814;height:312" coordorigin="1777,678" coordsize="814,312">
              <v:shape style="position:absolute;left:1777;top:678;width:814;height:312" coordorigin="1777,678" coordsize="814,312" path="m1777,990l2591,990,2591,678,1777,678,1777,990xe" filled="true" fillcolor="#d3d3d3" stroked="false">
                <v:path arrowok="t"/>
                <v:fill type="solid"/>
              </v:shape>
            </v:group>
            <v:group style="position:absolute;left:1777;top:990;width:814;height:353" coordorigin="1777,990" coordsize="814,353">
              <v:shape style="position:absolute;left:1777;top:990;width:814;height:353" coordorigin="1777,990" coordsize="814,353" path="m1777,1343l2591,1343,2591,990,1777,990,1777,1343xe" filled="true" fillcolor="#d3d3d3" stroked="false">
                <v:path arrowok="t"/>
                <v:fill type="solid"/>
              </v:shape>
            </v:group>
            <v:group style="position:absolute;left:2636;top:14;width:2;height:1329" coordorigin="2636,14" coordsize="2,1329">
              <v:shape style="position:absolute;left:2636;top:14;width:2;height:1329" coordorigin="2636,14" coordsize="0,1329" path="m2636,14l2636,1343e" filled="false" stroked="true" strokeweight="1.140pt" strokecolor="#d3d3d3">
                <v:path arrowok="t"/>
              </v:shape>
            </v:group>
            <v:group style="position:absolute;left:3473;top:14;width:2;height:1329" coordorigin="3473,14" coordsize="2,1329">
              <v:shape style="position:absolute;left:3473;top:14;width:2;height:1329" coordorigin="3473,14" coordsize="0,1329" path="m3473,14l3473,1343e" filled="false" stroked="true" strokeweight="1.2pt" strokecolor="#d3d3d3">
                <v:path arrowok="t"/>
              </v:shape>
            </v:group>
            <v:group style="position:absolute;left:2647;top:14;width:814;height:352" coordorigin="2647,14" coordsize="814,352">
              <v:shape style="position:absolute;left:2647;top:14;width:814;height:352" coordorigin="2647,14" coordsize="814,352" path="m2647,366l3461,366,3461,14,2647,14,2647,366xe" filled="true" fillcolor="#d3d3d3" stroked="false">
                <v:path arrowok="t"/>
                <v:fill type="solid"/>
              </v:shape>
            </v:group>
            <v:group style="position:absolute;left:2647;top:366;width:814;height:312" coordorigin="2647,366" coordsize="814,312">
              <v:shape style="position:absolute;left:2647;top:366;width:814;height:312" coordorigin="2647,366" coordsize="814,312" path="m2647,678l3461,678,3461,366,2647,366,2647,678xe" filled="true" fillcolor="#d3d3d3" stroked="false">
                <v:path arrowok="t"/>
                <v:fill type="solid"/>
              </v:shape>
            </v:group>
            <v:group style="position:absolute;left:2647;top:678;width:814;height:312" coordorigin="2647,678" coordsize="814,312">
              <v:shape style="position:absolute;left:2647;top:678;width:814;height:312" coordorigin="2647,678" coordsize="814,312" path="m2647,990l3461,990,3461,678,2647,678,2647,990xe" filled="true" fillcolor="#d3d3d3" stroked="false">
                <v:path arrowok="t"/>
                <v:fill type="solid"/>
              </v:shape>
            </v:group>
            <v:group style="position:absolute;left:2647;top:990;width:814;height:353" coordorigin="2647,990" coordsize="814,353">
              <v:shape style="position:absolute;left:2647;top:990;width:814;height:353" coordorigin="2647,990" coordsize="814,353" path="m2647,1343l3461,1343,3461,990,2647,990,2647,1343xe" filled="true" fillcolor="#d3d3d3" stroked="false">
                <v:path arrowok="t"/>
                <v:fill type="solid"/>
              </v:shape>
            </v:group>
            <v:group style="position:absolute;left:3494;top:1186;width:861;height:156" coordorigin="3494,1186" coordsize="861,156">
              <v:shape style="position:absolute;left:3494;top:1186;width:861;height:156" coordorigin="3494,1186" coordsize="861,156" path="m3494,1342l4355,1342,4355,1186,3494,1186,3494,1342xe" filled="true" fillcolor="#d3d3d3" stroked="false">
                <v:path arrowok="t"/>
                <v:fill type="solid"/>
              </v:shape>
            </v:group>
            <v:group style="position:absolute;left:3506;top:170;width:2;height:1016" coordorigin="3506,170" coordsize="2,1016">
              <v:shape style="position:absolute;left:3506;top:170;width:2;height:1016" coordorigin="3506,170" coordsize="0,1016" path="m3506,170l3506,1186e" filled="false" stroked="true" strokeweight="1.140pt" strokecolor="#d3d3d3">
                <v:path arrowok="t"/>
              </v:shape>
            </v:group>
            <v:group style="position:absolute;left:3494;top:14;width:861;height:156" coordorigin="3494,14" coordsize="861,156">
              <v:shape style="position:absolute;left:3494;top:14;width:861;height:156" coordorigin="3494,14" coordsize="861,156" path="m3494,170l4355,170,4355,14,3494,14,3494,170xe" filled="true" fillcolor="#d3d3d3" stroked="false">
                <v:path arrowok="t"/>
                <v:fill type="solid"/>
              </v:shape>
            </v:group>
            <v:group style="position:absolute;left:4343;top:170;width:2;height:1017" coordorigin="4343,170" coordsize="2,1017">
              <v:shape style="position:absolute;left:4343;top:170;width:2;height:1017" coordorigin="4343,170" coordsize="0,1017" path="m4343,170l4343,1187e" filled="false" stroked="true" strokeweight="1.2pt" strokecolor="#d3d3d3">
                <v:path arrowok="t"/>
              </v:shape>
            </v:group>
            <v:group style="position:absolute;left:3517;top:170;width:814;height:352" coordorigin="3517,170" coordsize="814,352">
              <v:shape style="position:absolute;left:3517;top:170;width:814;height:352" coordorigin="3517,170" coordsize="814,352" path="m3517,522l4331,522,4331,170,3517,170,3517,522xe" filled="true" fillcolor="#d3d3d3" stroked="false">
                <v:path arrowok="t"/>
                <v:fill type="solid"/>
              </v:shape>
            </v:group>
            <v:group style="position:absolute;left:3517;top:522;width:814;height:312" coordorigin="3517,522" coordsize="814,312">
              <v:shape style="position:absolute;left:3517;top:522;width:814;height:312" coordorigin="3517,522" coordsize="814,312" path="m3517,834l4331,834,4331,522,3517,522,3517,834xe" filled="true" fillcolor="#d3d3d3" stroked="false">
                <v:path arrowok="t"/>
                <v:fill type="solid"/>
              </v:shape>
            </v:group>
            <v:group style="position:absolute;left:3517;top:834;width:814;height:353" coordorigin="3517,834" coordsize="814,353">
              <v:shape style="position:absolute;left:3517;top:834;width:814;height:353" coordorigin="3517,834" coordsize="814,353" path="m3517,1187l4331,1187,4331,834,3517,834,3517,1187xe" filled="true" fillcolor="#d3d3d3" stroked="false">
                <v:path arrowok="t"/>
                <v:fill type="solid"/>
              </v:shape>
            </v:group>
            <v:group style="position:absolute;left:4364;top:1030;width:858;height:312" coordorigin="4364,1030" coordsize="858,312">
              <v:shape style="position:absolute;left:4364;top:1030;width:858;height:312" coordorigin="4364,1030" coordsize="858,312" path="m4364,1342l5222,1342,5222,1030,4364,1030,4364,1342xe" filled="true" fillcolor="#d3d3d3" stroked="false">
                <v:path arrowok="t"/>
                <v:fill type="solid"/>
              </v:shape>
            </v:group>
            <v:group style="position:absolute;left:4376;top:326;width:2;height:704" coordorigin="4376,326" coordsize="2,704">
              <v:shape style="position:absolute;left:4376;top:326;width:2;height:704" coordorigin="4376,326" coordsize="0,704" path="m4376,326l4376,1030e" filled="false" stroked="true" strokeweight="1.140pt" strokecolor="#d3d3d3">
                <v:path arrowok="t"/>
              </v:shape>
            </v:group>
            <v:group style="position:absolute;left:4364;top:14;width:858;height:312" coordorigin="4364,14" coordsize="858,312">
              <v:shape style="position:absolute;left:4364;top:14;width:858;height:312" coordorigin="4364,14" coordsize="858,312" path="m4364,326l5222,326,5222,14,4364,14,4364,326xe" filled="true" fillcolor="#d3d3d3" stroked="false">
                <v:path arrowok="t"/>
                <v:fill type="solid"/>
              </v:shape>
            </v:group>
            <v:group style="position:absolute;left:5211;top:326;width:2;height:705" coordorigin="5211,326" coordsize="2,705">
              <v:shape style="position:absolute;left:5211;top:326;width:2;height:705" coordorigin="5211,326" coordsize="0,705" path="m5211,326l5211,1031e" filled="false" stroked="true" strokeweight="1.140pt" strokecolor="#d3d3d3">
                <v:path arrowok="t"/>
              </v:shape>
            </v:group>
            <v:group style="position:absolute;left:4387;top:326;width:813;height:352" coordorigin="4387,326" coordsize="813,352">
              <v:shape style="position:absolute;left:4387;top:326;width:813;height:352" coordorigin="4387,326" coordsize="813,352" path="m4387,678l5200,678,5200,326,4387,326,4387,678xe" filled="true" fillcolor="#d3d3d3" stroked="false">
                <v:path arrowok="t"/>
                <v:fill type="solid"/>
              </v:shape>
            </v:group>
            <v:group style="position:absolute;left:4387;top:678;width:813;height:353" coordorigin="4387,678" coordsize="813,353">
              <v:shape style="position:absolute;left:4387;top:678;width:813;height:353" coordorigin="4387,678" coordsize="813,353" path="m4387,1031l5200,1031,5200,678,4387,678,4387,1031xe" filled="true" fillcolor="#d3d3d3" stroked="false">
                <v:path arrowok="t"/>
                <v:fill type="solid"/>
              </v:shape>
            </v:group>
            <v:group style="position:absolute;left:5232;top:874;width:861;height:468" coordorigin="5232,874" coordsize="861,468">
              <v:shape style="position:absolute;left:5232;top:874;width:861;height:468" coordorigin="5232,874" coordsize="861,468" path="m5232,1342l6092,1342,6092,874,5232,874,5232,1342xe" filled="true" fillcolor="#d3d3d3" stroked="false">
                <v:path arrowok="t"/>
                <v:fill type="solid"/>
              </v:shape>
            </v:group>
            <v:group style="position:absolute;left:5244;top:482;width:2;height:392" coordorigin="5244,482" coordsize="2,392">
              <v:shape style="position:absolute;left:5244;top:482;width:2;height:392" coordorigin="5244,482" coordsize="0,392" path="m5244,482l5244,874e" filled="false" stroked="true" strokeweight="1.2pt" strokecolor="#d3d3d3">
                <v:path arrowok="t"/>
              </v:shape>
            </v:group>
            <v:group style="position:absolute;left:5232;top:14;width:861;height:468" coordorigin="5232,14" coordsize="861,468">
              <v:shape style="position:absolute;left:5232;top:14;width:861;height:468" coordorigin="5232,14" coordsize="861,468" path="m5232,482l6092,482,6092,14,5232,14,5232,482xe" filled="true" fillcolor="#d3d3d3" stroked="false">
                <v:path arrowok="t"/>
                <v:fill type="solid"/>
              </v:shape>
            </v:group>
            <v:group style="position:absolute;left:6080;top:482;width:2;height:393" coordorigin="6080,482" coordsize="2,393">
              <v:shape style="position:absolute;left:6080;top:482;width:2;height:393" coordorigin="6080,482" coordsize="0,393" path="m6080,482l6080,875e" filled="false" stroked="true" strokeweight="1.2pt" strokecolor="#d3d3d3">
                <v:path arrowok="t"/>
              </v:shape>
            </v:group>
            <v:group style="position:absolute;left:5256;top:482;width:813;height:393" coordorigin="5256,482" coordsize="813,393">
              <v:shape style="position:absolute;left:5256;top:482;width:813;height:393" coordorigin="5256,482" coordsize="813,393" path="m5256,875l6068,875,6068,482,5256,482,5256,875xe" filled="true" fillcolor="#d3d3d3" stroked="false">
                <v:path arrowok="t"/>
                <v:fill type="solid"/>
              </v:shape>
            </v:group>
            <v:group style="position:absolute;left:6102;top:1030;width:860;height:312" coordorigin="6102,1030" coordsize="860,312">
              <v:shape style="position:absolute;left:6102;top:1030;width:860;height:312" coordorigin="6102,1030" coordsize="860,312" path="m6102,1342l6961,1342,6961,1030,6102,1030,6102,1342xe" filled="true" fillcolor="#d3d3d3" stroked="false">
                <v:path arrowok="t"/>
                <v:fill type="solid"/>
              </v:shape>
            </v:group>
            <v:group style="position:absolute;left:6113;top:326;width:2;height:704" coordorigin="6113,326" coordsize="2,704">
              <v:shape style="position:absolute;left:6113;top:326;width:2;height:704" coordorigin="6113,326" coordsize="0,704" path="m6113,326l6113,1030e" filled="false" stroked="true" strokeweight="1.140pt" strokecolor="#d3d3d3">
                <v:path arrowok="t"/>
              </v:shape>
            </v:group>
            <v:group style="position:absolute;left:6102;top:14;width:860;height:312" coordorigin="6102,14" coordsize="860,312">
              <v:shape style="position:absolute;left:6102;top:14;width:860;height:312" coordorigin="6102,14" coordsize="860,312" path="m6102,326l6961,326,6961,14,6102,14,6102,326xe" filled="true" fillcolor="#d3d3d3" stroked="false">
                <v:path arrowok="t"/>
                <v:fill type="solid"/>
              </v:shape>
            </v:group>
            <v:group style="position:absolute;left:6949;top:326;width:2;height:705" coordorigin="6949,326" coordsize="2,705">
              <v:shape style="position:absolute;left:6949;top:326;width:2;height:705" coordorigin="6949,326" coordsize="0,705" path="m6949,326l6949,1031e" filled="false" stroked="true" strokeweight="1.2pt" strokecolor="#d3d3d3">
                <v:path arrowok="t"/>
              </v:shape>
            </v:group>
            <v:group style="position:absolute;left:6125;top:326;width:813;height:352" coordorigin="6125,326" coordsize="813,352">
              <v:shape style="position:absolute;left:6125;top:326;width:813;height:352" coordorigin="6125,326" coordsize="813,352" path="m6125,678l6937,678,6937,326,6125,326,6125,678xe" filled="true" fillcolor="#d3d3d3" stroked="false">
                <v:path arrowok="t"/>
                <v:fill type="solid"/>
              </v:shape>
            </v:group>
            <v:group style="position:absolute;left:6125;top:678;width:813;height:353" coordorigin="6125,678" coordsize="813,353">
              <v:shape style="position:absolute;left:6125;top:678;width:813;height:353" coordorigin="6125,678" coordsize="813,353" path="m6125,1031l6937,1031,6937,678,6125,678,6125,1031xe" filled="true" fillcolor="#d3d3d3" stroked="false">
                <v:path arrowok="t"/>
                <v:fill type="solid"/>
              </v:shape>
            </v:group>
            <v:group style="position:absolute;left:6971;top:1030;width:860;height:312" coordorigin="6971,1030" coordsize="860,312">
              <v:shape style="position:absolute;left:6971;top:1030;width:860;height:312" coordorigin="6971,1030" coordsize="860,312" path="m6971,1342l7830,1342,7830,1030,6971,1030,6971,1342xe" filled="true" fillcolor="#d3d3d3" stroked="false">
                <v:path arrowok="t"/>
                <v:fill type="solid"/>
              </v:shape>
            </v:group>
            <v:group style="position:absolute;left:6982;top:326;width:2;height:704" coordorigin="6982,326" coordsize="2,704">
              <v:shape style="position:absolute;left:6982;top:326;width:2;height:704" coordorigin="6982,326" coordsize="0,704" path="m6982,326l6982,1030e" filled="false" stroked="true" strokeweight="1.140pt" strokecolor="#d3d3d3">
                <v:path arrowok="t"/>
              </v:shape>
            </v:group>
            <v:group style="position:absolute;left:6971;top:14;width:860;height:312" coordorigin="6971,14" coordsize="860,312">
              <v:shape style="position:absolute;left:6971;top:14;width:860;height:312" coordorigin="6971,14" coordsize="860,312" path="m6971,326l7830,326,7830,14,6971,14,6971,326xe" filled="true" fillcolor="#d3d3d3" stroked="false">
                <v:path arrowok="t"/>
                <v:fill type="solid"/>
              </v:shape>
            </v:group>
            <v:group style="position:absolute;left:7818;top:326;width:2;height:705" coordorigin="7818,326" coordsize="2,705">
              <v:shape style="position:absolute;left:7818;top:326;width:2;height:705" coordorigin="7818,326" coordsize="0,705" path="m7818,326l7818,1031e" filled="false" stroked="true" strokeweight="1.2pt" strokecolor="#d3d3d3">
                <v:path arrowok="t"/>
              </v:shape>
            </v:group>
            <v:group style="position:absolute;left:6994;top:326;width:813;height:352" coordorigin="6994,326" coordsize="813,352">
              <v:shape style="position:absolute;left:6994;top:326;width:813;height:352" coordorigin="6994,326" coordsize="813,352" path="m6994,678l7806,678,7806,326,6994,326,6994,678xe" filled="true" fillcolor="#d3d3d3" stroked="false">
                <v:path arrowok="t"/>
                <v:fill type="solid"/>
              </v:shape>
            </v:group>
            <v:group style="position:absolute;left:6994;top:678;width:813;height:353" coordorigin="6994,678" coordsize="813,353">
              <v:shape style="position:absolute;left:6994;top:678;width:813;height:353" coordorigin="6994,678" coordsize="813,353" path="m6994,1031l7806,1031,7806,678,6994,678,6994,1031xe" filled="true" fillcolor="#d3d3d3" stroked="false">
                <v:path arrowok="t"/>
                <v:fill type="solid"/>
              </v:shape>
            </v:group>
            <v:group style="position:absolute;left:7840;top:874;width:860;height:468" coordorigin="7840,874" coordsize="860,468">
              <v:shape style="position:absolute;left:7840;top:874;width:860;height:468" coordorigin="7840,874" coordsize="860,468" path="m7840,1342l8699,1342,8699,874,7840,874,7840,1342xe" filled="true" fillcolor="#d3d3d3" stroked="false">
                <v:path arrowok="t"/>
                <v:fill type="solid"/>
              </v:shape>
            </v:group>
            <v:group style="position:absolute;left:7851;top:482;width:2;height:392" coordorigin="7851,482" coordsize="2,392">
              <v:shape style="position:absolute;left:7851;top:482;width:2;height:392" coordorigin="7851,482" coordsize="0,392" path="m7851,482l7851,874e" filled="false" stroked="true" strokeweight="1.140pt" strokecolor="#d3d3d3">
                <v:path arrowok="t"/>
              </v:shape>
            </v:group>
            <v:group style="position:absolute;left:7840;top:14;width:860;height:468" coordorigin="7840,14" coordsize="860,468">
              <v:shape style="position:absolute;left:7840;top:14;width:860;height:468" coordorigin="7840,14" coordsize="860,468" path="m7840,482l8699,482,8699,14,7840,14,7840,482xe" filled="true" fillcolor="#d3d3d3" stroked="false">
                <v:path arrowok="t"/>
                <v:fill type="solid"/>
              </v:shape>
            </v:group>
            <v:group style="position:absolute;left:8687;top:482;width:2;height:393" coordorigin="8687,482" coordsize="2,393">
              <v:shape style="position:absolute;left:8687;top:482;width:2;height:393" coordorigin="8687,482" coordsize="0,393" path="m8687,482l8687,875e" filled="false" stroked="true" strokeweight="1.2pt" strokecolor="#d3d3d3">
                <v:path arrowok="t"/>
              </v:shape>
            </v:group>
            <v:group style="position:absolute;left:7862;top:482;width:813;height:393" coordorigin="7862,482" coordsize="813,393">
              <v:shape style="position:absolute;left:7862;top:482;width:813;height:393" coordorigin="7862,482" coordsize="813,393" path="m7862,875l8675,875,8675,482,7862,482,7862,875xe" filled="true" fillcolor="#d3d3d3" stroked="false">
                <v:path arrowok="t"/>
                <v:fill type="solid"/>
              </v:shape>
            </v:group>
            <v:group style="position:absolute;left:8708;top:1186;width:860;height:156" coordorigin="8708,1186" coordsize="860,156">
              <v:shape style="position:absolute;left:8708;top:1186;width:860;height:156" coordorigin="8708,1186" coordsize="860,156" path="m8708,1342l9568,1342,9568,1186,8708,1186,8708,1342xe" filled="true" fillcolor="#d3d3d3" stroked="false">
                <v:path arrowok="t"/>
                <v:fill type="solid"/>
              </v:shape>
            </v:group>
            <v:group style="position:absolute;left:8720;top:170;width:2;height:1016" coordorigin="8720,170" coordsize="2,1016">
              <v:shape style="position:absolute;left:8720;top:170;width:2;height:1016" coordorigin="8720,170" coordsize="0,1016" path="m8720,170l8720,1186e" filled="false" stroked="true" strokeweight="1.140pt" strokecolor="#d3d3d3">
                <v:path arrowok="t"/>
              </v:shape>
            </v:group>
            <v:group style="position:absolute;left:8708;top:14;width:860;height:156" coordorigin="8708,14" coordsize="860,156">
              <v:shape style="position:absolute;left:8708;top:14;width:860;height:156" coordorigin="8708,14" coordsize="860,156" path="m8708,170l9568,170,9568,14,8708,14,8708,170xe" filled="true" fillcolor="#d3d3d3" stroked="false">
                <v:path arrowok="t"/>
                <v:fill type="solid"/>
              </v:shape>
            </v:group>
            <v:group style="position:absolute;left:9556;top:170;width:2;height:1017" coordorigin="9556,170" coordsize="2,1017">
              <v:shape style="position:absolute;left:9556;top:170;width:2;height:1017" coordorigin="9556,170" coordsize="0,1017" path="m9556,170l9556,1187e" filled="false" stroked="true" strokeweight="1.2pt" strokecolor="#d3d3d3">
                <v:path arrowok="t"/>
              </v:shape>
            </v:group>
            <v:group style="position:absolute;left:8731;top:170;width:813;height:352" coordorigin="8731,170" coordsize="813,352">
              <v:shape style="position:absolute;left:8731;top:170;width:813;height:352" coordorigin="8731,170" coordsize="813,352" path="m8731,522l9544,522,9544,170,8731,170,8731,522xe" filled="true" fillcolor="#d3d3d3" stroked="false">
                <v:path arrowok="t"/>
                <v:fill type="solid"/>
              </v:shape>
            </v:group>
            <v:group style="position:absolute;left:8731;top:522;width:813;height:312" coordorigin="8731,522" coordsize="813,312">
              <v:shape style="position:absolute;left:8731;top:522;width:813;height:312" coordorigin="8731,522" coordsize="813,312" path="m8731,834l9544,834,9544,522,8731,522,8731,834xe" filled="true" fillcolor="#d3d3d3" stroked="false">
                <v:path arrowok="t"/>
                <v:fill type="solid"/>
              </v:shape>
            </v:group>
            <v:group style="position:absolute;left:8731;top:834;width:813;height:353" coordorigin="8731,834" coordsize="813,353">
              <v:shape style="position:absolute;left:8731;top:834;width:813;height:353" coordorigin="8731,834" coordsize="813,353" path="m8731,1187l9544,1187,9544,834,8731,834,8731,1187xe" filled="true" fillcolor="#d3d3d3" stroked="false">
                <v:path arrowok="t"/>
                <v:fill type="solid"/>
              </v:shape>
            </v:group>
            <v:group style="position:absolute;left:5;top:10;width:9573;height:2" coordorigin="5,10" coordsize="9573,2">
              <v:shape style="position:absolute;left:5;top:10;width:9573;height:2" coordorigin="5,10" coordsize="9573,0" path="m5,10l9577,10e" filled="false" stroked="true" strokeweight=".47998pt" strokecolor="#000000">
                <v:path arrowok="t"/>
              </v:shape>
            </v:group>
            <v:group style="position:absolute;left:880;top:14;width:2;height:1329" coordorigin="880,14" coordsize="2,1329">
              <v:shape style="position:absolute;left:880;top:14;width:2;height:1329" coordorigin="880,14" coordsize="0,1329" path="m880,14l880,1343e" filled="false" stroked="true" strokeweight=".48001pt" strokecolor="#000000">
                <v:path arrowok="t"/>
              </v:shape>
            </v:group>
            <v:group style="position:absolute;left:1750;top:14;width:2;height:1329" coordorigin="1750,14" coordsize="2,1329">
              <v:shape style="position:absolute;left:1750;top:14;width:2;height:1329" coordorigin="1750,14" coordsize="0,1329" path="m1750,14l1750,1343e" filled="false" stroked="true" strokeweight=".48pt" strokecolor="#000000">
                <v:path arrowok="t"/>
              </v:shape>
            </v:group>
            <v:group style="position:absolute;left:2620;top:14;width:2;height:1329" coordorigin="2620,14" coordsize="2,1329">
              <v:shape style="position:absolute;left:2620;top:14;width:2;height:1329" coordorigin="2620,14" coordsize="0,1329" path="m2620,14l2620,1343e" filled="false" stroked="true" strokeweight=".48pt" strokecolor="#000000">
                <v:path arrowok="t"/>
              </v:shape>
            </v:group>
            <v:group style="position:absolute;left:3490;top:14;width:2;height:1329" coordorigin="3490,14" coordsize="2,1329">
              <v:shape style="position:absolute;left:3490;top:14;width:2;height:1329" coordorigin="3490,14" coordsize="0,1329" path="m3490,14l3490,1343e" filled="false" stroked="true" strokeweight=".48pt" strokecolor="#000000">
                <v:path arrowok="t"/>
              </v:shape>
            </v:group>
            <v:group style="position:absolute;left:4360;top:14;width:2;height:1329" coordorigin="4360,14" coordsize="2,1329">
              <v:shape style="position:absolute;left:4360;top:14;width:2;height:1329" coordorigin="4360,14" coordsize="0,1329" path="m4360,14l4360,1343e" filled="false" stroked="true" strokeweight=".48001pt" strokecolor="#000000">
                <v:path arrowok="t"/>
              </v:shape>
            </v:group>
            <v:group style="position:absolute;left:5227;top:14;width:2;height:1329" coordorigin="5227,14" coordsize="2,1329">
              <v:shape style="position:absolute;left:5227;top:14;width:2;height:1329" coordorigin="5227,14" coordsize="0,1329" path="m5227,14l5227,1343e" filled="false" stroked="true" strokeweight=".48001pt" strokecolor="#000000">
                <v:path arrowok="t"/>
              </v:shape>
            </v:group>
            <v:group style="position:absolute;left:6097;top:14;width:2;height:1329" coordorigin="6097,14" coordsize="2,1329">
              <v:shape style="position:absolute;left:6097;top:14;width:2;height:1329" coordorigin="6097,14" coordsize="0,1329" path="m6097,14l6097,1343e" filled="false" stroked="true" strokeweight=".48001pt" strokecolor="#000000">
                <v:path arrowok="t"/>
              </v:shape>
            </v:group>
            <v:group style="position:absolute;left:6966;top:14;width:2;height:1329" coordorigin="6966,14" coordsize="2,1329">
              <v:shape style="position:absolute;left:6966;top:14;width:2;height:1329" coordorigin="6966,14" coordsize="0,1329" path="m6966,14l6966,1343e" filled="false" stroked="true" strokeweight=".48001pt" strokecolor="#000000">
                <v:path arrowok="t"/>
              </v:shape>
            </v:group>
            <v:group style="position:absolute;left:7835;top:14;width:2;height:1329" coordorigin="7835,14" coordsize="2,1329">
              <v:shape style="position:absolute;left:7835;top:14;width:2;height:1329" coordorigin="7835,14" coordsize="0,1329" path="m7835,14l7835,1343e" filled="false" stroked="true" strokeweight=".48001pt" strokecolor="#000000">
                <v:path arrowok="t"/>
              </v:shape>
            </v:group>
            <v:group style="position:absolute;left:8704;top:14;width:2;height:1329" coordorigin="8704,14" coordsize="2,1329">
              <v:shape style="position:absolute;left:8704;top:14;width:2;height:1329" coordorigin="8704,14" coordsize="0,1329" path="m8704,14l8704,1343e" filled="false" stroked="true" strokeweight=".48001pt" strokecolor="#000000">
                <v:path arrowok="t"/>
              </v:shape>
            </v:group>
            <v:group style="position:absolute;left:1754;top:3460;width:861;height:1716" coordorigin="1754,3460" coordsize="861,1716">
              <v:shape style="position:absolute;left:1754;top:3460;width:861;height:1716" coordorigin="1754,3460" coordsize="861,1716" path="m1754,5176l2615,5176,2615,3460,1754,3460,1754,5176xe" filled="true" fillcolor="#ffffff" stroked="false">
                <v:path arrowok="t"/>
                <v:fill type="solid"/>
              </v:shape>
            </v:group>
            <v:group style="position:absolute;left:1766;top:3068;width:2;height:392" coordorigin="1766,3068" coordsize="2,392">
              <v:shape style="position:absolute;left:1766;top:3068;width:2;height:392" coordorigin="1766,3068" coordsize="0,392" path="m1766,3068l1766,3460e" filled="false" stroked="true" strokeweight="1.140pt" strokecolor="#ffffff">
                <v:path arrowok="t"/>
              </v:shape>
            </v:group>
            <v:group style="position:absolute;left:1754;top:1352;width:861;height:1716" coordorigin="1754,1352" coordsize="861,1716">
              <v:shape style="position:absolute;left:1754;top:1352;width:861;height:1716" coordorigin="1754,1352" coordsize="861,1716" path="m1754,3068l2615,3068,2615,1352,1754,1352,1754,3068xe" filled="true" fillcolor="#ffffff" stroked="false">
                <v:path arrowok="t"/>
                <v:fill type="solid"/>
              </v:shape>
            </v:group>
            <v:group style="position:absolute;left:1777;top:3068;width:814;height:393" coordorigin="1777,3068" coordsize="814,393">
              <v:shape style="position:absolute;left:1777;top:3068;width:814;height:393" coordorigin="1777,3068" coordsize="814,393" path="m1777,3461l2591,3461,2591,3068,1777,3068,1777,3461xe" filled="true" fillcolor="#ffffff" stroked="false">
                <v:path arrowok="t"/>
                <v:fill type="solid"/>
              </v:shape>
            </v:group>
            <v:group style="position:absolute;left:5;top:1348;width:9573;height:2" coordorigin="5,1348" coordsize="9573,2">
              <v:shape style="position:absolute;left:5;top:1348;width:9573;height:2" coordorigin="5,1348" coordsize="9573,0" path="m5,1348l9577,1348e" filled="false" stroked="true" strokeweight=".48004pt" strokecolor="#000000">
                <v:path arrowok="t"/>
              </v:shape>
            </v:group>
            <v:group style="position:absolute;left:10;top:5;width:2;height:5182" coordorigin="10,5" coordsize="2,5182">
              <v:shape style="position:absolute;left:10;top:5;width:2;height:5182" coordorigin="10,5" coordsize="0,5182" path="m10,5l10,5186e" filled="false" stroked="true" strokeweight=".48001pt" strokecolor="#000000">
                <v:path arrowok="t"/>
              </v:shape>
            </v:group>
            <v:group style="position:absolute;left:5;top:5182;width:870;height:2" coordorigin="5,5182" coordsize="870,2">
              <v:shape style="position:absolute;left:5;top:5182;width:870;height:2" coordorigin="5,5182" coordsize="870,0" path="m5,5182l875,5182e" filled="false" stroked="true" strokeweight=".48001pt" strokecolor="#000000">
                <v:path arrowok="t"/>
              </v:shape>
            </v:group>
            <v:group style="position:absolute;left:880;top:1352;width:2;height:3834" coordorigin="880,1352" coordsize="2,3834">
              <v:shape style="position:absolute;left:880;top:1352;width:2;height:3834" coordorigin="880,1352" coordsize="0,3834" path="m880,1352l880,5186e" filled="false" stroked="true" strokeweight=".48001pt" strokecolor="#000000">
                <v:path arrowok="t"/>
              </v:shape>
            </v:group>
            <v:group style="position:absolute;left:884;top:5182;width:861;height:2" coordorigin="884,5182" coordsize="861,2">
              <v:shape style="position:absolute;left:884;top:5182;width:861;height:2" coordorigin="884,5182" coordsize="861,0" path="m884,5182l1745,5182e" filled="false" stroked="true" strokeweight=".48001pt" strokecolor="#000000">
                <v:path arrowok="t"/>
              </v:shape>
            </v:group>
            <v:group style="position:absolute;left:1750;top:1352;width:2;height:3834" coordorigin="1750,1352" coordsize="2,3834">
              <v:shape style="position:absolute;left:1750;top:1352;width:2;height:3834" coordorigin="1750,1352" coordsize="0,3834" path="m1750,1352l1750,5186e" filled="false" stroked="true" strokeweight=".48pt" strokecolor="#000000">
                <v:path arrowok="t"/>
              </v:shape>
            </v:group>
            <v:group style="position:absolute;left:1754;top:5182;width:861;height:2" coordorigin="1754,5182" coordsize="861,2">
              <v:shape style="position:absolute;left:1754;top:5182;width:861;height:2" coordorigin="1754,5182" coordsize="861,0" path="m1754,5182l2615,5182e" filled="false" stroked="true" strokeweight=".48001pt" strokecolor="#000000">
                <v:path arrowok="t"/>
              </v:shape>
            </v:group>
            <v:group style="position:absolute;left:2620;top:1352;width:2;height:3834" coordorigin="2620,1352" coordsize="2,3834">
              <v:shape style="position:absolute;left:2620;top:1352;width:2;height:3834" coordorigin="2620,1352" coordsize="0,3834" path="m2620,1352l2620,5186e" filled="false" stroked="true" strokeweight=".48pt" strokecolor="#000000">
                <v:path arrowok="t"/>
              </v:shape>
            </v:group>
            <v:group style="position:absolute;left:2624;top:5182;width:861;height:2" coordorigin="2624,5182" coordsize="861,2">
              <v:shape style="position:absolute;left:2624;top:5182;width:861;height:2" coordorigin="2624,5182" coordsize="861,0" path="m2624,5182l3485,5182e" filled="false" stroked="true" strokeweight=".48001pt" strokecolor="#000000">
                <v:path arrowok="t"/>
              </v:shape>
            </v:group>
            <v:group style="position:absolute;left:3490;top:1352;width:2;height:3834" coordorigin="3490,1352" coordsize="2,3834">
              <v:shape style="position:absolute;left:3490;top:1352;width:2;height:3834" coordorigin="3490,1352" coordsize="0,3834" path="m3490,1352l3490,5186e" filled="false" stroked="true" strokeweight=".48pt" strokecolor="#000000">
                <v:path arrowok="t"/>
              </v:shape>
            </v:group>
            <v:group style="position:absolute;left:3494;top:5182;width:861;height:2" coordorigin="3494,5182" coordsize="861,2">
              <v:shape style="position:absolute;left:3494;top:5182;width:861;height:2" coordorigin="3494,5182" coordsize="861,0" path="m3494,5182l4355,5182e" filled="false" stroked="true" strokeweight=".48001pt" strokecolor="#000000">
                <v:path arrowok="t"/>
              </v:shape>
            </v:group>
            <v:group style="position:absolute;left:4360;top:1352;width:2;height:3834" coordorigin="4360,1352" coordsize="2,3834">
              <v:shape style="position:absolute;left:4360;top:1352;width:2;height:3834" coordorigin="4360,1352" coordsize="0,3834" path="m4360,1352l4360,5186e" filled="false" stroked="true" strokeweight=".48001pt" strokecolor="#000000">
                <v:path arrowok="t"/>
              </v:shape>
            </v:group>
            <v:group style="position:absolute;left:4364;top:5182;width:858;height:2" coordorigin="4364,5182" coordsize="858,2">
              <v:shape style="position:absolute;left:4364;top:5182;width:858;height:2" coordorigin="4364,5182" coordsize="858,0" path="m4364,5182l5222,5182e" filled="false" stroked="true" strokeweight=".48001pt" strokecolor="#000000">
                <v:path arrowok="t"/>
              </v:shape>
            </v:group>
            <v:group style="position:absolute;left:5227;top:1352;width:2;height:3834" coordorigin="5227,1352" coordsize="2,3834">
              <v:shape style="position:absolute;left:5227;top:1352;width:2;height:3834" coordorigin="5227,1352" coordsize="0,3834" path="m5227,1352l5227,5186e" filled="false" stroked="true" strokeweight=".48001pt" strokecolor="#000000">
                <v:path arrowok="t"/>
              </v:shape>
            </v:group>
            <v:group style="position:absolute;left:5232;top:5182;width:861;height:2" coordorigin="5232,5182" coordsize="861,2">
              <v:shape style="position:absolute;left:5232;top:5182;width:861;height:2" coordorigin="5232,5182" coordsize="861,0" path="m5232,5182l6092,5182e" filled="false" stroked="true" strokeweight=".48001pt" strokecolor="#000000">
                <v:path arrowok="t"/>
              </v:shape>
            </v:group>
            <v:group style="position:absolute;left:6097;top:1352;width:2;height:3834" coordorigin="6097,1352" coordsize="2,3834">
              <v:shape style="position:absolute;left:6097;top:1352;width:2;height:3834" coordorigin="6097,1352" coordsize="0,3834" path="m6097,1352l6097,5186e" filled="false" stroked="true" strokeweight=".48001pt" strokecolor="#000000">
                <v:path arrowok="t"/>
              </v:shape>
            </v:group>
            <v:group style="position:absolute;left:6102;top:5182;width:860;height:2" coordorigin="6102,5182" coordsize="860,2">
              <v:shape style="position:absolute;left:6102;top:5182;width:860;height:2" coordorigin="6102,5182" coordsize="860,0" path="m6102,5182l6961,5182e" filled="false" stroked="true" strokeweight=".48001pt" strokecolor="#000000">
                <v:path arrowok="t"/>
              </v:shape>
            </v:group>
            <v:group style="position:absolute;left:6966;top:1352;width:2;height:3834" coordorigin="6966,1352" coordsize="2,3834">
              <v:shape style="position:absolute;left:6966;top:1352;width:2;height:3834" coordorigin="6966,1352" coordsize="0,3834" path="m6966,1352l6966,5186e" filled="false" stroked="true" strokeweight=".48001pt" strokecolor="#000000">
                <v:path arrowok="t"/>
              </v:shape>
            </v:group>
            <v:group style="position:absolute;left:6971;top:5182;width:860;height:2" coordorigin="6971,5182" coordsize="860,2">
              <v:shape style="position:absolute;left:6971;top:5182;width:860;height:2" coordorigin="6971,5182" coordsize="860,0" path="m6971,5182l7830,5182e" filled="false" stroked="true" strokeweight=".48001pt" strokecolor="#000000">
                <v:path arrowok="t"/>
              </v:shape>
            </v:group>
            <v:group style="position:absolute;left:7835;top:1352;width:2;height:3834" coordorigin="7835,1352" coordsize="2,3834">
              <v:shape style="position:absolute;left:7835;top:1352;width:2;height:3834" coordorigin="7835,1352" coordsize="0,3834" path="m7835,1352l7835,5186e" filled="false" stroked="true" strokeweight=".48001pt" strokecolor="#000000">
                <v:path arrowok="t"/>
              </v:shape>
            </v:group>
            <v:group style="position:absolute;left:7840;top:5182;width:860;height:2" coordorigin="7840,5182" coordsize="860,2">
              <v:shape style="position:absolute;left:7840;top:5182;width:860;height:2" coordorigin="7840,5182" coordsize="860,0" path="m7840,5182l8699,5182e" filled="false" stroked="true" strokeweight=".48001pt" strokecolor="#000000">
                <v:path arrowok="t"/>
              </v:shape>
            </v:group>
            <v:group style="position:absolute;left:8704;top:1352;width:2;height:3834" coordorigin="8704,1352" coordsize="2,3834">
              <v:shape style="position:absolute;left:8704;top:1352;width:2;height:3834" coordorigin="8704,1352" coordsize="0,3834" path="m8704,1352l8704,5186e" filled="false" stroked="true" strokeweight=".48001pt" strokecolor="#000000">
                <v:path arrowok="t"/>
              </v:shape>
            </v:group>
            <v:group style="position:absolute;left:8708;top:5182;width:860;height:2" coordorigin="8708,5182" coordsize="860,2">
              <v:shape style="position:absolute;left:8708;top:5182;width:860;height:2" coordorigin="8708,5182" coordsize="860,0" path="m8708,5182l9568,5182e" filled="false" stroked="true" strokeweight=".48001pt" strokecolor="#000000">
                <v:path arrowok="t"/>
              </v:shape>
            </v:group>
            <v:group style="position:absolute;left:9572;top:5;width:2;height:5182" coordorigin="9572,5" coordsize="2,5182">
              <v:shape style="position:absolute;left:9572;top:5;width:2;height:5182" coordorigin="9572,5" coordsize="0,5182" path="m9572,5l9572,5186e" filled="false" stroked="true" strokeweight=".47998pt" strokecolor="#000000">
                <v:path arrowok="t"/>
              </v:shape>
              <v:shape style="position:absolute;left:10;top:10;width:870;height:1338" type="#_x0000_t202" filled="false" stroked="false">
                <v:textbox inset="0,0,0,0">
                  <w:txbxContent>
                    <w:p>
                      <w:pPr>
                        <w:spacing w:line="240" w:lineRule="auto" w:before="3"/>
                        <w:rPr>
                          <w:rFonts w:ascii="宋体" w:hAnsi="宋体" w:cs="宋体" w:eastAsia="宋体" w:hint="default"/>
                          <w:b/>
                          <w:bCs/>
                          <w:sz w:val="16"/>
                          <w:szCs w:val="16"/>
                        </w:rPr>
                      </w:pPr>
                    </w:p>
                    <w:p>
                      <w:pPr>
                        <w:spacing w:line="316" w:lineRule="auto" w:before="0"/>
                        <w:ind w:left="74" w:right="73" w:firstLine="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xbxContent>
                </v:textbox>
                <w10:wrap type="none"/>
              </v:shape>
              <v:shape style="position:absolute;left:880;top:10;width:870;height:1338"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2"/>
                        <w:ind w:left="74" w:right="73" w:firstLine="0"/>
                        <w:jc w:val="left"/>
                        <w:rPr>
                          <w:rFonts w:ascii="宋体" w:hAnsi="宋体" w:cs="宋体" w:eastAsia="宋体" w:hint="default"/>
                          <w:sz w:val="18"/>
                          <w:szCs w:val="18"/>
                        </w:rPr>
                      </w:pPr>
                      <w:r>
                        <w:rPr>
                          <w:rFonts w:ascii="宋体" w:hAnsi="宋体" w:cs="宋体" w:eastAsia="宋体" w:hint="default"/>
                          <w:sz w:val="18"/>
                          <w:szCs w:val="18"/>
                        </w:rPr>
                        <w:t>合同订立 对方名称</w:t>
                      </w:r>
                    </w:p>
                  </w:txbxContent>
                </v:textbox>
                <w10:wrap type="none"/>
              </v:shape>
              <v:shape style="position:absolute;left:1750;top:10;width:870;height:1338" type="#_x0000_t202" filled="false" stroked="false">
                <v:textbox inset="0,0,0,0">
                  <w:txbxContent>
                    <w:p>
                      <w:pPr>
                        <w:spacing w:line="316" w:lineRule="auto" w:before="56"/>
                        <w:ind w:left="27" w:right="-28" w:firstLine="46"/>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r>
                        <w:rPr>
                          <w:rFonts w:ascii="宋体" w:hAnsi="宋体" w:cs="宋体" w:eastAsia="宋体" w:hint="default"/>
                          <w:sz w:val="18"/>
                          <w:szCs w:val="18"/>
                        </w:rPr>
                      </w:r>
                    </w:p>
                  </w:txbxContent>
                </v:textbox>
                <w10:wrap type="none"/>
              </v:shape>
              <v:shape style="position:absolute;left:2620;top:10;width:870;height:1338" type="#_x0000_t202" filled="false" stroked="false">
                <v:textbox inset="0,0,0,0">
                  <w:txbxContent>
                    <w:p>
                      <w:pPr>
                        <w:spacing w:line="316" w:lineRule="auto" w:before="56"/>
                        <w:ind w:left="27" w:right="26"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xbxContent>
                </v:textbox>
                <w10:wrap type="none"/>
              </v:shape>
              <v:shape style="position:absolute;left:3564;top:277;width:72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评估机构</w:t>
                      </w:r>
                    </w:p>
                    <w:p>
                      <w:pPr>
                        <w:spacing w:line="314" w:lineRule="exact" w:before="34"/>
                        <w:ind w:left="180" w:right="0" w:hanging="180"/>
                        <w:jc w:val="left"/>
                        <w:rPr>
                          <w:rFonts w:ascii="宋体" w:hAnsi="宋体" w:cs="宋体" w:eastAsia="宋体" w:hint="default"/>
                          <w:sz w:val="18"/>
                          <w:szCs w:val="18"/>
                        </w:rPr>
                      </w:pPr>
                      <w:r>
                        <w:rPr>
                          <w:rFonts w:ascii="宋体" w:hAnsi="宋体" w:cs="宋体" w:eastAsia="宋体" w:hint="default"/>
                          <w:sz w:val="18"/>
                          <w:szCs w:val="18"/>
                        </w:rPr>
                        <w:t>名称（如 有）</w:t>
                      </w:r>
                    </w:p>
                  </w:txbxContent>
                </v:textbox>
                <w10:wrap type="none"/>
              </v:shape>
              <v:shape style="position:absolute;left:3371;top:10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360;top:10;width:868;height:1338"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2"/>
                        <w:ind w:left="27" w:right="72"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xbxContent>
                </v:textbox>
                <w10:wrap type="none"/>
              </v:shape>
              <v:shape style="position:absolute;left:5302;top:58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定价原则</w:t>
                      </w:r>
                    </w:p>
                  </w:txbxContent>
                </v:textbox>
                <w10:wrap type="none"/>
              </v:shape>
              <v:shape style="position:absolute;left:5107;top:74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097;top:10;width:869;height:1338" type="#_x0000_t202" filled="false" stroked="false">
                <v:textbox inset="0,0,0,0">
                  <w:txbxContent>
                    <w:p>
                      <w:pPr>
                        <w:spacing w:line="240" w:lineRule="auto" w:before="0"/>
                        <w:rPr>
                          <w:rFonts w:ascii="宋体" w:hAnsi="宋体" w:cs="宋体" w:eastAsia="宋体" w:hint="default"/>
                          <w:b/>
                          <w:bCs/>
                          <w:sz w:val="18"/>
                          <w:szCs w:val="18"/>
                        </w:rPr>
                      </w:pPr>
                    </w:p>
                    <w:p>
                      <w:pPr>
                        <w:spacing w:before="132"/>
                        <w:ind w:left="73" w:right="0" w:firstLine="0"/>
                        <w:jc w:val="left"/>
                        <w:rPr>
                          <w:rFonts w:ascii="宋体" w:hAnsi="宋体" w:cs="宋体" w:eastAsia="宋体" w:hint="default"/>
                          <w:sz w:val="18"/>
                          <w:szCs w:val="18"/>
                        </w:rPr>
                      </w:pPr>
                      <w:r>
                        <w:rPr>
                          <w:rFonts w:ascii="宋体" w:hAnsi="宋体" w:cs="宋体" w:eastAsia="宋体" w:hint="default"/>
                          <w:sz w:val="18"/>
                          <w:szCs w:val="18"/>
                        </w:rPr>
                        <w:t>交易价格</w:t>
                      </w:r>
                    </w:p>
                    <w:p>
                      <w:pPr>
                        <w:spacing w:before="76"/>
                        <w:ind w:left="73"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6966;top:10;width:869;height:1338"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2"/>
                        <w:ind w:left="253" w:right="73"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xbxContent>
                </v:textbox>
                <w10:wrap type="none"/>
              </v:shape>
              <v:shape style="position:absolute;left:7835;top:10;width:869;height:133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spacing w:before="0"/>
                        <w:ind w:left="73"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8704;top:10;width:869;height:1338" type="#_x0000_t202" filled="false" stroked="false">
                <v:textbox inset="0,0,0,0">
                  <w:txbxContent>
                    <w:p>
                      <w:pPr>
                        <w:spacing w:line="240" w:lineRule="auto" w:before="3"/>
                        <w:rPr>
                          <w:rFonts w:ascii="宋体" w:hAnsi="宋体" w:cs="宋体" w:eastAsia="宋体" w:hint="default"/>
                          <w:b/>
                          <w:bCs/>
                          <w:sz w:val="16"/>
                          <w:szCs w:val="16"/>
                        </w:rPr>
                      </w:pPr>
                    </w:p>
                    <w:p>
                      <w:pPr>
                        <w:spacing w:line="316" w:lineRule="auto" w:before="0"/>
                        <w:ind w:left="73" w:right="73" w:firstLine="0"/>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xbxContent>
                </v:textbox>
                <w10:wrap type="none"/>
              </v:shape>
              <v:shape style="position:absolute;left:10;top:1348;width:870;height:383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line="316" w:lineRule="auto" w:before="0"/>
                        <w:ind w:left="27" w:right="120" w:firstLine="0"/>
                        <w:jc w:val="both"/>
                        <w:rPr>
                          <w:rFonts w:ascii="宋体" w:hAnsi="宋体" w:cs="宋体" w:eastAsia="宋体" w:hint="default"/>
                          <w:sz w:val="18"/>
                          <w:szCs w:val="18"/>
                        </w:rPr>
                      </w:pPr>
                      <w:r>
                        <w:rPr>
                          <w:rFonts w:ascii="宋体" w:hAnsi="宋体" w:cs="宋体" w:eastAsia="宋体" w:hint="default"/>
                          <w:sz w:val="18"/>
                          <w:szCs w:val="18"/>
                        </w:rPr>
                        <w:t>远东实业 股份有限 公司</w:t>
                      </w:r>
                    </w:p>
                  </w:txbxContent>
                </v:textbox>
                <w10:wrap type="none"/>
              </v:shape>
              <v:shape style="position:absolute;left:2830;top:3183;width:63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2,422.41</w:t>
                      </w:r>
                    </w:p>
                  </w:txbxContent>
                </v:textbox>
                <w10:wrap type="none"/>
              </v:shape>
              <v:shape style="position:absolute;left:3490;top:1348;width:870;height:383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line="316" w:lineRule="auto" w:before="0"/>
                        <w:ind w:left="27" w:right="120" w:firstLine="0"/>
                        <w:jc w:val="both"/>
                        <w:rPr>
                          <w:rFonts w:ascii="宋体" w:hAnsi="宋体" w:cs="宋体" w:eastAsia="宋体" w:hint="default"/>
                          <w:sz w:val="18"/>
                          <w:szCs w:val="18"/>
                        </w:rPr>
                      </w:pPr>
                      <w:r>
                        <w:rPr>
                          <w:rFonts w:ascii="宋体" w:hAnsi="宋体" w:cs="宋体" w:eastAsia="宋体" w:hint="default"/>
                          <w:sz w:val="18"/>
                          <w:szCs w:val="18"/>
                        </w:rPr>
                        <w:t>中联资产 评估集团 有限公司</w:t>
                      </w:r>
                    </w:p>
                  </w:txbxContent>
                </v:textbox>
                <w10:wrap type="none"/>
              </v:shape>
              <v:shape style="position:absolute;left:4360;top:1348;width:868;height:383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2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5256;top:317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收益法</w:t>
                      </w:r>
                    </w:p>
                  </w:txbxContent>
                </v:textbox>
                <w10:wrap type="none"/>
              </v:shape>
              <v:shape style="position:absolute;left:6532;top:3183;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1,200</w:t>
                      </w:r>
                    </w:p>
                  </w:txbxContent>
                </v:textbox>
                <w10:wrap type="none"/>
              </v:shape>
              <v:shape style="position:absolute;left:6994;top:31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704;top:1348;width:869;height:383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line="316" w:lineRule="auto" w:before="0"/>
                        <w:ind w:left="27" w:right="119" w:firstLine="0"/>
                        <w:jc w:val="left"/>
                        <w:rPr>
                          <w:rFonts w:ascii="宋体" w:hAnsi="宋体" w:cs="宋体" w:eastAsia="宋体" w:hint="default"/>
                          <w:sz w:val="18"/>
                          <w:szCs w:val="18"/>
                        </w:rPr>
                      </w:pPr>
                      <w:r>
                        <w:rPr>
                          <w:rFonts w:ascii="宋体" w:hAnsi="宋体" w:cs="宋体" w:eastAsia="宋体" w:hint="default"/>
                          <w:sz w:val="18"/>
                          <w:szCs w:val="18"/>
                        </w:rPr>
                        <w:t>已执行完 毕</w:t>
                      </w:r>
                    </w:p>
                  </w:txbxContent>
                </v:textbox>
                <w10:wrap type="none"/>
              </v:shape>
              <v:shape style="position:absolute;left:0;top:0;width:9582;height:51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7"/>
                          <w:szCs w:val="17"/>
                        </w:rPr>
                      </w:pPr>
                    </w:p>
                    <w:p>
                      <w:pPr>
                        <w:spacing w:line="316" w:lineRule="auto" w:before="0"/>
                        <w:ind w:left="907" w:right="7772" w:firstLine="0"/>
                        <w:jc w:val="left"/>
                        <w:rPr>
                          <w:rFonts w:ascii="宋体" w:hAnsi="宋体" w:cs="宋体" w:eastAsia="宋体" w:hint="default"/>
                          <w:sz w:val="18"/>
                          <w:szCs w:val="18"/>
                        </w:rPr>
                      </w:pPr>
                      <w:r>
                        <w:rPr>
                          <w:rFonts w:ascii="宋体" w:hAnsi="宋体" w:cs="宋体" w:eastAsia="宋体" w:hint="default"/>
                          <w:sz w:val="18"/>
                          <w:szCs w:val="18"/>
                        </w:rPr>
                        <w:t>江苏仁众 投资管理 有限公司、 程波、王 星、钟祥</w:t>
                      </w:r>
                    </w:p>
                    <w:p>
                      <w:pPr>
                        <w:spacing w:line="216" w:lineRule="exact" w:before="19"/>
                        <w:ind w:left="907" w:right="0" w:firstLine="0"/>
                        <w:jc w:val="left"/>
                        <w:rPr>
                          <w:rFonts w:ascii="宋体" w:hAnsi="宋体" w:cs="宋体" w:eastAsia="宋体" w:hint="default"/>
                          <w:sz w:val="18"/>
                          <w:szCs w:val="18"/>
                        </w:rPr>
                      </w:pPr>
                      <w:r>
                        <w:rPr>
                          <w:rFonts w:ascii="宋体" w:hAnsi="宋体" w:cs="宋体" w:eastAsia="宋体" w:hint="default"/>
                          <w:sz w:val="18"/>
                          <w:szCs w:val="18"/>
                        </w:rPr>
                        <w:t>明、高新</w:t>
                      </w:r>
                    </w:p>
                    <w:p>
                      <w:pPr>
                        <w:spacing w:line="142" w:lineRule="exact" w:before="0"/>
                        <w:ind w:left="2095" w:right="0" w:firstLine="0"/>
                        <w:jc w:val="left"/>
                        <w:rPr>
                          <w:rFonts w:ascii="Times New Roman" w:hAnsi="Times New Roman" w:cs="Times New Roman" w:eastAsia="Times New Roman" w:hint="default"/>
                          <w:sz w:val="18"/>
                          <w:szCs w:val="18"/>
                        </w:rPr>
                      </w:pPr>
                      <w:r>
                        <w:rPr>
                          <w:rFonts w:ascii="Times New Roman"/>
                          <w:sz w:val="18"/>
                        </w:rPr>
                        <w:t>264.62</w:t>
                      </w:r>
                    </w:p>
                    <w:p>
                      <w:pPr>
                        <w:spacing w:line="190" w:lineRule="exact" w:before="0"/>
                        <w:ind w:left="907" w:right="0" w:firstLine="0"/>
                        <w:jc w:val="left"/>
                        <w:rPr>
                          <w:rFonts w:ascii="宋体" w:hAnsi="宋体" w:cs="宋体" w:eastAsia="宋体" w:hint="default"/>
                          <w:sz w:val="18"/>
                          <w:szCs w:val="18"/>
                        </w:rPr>
                      </w:pPr>
                      <w:r>
                        <w:rPr>
                          <w:rFonts w:ascii="宋体" w:hAnsi="宋体" w:cs="宋体" w:eastAsia="宋体" w:hint="default"/>
                          <w:sz w:val="18"/>
                          <w:szCs w:val="18"/>
                        </w:rPr>
                        <w:t>良、陈坤、</w:t>
                      </w:r>
                    </w:p>
                    <w:p>
                      <w:pPr>
                        <w:spacing w:line="319" w:lineRule="auto" w:before="76"/>
                        <w:ind w:left="907" w:right="7952" w:firstLine="0"/>
                        <w:jc w:val="both"/>
                        <w:rPr>
                          <w:rFonts w:ascii="宋体" w:hAnsi="宋体" w:cs="宋体" w:eastAsia="宋体" w:hint="default"/>
                          <w:sz w:val="18"/>
                          <w:szCs w:val="18"/>
                        </w:rPr>
                      </w:pPr>
                      <w:r>
                        <w:rPr>
                          <w:rFonts w:ascii="宋体" w:hAnsi="宋体" w:cs="宋体" w:eastAsia="宋体" w:hint="default"/>
                          <w:sz w:val="18"/>
                          <w:szCs w:val="18"/>
                        </w:rPr>
                        <w:t>汤芝加及 深圳艾特 凡斯智能 科技有限 公司</w:t>
                      </w:r>
                    </w:p>
                  </w:txbxContent>
                </v:textbox>
                <w10:wrap type="none"/>
              </v:shape>
            </v:group>
          </v:group>
        </w:pict>
      </w:r>
      <w:r>
        <w:rPr>
          <w:rFonts w:ascii="宋体" w:hAnsi="宋体" w:cs="宋体" w:eastAsia="宋体" w:hint="default"/>
          <w:position w:val="-103"/>
          <w:sz w:val="20"/>
          <w:szCs w:val="20"/>
        </w:rPr>
      </w:r>
    </w:p>
    <w:p>
      <w:pPr>
        <w:spacing w:line="240" w:lineRule="auto" w:before="10"/>
        <w:rPr>
          <w:rFonts w:ascii="宋体" w:hAnsi="宋体" w:cs="宋体" w:eastAsia="宋体" w:hint="default"/>
          <w:b/>
          <w:bCs/>
          <w:sz w:val="17"/>
          <w:szCs w:val="17"/>
        </w:rPr>
      </w:pPr>
    </w:p>
    <w:p>
      <w:pPr>
        <w:spacing w:before="26"/>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7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所持有的非流</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通股股份自改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革方案实施之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月内不上市交</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易；</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公司持股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以上的参与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原非流通股东</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股权分置改革 的非流通股股 </w:t>
            </w:r>
            <w:r>
              <w:rPr>
                <w:rFonts w:ascii="宋体" w:hAnsi="宋体" w:cs="宋体" w:eastAsia="宋体" w:hint="default"/>
                <w:spacing w:val="-6"/>
                <w:sz w:val="18"/>
                <w:szCs w:val="18"/>
              </w:rPr>
              <w:t>东承诺，其持有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三十六个月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如期履行</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的非流通股股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份自改革方案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实施之日起，在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市交易，在上述</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禁售期满后的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2546"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深圳证券交易 所挂牌交易出 售原非流通股 股份数量占远 东股份总数的 比例不超过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6" w:lineRule="exact"/>
              <w:ind w:right="-51"/>
              <w:jc w:val="left"/>
              <w:rPr>
                <w:rFonts w:ascii="宋体" w:hAnsi="宋体" w:cs="宋体" w:eastAsia="宋体" w:hint="default"/>
                <w:sz w:val="20"/>
                <w:szCs w:val="20"/>
              </w:rPr>
            </w:pPr>
            <w:r>
              <w:rPr>
                <w:rFonts w:ascii="宋体" w:hAnsi="宋体" w:cs="宋体" w:eastAsia="宋体" w:hint="default"/>
                <w:position w:val="-50"/>
                <w:sz w:val="20"/>
                <w:szCs w:val="20"/>
              </w:rPr>
              <w:pict>
                <v:group style="width:63.4pt;height:126.85pt;mso-position-horizontal-relative:char;mso-position-vertical-relative:line" coordorigin="0,0" coordsize="1268,2537">
                  <v:group style="position:absolute;left:0;top:0;width:1268;height:2537" coordorigin="0,0" coordsize="1268,2537">
                    <v:shape style="position:absolute;left:0;top:0;width:1268;height:2537" coordorigin="0,0" coordsize="1268,2537" path="m0,2537l1267,2537,1267,0,0,0,0,2537xe" filled="true" fillcolor="#ffffff" stroked="false">
                      <v:path arrowok="t"/>
                      <v:fill type="solid"/>
                    </v:shape>
                  </v:group>
                </v:group>
              </w:pict>
            </w:r>
            <w:r>
              <w:rPr>
                <w:rFonts w:ascii="宋体" w:hAnsi="宋体" w:cs="宋体" w:eastAsia="宋体" w:hint="default"/>
                <w:position w:val="-50"/>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如期履行</w:t>
            </w:r>
          </w:p>
        </w:tc>
      </w:tr>
    </w:tbl>
    <w:p>
      <w:pPr>
        <w:spacing w:line="240" w:lineRule="auto" w:before="2"/>
        <w:rPr>
          <w:rFonts w:ascii="宋体" w:hAnsi="宋体" w:cs="宋体" w:eastAsia="宋体" w:hint="default"/>
          <w:b/>
          <w:bCs/>
          <w:sz w:val="19"/>
          <w:szCs w:val="19"/>
        </w:rPr>
      </w:pPr>
    </w:p>
    <w:p>
      <w:pPr>
        <w:spacing w:line="259" w:lineRule="auto"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pStyle w:val="BodyText"/>
        <w:spacing w:line="240" w:lineRule="auto"/>
        <w:ind w:left="153" w:right="1619"/>
        <w:jc w:val="left"/>
      </w:pPr>
      <w:r>
        <w:rPr/>
        <w:t>报告期内，公司资产或项目不存在盈利预测的情形。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2"/>
        <w:ind w:left="154" w:right="1619"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孙晓爽、孙淑平</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2"/>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本年度，公司因恢复上市事项，聘请西南证券为公司恢复上市保荐机构。</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ind w:right="1619"/>
        <w:jc w:val="left"/>
        <w:rPr>
          <w:b w:val="0"/>
          <w:bCs w:val="0"/>
        </w:rPr>
      </w:pPr>
      <w:r>
        <w:rPr/>
        <w:t>十、其他重大事项的说明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9" w:firstLine="420"/>
        <w:jc w:val="both"/>
      </w:pPr>
      <w:r>
        <w:rPr/>
        <w:t>1、2011年10月17日，公司召开第六届董事会第二十七次会议，审议通过了《关于远东实业股份有限 </w:t>
      </w:r>
      <w:r>
        <w:rPr>
          <w:spacing w:val="-1"/>
        </w:rPr>
        <w:t>公司吸收合并四川永祥股份有限公司具体方案的议案》，公司拟通过吸收合并四川永祥股份有限公司，转</w:t>
      </w:r>
      <w:r>
        <w:rPr>
          <w:spacing w:val="-83"/>
        </w:rPr>
        <w:t> </w:t>
      </w:r>
      <w:r>
        <w:rPr>
          <w:spacing w:val="-83"/>
        </w:rPr>
      </w:r>
      <w:r>
        <w:rPr>
          <w:spacing w:val="-1"/>
        </w:rPr>
        <w:t>型成为以多晶硅生产制造为主营业务的光伏企业。重组光伏产业资产的方案公布后，以太阳能光伏为代表</w:t>
      </w:r>
      <w:r>
        <w:rPr>
          <w:spacing w:val="-81"/>
        </w:rPr>
        <w:t> </w:t>
      </w:r>
      <w:r>
        <w:rPr>
          <w:spacing w:val="-81"/>
        </w:rPr>
      </w:r>
      <w:r>
        <w:rPr>
          <w:spacing w:val="-1"/>
        </w:rPr>
        <w:t>的新兴能源产业的市场环境发生重大变化，在金融危机以及世界各国对我国光伏产品实施“双反”贸易管</w:t>
      </w:r>
      <w:r>
        <w:rPr>
          <w:spacing w:val="-83"/>
        </w:rPr>
        <w:t> </w:t>
      </w:r>
      <w:r>
        <w:rPr>
          <w:spacing w:val="-83"/>
        </w:rPr>
      </w:r>
      <w:r>
        <w:rPr>
          <w:spacing w:val="-1"/>
        </w:rPr>
        <w:t>制等多重因素影响下，多晶硅市场行情一落千丈，重组光伏产业相关事项难以继续推进，为了维护全体股</w:t>
      </w:r>
      <w:r>
        <w:rPr>
          <w:spacing w:val="-83"/>
        </w:rPr>
        <w:t> </w:t>
      </w:r>
      <w:r>
        <w:rPr>
          <w:spacing w:val="-83"/>
        </w:rPr>
      </w:r>
      <w:r>
        <w:rPr/>
        <w:t>东利益，公司于2012年7月3日发布公告终止筹划该次重组。</w:t>
      </w:r>
    </w:p>
    <w:p>
      <w:pPr>
        <w:pStyle w:val="BodyText"/>
        <w:spacing w:line="408" w:lineRule="auto" w:before="46"/>
        <w:ind w:right="147" w:firstLine="420"/>
        <w:jc w:val="both"/>
      </w:pPr>
      <w:r>
        <w:rPr/>
        <w:t>2、本报告期，由于公司主营业务和生产经营等情况已发生重大变化，根据相关规定，公司向深交所</w:t>
      </w:r>
      <w:r>
        <w:rPr>
          <w:spacing w:val="2"/>
        </w:rPr>
        <w:t> </w:t>
      </w:r>
      <w:r>
        <w:rPr>
          <w:spacing w:val="-1"/>
        </w:rPr>
        <w:t>提交了公司股票恢复上市申请补充文件，经深交所上市委员会2012年12月25日召开的第七届上市委员会第</w:t>
      </w:r>
      <w:r>
        <w:rPr>
          <w:spacing w:val="-81"/>
        </w:rPr>
        <w:t> </w:t>
      </w:r>
      <w:r>
        <w:rPr>
          <w:spacing w:val="-81"/>
        </w:rPr>
      </w:r>
      <w:r>
        <w:rPr>
          <w:spacing w:val="-1"/>
        </w:rPr>
        <w:t>十四次工作会议审议，公司股票恢复上市申请事项获得审议通过。2012年12月31日公司收到深交所《关于</w:t>
      </w:r>
      <w:r>
        <w:rPr>
          <w:spacing w:val="-81"/>
        </w:rPr>
        <w:t> </w:t>
      </w:r>
      <w:r>
        <w:rPr>
          <w:spacing w:val="-81"/>
        </w:rPr>
      </w:r>
      <w:r>
        <w:rPr>
          <w:spacing w:val="-1"/>
        </w:rPr>
        <w:t>同意远东实业股份有限公司股票恢复上市的决定》（深证上【2012】470号），核准公司股票于2013年2月</w:t>
      </w:r>
      <w:r>
        <w:rPr>
          <w:spacing w:val="-82"/>
        </w:rPr>
        <w:t> </w:t>
      </w:r>
      <w:r>
        <w:rPr>
          <w:spacing w:val="-82"/>
        </w:rPr>
      </w:r>
      <w:r>
        <w:rPr/>
        <w:t>8日起在深交所恢复上市交易。</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4"/>
        <w:spacing w:line="240" w:lineRule="auto" w:before="0"/>
        <w:ind w:right="1619"/>
        <w:jc w:val="left"/>
        <w:rPr>
          <w:b w:val="0"/>
          <w:bCs w:val="0"/>
        </w:rPr>
      </w:pPr>
      <w:r>
        <w:rPr/>
        <w:t>十一、公司子公司重要事项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控股子公司艾特凡斯主要业务情况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78"/>
        <w:gridCol w:w="1026"/>
        <w:gridCol w:w="3631"/>
        <w:gridCol w:w="1555"/>
        <w:gridCol w:w="1434"/>
      </w:tblGrid>
      <w:tr>
        <w:trPr>
          <w:trHeight w:val="694"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6" w:right="53" w:hanging="360"/>
              <w:jc w:val="left"/>
              <w:rPr>
                <w:rFonts w:ascii="宋体" w:hAnsi="宋体" w:cs="宋体" w:eastAsia="宋体" w:hint="default"/>
                <w:sz w:val="18"/>
                <w:szCs w:val="18"/>
              </w:rPr>
            </w:pPr>
            <w:r>
              <w:rPr>
                <w:rFonts w:ascii="宋体" w:hAnsi="宋体" w:cs="宋体" w:eastAsia="宋体" w:hint="default"/>
                <w:sz w:val="18"/>
                <w:szCs w:val="18"/>
              </w:rPr>
              <w:t>合同签订日 期</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b/>
                <w:bCs/>
                <w:sz w:val="18"/>
                <w:szCs w:val="18"/>
              </w:rPr>
              <w:t>已收款金额</w:t>
            </w:r>
            <w:r>
              <w:rPr>
                <w:rFonts w:ascii="宋体" w:hAnsi="宋体" w:cs="宋体" w:eastAsia="宋体" w:hint="default"/>
                <w:sz w:val="18"/>
                <w:szCs w:val="18"/>
              </w:rPr>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2011.7</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《激战太平洋》数字影片制作协议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1,012,500.00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2011.7</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《客家传说》数字影片制作协议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2011.9</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球幕影院数字放映系统集成工程</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3,320,000.00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3,154,000.00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2012.2.2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儿童</w:t>
            </w:r>
            <w:r>
              <w:rPr>
                <w:rFonts w:ascii="Times New Roman" w:hAnsi="Times New Roman" w:cs="Times New Roman" w:eastAsia="Times New Roman" w:hint="default"/>
                <w:sz w:val="18"/>
                <w:szCs w:val="18"/>
              </w:rPr>
              <w:t>4D“</w:t>
            </w:r>
            <w:r>
              <w:rPr>
                <w:rFonts w:ascii="宋体" w:hAnsi="宋体" w:cs="宋体" w:eastAsia="宋体" w:hint="default"/>
                <w:sz w:val="18"/>
                <w:szCs w:val="18"/>
              </w:rPr>
              <w:t>海底精灵城续集</w:t>
            </w:r>
            <w:r>
              <w:rPr>
                <w:rFonts w:ascii="Times New Roman" w:hAnsi="Times New Roman" w:cs="Times New Roman" w:eastAsia="Times New Roman" w:hint="default"/>
                <w:sz w:val="18"/>
                <w:szCs w:val="18"/>
              </w:rPr>
              <w:t>”</w:t>
            </w:r>
            <w:r>
              <w:rPr>
                <w:rFonts w:ascii="宋体" w:hAnsi="宋体" w:cs="宋体" w:eastAsia="宋体" w:hint="default"/>
                <w:sz w:val="18"/>
                <w:szCs w:val="18"/>
              </w:rPr>
              <w:t>影片制作项目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2012.2.2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魔幻剧场</w:t>
            </w:r>
            <w:r>
              <w:rPr>
                <w:rFonts w:ascii="Times New Roman" w:hAnsi="Times New Roman" w:cs="Times New Roman" w:eastAsia="Times New Roman" w:hint="default"/>
                <w:sz w:val="18"/>
                <w:szCs w:val="18"/>
              </w:rPr>
              <w:t>“</w:t>
            </w:r>
            <w:r>
              <w:rPr>
                <w:rFonts w:ascii="宋体" w:hAnsi="宋体" w:cs="宋体" w:eastAsia="宋体" w:hint="default"/>
                <w:sz w:val="18"/>
                <w:szCs w:val="18"/>
              </w:rPr>
              <w:t>冰剑国度</w:t>
            </w:r>
            <w:r>
              <w:rPr>
                <w:rFonts w:ascii="Times New Roman" w:hAnsi="Times New Roman" w:cs="Times New Roman" w:eastAsia="Times New Roman" w:hint="default"/>
                <w:sz w:val="18"/>
                <w:szCs w:val="18"/>
              </w:rPr>
              <w:t>”</w:t>
            </w:r>
            <w:r>
              <w:rPr>
                <w:rFonts w:ascii="宋体" w:hAnsi="宋体" w:cs="宋体" w:eastAsia="宋体" w:hint="default"/>
                <w:sz w:val="18"/>
                <w:szCs w:val="18"/>
              </w:rPr>
              <w:t>改造工程</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1,950,000.00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1,697,500.00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2012.3</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《龙帝惊临》</w:t>
            </w:r>
            <w:r>
              <w:rPr>
                <w:rFonts w:ascii="Times New Roman" w:hAnsi="Times New Roman" w:cs="Times New Roman" w:eastAsia="Times New Roman" w:hint="default"/>
                <w:sz w:val="18"/>
                <w:szCs w:val="18"/>
              </w:rPr>
              <w:t>DARK PIDE</w:t>
            </w:r>
            <w:r>
              <w:rPr>
                <w:rFonts w:ascii="宋体" w:hAnsi="宋体" w:cs="宋体" w:eastAsia="宋体" w:hint="default"/>
                <w:sz w:val="18"/>
                <w:szCs w:val="18"/>
              </w:rPr>
              <w:t>项目</w:t>
            </w:r>
            <w:r>
              <w:rPr>
                <w:rFonts w:ascii="宋体" w:hAnsi="宋体" w:cs="宋体" w:eastAsia="宋体" w:hint="default"/>
                <w:spacing w:val="-23"/>
                <w:sz w:val="18"/>
                <w:szCs w:val="18"/>
              </w:rPr>
              <w:t> </w:t>
            </w:r>
            <w:r>
              <w:rPr>
                <w:rFonts w:ascii="宋体" w:hAnsi="宋体" w:cs="宋体" w:eastAsia="宋体" w:hint="default"/>
                <w:sz w:val="18"/>
                <w:szCs w:val="18"/>
              </w:rPr>
              <w:t>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2012.5</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特洛伊动感球幕娱乐项目视频演示方案</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2012.5</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乘骑影视娱乐项目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《天幕》项目建设合同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38,500,000.00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19,250,000.00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《天幕》项目建设合同补充协议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《三国争雄》</w:t>
            </w:r>
            <w:r>
              <w:rPr>
                <w:rFonts w:ascii="Times New Roman" w:hAnsi="Times New Roman" w:cs="Times New Roman" w:eastAsia="Times New Roman" w:hint="default"/>
                <w:sz w:val="18"/>
                <w:szCs w:val="18"/>
              </w:rPr>
              <w:t>360</w:t>
            </w:r>
            <w:r>
              <w:rPr>
                <w:rFonts w:ascii="宋体" w:hAnsi="宋体" w:cs="宋体" w:eastAsia="宋体" w:hint="default"/>
                <w:sz w:val="18"/>
                <w:szCs w:val="18"/>
              </w:rPr>
              <w:t>动感穿越项目合同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9,560,000.00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2012.9</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馆建设合同</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18,340,700.00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7,347,510.00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《丛林影院》环境</w:t>
            </w:r>
            <w:r>
              <w:rPr>
                <w:rFonts w:ascii="Times New Roman" w:hAnsi="Times New Roman" w:cs="Times New Roman" w:eastAsia="Times New Roman" w:hint="default"/>
                <w:sz w:val="18"/>
                <w:szCs w:val="18"/>
              </w:rPr>
              <w:t>4D</w:t>
            </w:r>
            <w:r>
              <w:rPr>
                <w:rFonts w:ascii="宋体" w:hAnsi="宋体" w:cs="宋体" w:eastAsia="宋体" w:hint="default"/>
                <w:sz w:val="18"/>
                <w:szCs w:val="18"/>
              </w:rPr>
              <w:t>交互影院项目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659"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2012.12</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6"/>
                <w:sz w:val="18"/>
                <w:szCs w:val="18"/>
              </w:rPr>
              <w:t>《地心历险》</w:t>
            </w:r>
            <w:r>
              <w:rPr>
                <w:rFonts w:ascii="Times New Roman" w:hAnsi="Times New Roman" w:cs="Times New Roman" w:eastAsia="Times New Roman" w:hint="default"/>
                <w:spacing w:val="-6"/>
                <w:sz w:val="18"/>
                <w:szCs w:val="18"/>
              </w:rPr>
              <w:t>DARK</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RIDE</w:t>
            </w:r>
            <w:r>
              <w:rPr>
                <w:rFonts w:ascii="宋体" w:hAnsi="宋体" w:cs="宋体" w:eastAsia="宋体" w:hint="default"/>
                <w:sz w:val="18"/>
                <w:szCs w:val="18"/>
              </w:rPr>
              <w:t>项目系统集成技术服 务项目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31,800,000.00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2012.11</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七滴水</w:t>
            </w:r>
            <w:r>
              <w:rPr>
                <w:rFonts w:ascii="Times New Roman" w:hAnsi="Times New Roman" w:cs="Times New Roman" w:eastAsia="Times New Roman" w:hint="default"/>
                <w:sz w:val="18"/>
                <w:szCs w:val="18"/>
              </w:rPr>
              <w:t>”</w:t>
            </w:r>
            <w:r>
              <w:rPr>
                <w:rFonts w:ascii="宋体" w:hAnsi="宋体" w:cs="宋体" w:eastAsia="宋体" w:hint="default"/>
                <w:sz w:val="18"/>
                <w:szCs w:val="18"/>
              </w:rPr>
              <w:t>室内娱乐配套服务项目建设合同书</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12,766,240.00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8" w:hRule="exact"/>
        </w:trPr>
        <w:tc>
          <w:tcPr>
            <w:tcW w:w="47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196,476,940.00</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58,161,510.00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left="2964" w:right="1619"/>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1619"/>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18.25%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18.25%</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4,117,814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4,117,814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6,455,347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6,455,347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6,455,347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6,455,347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12.93%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12.93%</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12.93%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12.93%</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81.75%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81.75%</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81.75%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162,477,6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81.75%</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360" w:lineRule="auto" w:before="51"/>
        <w:ind w:left="154" w:right="8150" w:firstLine="0"/>
        <w:jc w:val="left"/>
        <w:rPr>
          <w:rFonts w:ascii="宋体" w:hAnsi="宋体" w:cs="宋体" w:eastAsia="宋体" w:hint="default"/>
          <w:sz w:val="18"/>
          <w:szCs w:val="18"/>
        </w:rPr>
      </w:pPr>
      <w:r>
        <w:rPr>
          <w:rFonts w:ascii="宋体" w:hAnsi="宋体" w:cs="宋体" w:eastAsia="宋体" w:hint="default"/>
          <w:sz w:val="18"/>
          <w:szCs w:val="18"/>
        </w:rPr>
        <w:t>股份变动的原因 股份变动的批准情况</w:t>
      </w:r>
    </w:p>
    <w:p>
      <w:pPr>
        <w:spacing w:line="357" w:lineRule="auto" w:before="26"/>
        <w:ind w:left="153" w:right="8151"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57" w:lineRule="auto" w:before="116"/>
        <w:ind w:left="154" w:right="5810"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spacing w:line="496" w:lineRule="auto" w:before="26"/>
        <w:ind w:left="153" w:right="4941" w:firstLine="0"/>
        <w:jc w:val="left"/>
        <w:rPr>
          <w:rFonts w:ascii="宋体" w:hAnsi="宋体" w:cs="宋体" w:eastAsia="宋体" w:hint="default"/>
          <w:sz w:val="21"/>
          <w:szCs w:val="21"/>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截止报告期期末近三年，本公司无证券发行的情况。</w:t>
      </w:r>
    </w:p>
    <w:p>
      <w:pPr>
        <w:pStyle w:val="Heading5"/>
        <w:spacing w:line="240" w:lineRule="auto" w:before="111"/>
        <w:ind w:right="161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28"/>
        <w:jc w:val="both"/>
      </w:pPr>
      <w:r>
        <w:rPr/>
        <w:t>报告期内，公司无送股、转增股本、配股、增发新股、非公开发行股票、权证行权、实施股权激励计划、 </w:t>
      </w:r>
      <w:r>
        <w:rPr>
          <w:spacing w:val="-1"/>
        </w:rPr>
        <w:t>企业合并、可转换公司债券转股、减资、内部职工股上市、债券发行或其他原因引起股份总数及结构的变</w:t>
      </w:r>
      <w:r>
        <w:rPr>
          <w:spacing w:val="-82"/>
        </w:rPr>
        <w:t> </w:t>
      </w:r>
      <w:r>
        <w:rPr>
          <w:spacing w:val="-82"/>
        </w:rPr>
      </w:r>
      <w:r>
        <w:rPr/>
        <w:t>动、公司资产和负债结构的变动的情况。</w:t>
      </w:r>
    </w:p>
    <w:p>
      <w:pPr>
        <w:spacing w:line="240" w:lineRule="auto" w:before="10"/>
        <w:rPr>
          <w:rFonts w:ascii="宋体" w:hAnsi="宋体" w:cs="宋体" w:eastAsia="宋体" w:hint="default"/>
          <w:sz w:val="21"/>
          <w:szCs w:val="21"/>
        </w:rPr>
      </w:pPr>
    </w:p>
    <w:p>
      <w:pPr>
        <w:pStyle w:val="Heading4"/>
        <w:spacing w:line="240" w:lineRule="auto" w:before="0"/>
        <w:ind w:right="1619"/>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4"/>
        <w:gridCol w:w="1362"/>
        <w:gridCol w:w="1380"/>
        <w:gridCol w:w="677"/>
        <w:gridCol w:w="683"/>
        <w:gridCol w:w="683"/>
        <w:gridCol w:w="683"/>
        <w:gridCol w:w="1362"/>
        <w:gridCol w:w="1374"/>
      </w:tblGrid>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13,348</w:t>
            </w:r>
          </w:p>
        </w:tc>
        <w:tc>
          <w:tcPr>
            <w:tcW w:w="408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14,949</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57" w:hRule="exact"/>
        </w:trPr>
        <w:tc>
          <w:tcPr>
            <w:tcW w:w="1364" w:type="dxa"/>
            <w:vMerge w:val="restart"/>
            <w:tcBorders>
              <w:top w:val="single" w:sz="4" w:space="0" w:color="000000"/>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
        </w:tc>
        <w:tc>
          <w:tcPr>
            <w:tcW w:w="67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5"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9"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0"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238" w:hRule="exact"/>
        </w:trPr>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6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vMerge w:val="restart"/>
            <w:tcBorders>
              <w:top w:val="nil" w:sz="6" w:space="0" w:color="auto"/>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80" w:type="dxa"/>
            <w:vMerge w:val="restart"/>
            <w:tcBorders>
              <w:top w:val="nil" w:sz="6" w:space="0" w:color="auto"/>
              <w:left w:val="single" w:sz="4" w:space="0" w:color="000000"/>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r>
      <w:tr>
        <w:trPr>
          <w:trHeight w:val="106" w:hRule="exact"/>
        </w:trPr>
        <w:tc>
          <w:tcPr>
            <w:tcW w:w="136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c>
          <w:tcPr>
            <w:tcW w:w="1380" w:type="dxa"/>
            <w:vMerge/>
            <w:tcBorders>
              <w:left w:val="single" w:sz="4" w:space="0" w:color="000000"/>
              <w:right w:val="single" w:sz="4" w:space="0" w:color="000000"/>
            </w:tcBorders>
            <w:shd w:val="clear" w:color="auto" w:fill="D3D3D3"/>
          </w:tcPr>
          <w:p>
            <w:pPr/>
          </w:p>
        </w:tc>
        <w:tc>
          <w:tcPr>
            <w:tcW w:w="677" w:type="dxa"/>
            <w:vMerge/>
            <w:tcBorders>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74" w:type="dxa"/>
            <w:vMerge w:val="restart"/>
            <w:tcBorders>
              <w:top w:val="nil" w:sz="6" w:space="0" w:color="auto"/>
              <w:left w:val="single" w:sz="4" w:space="0" w:color="000000"/>
              <w:right w:val="single" w:sz="4" w:space="0" w:color="000000"/>
            </w:tcBorders>
            <w:shd w:val="clear" w:color="auto" w:fill="D3D3D3"/>
          </w:tcPr>
          <w:p>
            <w:pPr/>
          </w:p>
        </w:tc>
      </w:tr>
      <w:tr>
        <w:trPr>
          <w:trHeight w:val="167" w:hRule="exact"/>
        </w:trPr>
        <w:tc>
          <w:tcPr>
            <w:tcW w:w="1364"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67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物华实业有限公 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15.46%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30,730,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25,699,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238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5,031,6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12,942,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深圳市君利得商 贸有限公司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中国东方资产管 理公司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2"/>
                <w:sz w:val="18"/>
              </w:rPr>
              <w:t>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6,047,7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常州工贸国有资 产经营有限公司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陈玉花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常州市远金服装 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富嘉兴</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扬州印染厂</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93.559998pt;margin-top:115.980003pt;width:341.3pt;height:27.45pt;mso-position-horizontal-relative:page;mso-position-vertical-relative:page;z-index:-761728" coordorigin="3871,2320" coordsize="6826,549">
            <v:group style="position:absolute;left:3871;top:2712;width:6826;height:156" coordorigin="3871,2712" coordsize="6826,156">
              <v:shape style="position:absolute;left:3871;top:2712;width:6826;height:156" coordorigin="3871,2712" coordsize="6826,156" path="m3871,2868l10697,2868,10697,2712,3871,2712,3871,2868xe" filled="true" fillcolor="#ffffff" stroked="false">
                <v:path arrowok="t"/>
                <v:fill type="solid"/>
              </v:shape>
            </v:group>
            <v:group style="position:absolute;left:3894;top:2320;width:6780;height:393" coordorigin="3894,2320" coordsize="6780,393">
              <v:shape style="position:absolute;left:3894;top:2320;width:6780;height:393" coordorigin="3894,2320" coordsize="6780,393" path="m3894,2712l10674,2712,10674,2320,3894,2320,3894,271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64"/>
        <w:gridCol w:w="1362"/>
        <w:gridCol w:w="1374"/>
        <w:gridCol w:w="683"/>
        <w:gridCol w:w="683"/>
        <w:gridCol w:w="683"/>
        <w:gridCol w:w="683"/>
        <w:gridCol w:w="1368"/>
        <w:gridCol w:w="1368"/>
      </w:tblGrid>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侨通发展有限公 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4" w:right="0"/>
              <w:jc w:val="left"/>
              <w:rPr>
                <w:rFonts w:ascii="Times New Roman" w:hAnsi="Times New Roman" w:cs="Times New Roman" w:eastAsia="Times New Roman" w:hint="default"/>
                <w:sz w:val="18"/>
                <w:szCs w:val="18"/>
              </w:rPr>
            </w:pPr>
            <w:r>
              <w:rPr>
                <w:rFonts w:ascii="Times New Roman"/>
                <w:sz w:val="18"/>
              </w:rPr>
              <w:t>1.01%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名股东的情况（如有</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2"/>
                <w:sz w:val="18"/>
                <w:szCs w:val="18"/>
              </w:rPr>
              <w:t>公司未知上述股东是否存在关联关系，也未知是否属于《上市公司股东持股变动信息披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露管理办法》中规定的一致行动人。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5"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272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43"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726" w:type="dxa"/>
            <w:gridSpan w:val="2"/>
            <w:vMerge/>
            <w:tcBorders>
              <w:left w:val="single" w:sz="4" w:space="0" w:color="000000"/>
              <w:bottom w:val="nil" w:sz="6" w:space="0" w:color="auto"/>
              <w:right w:val="single" w:sz="4" w:space="0" w:color="000000"/>
            </w:tcBorders>
            <w:shd w:val="clear" w:color="auto" w:fill="D3D3D3"/>
          </w:tcPr>
          <w:p>
            <w:pPr/>
          </w:p>
        </w:tc>
        <w:tc>
          <w:tcPr>
            <w:tcW w:w="4105"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5"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12,942,100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12,942,100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深圳市君利得商贸有限公司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10,497,200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常州工贸国有资产经营有限公司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6,930,233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6,930,233</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中国东方资产管理公司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6,047,750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6,047,750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5,031,600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陈玉花</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4,109,627</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常州市远金服装有限公司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3,503,950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富嘉兴</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1,999,401</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林广场</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1,713,000</w:t>
            </w:r>
          </w:p>
        </w:tc>
      </w:tr>
      <w:tr>
        <w:trPr>
          <w:trHeight w:val="133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6" w:right="2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名股东中，公司未知是否存在关联关系，也未知是否属于《上市公司股东持 股变动信息披露管理办法》中规定的一致行动人。</w:t>
            </w: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105"/>
        <w:gridCol w:w="888"/>
        <w:gridCol w:w="1801"/>
        <w:gridCol w:w="1801"/>
        <w:gridCol w:w="1802"/>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主要从事贸易和投资 业务</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before="116"/>
        <w:ind w:left="153"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Great China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首席执行 官；现任本公司董事长兼总裁。目前姜放实际控制的物华实业有限公司持有公 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30,730,838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15.46%</w:t>
            </w:r>
            <w:r>
              <w:rPr>
                <w:rFonts w:ascii="宋体" w:hAnsi="宋体" w:cs="宋体" w:eastAsia="宋体" w:hint="default"/>
                <w:sz w:val="18"/>
                <w:szCs w:val="18"/>
              </w:rPr>
              <w:t>。</w:t>
            </w:r>
          </w:p>
        </w:tc>
      </w:tr>
      <w:tr>
        <w:trPr>
          <w:trHeight w:val="1338"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姜放持有 </w:t>
            </w:r>
            <w:r>
              <w:rPr>
                <w:rFonts w:ascii="Times New Roman" w:hAnsi="Times New Roman" w:cs="Times New Roman" w:eastAsia="Times New Roman" w:hint="default"/>
                <w:sz w:val="18"/>
                <w:szCs w:val="18"/>
              </w:rPr>
              <w:t>Great China </w:t>
            </w:r>
            <w:r>
              <w:rPr>
                <w:rFonts w:ascii="Times New Roman" w:hAnsi="Times New Roman" w:cs="Times New Roman" w:eastAsia="Times New Roman" w:hint="default"/>
                <w:spacing w:val="-1"/>
                <w:sz w:val="18"/>
                <w:szCs w:val="18"/>
              </w:rPr>
              <w:t>International</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Holdings,Inc.</w:t>
            </w:r>
            <w:r>
              <w:rPr>
                <w:rFonts w:ascii="宋体" w:hAnsi="宋体" w:cs="宋体" w:eastAsia="宋体" w:hint="default"/>
                <w:spacing w:val="-5"/>
                <w:sz w:val="18"/>
                <w:szCs w:val="18"/>
              </w:rPr>
              <w:t>（下称“</w:t>
            </w:r>
            <w:r>
              <w:rPr>
                <w:rFonts w:ascii="Times New Roman" w:hAnsi="Times New Roman" w:cs="Times New Roman" w:eastAsia="Times New Roman" w:hint="default"/>
                <w:spacing w:val="-5"/>
                <w:sz w:val="18"/>
                <w:szCs w:val="18"/>
              </w:rPr>
              <w:t>GCIH</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8,178,447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 </w:t>
            </w:r>
            <w:r>
              <w:rPr>
                <w:rFonts w:ascii="宋体" w:hAnsi="宋体" w:cs="宋体" w:eastAsia="宋体" w:hint="default"/>
                <w:spacing w:val="-5"/>
                <w:sz w:val="18"/>
                <w:szCs w:val="18"/>
              </w:rPr>
              <w:t>份，占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GCIH</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69.54%</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GCIH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OTCBB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市场上市公司，注册 地为美国内华达州，主营业务为：房地产开发、物业管理、房产租赁，股份总 数为 </w:t>
            </w:r>
            <w:r>
              <w:rPr>
                <w:rFonts w:ascii="Times New Roman" w:hAnsi="Times New Roman" w:cs="Times New Roman" w:eastAsia="Times New Roman" w:hint="default"/>
                <w:sz w:val="18"/>
                <w:szCs w:val="18"/>
              </w:rPr>
              <w:t>11,759,966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57" w:lineRule="auto" w:before="117"/>
        <w:ind w:left="153" w:right="5811" w:firstLine="0"/>
        <w:jc w:val="left"/>
        <w:rPr>
          <w:rFonts w:ascii="宋体" w:hAnsi="宋体" w:cs="宋体" w:eastAsia="宋体" w:hint="default"/>
          <w:sz w:val="18"/>
          <w:szCs w:val="18"/>
        </w:rPr>
      </w:pPr>
      <w:r>
        <w:rPr>
          <w:rFonts w:ascii="宋体" w:hAnsi="宋体" w:cs="宋体" w:eastAsia="宋体" w:hint="default"/>
          <w:sz w:val="18"/>
          <w:szCs w:val="18"/>
        </w:rPr>
        <w:t>□ 适用 √ 不适用 公司与实际控制人之间的产权及控制关系的方框图</w:t>
      </w:r>
    </w:p>
    <w:p>
      <w:pPr>
        <w:spacing w:line="240" w:lineRule="auto" w:before="5"/>
        <w:rPr>
          <w:rFonts w:ascii="宋体" w:hAnsi="宋体" w:cs="宋体" w:eastAsia="宋体" w:hint="default"/>
          <w:sz w:val="26"/>
          <w:szCs w:val="26"/>
        </w:rPr>
      </w:pPr>
    </w:p>
    <w:p>
      <w:pPr>
        <w:spacing w:line="5616" w:lineRule="exact"/>
        <w:ind w:left="1274" w:right="0" w:firstLine="0"/>
        <w:rPr>
          <w:rFonts w:ascii="宋体" w:hAnsi="宋体" w:cs="宋体" w:eastAsia="宋体" w:hint="default"/>
          <w:sz w:val="20"/>
          <w:szCs w:val="20"/>
        </w:rPr>
      </w:pPr>
      <w:r>
        <w:rPr>
          <w:rFonts w:ascii="宋体" w:hAnsi="宋体" w:cs="宋体" w:eastAsia="宋体" w:hint="default"/>
          <w:position w:val="-111"/>
          <w:sz w:val="20"/>
          <w:szCs w:val="20"/>
        </w:rPr>
        <w:pict>
          <v:group style="width:369.85pt;height:280.8pt;mso-position-horizontal-relative:char;mso-position-vertical-relative:line" coordorigin="0,0" coordsize="7397,5616">
            <v:shape style="position:absolute;left:2207;top:0;width:2746;height:577" type="#_x0000_t75" stroked="false">
              <v:imagedata r:id="rId13" o:title=""/>
            </v:shape>
            <v:shape style="position:absolute;left:0;top:530;width:7397;height:2964" type="#_x0000_t75" stroked="false">
              <v:imagedata r:id="rId14" o:title=""/>
            </v:shape>
            <v:shape style="position:absolute;left:1333;top:3448;width:4774;height:718" type="#_x0000_t75" stroked="false">
              <v:imagedata r:id="rId15" o:title=""/>
            </v:shape>
            <v:shape style="position:absolute;left:3205;top:4165;width:1030;height:874" type="#_x0000_t75" stroked="false">
              <v:imagedata r:id="rId16" o:title=""/>
            </v:shape>
            <v:shape style="position:absolute;left:1333;top:5039;width:4774;height:577" type="#_x0000_t75" stroked="false">
              <v:imagedata r:id="rId17" o:title=""/>
            </v:shape>
          </v:group>
        </w:pict>
      </w:r>
      <w:r>
        <w:rPr>
          <w:rFonts w:ascii="宋体" w:hAnsi="宋体" w:cs="宋体" w:eastAsia="宋体" w:hint="default"/>
          <w:position w:val="-1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06" w:lineRule="auto" w:before="35"/>
        <w:ind w:left="154" w:right="4995"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报告期内，公司无其他持股在</w:t>
      </w:r>
      <w:r>
        <w:rPr>
          <w:rFonts w:ascii="宋体" w:hAnsi="宋体" w:cs="宋体" w:eastAsia="宋体" w:hint="default"/>
          <w:spacing w:val="-55"/>
          <w:sz w:val="21"/>
          <w:szCs w:val="21"/>
        </w:rPr>
        <w:t> </w:t>
      </w:r>
      <w:r>
        <w:rPr>
          <w:rFonts w:ascii="宋体" w:hAnsi="宋体" w:cs="宋体" w:eastAsia="宋体" w:hint="default"/>
          <w:sz w:val="21"/>
          <w:szCs w:val="21"/>
        </w:rPr>
        <w:t>10%以上的法人股东。</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1680" w:right="1619"/>
        <w:jc w:val="left"/>
        <w:rPr>
          <w:b w:val="0"/>
          <w:bCs w:val="0"/>
        </w:rPr>
      </w:pPr>
      <w:r>
        <w:rPr/>
        <w:t>第七节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right="161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59"/>
        <w:gridCol w:w="881"/>
        <w:gridCol w:w="870"/>
        <w:gridCol w:w="870"/>
        <w:gridCol w:w="870"/>
      </w:tblGrid>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4" w:right="0" w:firstLine="0"/>
        <w:jc w:val="both"/>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BodyText"/>
        <w:spacing w:line="374" w:lineRule="auto"/>
        <w:ind w:left="574" w:right="293" w:hanging="420"/>
        <w:jc w:val="left"/>
      </w:pPr>
      <w:r>
        <w:rPr/>
        <w:t>公司现任董事、监事、高级管理人员最近</w:t>
      </w:r>
      <w:r>
        <w:rPr>
          <w:spacing w:val="-53"/>
        </w:rPr>
        <w:t> </w:t>
      </w:r>
      <w:r>
        <w:rPr/>
        <w:t>5</w:t>
      </w:r>
      <w:r>
        <w:rPr>
          <w:spacing w:val="-52"/>
        </w:rPr>
        <w:t> </w:t>
      </w:r>
      <w:r>
        <w:rPr/>
        <w:t>年的主要工作经历</w:t>
      </w:r>
      <w:r>
        <w:rPr/>
        <w:t> 姜放，董事长兼总裁，男，美国籍，1955年生，大专学历。1992年涉足房地产业；1989年12月-2005</w:t>
      </w:r>
    </w:p>
    <w:p>
      <w:pPr>
        <w:pStyle w:val="BodyText"/>
        <w:spacing w:line="408" w:lineRule="auto" w:before="75"/>
        <w:ind w:left="153" w:right="293"/>
        <w:jc w:val="both"/>
      </w:pPr>
      <w:r>
        <w:rPr/>
        <w:t>年9月任沈阳玛莉蓝国际实业有限公司董事长；2005年9月-2008年5月任美国Great China</w:t>
      </w:r>
      <w:r>
        <w:rPr>
          <w:spacing w:val="-24"/>
        </w:rPr>
        <w:t> </w:t>
      </w:r>
      <w:r>
        <w:rPr/>
        <w:t>International</w:t>
      </w:r>
      <w:r>
        <w:rPr/>
        <w:t> Holding,</w:t>
      </w:r>
      <w:r>
        <w:rPr>
          <w:spacing w:val="-2"/>
        </w:rPr>
        <w:t> </w:t>
      </w:r>
      <w:r>
        <w:rPr/>
        <w:t>Inc.首席执行官；现任本公司董事长兼总裁。目前姜放先生实际控制的物华实业有限公司持有</w:t>
      </w:r>
      <w:r>
        <w:rPr/>
        <w:t> 本公司股票30,730,838股，占公司总股本的15.46%。</w:t>
      </w:r>
    </w:p>
    <w:p>
      <w:pPr>
        <w:pStyle w:val="BodyText"/>
        <w:spacing w:line="408" w:lineRule="auto" w:before="46"/>
        <w:ind w:left="153" w:right="210" w:firstLine="420"/>
        <w:jc w:val="left"/>
      </w:pPr>
      <w:r>
        <w:rPr>
          <w:spacing w:val="-1"/>
        </w:rPr>
        <w:t>周小南，副董事长，男，1958年生，本科文化，中共党员。1979年5月-1981年10月任常州服装机械厂</w:t>
      </w:r>
      <w:r>
        <w:rPr/>
        <w:t> 工人、团支部副书记；1981年10月-1992年12月任常州服装联合公司副科长、科长；1992年12月-1993年4</w:t>
      </w:r>
      <w:r>
        <w:rPr>
          <w:spacing w:val="-1"/>
        </w:rPr>
        <w:t> </w:t>
      </w:r>
      <w:r>
        <w:rPr/>
        <w:t>月任常州服装集团公司实业公司副经理；1993年4月-1994年2月任常州服装五厂厂长；1994年2月-1994年</w:t>
      </w:r>
      <w:r>
        <w:rPr/>
        <w:t> 10月任常州市汇达实业公司经理；1994年10月-1996年1月任常州服装四厂厂长；1996年1月-2007年5月任 常州服装集团有限公司总经理助理、副总经理；2007年5月至今任常州工贸国有资产经营有限公司副总经 理。</w:t>
      </w:r>
    </w:p>
    <w:p>
      <w:pPr>
        <w:pStyle w:val="BodyText"/>
        <w:spacing w:line="408" w:lineRule="auto" w:before="46"/>
        <w:ind w:left="153" w:right="105" w:firstLine="420"/>
        <w:jc w:val="left"/>
      </w:pPr>
      <w:r>
        <w:rPr/>
        <w:t>俞鲲鹏，董事，男，1969年生，大专学历，土建工程师。1990年9月-1993年6月先后任辽宁省机械化</w:t>
      </w:r>
      <w:r>
        <w:rPr>
          <w:spacing w:val="-1"/>
        </w:rPr>
        <w:t> </w:t>
      </w:r>
      <w:r>
        <w:rPr/>
        <w:t>工程施工公司</w:t>
      </w:r>
      <w:r>
        <w:rPr>
          <w:spacing w:val="-14"/>
        </w:rPr>
        <w:t> </w:t>
      </w:r>
      <w:r>
        <w:rPr/>
        <w:t>技术员、项目经理；1993年7月-2002年5月任沈阳明威房屋开发有限公司土建工程师、综合</w:t>
      </w:r>
      <w:r>
        <w:rPr/>
        <w:t> </w:t>
      </w:r>
      <w:r>
        <w:rPr>
          <w:spacing w:val="-3"/>
        </w:rPr>
        <w:t>办公室主任、副总经理；2002年6月-2008年任沈阳玛莉蓝国际实业有限责任公司房产开发分公司副总经理；</w:t>
      </w:r>
      <w:r>
        <w:rPr>
          <w:spacing w:val="-80"/>
        </w:rPr>
        <w:t> </w:t>
      </w:r>
      <w:r>
        <w:rPr>
          <w:spacing w:val="-80"/>
        </w:rPr>
      </w:r>
      <w:r>
        <w:rPr/>
        <w:t>现任沈阳云峰投资有限公司副总经理。</w:t>
      </w:r>
    </w:p>
    <w:p>
      <w:pPr>
        <w:pStyle w:val="BodyText"/>
        <w:spacing w:line="408" w:lineRule="auto" w:before="46"/>
        <w:ind w:left="153" w:right="209" w:firstLine="420"/>
        <w:jc w:val="both"/>
      </w:pPr>
      <w:r>
        <w:rPr>
          <w:spacing w:val="-1"/>
        </w:rPr>
        <w:t>张毅，董事，男，1971年生，研究生学历。1992年-1993年在深圳发展银行学习；1994年-1997年任香</w:t>
      </w:r>
      <w:r>
        <w:rPr/>
        <w:t> </w:t>
      </w:r>
      <w:r>
        <w:rPr>
          <w:spacing w:val="-1"/>
        </w:rPr>
        <w:t>港宝达投资有限公司副总经理；1998年-2000年任深圳汉亚实业发展有限公司总经理；1998年-2007年任尊</w:t>
      </w:r>
      <w:r>
        <w:rPr>
          <w:spacing w:val="-76"/>
        </w:rPr>
        <w:t> </w:t>
      </w:r>
      <w:r>
        <w:rPr>
          <w:spacing w:val="-76"/>
        </w:rPr>
      </w:r>
      <w:r>
        <w:rPr/>
        <w:t>皇高尔夫国际(集团)有限公司董事长；2002年-2007年深圳尊皇数码科技开发有限公司董事长。</w:t>
      </w:r>
    </w:p>
    <w:p>
      <w:pPr>
        <w:pStyle w:val="BodyText"/>
        <w:spacing w:line="408" w:lineRule="auto" w:before="46"/>
        <w:ind w:left="153" w:right="194" w:firstLine="420"/>
        <w:jc w:val="left"/>
      </w:pPr>
      <w:r>
        <w:rPr/>
        <w:t>王家伟，董事，男，1965 年生，硕士学历，中共党员。1987 年9 月-1996年8</w:t>
      </w:r>
      <w:r>
        <w:rPr>
          <w:spacing w:val="-8"/>
        </w:rPr>
        <w:t> </w:t>
      </w:r>
      <w:r>
        <w:rPr/>
        <w:t>月任中铁三局六处、</w:t>
      </w:r>
      <w:r>
        <w:rPr/>
        <w:t> 助工、副队长、队长、副总经理、总经理；1996 年8 月-2000 年12</w:t>
      </w:r>
      <w:r>
        <w:rPr>
          <w:spacing w:val="-29"/>
        </w:rPr>
        <w:t> </w:t>
      </w:r>
      <w:r>
        <w:rPr/>
        <w:t>月任中铁三局华北建筑工程公司总经</w:t>
      </w:r>
      <w:r>
        <w:rPr/>
        <w:t> 理；2000年12 月-2006 年6</w:t>
      </w:r>
      <w:r>
        <w:rPr>
          <w:spacing w:val="-5"/>
        </w:rPr>
        <w:t> </w:t>
      </w:r>
      <w:r>
        <w:rPr/>
        <w:t>月任中铁三局集团副总经济师兼勘察设计研究院院长、兼房地产开发有限公</w:t>
      </w:r>
      <w:r>
        <w:rPr/>
        <w:t> 司董事长、兼华北建筑工程公司总经理；2006年6</w:t>
      </w:r>
      <w:r>
        <w:rPr>
          <w:spacing w:val="-23"/>
        </w:rPr>
        <w:t> </w:t>
      </w:r>
      <w:r>
        <w:rPr/>
        <w:t>月至今任中国中铁建工集团副总经济师。曾荣誉共青团</w:t>
      </w:r>
      <w:r>
        <w:rPr/>
        <w:t> </w:t>
      </w:r>
      <w:r>
        <w:rPr>
          <w:spacing w:val="-1"/>
        </w:rPr>
        <w:t>中央“五四青年贡献”奖章、山西省“优秀青年企业家”及山西省“十大杰出青年企业家”称号。现兼任</w:t>
      </w:r>
      <w:r>
        <w:rPr>
          <w:spacing w:val="-85"/>
        </w:rPr>
        <w:t> </w:t>
      </w:r>
      <w:r>
        <w:rPr>
          <w:spacing w:val="-85"/>
        </w:rPr>
      </w:r>
      <w:r>
        <w:rPr/>
        <w:t>中国青年企业家协会常务理事，全国青年联合会委员，山西省青年企业家协会副会长。</w:t>
      </w:r>
    </w:p>
    <w:p>
      <w:pPr>
        <w:pStyle w:val="BodyText"/>
        <w:tabs>
          <w:tab w:pos="1727" w:val="left" w:leader="none"/>
          <w:tab w:pos="2463" w:val="left" w:leader="none"/>
          <w:tab w:pos="4037" w:val="left" w:leader="none"/>
          <w:tab w:pos="5087" w:val="left" w:leader="none"/>
        </w:tabs>
        <w:spacing w:line="408" w:lineRule="auto" w:before="46"/>
        <w:ind w:left="153" w:right="209" w:firstLine="420"/>
        <w:jc w:val="left"/>
      </w:pPr>
      <w:r>
        <w:rPr/>
        <w:t>王丽荣，董事兼总会计师，女，1963年生，本科学历，高级会计师。1985年-1995年任沈阳市汽车发 动机厂成本管理；1995年-2005年9月任沈阳玛莉蓝国际实业有限责任公司总会计师；</w:t>
      </w:r>
      <w:r>
        <w:rPr>
          <w:spacing w:val="-25"/>
        </w:rPr>
        <w:t> </w:t>
      </w:r>
      <w:r>
        <w:rPr/>
        <w:t>2005年9月-2008年5</w:t>
      </w:r>
      <w:r>
        <w:rPr/>
        <w:t> </w:t>
      </w:r>
      <w:r>
        <w:rPr>
          <w:spacing w:val="-1"/>
        </w:rPr>
        <w:t>月任美国Great</w:t>
        <w:tab/>
        <w:t>China</w:t>
        <w:tab/>
        <w:t>International</w:t>
        <w:tab/>
        <w:t>Holding,</w:t>
        <w:tab/>
        <w:t>Inc.首席财务官。现任本公司董事兼总会计师。</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5" w:firstLine="420"/>
        <w:jc w:val="left"/>
      </w:pPr>
      <w:r>
        <w:rPr/>
        <w:t>刘玉平，独立董事，男，山东龙口市人，1963年生，经济学博士，教授，博士生导师，中国注册会计 </w:t>
      </w:r>
      <w:r>
        <w:rPr>
          <w:spacing w:val="-1"/>
        </w:rPr>
        <w:t>师，中国注册资产评估师，中国资产评估协会首批资深会员。1985年6月-1994年7月任中央财经大学教师；</w:t>
      </w:r>
      <w:r>
        <w:rPr>
          <w:spacing w:val="-79"/>
        </w:rPr>
        <w:t> </w:t>
      </w:r>
      <w:r>
        <w:rPr>
          <w:spacing w:val="-79"/>
        </w:rPr>
      </w:r>
      <w:r>
        <w:rPr/>
        <w:t>1994年8月-2003年11月先后任中央财经大学财政系教研室主任、副主任；2003年11月-2006年6月任中央财</w:t>
      </w:r>
      <w:r>
        <w:rPr/>
        <w:t> 经大学财政与公共管理学院副院长；2006年6月至今任中央财经大学财政学院副院长，中央财经大学资产 评估研究所所长。北京市海淀区第七届、第八届政协委员。</w:t>
      </w:r>
    </w:p>
    <w:p>
      <w:pPr>
        <w:pStyle w:val="BodyText"/>
        <w:spacing w:line="408" w:lineRule="auto" w:before="46"/>
        <w:ind w:right="188" w:firstLine="420"/>
        <w:jc w:val="left"/>
      </w:pPr>
      <w:r>
        <w:rPr/>
        <w:t>孙琦，独立董事，男，1967年生，管理学博士、工学硕士、东北大学教授。1990年-1999年，在辽宁 省计划经济委员会、辽宁省政府所属辽宁省投资集团公司及省直规模最大的综合性企业辽宁创业（投资） 集团有限公司工作，任工程师、副处长、处长等职务；2000年-2002年，在中国科学院系统工作，委派任 中国科学院所属高新技术企业的董事、常务副总经理；2003年-2005年，任美国国际投资有限公司中国区 投资总监。</w:t>
      </w:r>
    </w:p>
    <w:p>
      <w:pPr>
        <w:pStyle w:val="BodyText"/>
        <w:spacing w:line="408" w:lineRule="auto" w:before="46"/>
        <w:ind w:right="210" w:firstLine="420"/>
        <w:jc w:val="both"/>
      </w:pPr>
      <w:r>
        <w:rPr/>
        <w:t>赵莉，独立董事，女，1967年生，毕业于中国政法大学，法律专业硕士。1985年-1993</w:t>
      </w:r>
      <w:r>
        <w:rPr>
          <w:spacing w:val="-26"/>
        </w:rPr>
        <w:t> </w:t>
      </w:r>
      <w:r>
        <w:rPr/>
        <w:t>年任内蒙古对</w:t>
      </w:r>
      <w:r>
        <w:rPr/>
        <w:t> </w:t>
      </w:r>
      <w:r>
        <w:rPr>
          <w:spacing w:val="-1"/>
        </w:rPr>
        <w:t>外经济协作办经贸总公司会计；1993年-1999年汕头特区物资进出总公司内蒙古办事处主任；2000年-2005</w:t>
      </w:r>
      <w:r>
        <w:rPr>
          <w:spacing w:val="-74"/>
        </w:rPr>
        <w:t> </w:t>
      </w:r>
      <w:r>
        <w:rPr>
          <w:spacing w:val="-74"/>
        </w:rPr>
      </w:r>
      <w:r>
        <w:rPr/>
        <w:t>年任爱德律师事务所律师、合伙人；2006年-2007年任</w:t>
      </w:r>
      <w:r>
        <w:rPr>
          <w:spacing w:val="-57"/>
        </w:rPr>
        <w:t> </w:t>
      </w:r>
      <w:r>
        <w:rPr/>
        <w:t>北京道可特律师事务所律师；2008年任北京高朋律</w:t>
      </w:r>
      <w:r>
        <w:rPr/>
        <w:t> 师事务所律师；2009年至今任中银律师事务所律师</w:t>
      </w:r>
      <w:r>
        <w:rPr>
          <w:spacing w:val="-55"/>
        </w:rPr>
        <w:t> </w:t>
      </w:r>
      <w:r>
        <w:rPr/>
        <w:t>。</w:t>
      </w:r>
    </w:p>
    <w:p>
      <w:pPr>
        <w:pStyle w:val="BodyText"/>
        <w:spacing w:line="408" w:lineRule="auto" w:before="46"/>
        <w:ind w:right="0" w:firstLine="420"/>
        <w:jc w:val="left"/>
      </w:pPr>
      <w:r>
        <w:rPr/>
        <w:t>梅良诚，监事会主席，男，1954年生，大专学历。2000年12月至2007年6月任常州纺织国资公司综合 </w:t>
      </w:r>
      <w:r>
        <w:rPr>
          <w:spacing w:val="-3"/>
        </w:rPr>
        <w:t>部副经理、办公室副主任、主任、党办主任；2005年5月至今任常州银洋经济发展公司法人、总经理；2007</w:t>
      </w:r>
      <w:r>
        <w:rPr>
          <w:spacing w:val="-85"/>
        </w:rPr>
        <w:t> </w:t>
      </w:r>
      <w:r>
        <w:rPr>
          <w:spacing w:val="-85"/>
        </w:rPr>
      </w:r>
      <w:r>
        <w:rPr>
          <w:spacing w:val="-1"/>
        </w:rPr>
        <w:t>年1月至今在常州市纺织工业协会任秘书长；2007年6月至今任常州工贸国有资产经营有限公司综合管理部</w:t>
      </w:r>
      <w:r>
        <w:rPr>
          <w:spacing w:val="-82"/>
        </w:rPr>
        <w:t> </w:t>
      </w:r>
      <w:r>
        <w:rPr>
          <w:spacing w:val="-82"/>
        </w:rPr>
      </w:r>
      <w:r>
        <w:rPr/>
        <w:t>长。</w:t>
      </w:r>
    </w:p>
    <w:p>
      <w:pPr>
        <w:pStyle w:val="BodyText"/>
        <w:spacing w:line="408" w:lineRule="auto" w:before="46"/>
        <w:ind w:right="0" w:firstLine="420"/>
        <w:jc w:val="left"/>
      </w:pPr>
      <w:r>
        <w:rPr>
          <w:spacing w:val="-1"/>
        </w:rPr>
        <w:t>梁南南，监事，女，1980年生，本科学历。2003年3月至2003年7月在沈阳中兴通讯任客服经理；2003</w:t>
      </w:r>
      <w:r>
        <w:rPr/>
        <w:t> 年12月至2005年3月在金德管业集团任文案；2005年4月至2008年6月任沈阳云峰房产开发有限公司办公室 主任。现任本公司办公室主任兼人力资源部部长。</w:t>
      </w:r>
    </w:p>
    <w:p>
      <w:pPr>
        <w:pStyle w:val="BodyText"/>
        <w:spacing w:line="408" w:lineRule="auto" w:before="46"/>
        <w:ind w:right="208" w:firstLine="420"/>
        <w:jc w:val="both"/>
      </w:pPr>
      <w:r>
        <w:rPr>
          <w:spacing w:val="-1"/>
        </w:rPr>
        <w:t>周建南，监事，男，1949年生，毕业于常州教育学院中文专业，大专学历，政工师，中共党员，公司</w:t>
      </w:r>
      <w:r>
        <w:rPr/>
        <w:t> </w:t>
      </w:r>
      <w:r>
        <w:rPr>
          <w:spacing w:val="-1"/>
        </w:rPr>
        <w:t>党总支负责人。1968年下乡插队。1978年起历任丽宝第（常州）集团公司教育科教师、副科长、政工科科</w:t>
      </w:r>
      <w:r>
        <w:rPr>
          <w:spacing w:val="-83"/>
        </w:rPr>
        <w:t> </w:t>
      </w:r>
      <w:r>
        <w:rPr>
          <w:spacing w:val="-83"/>
        </w:rPr>
      </w:r>
      <w:r>
        <w:rPr>
          <w:spacing w:val="-1"/>
        </w:rPr>
        <w:t>长。1990年至1994年，历任东南化工（常州）集团公司宣传科副科长（主持工作）、常州市演出公司业务</w:t>
      </w:r>
      <w:r>
        <w:rPr>
          <w:spacing w:val="-84"/>
        </w:rPr>
        <w:t> </w:t>
      </w:r>
      <w:r>
        <w:rPr>
          <w:spacing w:val="-84"/>
        </w:rPr>
      </w:r>
      <w:r>
        <w:rPr>
          <w:spacing w:val="-1"/>
        </w:rPr>
        <w:t>经理、常州天山经贸公司人事部经理、总经理助理。1995年起至2011年历任远东实业股份有限公司股票办</w:t>
      </w:r>
      <w:r>
        <w:rPr>
          <w:spacing w:val="-79"/>
        </w:rPr>
        <w:t> </w:t>
      </w:r>
      <w:r>
        <w:rPr>
          <w:spacing w:val="-79"/>
        </w:rPr>
      </w:r>
      <w:r>
        <w:rPr>
          <w:spacing w:val="-1"/>
        </w:rPr>
        <w:t>副主任、投资发展部部长、人力资源部部长、事业发展部部长、行政管理部部长。服装分公司总经理、总</w:t>
      </w:r>
      <w:r>
        <w:rPr>
          <w:spacing w:val="-83"/>
        </w:rPr>
        <w:t> </w:t>
      </w:r>
      <w:r>
        <w:rPr>
          <w:spacing w:val="-83"/>
        </w:rPr>
      </w:r>
      <w:r>
        <w:rPr/>
        <w:t>裁助理，期间（1995年7月至1998年7月）曾任常州新东服装有限公司董事。</w:t>
      </w:r>
    </w:p>
    <w:p>
      <w:pPr>
        <w:pStyle w:val="BodyText"/>
        <w:spacing w:line="408" w:lineRule="auto" w:before="46"/>
        <w:ind w:right="208" w:firstLine="420"/>
        <w:jc w:val="left"/>
      </w:pPr>
      <w:r>
        <w:rPr>
          <w:spacing w:val="-7"/>
        </w:rPr>
        <w:t>王宇，监事，女，1969年生，毕业于辽宁大学经济管理学院，大专学历，高级会计师。1990年10月-2004</w:t>
      </w:r>
      <w:r>
        <w:rPr/>
        <w:t> 年5月任沈阳化工集团银橡公司财务部出纳员、成本主管会计；2004年5月-2008年6月</w:t>
      </w:r>
      <w:r>
        <w:rPr>
          <w:spacing w:val="-4"/>
        </w:rPr>
        <w:t> </w:t>
      </w:r>
      <w:r>
        <w:rPr/>
        <w:t>任沈阳玛莉蓝国际</w:t>
      </w:r>
      <w:r>
        <w:rPr/>
        <w:t> 实业有限公司房产分公司主管会计；现任远东实业股份有限公司审计部经理。</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34" w:firstLine="420"/>
        <w:jc w:val="both"/>
      </w:pPr>
      <w:r>
        <w:rPr/>
        <w:t>叶涛，职工监事，男，1974年生，大专学历。1998年-2006年任福建省三明市梅列区财政科员；2006 年12月-2007年8月任远东实业股份有限公司总裁秘书；2007年8月至今任远东实业股份有限公司证券事务 代表。</w:t>
      </w:r>
    </w:p>
    <w:p>
      <w:pPr>
        <w:pStyle w:val="BodyText"/>
        <w:spacing w:line="408" w:lineRule="auto" w:before="46"/>
        <w:ind w:right="234" w:firstLine="420"/>
        <w:jc w:val="both"/>
      </w:pPr>
      <w:r>
        <w:rPr/>
        <w:t>邹亮，副总裁兼董秘，女，1980年生，本科学历。2002年12月-2004年12月任沈阳玛莉蓝有限责任公 司董事长助理；2005年1月-2005年12月任沈阳玛莉蓝有限责任公司下属公司执行副总经理；2006年1月</w:t>
      </w:r>
    </w:p>
    <w:p>
      <w:pPr>
        <w:pStyle w:val="BodyText"/>
        <w:spacing w:line="408" w:lineRule="auto" w:before="46"/>
        <w:ind w:left="153" w:right="0"/>
        <w:jc w:val="left"/>
      </w:pPr>
      <w:r>
        <w:rPr/>
        <w:t>-2008年5月任Great China</w:t>
      </w:r>
      <w:r>
        <w:rPr>
          <w:spacing w:val="-64"/>
        </w:rPr>
        <w:t> </w:t>
      </w:r>
      <w:r>
        <w:rPr/>
        <w:t>InternationalHoldings.Inc.上市运营部经理兼董事会秘书。现任本公司副总</w:t>
      </w:r>
      <w:r>
        <w:rPr/>
        <w:t> 裁兼董事会秘书。</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上述在股东单位任职的董事、监事、高管人员的任期终止日期无法具体确定。</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16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常州工贸国有资产经营有限公司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常州工贸国有资产经营有限公司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综合管理部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上述在其他单位任职的董事、监事、高管人员的任期终止日期无法具体确定。</w:t>
            </w:r>
          </w:p>
        </w:tc>
      </w:tr>
    </w:tbl>
    <w:p>
      <w:pPr>
        <w:spacing w:line="240" w:lineRule="auto" w:before="2"/>
        <w:rPr>
          <w:rFonts w:ascii="宋体" w:hAnsi="宋体" w:cs="宋体" w:eastAsia="宋体" w:hint="default"/>
          <w:sz w:val="18"/>
          <w:szCs w:val="18"/>
        </w:rPr>
      </w:pPr>
    </w:p>
    <w:p>
      <w:pPr>
        <w:pStyle w:val="Heading4"/>
        <w:spacing w:line="240" w:lineRule="auto"/>
        <w:ind w:right="1619"/>
        <w:jc w:val="left"/>
        <w:rPr>
          <w:b w:val="0"/>
          <w:bCs w:val="0"/>
        </w:rPr>
      </w:pPr>
      <w:r>
        <w:rPr/>
        <w:t>三、董事、监事、高级管理人员报酬情况</w:t>
      </w:r>
      <w:r>
        <w:rPr>
          <w:b w:val="0"/>
          <w:bCs w:val="0"/>
        </w:rPr>
      </w:r>
    </w:p>
    <w:p>
      <w:pPr>
        <w:spacing w:line="240" w:lineRule="auto" w:before="8"/>
        <w:rPr>
          <w:rFonts w:ascii="宋体" w:hAnsi="宋体" w:cs="宋体" w:eastAsia="宋体" w:hint="default"/>
          <w:b/>
          <w:bCs/>
          <w:sz w:val="24"/>
          <w:szCs w:val="24"/>
        </w:rPr>
      </w:pPr>
    </w:p>
    <w:p>
      <w:pPr>
        <w:pStyle w:val="BodyText"/>
        <w:spacing w:line="374" w:lineRule="auto"/>
        <w:ind w:left="573" w:right="0" w:hanging="420"/>
        <w:jc w:val="left"/>
      </w:pPr>
      <w:r>
        <w:rPr/>
        <w:t>董事、监事、高级管理人员报酬的决策程序、确定依据、实际支付情况 </w:t>
      </w:r>
      <w:r>
        <w:rPr>
          <w:spacing w:val="-1"/>
        </w:rPr>
        <w:t>董事、监事、高级管理人员报酬的决策程序：独立董事、董事、监事报酬由股东大会审议通过，其他</w:t>
      </w:r>
    </w:p>
    <w:p>
      <w:pPr>
        <w:pStyle w:val="BodyText"/>
        <w:spacing w:line="408" w:lineRule="auto" w:before="75"/>
        <w:ind w:left="573" w:right="0" w:hanging="420"/>
        <w:jc w:val="left"/>
      </w:pPr>
      <w:r>
        <w:rPr/>
        <w:t>高管各自所在的岗位、所承担的责任风险和所做贡献等因素，核定其薪酬。 </w:t>
      </w:r>
      <w:r>
        <w:rPr>
          <w:spacing w:val="-1"/>
        </w:rPr>
        <w:t>董事、监事、高级管理人员报酬确定依据：根据董事、监事及高级管理人员管理岗位的主要范围、职</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4" w:right="530" w:hanging="420"/>
        <w:jc w:val="left"/>
      </w:pPr>
      <w:r>
        <w:rPr/>
        <w:t>责、重要性，参照同行业其他相关企业相关岗位的薪酬水平并结合本公司的具体情况制定薪酬标准。 董事、监事和高级管理人员报酬的实际支付情况：董事、监事和高级管理人员报酬按月支付。</w:t>
      </w:r>
    </w:p>
    <w:p>
      <w:pPr>
        <w:spacing w:before="34"/>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785,916.84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785,916.84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董事、总会计 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308,035.98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308,035.98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118,134.18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118,134.18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145,116.84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145,116.84</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234,044.04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234,044.04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2,155,553.58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2,155,553.58</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spacing w:line="468" w:lineRule="auto" w:before="0"/>
        <w:ind w:left="633" w:right="2091" w:hanging="480"/>
        <w:jc w:val="left"/>
        <w:rPr>
          <w:rFonts w:ascii="宋体" w:hAnsi="宋体" w:cs="宋体" w:eastAsia="宋体" w:hint="default"/>
          <w:sz w:val="24"/>
          <w:szCs w:val="24"/>
        </w:rPr>
      </w:pPr>
      <w:r>
        <w:rPr>
          <w:rFonts w:ascii="宋体" w:hAnsi="宋体" w:cs="宋体" w:eastAsia="宋体" w:hint="default"/>
          <w:b/>
          <w:bCs/>
          <w:sz w:val="24"/>
          <w:szCs w:val="24"/>
        </w:rPr>
        <w:t>四、公司董事、监事、高级管理人员离职和解聘情况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报告期内，未发生公司董事、监事、高级管理人员离职和解聘情况。</w:t>
      </w:r>
    </w:p>
    <w:p>
      <w:pPr>
        <w:spacing w:line="465" w:lineRule="auto" w:before="72"/>
        <w:ind w:left="634" w:right="855" w:hanging="48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报告期内，核心技术团队或关键技术人员没有发生变动。</w:t>
      </w:r>
    </w:p>
    <w:p>
      <w:pPr>
        <w:spacing w:line="528" w:lineRule="auto" w:before="74"/>
        <w:ind w:left="634" w:right="3890" w:hanging="480"/>
        <w:jc w:val="left"/>
        <w:rPr>
          <w:rFonts w:ascii="宋体" w:hAnsi="宋体" w:cs="宋体" w:eastAsia="宋体" w:hint="default"/>
          <w:sz w:val="24"/>
          <w:szCs w:val="24"/>
        </w:rPr>
      </w:pPr>
      <w:r>
        <w:rPr>
          <w:rFonts w:ascii="宋体" w:hAnsi="宋体" w:cs="宋体" w:eastAsia="宋体" w:hint="default"/>
          <w:b/>
          <w:bCs/>
          <w:sz w:val="24"/>
          <w:szCs w:val="24"/>
        </w:rPr>
        <w:t>六、公司员工情况</w:t>
      </w:r>
      <w:r>
        <w:rPr>
          <w:rFonts w:ascii="宋体" w:hAnsi="宋体" w:cs="宋体" w:eastAsia="宋体" w:hint="default"/>
          <w:b/>
          <w:bCs/>
          <w:spacing w:val="1"/>
          <w:w w:val="99"/>
          <w:sz w:val="24"/>
          <w:szCs w:val="24"/>
        </w:rPr>
        <w:t> </w:t>
      </w:r>
      <w:r>
        <w:rPr>
          <w:rFonts w:ascii="宋体" w:hAnsi="宋体" w:cs="宋体" w:eastAsia="宋体" w:hint="default"/>
          <w:sz w:val="24"/>
          <w:szCs w:val="24"/>
        </w:rPr>
        <w:t>截止报告期末，公司（含子公司）共有员工139人。</w:t>
      </w:r>
    </w:p>
    <w:p>
      <w:pPr>
        <w:spacing w:after="0" w:line="528" w:lineRule="auto"/>
        <w:jc w:val="left"/>
        <w:rPr>
          <w:rFonts w:ascii="宋体" w:hAnsi="宋体" w:cs="宋体" w:eastAsia="宋体" w:hint="default"/>
          <w:sz w:val="24"/>
          <w:szCs w:val="24"/>
        </w:rPr>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spacing w:line="357" w:lineRule="auto" w:before="26"/>
        <w:ind w:left="154" w:right="250" w:firstLine="480"/>
        <w:jc w:val="left"/>
        <w:rPr>
          <w:rFonts w:ascii="宋体" w:hAnsi="宋体" w:cs="宋体" w:eastAsia="宋体" w:hint="default"/>
          <w:sz w:val="24"/>
          <w:szCs w:val="24"/>
        </w:rPr>
      </w:pPr>
      <w:r>
        <w:rPr>
          <w:rFonts w:ascii="宋体" w:hAnsi="宋体" w:cs="宋体" w:eastAsia="宋体" w:hint="default"/>
          <w:sz w:val="24"/>
          <w:szCs w:val="24"/>
        </w:rPr>
        <w:t>1、按专业构成分类为：管理人员15人、工程技术人员81人、市场营销和销售人员1人， 其他人员19人；</w:t>
      </w:r>
    </w:p>
    <w:p>
      <w:pPr>
        <w:spacing w:before="36"/>
        <w:ind w:left="634" w:right="0" w:firstLine="0"/>
        <w:jc w:val="left"/>
        <w:rPr>
          <w:rFonts w:ascii="宋体" w:hAnsi="宋体" w:cs="宋体" w:eastAsia="宋体" w:hint="default"/>
          <w:sz w:val="24"/>
          <w:szCs w:val="24"/>
        </w:rPr>
      </w:pPr>
      <w:r>
        <w:rPr>
          <w:rFonts w:ascii="宋体" w:hAnsi="宋体" w:cs="宋体" w:eastAsia="宋体" w:hint="default"/>
          <w:spacing w:val="-2"/>
          <w:sz w:val="24"/>
          <w:szCs w:val="24"/>
        </w:rPr>
        <w:t>2、按教育程度分类为：硕士研究生1人、本科生30人、大专生46人、中专生及以下39人；</w:t>
      </w:r>
    </w:p>
    <w:p>
      <w:pPr>
        <w:spacing w:before="154"/>
        <w:ind w:left="634" w:right="250" w:firstLine="0"/>
        <w:jc w:val="left"/>
        <w:rPr>
          <w:rFonts w:ascii="宋体" w:hAnsi="宋体" w:cs="宋体" w:eastAsia="宋体" w:hint="default"/>
          <w:sz w:val="24"/>
          <w:szCs w:val="24"/>
        </w:rPr>
      </w:pPr>
      <w:r>
        <w:rPr>
          <w:rFonts w:ascii="宋体" w:hAnsi="宋体" w:cs="宋体" w:eastAsia="宋体" w:hint="default"/>
          <w:sz w:val="24"/>
          <w:szCs w:val="24"/>
        </w:rPr>
        <w:t>3、内退人员13人。</w:t>
      </w:r>
    </w:p>
    <w:p>
      <w:pPr>
        <w:spacing w:after="0"/>
        <w:jc w:val="left"/>
        <w:rPr>
          <w:rFonts w:ascii="宋体" w:hAnsi="宋体" w:cs="宋体" w:eastAsia="宋体" w:hint="default"/>
          <w:sz w:val="24"/>
          <w:szCs w:val="24"/>
        </w:rPr>
        <w:sectPr>
          <w:pgSz w:w="11910" w:h="16840"/>
          <w:pgMar w:header="747"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1"/>
        <w:ind w:left="3591" w:right="3647" w:firstLine="0"/>
        <w:jc w:val="center"/>
        <w:rPr>
          <w:rFonts w:ascii="宋体" w:hAnsi="宋体" w:cs="宋体" w:eastAsia="宋体" w:hint="default"/>
          <w:sz w:val="32"/>
          <w:szCs w:val="32"/>
        </w:rPr>
      </w:pPr>
      <w:r>
        <w:rPr>
          <w:rFonts w:ascii="宋体" w:hAnsi="宋体" w:cs="宋体" w:eastAsia="宋体" w:hint="default"/>
          <w:b/>
          <w:bCs/>
          <w:sz w:val="32"/>
          <w:szCs w:val="32"/>
        </w:rPr>
        <w:t>第八节</w:t>
      </w:r>
      <w:r>
        <w:rPr>
          <w:rFonts w:ascii="宋体" w:hAnsi="宋体" w:cs="宋体" w:eastAsia="宋体" w:hint="default"/>
          <w:b/>
          <w:bCs/>
          <w:spacing w:val="-5"/>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pStyle w:val="BodyText"/>
        <w:spacing w:line="408" w:lineRule="auto"/>
        <w:ind w:right="211" w:firstLine="420"/>
        <w:jc w:val="both"/>
      </w:pPr>
      <w:r>
        <w:rPr>
          <w:spacing w:val="-1"/>
        </w:rPr>
        <w:t>报告期内，公司严格按照《公司法》、《证券法》、《上市公司治理准则》、中国证监会有关规定以</w:t>
      </w:r>
      <w:r>
        <w:rPr/>
        <w:t> </w:t>
      </w:r>
      <w:r>
        <w:rPr>
          <w:spacing w:val="-1"/>
        </w:rPr>
        <w:t>及《深圳证券交易所股票上市规则》、《上市公司内部控制指引》等相关法律法规的要求，规范运作，不</w:t>
      </w:r>
      <w:r>
        <w:rPr>
          <w:spacing w:val="-85"/>
        </w:rPr>
        <w:t> </w:t>
      </w:r>
      <w:r>
        <w:rPr>
          <w:spacing w:val="-85"/>
        </w:rPr>
      </w:r>
      <w:r>
        <w:rPr>
          <w:spacing w:val="-1"/>
        </w:rPr>
        <w:t>断健全和完善公司的法人治理结构。公司治理的实际情况与相关法律、法规等规范性文件的规定和要求基</w:t>
      </w:r>
      <w:r>
        <w:rPr>
          <w:spacing w:val="-81"/>
        </w:rPr>
        <w:t> </w:t>
      </w:r>
      <w:r>
        <w:rPr>
          <w:spacing w:val="-81"/>
        </w:rPr>
      </w:r>
      <w:r>
        <w:rPr/>
        <w:t>本相符。</w:t>
      </w:r>
    </w:p>
    <w:p>
      <w:pPr>
        <w:pStyle w:val="BodyText"/>
        <w:spacing w:line="408" w:lineRule="auto" w:before="46"/>
        <w:ind w:left="153" w:right="102" w:firstLine="420"/>
        <w:jc w:val="left"/>
      </w:pPr>
      <w:r>
        <w:rPr/>
        <w:t>报告期内，公司在2012年7月13日召开的第七届董事会第四次会议、2012年7月30日召开的公司2012年 </w:t>
      </w:r>
      <w:r>
        <w:rPr>
          <w:spacing w:val="-3"/>
        </w:rPr>
        <w:t>第二次临时股东大会审议通过了《关于修改〈公司章程〉的议案》、《关于修改公司〈股东大会议事规则〉</w:t>
      </w:r>
      <w:r>
        <w:rPr>
          <w:spacing w:val="-90"/>
        </w:rPr>
        <w:t> </w:t>
      </w:r>
      <w:r>
        <w:rPr>
          <w:spacing w:val="-90"/>
        </w:rPr>
      </w:r>
      <w:r>
        <w:rPr/>
        <w:t>的议案》及《关于修改公司〈独立董事议事规则〉的议案》，对《公司章程》中有关利润分配政策进行了</w:t>
      </w:r>
      <w:r>
        <w:rPr/>
        <w:t> 修订；2012年9月11日，召开的公司第七届董事第六次会议审议通过了《关于制订公司〈委托理财管理制 度〉的议案》，制订了《远东实业股份有限公司〈委托理财管理制度〉》。通过以上制度的修订、制定， 公司的治理结构得到了进一步的完善。</w:t>
      </w:r>
    </w:p>
    <w:p>
      <w:pPr>
        <w:pStyle w:val="BodyText"/>
        <w:spacing w:line="408" w:lineRule="auto" w:before="46"/>
        <w:ind w:left="153" w:right="2481"/>
        <w:jc w:val="left"/>
      </w:pPr>
      <w:r>
        <w:rPr/>
        <w:t>公司治理与《公司法》和中国证监会相关规定的要求不存在差异。 公司治理专项活动开展情况以及内幕信息知情人登记管理制度的制定、实施情况</w:t>
      </w:r>
    </w:p>
    <w:p>
      <w:pPr>
        <w:pStyle w:val="BodyText"/>
        <w:spacing w:line="408" w:lineRule="auto" w:before="46"/>
        <w:ind w:left="153" w:right="171" w:firstLine="420"/>
        <w:jc w:val="left"/>
      </w:pPr>
      <w:r>
        <w:rPr/>
        <w:t>报告期内，公司认真开展了公司治理的专项活动。2010年4月21日，公司第六届董事会第十六次会议 审议通过了关于建立《内幕信息知情人登记管理制度》（相关的公告见2010年4月22日的巨潮资讯网</w:t>
      </w:r>
      <w:hyperlink r:id="rId11">
        <w:r>
          <w:rPr/>
          <w:t> www.cninfo.com.cn</w:t>
        </w:r>
      </w:hyperlink>
      <w:r>
        <w:rPr>
          <w:spacing w:val="-21"/>
        </w:rPr>
        <w:t> </w:t>
      </w:r>
      <w:r>
        <w:rPr/>
        <w:t>和《证券日报》），在此基础上，报告期内公司严格按照《内幕信息知情人登记管理</w:t>
      </w:r>
      <w:r>
        <w:rPr/>
        <w:t> </w:t>
      </w:r>
      <w:r>
        <w:rPr>
          <w:spacing w:val="-1"/>
        </w:rPr>
        <w:t>制度》控制内部信息的传递，认真做好内幕信息知情人的登记、备案、变更等工作；组织公司内董事、监</w:t>
      </w:r>
      <w:r>
        <w:rPr>
          <w:spacing w:val="-83"/>
        </w:rPr>
        <w:t> </w:t>
      </w:r>
      <w:r>
        <w:rPr>
          <w:spacing w:val="-83"/>
        </w:rPr>
      </w:r>
      <w:r>
        <w:rPr/>
        <w:t>事、高级管理人员以及可接触内幕信息的相关岗位员工学习相关法律法规和文件，提高相关人员的合规、 </w:t>
      </w:r>
      <w:r>
        <w:rPr>
          <w:spacing w:val="-1"/>
        </w:rPr>
        <w:t>保密意识，并将相关文件转发大股东、会计师事务所等外部机构，规范对外报送相关信息及外部信息使用</w:t>
      </w:r>
      <w:r>
        <w:rPr>
          <w:spacing w:val="-83"/>
        </w:rPr>
        <w:t> </w:t>
      </w:r>
      <w:r>
        <w:rPr>
          <w:spacing w:val="-83"/>
        </w:rPr>
      </w:r>
      <w:r>
        <w:rPr>
          <w:spacing w:val="-1"/>
        </w:rPr>
        <w:t>人使用公司信息的相关行为；报告期内，公司未发生内幕信息知情人在影响公司股价的重大敏感信息披露</w:t>
      </w:r>
      <w:r>
        <w:rPr>
          <w:spacing w:val="-81"/>
        </w:rPr>
        <w:t> </w:t>
      </w:r>
      <w:r>
        <w:rPr>
          <w:spacing w:val="-81"/>
        </w:rPr>
      </w:r>
      <w:r>
        <w:rPr/>
        <w:t>前利用内幕信息买卖公司股票的行为，也没有发生监管部门查处和需要整改的情况。</w:t>
      </w:r>
    </w:p>
    <w:p>
      <w:pPr>
        <w:spacing w:line="240" w:lineRule="auto" w:before="11"/>
        <w:rPr>
          <w:rFonts w:ascii="宋体" w:hAnsi="宋体" w:cs="宋体" w:eastAsia="宋体" w:hint="default"/>
          <w:sz w:val="18"/>
          <w:szCs w:val="18"/>
        </w:rPr>
      </w:pPr>
    </w:p>
    <w:p>
      <w:pPr>
        <w:pStyle w:val="Heading4"/>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center"/>
              <w:rPr>
                <w:rFonts w:ascii="宋体" w:hAnsi="宋体" w:cs="宋体" w:eastAsia="宋体" w:hint="default"/>
                <w:sz w:val="18"/>
                <w:szCs w:val="18"/>
              </w:rPr>
            </w:pPr>
            <w:r>
              <w:rPr>
                <w:rFonts w:ascii="宋体" w:hAnsi="宋体" w:cs="宋体" w:eastAsia="宋体" w:hint="default"/>
                <w:sz w:val="18"/>
                <w:szCs w:val="18"/>
              </w:rPr>
              <w:t>前述议案全部经审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2"/>
                <w:sz w:val="18"/>
                <w:szCs w:val="18"/>
              </w:rPr>
              <w:t>》</w:t>
            </w:r>
            <w:r>
              <w:rPr>
                <w:rFonts w:ascii="宋体" w:hAnsi="宋体" w:cs="宋体" w:eastAsia="宋体" w:hint="default"/>
                <w:sz w:val="18"/>
                <w:szCs w:val="18"/>
              </w:rPr>
              <w:t>及巨潮</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20"/>
        </w:sectPr>
      </w:pPr>
    </w:p>
    <w:p>
      <w:pPr>
        <w:spacing w:line="240" w:lineRule="auto" w:before="8"/>
        <w:rPr>
          <w:rFonts w:ascii="宋体" w:hAnsi="宋体" w:cs="宋体" w:eastAsia="宋体" w:hint="default"/>
          <w:b/>
          <w:bCs/>
          <w:sz w:val="26"/>
          <w:szCs w:val="26"/>
        </w:rPr>
      </w:pPr>
    </w:p>
    <w:p>
      <w:pPr>
        <w:spacing w:before="44"/>
        <w:ind w:left="0" w:right="169" w:firstLine="0"/>
        <w:jc w:val="right"/>
        <w:rPr>
          <w:rFonts w:ascii="宋体" w:hAnsi="宋体" w:cs="宋体" w:eastAsia="宋体" w:hint="default"/>
          <w:sz w:val="18"/>
          <w:szCs w:val="18"/>
        </w:rPr>
      </w:pPr>
      <w:r>
        <w:rPr/>
        <w:pict>
          <v:shape style="position:absolute;margin-left:56.459999pt;margin-top:1.191964pt;width:479.05pt;height:346.2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8"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度报告全文及摘</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议通过。</w:t>
                        </w: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资讯网，公告编号</w:t>
                        </w: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要</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06"/>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2012-015</w:t>
                        </w: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年度财务报告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润分配预案</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77"/>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年度董事会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年度监事会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年度独立董</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事工作报告</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177"/>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于董事会换届选举</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90"/>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t>《关于公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司更换会计师事务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10</w:t>
                        </w:r>
                        <w:r>
                          <w:rPr>
                            <w:rFonts w:ascii="宋体" w:hAnsi="宋体" w:cs="宋体" w:eastAsia="宋体" w:hint="default"/>
                            <w:spacing w:val="-131"/>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审计费用的议案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《关于第七届董</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事会独立董事薪酬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标准的议案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6552" w:lineRule="exact"/>
        <w:ind w:left="4943"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79.2pt;height:327.6pt;mso-position-horizontal-relative:char;mso-position-vertical-relative:line" coordorigin="0,0" coordsize="1584,6552">
            <v:group style="position:absolute;left:0;top:0;width:1584;height:6552" coordorigin="0,0" coordsize="1584,6552">
              <v:shape style="position:absolute;left:0;top:0;width:1584;height:6552" coordorigin="0,0" coordsize="1584,6552" path="m0,6552l1584,6552,1584,0,0,0,0,6552xe" filled="true" fillcolor="#ffffff" stroked="false">
                <v:path arrowok="t"/>
                <v:fill type="solid"/>
              </v:shape>
            </v:group>
          </v:group>
        </w:pict>
      </w:r>
      <w:r>
        <w:rPr>
          <w:rFonts w:ascii="宋体" w:hAnsi="宋体" w:cs="宋体" w:eastAsia="宋体" w:hint="default"/>
          <w:position w:val="-130"/>
          <w:sz w:val="20"/>
          <w:szCs w:val="20"/>
        </w:rPr>
      </w:r>
    </w:p>
    <w:p>
      <w:pPr>
        <w:spacing w:line="240" w:lineRule="auto" w:before="1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44"/>
        <w:ind w:left="0" w:right="169" w:firstLine="0"/>
        <w:jc w:val="right"/>
        <w:rPr>
          <w:rFonts w:ascii="宋体" w:hAnsi="宋体" w:cs="宋体" w:eastAsia="宋体" w:hint="default"/>
          <w:sz w:val="18"/>
          <w:szCs w:val="18"/>
        </w:rPr>
      </w:pPr>
      <w:r>
        <w:rPr/>
        <w:pict>
          <v:shape style="position:absolute;margin-left:56.459999pt;margin-top:-75.487892pt;width:479.05pt;height:292.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收购深圳艾特凡斯</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智能科技有限公司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0" w:lineRule="auto" w:before="6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、审议《关于变更 公司经营范围并修</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前述议案全部经审 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38"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2012-044</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改〈公司章程〉的议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、审议《关于变更</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公司经营范围的议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8"/>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pacing w:val="1"/>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9" w:lineRule="auto" w:before="15"/>
                          <w:ind w:left="23" w:right="20"/>
                          <w:jc w:val="both"/>
                          <w:rPr>
                            <w:rFonts w:ascii="宋体" w:hAnsi="宋体" w:cs="宋体" w:eastAsia="宋体" w:hint="default"/>
                            <w:sz w:val="18"/>
                            <w:szCs w:val="18"/>
                          </w:rPr>
                        </w:pPr>
                        <w:r>
                          <w:rPr>
                            <w:rFonts w:ascii="宋体" w:hAnsi="宋体" w:cs="宋体" w:eastAsia="宋体" w:hint="default"/>
                            <w:spacing w:val="-10"/>
                            <w:sz w:val="18"/>
                            <w:szCs w:val="18"/>
                          </w:rPr>
                          <w:t>修改〈公司章程〉的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、审议《关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于修改公司〈股东大</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119"/>
                          <w:jc w:val="left"/>
                          <w:rPr>
                            <w:rFonts w:ascii="宋体" w:hAnsi="宋体" w:cs="宋体" w:eastAsia="宋体" w:hint="default"/>
                            <w:sz w:val="18"/>
                            <w:szCs w:val="18"/>
                          </w:rPr>
                        </w:pPr>
                        <w:r>
                          <w:rPr>
                            <w:rFonts w:ascii="宋体" w:hAnsi="宋体" w:cs="宋体" w:eastAsia="宋体" w:hint="default"/>
                            <w:sz w:val="18"/>
                            <w:szCs w:val="18"/>
                          </w:rPr>
                          <w:t>前述议案全部经审 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38"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2012-051</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会议事规则〉的议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w:t>
                        </w:r>
                        <w:r>
                          <w:rPr>
                            <w:rFonts w:ascii="宋体" w:hAnsi="宋体" w:cs="宋体" w:eastAsia="宋体" w:hint="default"/>
                            <w:spacing w:val="-90"/>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司章程〉补充修订</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6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209" w:firstLine="0"/>
        <w:jc w:val="right"/>
        <w:rPr>
          <w:rFonts w:ascii="宋体" w:hAnsi="宋体" w:cs="宋体" w:eastAsia="宋体" w:hint="default"/>
          <w:sz w:val="18"/>
          <w:szCs w:val="18"/>
        </w:rPr>
      </w:pPr>
      <w:r>
        <w:rPr/>
        <w:pict>
          <v:shape style="position:absolute;margin-left:56.459999pt;margin-top:-34.508049pt;width:479.05pt;height:214.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、审议《关于利用 自有资金委托理财 </w:t>
                        </w:r>
                        <w:r>
                          <w:rPr>
                            <w:rFonts w:ascii="宋体" w:hAnsi="宋体" w:cs="宋体" w:eastAsia="宋体" w:hint="default"/>
                            <w:spacing w:val="-18"/>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前述议案经审议通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2012-060</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、审议《关于重新</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聘请代办机构办理</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股票恢复上市及委</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托代办股份转让的 </w:t>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、审议《关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于控股子公司深圳</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前述议案全部经审 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38" w:lineRule="auto" w:before="1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2012-069</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艾特凡斯智能科技</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有限公司变更经营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范围的议案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2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4"/>
        <w:spacing w:line="240" w:lineRule="auto"/>
        <w:ind w:right="88"/>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360" w:lineRule="auto" w:before="51"/>
        <w:ind w:left="153" w:right="7111"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pStyle w:val="Heading5"/>
        <w:spacing w:line="240" w:lineRule="auto"/>
        <w:ind w:right="88"/>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88"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53" w:right="6031"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3"/>
        <w:rPr>
          <w:rFonts w:ascii="宋体" w:hAnsi="宋体" w:cs="宋体" w:eastAsia="宋体" w:hint="default"/>
          <w:sz w:val="19"/>
          <w:szCs w:val="19"/>
        </w:rPr>
      </w:pPr>
    </w:p>
    <w:p>
      <w:pPr>
        <w:pStyle w:val="Heading5"/>
        <w:spacing w:line="240" w:lineRule="auto"/>
        <w:ind w:right="88"/>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88"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3" w:right="8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2"/>
        <w:rPr>
          <w:rFonts w:ascii="宋体" w:hAnsi="宋体" w:cs="宋体" w:eastAsia="宋体" w:hint="default"/>
          <w:sz w:val="12"/>
          <w:szCs w:val="12"/>
        </w:rPr>
      </w:pPr>
    </w:p>
    <w:p>
      <w:pPr>
        <w:pStyle w:val="BodyText"/>
        <w:spacing w:line="408" w:lineRule="auto"/>
        <w:ind w:left="636" w:right="88" w:hanging="483"/>
        <w:jc w:val="left"/>
      </w:pPr>
      <w:r>
        <w:rPr/>
        <w:t>独立董事对公司有关建议被采纳或未被采纳的说明 公司独立董事关注公司运作，独立履行职责，对报告期内公司发生的换届选举、聘请高级管理人员、</w:t>
      </w:r>
    </w:p>
    <w:p>
      <w:pPr>
        <w:spacing w:after="0" w:line="408"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收购艾特凡斯、委托理财等事项均发表了独立公正意见，对完善公司治理结构，维护公司及全体股东的权</w:t>
      </w:r>
      <w:r>
        <w:rPr>
          <w:spacing w:val="-83"/>
        </w:rPr>
        <w:t> </w:t>
      </w:r>
      <w:r>
        <w:rPr>
          <w:spacing w:val="-83"/>
        </w:rPr>
      </w:r>
      <w:r>
        <w:rPr/>
        <w:t>益发挥了积极的作用。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4"/>
        <w:spacing w:line="240" w:lineRule="auto" w:before="0"/>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70" w:firstLine="420"/>
        <w:jc w:val="left"/>
      </w:pPr>
      <w:r>
        <w:rPr/>
        <w:t>1、审计委员会：公司董事会审计委员会由6名董事组成，其中3名独立董事，由具有专业会计背景的 独立董事刘玉平先生担任主任委员。报告期内，公司董事会审计委员会对公司内部控制、重大投资计划、 财务审计、定期报告、聘请年报审计机构等相关事项进行了审查与监督。有关情况如下：（1）对公司重</w:t>
      </w:r>
      <w:r>
        <w:rPr>
          <w:spacing w:val="-1"/>
        </w:rPr>
        <w:t> </w:t>
      </w:r>
      <w:r>
        <w:rPr/>
        <w:t>大投资项目（如;收购艾特凡斯51%股权、委托理财等项目）提出专业意见；（2）公司审计委员会认真审</w:t>
      </w:r>
      <w:r>
        <w:rPr/>
        <w:t> </w:t>
      </w:r>
      <w:r>
        <w:rPr>
          <w:spacing w:val="-1"/>
        </w:rPr>
        <w:t>阅了公司2012年度审计工作计划及相关资料，与负责公司年度审计工作的立信会计师事务所注册会计师进</w:t>
      </w:r>
      <w:r>
        <w:rPr>
          <w:spacing w:val="-81"/>
        </w:rPr>
        <w:t> </w:t>
      </w:r>
      <w:r>
        <w:rPr>
          <w:spacing w:val="-81"/>
        </w:rPr>
      </w:r>
      <w:r>
        <w:rPr/>
        <w:t>行了沟通和协商，确定了公司2012年度财务报告审计工作的时间安排；（3）在年审注册会计师进场前认</w:t>
      </w:r>
      <w:r>
        <w:rPr/>
        <w:t> 真审阅了公司初步编制的财务会计报表，并出具了书面审议意见；（4）公司年审注册会计师进场后，董</w:t>
      </w:r>
      <w:r>
        <w:rPr>
          <w:spacing w:val="-1"/>
        </w:rPr>
        <w:t> </w:t>
      </w:r>
      <w:r>
        <w:rPr/>
        <w:t>事会审计委员会与公司年审注册会计师就审计过程中发现的问题以及审计报告提交的时间进行了沟通和</w:t>
      </w:r>
      <w:r>
        <w:rPr/>
        <w:t> 交流；（5）公司年审注册会计师出具初步审计意见后，董事会审计委员会再一次审阅了公司2012年度财 务会计报表，并形成书面审议意见；（6）在立信会计师事务所出具2012年度审计报告后，董事会审计委 员会对立信会计师事务所从事本年度公司的审计工作进行了总结。</w:t>
      </w:r>
    </w:p>
    <w:p>
      <w:pPr>
        <w:pStyle w:val="BodyText"/>
        <w:spacing w:line="408" w:lineRule="auto" w:before="46"/>
        <w:ind w:right="101" w:firstLine="420"/>
        <w:jc w:val="left"/>
      </w:pPr>
      <w:r>
        <w:rPr/>
        <w:t>2、薪酬与考核委员会：报告期内，公司董事会薪酬与考核委员会按照</w:t>
      </w:r>
      <w:r>
        <w:rPr>
          <w:spacing w:val="-15"/>
        </w:rPr>
        <w:t> </w:t>
      </w:r>
      <w:r>
        <w:rPr/>
        <w:t>《董事会薪酬与考核委员会工</w:t>
      </w:r>
      <w:r>
        <w:rPr/>
        <w:t> </w:t>
      </w:r>
      <w:r>
        <w:rPr>
          <w:spacing w:val="-3"/>
        </w:rPr>
        <w:t>作细则》认真履行职责，对公司年度报告中董事、监事和高管人员所披露薪酬事项进行了审核。报告期内，</w:t>
      </w:r>
      <w:r>
        <w:rPr>
          <w:spacing w:val="-96"/>
        </w:rPr>
        <w:t> </w:t>
      </w:r>
      <w:r>
        <w:rPr>
          <w:spacing w:val="-96"/>
        </w:rPr>
      </w:r>
      <w:r>
        <w:rPr/>
        <w:t>督促公司根据发展要求，认真研究对公司经营层和控股公司经营班子的考核办法和自身的薪酬体系。</w:t>
      </w:r>
    </w:p>
    <w:p>
      <w:pPr>
        <w:pStyle w:val="BodyText"/>
        <w:spacing w:line="408" w:lineRule="auto" w:before="46"/>
        <w:ind w:right="0" w:firstLine="420"/>
        <w:jc w:val="left"/>
      </w:pPr>
      <w:r>
        <w:rPr/>
        <w:t>3、提名委员会：报告期内，公司董事会提名委员会按照《提名委员会工作细则》认真履行职责。在 </w:t>
      </w:r>
      <w:r>
        <w:rPr>
          <w:spacing w:val="-1"/>
        </w:rPr>
        <w:t>报告期内进行了董事会和管理层换届。公司董事会提名委员会在相关会议前对所有拟任人选进行了认真审</w:t>
      </w:r>
      <w:r>
        <w:rPr>
          <w:spacing w:val="-81"/>
        </w:rPr>
        <w:t> </w:t>
      </w:r>
      <w:r>
        <w:rPr>
          <w:spacing w:val="-81"/>
        </w:rPr>
      </w:r>
      <w:r>
        <w:rPr/>
        <w:t>核。</w:t>
      </w:r>
    </w:p>
    <w:p>
      <w:pPr>
        <w:pStyle w:val="BodyText"/>
        <w:spacing w:line="408" w:lineRule="auto" w:before="46"/>
        <w:ind w:right="0" w:firstLine="420"/>
        <w:jc w:val="left"/>
      </w:pPr>
      <w:r>
        <w:rPr/>
        <w:t>4、战略委员会：报告期内，公司董事会战略委员会按照相关规定切实履行职责。对公司2013年发展 </w:t>
      </w:r>
      <w:r>
        <w:rPr>
          <w:spacing w:val="-1"/>
        </w:rPr>
        <w:t>规划进行了认真详细的了解和讨论，并对公司长期发展规划进行了讨论。公司战略委员会各位成员充分发</w:t>
      </w:r>
      <w:r>
        <w:rPr>
          <w:spacing w:val="-81"/>
        </w:rPr>
        <w:t> </w:t>
      </w:r>
      <w:r>
        <w:rPr>
          <w:spacing w:val="-81"/>
        </w:rPr>
      </w:r>
      <w:r>
        <w:rPr/>
        <w:t>挥了各自职责。</w:t>
      </w:r>
    </w:p>
    <w:p>
      <w:pPr>
        <w:spacing w:line="240" w:lineRule="auto" w:before="11"/>
        <w:rPr>
          <w:rFonts w:ascii="宋体" w:hAnsi="宋体" w:cs="宋体" w:eastAsia="宋体" w:hint="default"/>
          <w:sz w:val="18"/>
          <w:szCs w:val="18"/>
        </w:rPr>
      </w:pPr>
    </w:p>
    <w:p>
      <w:pPr>
        <w:pStyle w:val="Heading4"/>
        <w:spacing w:line="240" w:lineRule="auto" w:before="0"/>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6771"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after="0" w:line="36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30"/>
          <w:szCs w:val="30"/>
        </w:rPr>
      </w:pPr>
    </w:p>
    <w:p>
      <w:pPr>
        <w:pStyle w:val="BodyText"/>
        <w:spacing w:line="441" w:lineRule="auto"/>
        <w:ind w:left="574" w:right="215"/>
        <w:jc w:val="left"/>
      </w:pPr>
      <w:r>
        <w:rPr/>
        <w:t>公司与控股股东物华实业有限公司在业务、人员、资产、机构、财务上始终做到严格分开。 1、业务方面：公司具有独立、完整的开展业务的资产、人力、资质，具有自主经营的能力，各项业</w:t>
      </w:r>
    </w:p>
    <w:p>
      <w:pPr>
        <w:pStyle w:val="BodyText"/>
        <w:spacing w:line="444" w:lineRule="auto" w:before="18"/>
        <w:ind w:left="574" w:right="215" w:hanging="420"/>
        <w:jc w:val="left"/>
      </w:pPr>
      <w:r>
        <w:rPr/>
        <w:t>务均独立于控股股东，与控股股东不存在同业竞争。</w:t>
      </w:r>
      <w:r>
        <w:rPr>
          <w:spacing w:val="-1"/>
        </w:rPr>
        <w:t> </w:t>
      </w:r>
      <w:r>
        <w:rPr/>
        <w:t>2、人员方面：公司建立了独立的人事制度和完整的工资管理体系，拥有独立的员工队伍。公司的总</w:t>
      </w:r>
    </w:p>
    <w:p>
      <w:pPr>
        <w:pStyle w:val="BodyText"/>
        <w:spacing w:line="410" w:lineRule="auto" w:before="14"/>
        <w:ind w:right="0"/>
        <w:jc w:val="left"/>
      </w:pPr>
      <w:r>
        <w:rPr>
          <w:spacing w:val="-1"/>
        </w:rPr>
        <w:t>裁、副总裁、总会计师、董事会秘书等高级管理人员均在本公司专职工作并领取报酬，没有在股东单位担</w:t>
      </w:r>
      <w:r>
        <w:rPr>
          <w:spacing w:val="-82"/>
        </w:rPr>
        <w:t> </w:t>
      </w:r>
      <w:r>
        <w:rPr>
          <w:spacing w:val="-82"/>
        </w:rPr>
      </w:r>
      <w:r>
        <w:rPr/>
        <w:t>任除董事以外的其他职务。</w:t>
      </w:r>
    </w:p>
    <w:p>
      <w:pPr>
        <w:pStyle w:val="BodyText"/>
        <w:spacing w:line="410" w:lineRule="auto" w:before="82"/>
        <w:ind w:right="215" w:firstLine="420"/>
        <w:jc w:val="left"/>
      </w:pPr>
      <w:r>
        <w:rPr/>
        <w:t>3、资产方面：公司资产完整、独立、产权关系明确。不存在资产资金被控股股东占用的情况，公司 资产完全独立于控股股东。</w:t>
      </w:r>
    </w:p>
    <w:p>
      <w:pPr>
        <w:pStyle w:val="BodyText"/>
        <w:spacing w:line="410" w:lineRule="auto" w:before="82"/>
        <w:ind w:right="215" w:firstLine="420"/>
        <w:jc w:val="left"/>
      </w:pPr>
      <w:r>
        <w:rPr/>
        <w:t>4、机构方面：公司建立和完善了法人治理结构，拥有独立于控股股东的组织机构体系，公司股东大 会、董事会、监事会均独立运作。</w:t>
      </w:r>
    </w:p>
    <w:p>
      <w:pPr>
        <w:pStyle w:val="BodyText"/>
        <w:spacing w:line="410" w:lineRule="auto" w:before="83"/>
        <w:ind w:right="215" w:firstLine="420"/>
        <w:jc w:val="left"/>
      </w:pPr>
      <w:r>
        <w:rPr/>
        <w:t>5、财务方面：公司拥有独立的财务部门，建立了独立的财务核算体系和财务管理制度。公司独立开 设银行账户，依法独立纳税，并独立进行财务决策。</w:t>
      </w:r>
    </w:p>
    <w:p>
      <w:pPr>
        <w:spacing w:line="240" w:lineRule="auto" w:before="6"/>
        <w:rPr>
          <w:rFonts w:ascii="宋体" w:hAnsi="宋体" w:cs="宋体" w:eastAsia="宋体" w:hint="default"/>
          <w:sz w:val="18"/>
          <w:szCs w:val="18"/>
        </w:rPr>
      </w:pPr>
    </w:p>
    <w:p>
      <w:pPr>
        <w:pStyle w:val="Heading4"/>
        <w:spacing w:line="240" w:lineRule="auto" w:before="0"/>
        <w:ind w:right="1619"/>
        <w:jc w:val="left"/>
        <w:rPr>
          <w:b w:val="0"/>
          <w:bCs w:val="0"/>
        </w:rPr>
      </w:pPr>
      <w:r>
        <w:rPr/>
        <w:t>七、高级管理人员的考评及激励情况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0" w:firstLine="420"/>
        <w:jc w:val="left"/>
      </w:pPr>
      <w:r>
        <w:rPr>
          <w:spacing w:val="-1"/>
        </w:rPr>
        <w:t>公司高级管理人员由董事会聘任，高级管理人员对董事会负责，接受董事会的考评和奖惩，接受独立</w:t>
      </w:r>
      <w:r>
        <w:rPr/>
        <w:t> 董事、监事会的监督和检查。</w:t>
      </w:r>
    </w:p>
    <w:p>
      <w:pPr>
        <w:spacing w:after="0" w:line="41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3591" w:right="3647"/>
        <w:jc w:val="center"/>
        <w:rPr>
          <w:b w:val="0"/>
          <w:bCs w:val="0"/>
        </w:rPr>
      </w:pPr>
      <w:r>
        <w:rPr/>
        <w:t>第九节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3" w:right="171" w:firstLine="420"/>
        <w:jc w:val="left"/>
      </w:pPr>
      <w:r>
        <w:rPr>
          <w:spacing w:val="-1"/>
        </w:rPr>
        <w:t>报告期内，为贯彻实施财政部、中国证监会等五部委颁布的《企业内部控制基本规范》及相关配套指</w:t>
      </w:r>
      <w:r>
        <w:rPr/>
        <w:t> 引，公司根据中国证监会的部署和江苏监管局要求，积极推进本公司内部控制规范体系的建设：1、成立 </w:t>
      </w:r>
      <w:r>
        <w:rPr>
          <w:spacing w:val="-3"/>
        </w:rPr>
        <w:t>内控工作领导小组和实施小组，制定《内部控制规范实施工作方案》，召开实施内部控制规范体系动员会</w:t>
      </w:r>
      <w:r>
        <w:rPr>
          <w:spacing w:val="-74"/>
        </w:rPr>
        <w:t> </w:t>
      </w:r>
      <w:r>
        <w:rPr>
          <w:spacing w:val="-74"/>
        </w:rPr>
      </w:r>
      <w:r>
        <w:rPr/>
        <w:t>及相关会议；2、通过访谈、调查问卷、座谈会等方式开展风险识别和评估；3、全面梳理公司业务流程，</w:t>
      </w:r>
      <w:r>
        <w:rPr/>
        <w:t> </w:t>
      </w:r>
      <w:r>
        <w:rPr>
          <w:spacing w:val="-1"/>
        </w:rPr>
        <w:t>查找内控缺陷，确定内控缺陷评价标准，对内控缺陷进行了分类分析和汇总；其他工作也正有序进行。目</w:t>
      </w:r>
      <w:r>
        <w:rPr>
          <w:spacing w:val="-82"/>
        </w:rPr>
        <w:t> </w:t>
      </w:r>
      <w:r>
        <w:rPr>
          <w:spacing w:val="-82"/>
        </w:rPr>
      </w:r>
      <w:r>
        <w:rPr>
          <w:spacing w:val="-1"/>
        </w:rPr>
        <w:t>前，公司己建立了一套完整的涵盖经营、财务管理、人力资源管理，投资管理、关联交易、对外担保、信</w:t>
      </w:r>
      <w:r>
        <w:rPr>
          <w:spacing w:val="-85"/>
        </w:rPr>
        <w:t> </w:t>
      </w:r>
      <w:r>
        <w:rPr>
          <w:spacing w:val="-85"/>
        </w:rPr>
      </w:r>
      <w:r>
        <w:rPr/>
        <w:t>息沟通与披露等方面的内部控制制度，基本涉及了公司经营管理活动的所有运营环节，并得到有效执行， </w:t>
      </w:r>
      <w:r>
        <w:rPr>
          <w:spacing w:val="-1"/>
        </w:rPr>
        <w:t>基本符合国家有关法规和证券监管部门的要求，符合财政部《企业内部控制基本规范》及配套指引的有关</w:t>
      </w:r>
      <w:r>
        <w:rPr>
          <w:spacing w:val="-83"/>
        </w:rPr>
        <w:t> </w:t>
      </w:r>
      <w:r>
        <w:rPr>
          <w:spacing w:val="-83"/>
        </w:rPr>
      </w:r>
      <w:r>
        <w:rPr/>
        <w:t>规定。</w:t>
      </w:r>
    </w:p>
    <w:p>
      <w:pPr>
        <w:spacing w:line="240" w:lineRule="auto" w:before="10"/>
        <w:rPr>
          <w:rFonts w:ascii="宋体" w:hAnsi="宋体" w:cs="宋体" w:eastAsia="宋体" w:hint="default"/>
          <w:sz w:val="18"/>
          <w:szCs w:val="18"/>
        </w:rPr>
      </w:pPr>
    </w:p>
    <w:p>
      <w:pPr>
        <w:pStyle w:val="Heading4"/>
        <w:spacing w:line="240" w:lineRule="auto" w:before="0"/>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11" w:firstLine="420"/>
        <w:jc w:val="both"/>
      </w:pPr>
      <w:r>
        <w:rPr>
          <w:spacing w:val="-1"/>
        </w:rPr>
        <w:t>公司董事会及全体董事保证本报告内容不存在任何虚假记载、误导性陈述或重大遗漏，并对报告内容</w:t>
      </w:r>
      <w:r>
        <w:rPr/>
        <w:t> </w:t>
      </w:r>
      <w:r>
        <w:rPr>
          <w:spacing w:val="-1"/>
        </w:rPr>
        <w:t>的真实性、准确性和完整性承担个别及连带责任。建立健全并有效实施内部控制是公司董事会的责任，监</w:t>
      </w:r>
      <w:r>
        <w:rPr>
          <w:spacing w:val="-83"/>
        </w:rPr>
        <w:t> </w:t>
      </w:r>
      <w:r>
        <w:rPr>
          <w:spacing w:val="-83"/>
        </w:rPr>
      </w:r>
      <w:r>
        <w:rPr>
          <w:spacing w:val="-1"/>
        </w:rPr>
        <w:t>事会对董事会建立与实施内部控制进行监督；管理层负责组织领导公司内部控制的日常运行。公司按照保</w:t>
      </w:r>
      <w:r>
        <w:rPr>
          <w:spacing w:val="-81"/>
        </w:rPr>
        <w:t> </w:t>
      </w:r>
      <w:r>
        <w:rPr>
          <w:spacing w:val="-81"/>
        </w:rPr>
      </w:r>
      <w:r>
        <w:rPr>
          <w:spacing w:val="-1"/>
        </w:rPr>
        <w:t>证经营管理合法合规、财务报告及相关信息真实完整、资产安全、提高经营效率和效果，促进公司战略目</w:t>
      </w:r>
      <w:r>
        <w:rPr>
          <w:spacing w:val="-82"/>
        </w:rPr>
        <w:t> </w:t>
      </w:r>
      <w:r>
        <w:rPr>
          <w:spacing w:val="-82"/>
        </w:rPr>
      </w:r>
      <w:r>
        <w:rPr>
          <w:spacing w:val="-1"/>
        </w:rPr>
        <w:t>标实现的内部控制目标，建立健全了内部控制规范，贯彻实施了相关控制措施。由于内部控制存在固有局</w:t>
      </w:r>
      <w:r>
        <w:rPr>
          <w:spacing w:val="-83"/>
        </w:rPr>
        <w:t> </w:t>
      </w:r>
      <w:r>
        <w:rPr>
          <w:spacing w:val="-83"/>
        </w:rPr>
      </w:r>
      <w:r>
        <w:rPr/>
        <w:t>限性，故仅能对实现上述目标提供合理保证。</w:t>
      </w:r>
    </w:p>
    <w:p>
      <w:pPr>
        <w:spacing w:line="240" w:lineRule="auto" w:before="10"/>
        <w:rPr>
          <w:rFonts w:ascii="宋体" w:hAnsi="宋体" w:cs="宋体" w:eastAsia="宋体" w:hint="default"/>
          <w:sz w:val="18"/>
          <w:szCs w:val="18"/>
        </w:rPr>
      </w:pPr>
    </w:p>
    <w:p>
      <w:pPr>
        <w:pStyle w:val="Heading4"/>
        <w:spacing w:line="240" w:lineRule="auto" w:before="0"/>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104" w:firstLine="420"/>
        <w:jc w:val="both"/>
      </w:pPr>
      <w:r>
        <w:rPr>
          <w:spacing w:val="-10"/>
        </w:rPr>
        <w:t>本内部控制评价报告主要依据《企业内部控制基本规范》、《企业内部控制应用指引》、《企业内部控制</w:t>
      </w:r>
      <w:r>
        <w:rPr/>
        <w:t> 评价指引》的要求，结合公司自身内部控制制度和评价办法,遵循全面性、重要性、客观性原则,在内部控 制日常监督和专项监督的基础上,对公司截至</w:t>
      </w:r>
      <w:r>
        <w:rPr>
          <w:spacing w:val="-75"/>
        </w:rPr>
        <w:t> </w:t>
      </w:r>
      <w:r>
        <w:rPr/>
        <w:t>2012</w:t>
      </w:r>
      <w:r>
        <w:rPr>
          <w:spacing w:val="-75"/>
        </w:rPr>
        <w:t> </w:t>
      </w:r>
      <w:r>
        <w:rPr/>
        <w:t>年</w:t>
      </w:r>
      <w:r>
        <w:rPr>
          <w:spacing w:val="-75"/>
        </w:rPr>
        <w:t> </w:t>
      </w:r>
      <w:r>
        <w:rPr/>
        <w:t>12</w:t>
      </w:r>
      <w:r>
        <w:rPr>
          <w:spacing w:val="-75"/>
        </w:rPr>
        <w:t> </w:t>
      </w:r>
      <w:r>
        <w:rPr/>
        <w:t>月</w:t>
      </w:r>
      <w:r>
        <w:rPr>
          <w:spacing w:val="-76"/>
        </w:rPr>
        <w:t> </w:t>
      </w:r>
      <w:r>
        <w:rPr/>
        <w:t>31</w:t>
      </w:r>
      <w:r>
        <w:rPr>
          <w:spacing w:val="-76"/>
        </w:rPr>
        <w:t> </w:t>
      </w:r>
      <w:r>
        <w:rPr/>
        <w:t>日内部控制的设计与运行的有效性进行评价。</w:t>
      </w:r>
    </w:p>
    <w:p>
      <w:pPr>
        <w:spacing w:line="240" w:lineRule="auto" w:before="7"/>
        <w:rPr>
          <w:rFonts w:ascii="宋体" w:hAnsi="宋体" w:cs="宋体" w:eastAsia="宋体" w:hint="default"/>
          <w:sz w:val="18"/>
          <w:szCs w:val="18"/>
        </w:rPr>
      </w:pPr>
    </w:p>
    <w:p>
      <w:pPr>
        <w:pStyle w:val="Heading4"/>
        <w:spacing w:line="240" w:lineRule="auto" w:before="0"/>
        <w:ind w:right="0"/>
        <w:jc w:val="left"/>
        <w:rPr>
          <w:b w:val="0"/>
          <w:bCs w:val="0"/>
        </w:rPr>
      </w:pPr>
      <w:r>
        <w:rPr/>
        <w:t>四、内部控制自我评价报告</w:t>
      </w:r>
      <w:r>
        <w:rPr>
          <w:b w:val="0"/>
          <w:bCs w:val="0"/>
        </w:rPr>
      </w:r>
    </w:p>
    <w:p>
      <w:pPr>
        <w:spacing w:line="240" w:lineRule="auto" w:before="0"/>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50pt;mso-position-horizontal-relative:char;mso-position-vertical-relative:line" type="#_x0000_t202" filled="true" fillcolor="#d3d3d3" stroked="true" strokeweight=".47998pt" strokecolor="#000000">
            <w10:anchorlock/>
            <v:textbox inset="0,0,0,0">
              <w:txbxContent>
                <w:p>
                  <w:pPr>
                    <w:spacing w:before="51"/>
                    <w:ind w:left="1988" w:right="0" w:firstLine="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45"/>
        <w:gridCol w:w="6922"/>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报告期内，公司未发现内部控制的重大缺陷。</w:t>
            </w:r>
          </w:p>
        </w:tc>
      </w:tr>
      <w:tr>
        <w:trPr>
          <w:trHeight w:val="714"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巨潮资讯网《远东实业股份有限公司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年度内部控制自我评价报告》</w:t>
            </w:r>
          </w:p>
        </w:tc>
      </w:tr>
    </w:tbl>
    <w:p>
      <w:pPr>
        <w:spacing w:line="240" w:lineRule="auto" w:before="2"/>
        <w:rPr>
          <w:rFonts w:ascii="宋体" w:hAnsi="宋体" w:cs="宋体" w:eastAsia="宋体" w:hint="default"/>
          <w:b/>
          <w:bCs/>
          <w:sz w:val="18"/>
          <w:szCs w:val="18"/>
        </w:rPr>
      </w:pPr>
    </w:p>
    <w:p>
      <w:pPr>
        <w:pStyle w:val="Heading4"/>
        <w:spacing w:line="240" w:lineRule="auto"/>
        <w:ind w:right="1619"/>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5451" w:firstLine="0"/>
        <w:jc w:val="left"/>
        <w:rPr>
          <w:rFonts w:ascii="宋体" w:hAnsi="宋体" w:cs="宋体" w:eastAsia="宋体" w:hint="default"/>
          <w:sz w:val="18"/>
          <w:szCs w:val="18"/>
        </w:rPr>
      </w:pPr>
      <w:r>
        <w:rPr>
          <w:rFonts w:ascii="宋体" w:hAnsi="宋体" w:cs="宋体" w:eastAsia="宋体" w:hint="default"/>
          <w:sz w:val="18"/>
          <w:szCs w:val="18"/>
        </w:rPr>
        <w:t>□ 适用 √ 不适用 会计师事务所是否出具非标准意见的内部控制审计报告</w:t>
      </w:r>
    </w:p>
    <w:p>
      <w:pPr>
        <w:spacing w:before="26"/>
        <w:ind w:left="153" w:right="1619"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4"/>
        <w:spacing w:line="240" w:lineRule="auto" w:before="0"/>
        <w:ind w:right="1619"/>
        <w:jc w:val="left"/>
        <w:rPr>
          <w:b w:val="0"/>
          <w:bCs w:val="0"/>
        </w:rPr>
      </w:pP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3" w:right="150" w:firstLine="420"/>
        <w:jc w:val="both"/>
      </w:pPr>
      <w:r>
        <w:rPr/>
        <w:t>为了提高公司的规范运作水平，强化内控建设，2010</w:t>
      </w:r>
      <w:r>
        <w:rPr>
          <w:spacing w:val="-60"/>
        </w:rPr>
        <w:t> </w:t>
      </w:r>
      <w:r>
        <w:rPr/>
        <w:t>年</w:t>
      </w:r>
      <w:r>
        <w:rPr>
          <w:spacing w:val="-60"/>
        </w:rPr>
        <w:t> </w:t>
      </w:r>
      <w:r>
        <w:rPr/>
        <w:t>4</w:t>
      </w:r>
      <w:r>
        <w:rPr>
          <w:spacing w:val="-60"/>
        </w:rPr>
        <w:t> </w:t>
      </w:r>
      <w:r>
        <w:rPr/>
        <w:t>月</w:t>
      </w:r>
      <w:r>
        <w:rPr>
          <w:spacing w:val="-60"/>
        </w:rPr>
        <w:t> </w:t>
      </w:r>
      <w:r>
        <w:rPr/>
        <w:t>21</w:t>
      </w:r>
      <w:r>
        <w:rPr>
          <w:spacing w:val="-59"/>
        </w:rPr>
        <w:t> </w:t>
      </w:r>
      <w:r>
        <w:rPr/>
        <w:t>日，公司第六届董事会第十六次会议</w:t>
      </w:r>
      <w:r>
        <w:rPr>
          <w:spacing w:val="-1"/>
        </w:rPr>
        <w:t> </w:t>
      </w:r>
      <w:r>
        <w:rPr>
          <w:spacing w:val="-3"/>
        </w:rPr>
        <w:t>审议通过了公司《年报信息披露重大差错责任追究制度》。进一步为信息披露的真实性、准确性、完整性</w:t>
      </w:r>
      <w:r>
        <w:rPr>
          <w:spacing w:val="-74"/>
        </w:rPr>
        <w:t> </w:t>
      </w:r>
      <w:r>
        <w:rPr>
          <w:spacing w:val="-74"/>
        </w:rPr>
      </w:r>
      <w:r>
        <w:rPr/>
        <w:t>和及时性提供了制度保障，在 2011、2012</w:t>
      </w:r>
      <w:r>
        <w:rPr>
          <w:spacing w:val="-55"/>
        </w:rPr>
        <w:t> </w:t>
      </w:r>
      <w:r>
        <w:rPr/>
        <w:t>年度报告编制期间，公司保持与年审会计师进行充分沟通，公</w:t>
      </w:r>
      <w:r>
        <w:rPr/>
        <w:t> </w:t>
      </w:r>
      <w:r>
        <w:rPr>
          <w:spacing w:val="-1"/>
        </w:rPr>
        <w:t>司董事会审计委员会和独立董事就报告期内有关重大事项做了关注和探讨，公司建立了严格的内幕信息知</w:t>
      </w:r>
      <w:r>
        <w:rPr>
          <w:spacing w:val="-81"/>
        </w:rPr>
        <w:t> </w:t>
      </w:r>
      <w:r>
        <w:rPr>
          <w:spacing w:val="-81"/>
        </w:rPr>
      </w:r>
      <w:r>
        <w:rPr/>
        <w:t>情人登记管理制度，年报编制部门通力合作，提高了年报信息披露的质量和透明度。</w:t>
      </w:r>
    </w:p>
    <w:p>
      <w:pPr>
        <w:pStyle w:val="BodyText"/>
        <w:spacing w:line="240" w:lineRule="auto" w:before="85"/>
        <w:ind w:left="573" w:right="1619"/>
        <w:jc w:val="left"/>
      </w:pPr>
      <w:r>
        <w:rPr/>
        <w:t>2012</w:t>
      </w:r>
      <w:r>
        <w:rPr>
          <w:spacing w:val="-54"/>
        </w:rPr>
        <w:t> </w:t>
      </w:r>
      <w:r>
        <w:rPr/>
        <w:t>年，公司未出现年报披露的重大差错事项。</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3751" w:right="3847"/>
        <w:jc w:val="center"/>
        <w:rPr>
          <w:b w:val="0"/>
          <w:bCs w:val="0"/>
        </w:rPr>
      </w:pP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10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510045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before="51"/>
        <w:ind w:left="3750" w:right="384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1"/>
        <w:spacing w:line="240" w:lineRule="auto" w:before="125"/>
        <w:ind w:left="3750" w:right="3847"/>
        <w:jc w:val="center"/>
        <w:rPr>
          <w:b w:val="0"/>
          <w:bCs w:val="0"/>
        </w:rPr>
      </w:pPr>
      <w:r>
        <w:rPr/>
        <w:t>审 计 报</w:t>
      </w:r>
      <w:r>
        <w:rPr>
          <w:spacing w:val="-87"/>
        </w:rPr>
        <w:t> </w:t>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35"/>
        <w:ind w:left="0" w:right="251"/>
        <w:jc w:val="right"/>
      </w:pPr>
      <w:r>
        <w:rPr>
          <w:spacing w:val="-1"/>
        </w:rPr>
        <w:t>信会师报字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510045</w:t>
      </w:r>
      <w:r>
        <w:rPr>
          <w:spacing w:val="-1"/>
        </w:rPr>
        <w:t>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13"/>
        <w:ind w:left="154" w:right="103"/>
        <w:jc w:val="left"/>
        <w:rPr>
          <w:b w:val="0"/>
          <w:bCs w:val="0"/>
        </w:rPr>
      </w:pPr>
      <w:r>
        <w:rPr/>
        <w:t>远东实业股份有限公司全体股东：</w:t>
      </w:r>
      <w:r>
        <w:rPr>
          <w:b w:val="0"/>
          <w:bCs w:val="0"/>
        </w:rPr>
      </w:r>
    </w:p>
    <w:p>
      <w:pPr>
        <w:spacing w:line="240" w:lineRule="auto" w:before="0"/>
        <w:rPr>
          <w:rFonts w:ascii="宋体" w:hAnsi="宋体" w:cs="宋体" w:eastAsia="宋体" w:hint="default"/>
          <w:b/>
          <w:bCs/>
          <w:sz w:val="28"/>
          <w:szCs w:val="28"/>
        </w:rPr>
      </w:pPr>
    </w:p>
    <w:p>
      <w:pPr>
        <w:spacing w:line="393" w:lineRule="auto" w:before="203"/>
        <w:ind w:left="153" w:right="246" w:firstLine="560"/>
        <w:jc w:val="both"/>
        <w:rPr>
          <w:rFonts w:ascii="宋体" w:hAnsi="宋体" w:cs="宋体" w:eastAsia="宋体" w:hint="default"/>
          <w:sz w:val="28"/>
          <w:szCs w:val="28"/>
        </w:rPr>
      </w:pPr>
      <w:r>
        <w:rPr>
          <w:rFonts w:ascii="宋体" w:hAnsi="宋体" w:cs="宋体" w:eastAsia="宋体" w:hint="default"/>
          <w:spacing w:val="4"/>
          <w:w w:val="95"/>
          <w:sz w:val="28"/>
          <w:szCs w:val="28"/>
        </w:rPr>
        <w:t>我们审计了后附的远东实业股份有限公司（以下简称贵公司）财务报表，</w:t>
      </w:r>
      <w:r>
        <w:rPr>
          <w:rFonts w:ascii="宋体" w:hAnsi="宋体" w:cs="宋体" w:eastAsia="宋体" w:hint="default"/>
          <w:spacing w:val="4"/>
          <w:w w:val="99"/>
          <w:sz w:val="28"/>
          <w:szCs w:val="28"/>
        </w:rPr>
        <w:t> </w:t>
      </w:r>
      <w:r>
        <w:rPr>
          <w:rFonts w:ascii="宋体" w:hAnsi="宋体" w:cs="宋体" w:eastAsia="宋体" w:hint="default"/>
          <w:spacing w:val="2"/>
          <w:sz w:val="28"/>
          <w:szCs w:val="28"/>
        </w:rPr>
        <w:t>包括</w:t>
      </w:r>
      <w:r>
        <w:rPr>
          <w:rFonts w:ascii="Times New Roman" w:hAnsi="Times New Roman" w:cs="Times New Roman" w:eastAsia="Times New Roman" w:hint="default"/>
          <w:spacing w:val="2"/>
          <w:sz w:val="28"/>
          <w:szCs w:val="28"/>
        </w:rPr>
        <w:t>2012</w:t>
      </w:r>
      <w:r>
        <w:rPr>
          <w:rFonts w:ascii="宋体" w:hAnsi="宋体" w:cs="宋体" w:eastAsia="宋体" w:hint="default"/>
          <w:spacing w:val="2"/>
          <w:sz w:val="28"/>
          <w:szCs w:val="28"/>
        </w:rPr>
        <w:t>年</w:t>
      </w:r>
      <w:r>
        <w:rPr>
          <w:rFonts w:ascii="Times New Roman" w:hAnsi="Times New Roman" w:cs="Times New Roman" w:eastAsia="Times New Roman" w:hint="default"/>
          <w:spacing w:val="2"/>
          <w:sz w:val="28"/>
          <w:szCs w:val="28"/>
        </w:rPr>
        <w:t>12</w:t>
      </w:r>
      <w:r>
        <w:rPr>
          <w:rFonts w:ascii="宋体" w:hAnsi="宋体" w:cs="宋体" w:eastAsia="宋体" w:hint="default"/>
          <w:spacing w:val="2"/>
          <w:sz w:val="28"/>
          <w:szCs w:val="28"/>
        </w:rPr>
        <w:t>月</w:t>
      </w:r>
      <w:r>
        <w:rPr>
          <w:rFonts w:ascii="Times New Roman" w:hAnsi="Times New Roman" w:cs="Times New Roman" w:eastAsia="Times New Roman" w:hint="default"/>
          <w:spacing w:val="2"/>
          <w:sz w:val="28"/>
          <w:szCs w:val="28"/>
        </w:rPr>
        <w:t>31</w:t>
      </w:r>
      <w:r>
        <w:rPr>
          <w:rFonts w:ascii="宋体" w:hAnsi="宋体" w:cs="宋体" w:eastAsia="宋体" w:hint="default"/>
          <w:spacing w:val="2"/>
          <w:sz w:val="28"/>
          <w:szCs w:val="28"/>
        </w:rPr>
        <w:t>日的资产负债表和合并资产负债表、</w:t>
      </w:r>
      <w:r>
        <w:rPr>
          <w:rFonts w:ascii="Times New Roman" w:hAnsi="Times New Roman" w:cs="Times New Roman" w:eastAsia="Times New Roman" w:hint="default"/>
          <w:spacing w:val="2"/>
          <w:sz w:val="28"/>
          <w:szCs w:val="28"/>
        </w:rPr>
        <w:t>2012</w:t>
      </w:r>
      <w:r>
        <w:rPr>
          <w:rFonts w:ascii="宋体" w:hAnsi="宋体" w:cs="宋体" w:eastAsia="宋体" w:hint="default"/>
          <w:spacing w:val="2"/>
          <w:sz w:val="28"/>
          <w:szCs w:val="28"/>
        </w:rPr>
        <w:t>年度的利润表和合</w:t>
      </w:r>
      <w:r>
        <w:rPr>
          <w:rFonts w:ascii="宋体" w:hAnsi="宋体" w:cs="宋体" w:eastAsia="宋体" w:hint="default"/>
          <w:spacing w:val="-119"/>
          <w:sz w:val="28"/>
          <w:szCs w:val="28"/>
        </w:rPr>
        <w:t> </w:t>
      </w:r>
      <w:r>
        <w:rPr>
          <w:rFonts w:ascii="宋体" w:hAnsi="宋体" w:cs="宋体" w:eastAsia="宋体" w:hint="default"/>
          <w:spacing w:val="3"/>
          <w:sz w:val="28"/>
          <w:szCs w:val="28"/>
        </w:rPr>
        <w:t>并利润表、</w:t>
      </w:r>
      <w:r>
        <w:rPr>
          <w:rFonts w:ascii="Times New Roman" w:hAnsi="Times New Roman" w:cs="Times New Roman" w:eastAsia="Times New Roman" w:hint="default"/>
          <w:spacing w:val="3"/>
          <w:sz w:val="28"/>
          <w:szCs w:val="28"/>
        </w:rPr>
        <w:t>2012</w:t>
      </w:r>
      <w:r>
        <w:rPr>
          <w:rFonts w:ascii="宋体" w:hAnsi="宋体" w:cs="宋体" w:eastAsia="宋体" w:hint="default"/>
          <w:spacing w:val="3"/>
          <w:sz w:val="28"/>
          <w:szCs w:val="28"/>
        </w:rPr>
        <w:t>年度的现金流量表和合并现金流量表、</w:t>
      </w:r>
      <w:r>
        <w:rPr>
          <w:rFonts w:ascii="Times New Roman" w:hAnsi="Times New Roman" w:cs="Times New Roman" w:eastAsia="Times New Roman" w:hint="default"/>
          <w:spacing w:val="3"/>
          <w:sz w:val="28"/>
          <w:szCs w:val="28"/>
        </w:rPr>
        <w:t>2012</w:t>
      </w:r>
      <w:r>
        <w:rPr>
          <w:rFonts w:ascii="宋体" w:hAnsi="宋体" w:cs="宋体" w:eastAsia="宋体" w:hint="default"/>
          <w:spacing w:val="3"/>
          <w:sz w:val="28"/>
          <w:szCs w:val="28"/>
        </w:rPr>
        <w:t>年度的所有者权益</w:t>
      </w:r>
      <w:r>
        <w:rPr>
          <w:rFonts w:ascii="宋体" w:hAnsi="宋体" w:cs="宋体" w:eastAsia="宋体" w:hint="default"/>
          <w:spacing w:val="3"/>
          <w:w w:val="99"/>
          <w:sz w:val="28"/>
          <w:szCs w:val="28"/>
        </w:rPr>
        <w:t> </w:t>
      </w:r>
      <w:r>
        <w:rPr>
          <w:rFonts w:ascii="宋体" w:hAnsi="宋体" w:cs="宋体" w:eastAsia="宋体" w:hint="default"/>
          <w:sz w:val="28"/>
          <w:szCs w:val="28"/>
        </w:rPr>
        <w:t>变动表和合并所有者权益变动表以及财务报表附注。</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5"/>
          <w:szCs w:val="25"/>
        </w:rPr>
      </w:pPr>
    </w:p>
    <w:p>
      <w:pPr>
        <w:spacing w:before="0"/>
        <w:ind w:left="874" w:right="103" w:firstLine="0"/>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386" w:lineRule="auto" w:before="0"/>
        <w:ind w:left="154" w:right="109" w:firstLine="560"/>
        <w:jc w:val="both"/>
        <w:rPr>
          <w:rFonts w:ascii="宋体" w:hAnsi="宋体" w:cs="宋体" w:eastAsia="宋体" w:hint="default"/>
          <w:sz w:val="28"/>
          <w:szCs w:val="28"/>
        </w:rPr>
      </w:pPr>
      <w:r>
        <w:rPr>
          <w:rFonts w:ascii="宋体" w:hAnsi="宋体" w:cs="宋体" w:eastAsia="宋体" w:hint="default"/>
          <w:sz w:val="28"/>
          <w:szCs w:val="28"/>
        </w:rPr>
        <w:t>编制和公允列报财务报表是贵公司管理层的责任。这种责任包括：（</w:t>
      </w:r>
      <w:r>
        <w:rPr>
          <w:rFonts w:ascii="Times New Roman" w:hAnsi="Times New Roman" w:cs="Times New Roman" w:eastAsia="Times New Roman" w:hint="default"/>
          <w:sz w:val="28"/>
          <w:szCs w:val="28"/>
        </w:rPr>
        <w:t>1</w:t>
      </w:r>
      <w:r>
        <w:rPr>
          <w:rFonts w:ascii="宋体" w:hAnsi="宋体" w:cs="宋体" w:eastAsia="宋体" w:hint="default"/>
          <w:sz w:val="28"/>
          <w:szCs w:val="28"/>
        </w:rPr>
        <w:t>）按</w:t>
      </w:r>
      <w:r>
        <w:rPr>
          <w:rFonts w:ascii="宋体" w:hAnsi="宋体" w:cs="宋体" w:eastAsia="宋体" w:hint="default"/>
          <w:spacing w:val="-4"/>
          <w:w w:val="99"/>
          <w:sz w:val="28"/>
          <w:szCs w:val="28"/>
        </w:rPr>
        <w:t> </w:t>
      </w:r>
      <w:r>
        <w:rPr>
          <w:rFonts w:ascii="宋体" w:hAnsi="宋体" w:cs="宋体" w:eastAsia="宋体" w:hint="default"/>
          <w:sz w:val="28"/>
          <w:szCs w:val="28"/>
        </w:rPr>
        <w:t>照企业会计准则的规定编制财务报表，并使其实现公允反映；（</w:t>
      </w:r>
      <w:r>
        <w:rPr>
          <w:rFonts w:ascii="Times New Roman" w:hAnsi="Times New Roman" w:cs="Times New Roman" w:eastAsia="Times New Roman" w:hint="default"/>
          <w:sz w:val="28"/>
          <w:szCs w:val="28"/>
        </w:rPr>
        <w:t>2</w:t>
      </w:r>
      <w:r>
        <w:rPr>
          <w:rFonts w:ascii="宋体" w:hAnsi="宋体" w:cs="宋体" w:eastAsia="宋体" w:hint="default"/>
          <w:sz w:val="28"/>
          <w:szCs w:val="28"/>
        </w:rPr>
        <w:t>）设计、执行</w:t>
      </w:r>
      <w:r>
        <w:rPr>
          <w:rFonts w:ascii="宋体" w:hAnsi="宋体" w:cs="宋体" w:eastAsia="宋体" w:hint="default"/>
          <w:spacing w:val="1"/>
          <w:w w:val="99"/>
          <w:sz w:val="28"/>
          <w:szCs w:val="28"/>
        </w:rPr>
        <w:t> </w:t>
      </w:r>
      <w:r>
        <w:rPr>
          <w:rFonts w:ascii="宋体" w:hAnsi="宋体" w:cs="宋体" w:eastAsia="宋体" w:hint="default"/>
          <w:spacing w:val="-1"/>
          <w:sz w:val="28"/>
          <w:szCs w:val="28"/>
        </w:rPr>
        <w:t>和维护必要的内部控制，以使财务报表不存在由于舞弊或错误导致的重大错报。</w:t>
      </w:r>
    </w:p>
    <w:p>
      <w:pPr>
        <w:spacing w:after="0" w:line="386" w:lineRule="auto"/>
        <w:jc w:val="both"/>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13"/>
        <w:ind w:left="874" w:right="103" w:firstLine="0"/>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8" w:lineRule="auto" w:before="0"/>
        <w:ind w:left="154" w:right="246" w:firstLine="560"/>
        <w:jc w:val="both"/>
        <w:rPr>
          <w:rFonts w:ascii="宋体" w:hAnsi="宋体" w:cs="宋体" w:eastAsia="宋体" w:hint="default"/>
          <w:sz w:val="28"/>
          <w:szCs w:val="28"/>
        </w:rPr>
      </w:pPr>
      <w:r>
        <w:rPr>
          <w:rFonts w:ascii="宋体" w:hAnsi="宋体" w:cs="宋体" w:eastAsia="宋体" w:hint="default"/>
          <w:spacing w:val="4"/>
          <w:w w:val="95"/>
          <w:sz w:val="28"/>
          <w:szCs w:val="28"/>
        </w:rPr>
        <w:t>我们的责任是在执行审计工作的基础上对财务报表发表审计意见。我们按</w:t>
      </w:r>
      <w:r>
        <w:rPr>
          <w:rFonts w:ascii="宋体" w:hAnsi="宋体" w:cs="宋体" w:eastAsia="宋体" w:hint="default"/>
          <w:spacing w:val="4"/>
          <w:w w:val="99"/>
          <w:sz w:val="28"/>
          <w:szCs w:val="28"/>
        </w:rPr>
        <w:t> </w:t>
      </w:r>
      <w:r>
        <w:rPr>
          <w:rFonts w:ascii="宋体" w:hAnsi="宋体" w:cs="宋体" w:eastAsia="宋体" w:hint="default"/>
          <w:spacing w:val="3"/>
          <w:sz w:val="28"/>
          <w:szCs w:val="28"/>
        </w:rPr>
        <w:t>照中国注册会计师审计准则的规定执行了审计工作。中国注册会计师审计准则</w:t>
      </w:r>
      <w:r>
        <w:rPr>
          <w:rFonts w:ascii="宋体" w:hAnsi="宋体" w:cs="宋体" w:eastAsia="宋体" w:hint="default"/>
          <w:spacing w:val="4"/>
          <w:w w:val="99"/>
          <w:sz w:val="28"/>
          <w:szCs w:val="28"/>
        </w:rPr>
        <w:t> </w:t>
      </w:r>
      <w:r>
        <w:rPr>
          <w:rFonts w:ascii="宋体" w:hAnsi="宋体" w:cs="宋体" w:eastAsia="宋体" w:hint="default"/>
          <w:spacing w:val="3"/>
          <w:sz w:val="28"/>
          <w:szCs w:val="28"/>
        </w:rPr>
        <w:t>要求我们遵守中国注册会计师职业道德守则，计划和执行审计工作以对财务报</w:t>
      </w:r>
      <w:r>
        <w:rPr>
          <w:rFonts w:ascii="宋体" w:hAnsi="宋体" w:cs="宋体" w:eastAsia="宋体" w:hint="default"/>
          <w:spacing w:val="4"/>
          <w:w w:val="99"/>
          <w:sz w:val="28"/>
          <w:szCs w:val="28"/>
        </w:rPr>
        <w:t> </w:t>
      </w:r>
      <w:r>
        <w:rPr>
          <w:rFonts w:ascii="宋体" w:hAnsi="宋体" w:cs="宋体" w:eastAsia="宋体" w:hint="default"/>
          <w:sz w:val="28"/>
          <w:szCs w:val="28"/>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line="408" w:lineRule="auto" w:before="0"/>
        <w:ind w:left="154" w:right="103" w:firstLine="560"/>
        <w:jc w:val="left"/>
        <w:rPr>
          <w:rFonts w:ascii="宋体" w:hAnsi="宋体" w:cs="宋体" w:eastAsia="宋体" w:hint="default"/>
          <w:sz w:val="28"/>
          <w:szCs w:val="28"/>
        </w:rPr>
      </w:pPr>
      <w:r>
        <w:rPr>
          <w:rFonts w:ascii="宋体" w:hAnsi="宋体" w:cs="宋体" w:eastAsia="宋体" w:hint="default"/>
          <w:spacing w:val="-1"/>
          <w:sz w:val="28"/>
          <w:szCs w:val="28"/>
        </w:rPr>
        <w:t>审计工作涉及实施审计程序，以获取有关财务报表金额和披露的审计证据。</w:t>
      </w:r>
      <w:r>
        <w:rPr>
          <w:rFonts w:ascii="宋体" w:hAnsi="宋体" w:cs="宋体" w:eastAsia="宋体" w:hint="default"/>
          <w:w w:val="99"/>
          <w:sz w:val="28"/>
          <w:szCs w:val="28"/>
        </w:rPr>
        <w:t> </w:t>
      </w:r>
      <w:r>
        <w:rPr>
          <w:rFonts w:ascii="宋体" w:hAnsi="宋体" w:cs="宋体" w:eastAsia="宋体" w:hint="default"/>
          <w:spacing w:val="3"/>
          <w:sz w:val="28"/>
          <w:szCs w:val="28"/>
        </w:rPr>
        <w:t>选择的审计程序取决于注册会计师的判断，包括对由于舞弊或错误导致的财务</w:t>
      </w:r>
      <w:r>
        <w:rPr>
          <w:rFonts w:ascii="宋体" w:hAnsi="宋体" w:cs="宋体" w:eastAsia="宋体" w:hint="default"/>
          <w:spacing w:val="4"/>
          <w:w w:val="99"/>
          <w:sz w:val="28"/>
          <w:szCs w:val="28"/>
        </w:rPr>
        <w:t> </w:t>
      </w:r>
      <w:r>
        <w:rPr>
          <w:rFonts w:ascii="宋体" w:hAnsi="宋体" w:cs="宋体" w:eastAsia="宋体" w:hint="default"/>
          <w:spacing w:val="3"/>
          <w:sz w:val="28"/>
          <w:szCs w:val="28"/>
        </w:rPr>
        <w:t>报表重大错报风险的评估。在进行风险评估时，注册会计师考虑与财务报表编</w:t>
      </w:r>
      <w:r>
        <w:rPr>
          <w:rFonts w:ascii="宋体" w:hAnsi="宋体" w:cs="宋体" w:eastAsia="宋体" w:hint="default"/>
          <w:spacing w:val="4"/>
          <w:w w:val="99"/>
          <w:sz w:val="28"/>
          <w:szCs w:val="28"/>
        </w:rPr>
        <w:t> </w:t>
      </w:r>
      <w:r>
        <w:rPr>
          <w:rFonts w:ascii="宋体" w:hAnsi="宋体" w:cs="宋体" w:eastAsia="宋体" w:hint="default"/>
          <w:spacing w:val="3"/>
          <w:sz w:val="28"/>
          <w:szCs w:val="28"/>
        </w:rPr>
        <w:t>制和公允列报相关的内部控制，以设计恰当的审计程序，但目的并非对内部控</w:t>
      </w:r>
      <w:r>
        <w:rPr>
          <w:rFonts w:ascii="宋体" w:hAnsi="宋体" w:cs="宋体" w:eastAsia="宋体" w:hint="default"/>
          <w:spacing w:val="4"/>
          <w:w w:val="99"/>
          <w:sz w:val="28"/>
          <w:szCs w:val="28"/>
        </w:rPr>
        <w:t> </w:t>
      </w:r>
      <w:r>
        <w:rPr>
          <w:rFonts w:ascii="宋体" w:hAnsi="宋体" w:cs="宋体" w:eastAsia="宋体" w:hint="default"/>
          <w:spacing w:val="3"/>
          <w:sz w:val="28"/>
          <w:szCs w:val="28"/>
        </w:rPr>
        <w:t>制的有效性发表意见。审计工作还包括评价管理层选用会计政策的恰当性和作</w:t>
      </w:r>
      <w:r>
        <w:rPr>
          <w:rFonts w:ascii="宋体" w:hAnsi="宋体" w:cs="宋体" w:eastAsia="宋体" w:hint="default"/>
          <w:spacing w:val="4"/>
          <w:w w:val="99"/>
          <w:sz w:val="28"/>
          <w:szCs w:val="28"/>
        </w:rPr>
        <w:t> </w:t>
      </w:r>
      <w:r>
        <w:rPr>
          <w:rFonts w:ascii="宋体" w:hAnsi="宋体" w:cs="宋体" w:eastAsia="宋体" w:hint="default"/>
          <w:sz w:val="28"/>
          <w:szCs w:val="28"/>
        </w:rPr>
        <w:t>出会计估计的合理性，以及评价财务报表的总体列报。</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line="408" w:lineRule="auto" w:before="0"/>
        <w:ind w:left="154" w:right="103" w:firstLine="560"/>
        <w:jc w:val="left"/>
        <w:rPr>
          <w:rFonts w:ascii="宋体" w:hAnsi="宋体" w:cs="宋体" w:eastAsia="宋体" w:hint="default"/>
          <w:sz w:val="28"/>
          <w:szCs w:val="28"/>
        </w:rPr>
      </w:pPr>
      <w:r>
        <w:rPr>
          <w:rFonts w:ascii="宋体" w:hAnsi="宋体" w:cs="宋体" w:eastAsia="宋体" w:hint="default"/>
          <w:spacing w:val="4"/>
          <w:w w:val="95"/>
          <w:sz w:val="28"/>
          <w:szCs w:val="28"/>
        </w:rPr>
        <w:t>我们相信，我们获取的审计证据是充分、适当的，为发表审计意见提供了</w:t>
      </w:r>
      <w:r>
        <w:rPr>
          <w:rFonts w:ascii="宋体" w:hAnsi="宋体" w:cs="宋体" w:eastAsia="宋体" w:hint="default"/>
          <w:spacing w:val="4"/>
          <w:w w:val="99"/>
          <w:sz w:val="28"/>
          <w:szCs w:val="28"/>
        </w:rPr>
        <w:t> </w:t>
      </w:r>
      <w:r>
        <w:rPr>
          <w:rFonts w:ascii="宋体" w:hAnsi="宋体" w:cs="宋体" w:eastAsia="宋体" w:hint="default"/>
          <w:sz w:val="28"/>
          <w:szCs w:val="28"/>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before="0"/>
        <w:ind w:left="872" w:right="103" w:firstLine="0"/>
        <w:jc w:val="left"/>
        <w:rPr>
          <w:rFonts w:ascii="宋体" w:hAnsi="宋体" w:cs="宋体" w:eastAsia="宋体" w:hint="default"/>
          <w:sz w:val="28"/>
          <w:szCs w:val="28"/>
        </w:rPr>
      </w:pPr>
      <w:r>
        <w:rPr>
          <w:rFonts w:ascii="宋体" w:hAnsi="宋体" w:cs="宋体" w:eastAsia="宋体" w:hint="default"/>
          <w:b/>
          <w:bCs/>
          <w:sz w:val="28"/>
          <w:szCs w:val="28"/>
        </w:rPr>
        <w:t>三、审计意见</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398" w:lineRule="auto" w:before="0"/>
        <w:ind w:left="153" w:right="104" w:firstLine="560"/>
        <w:jc w:val="left"/>
        <w:rPr>
          <w:rFonts w:ascii="宋体" w:hAnsi="宋体" w:cs="宋体" w:eastAsia="宋体" w:hint="default"/>
          <w:sz w:val="28"/>
          <w:szCs w:val="28"/>
        </w:rPr>
      </w:pPr>
      <w:r>
        <w:rPr>
          <w:rFonts w:ascii="宋体" w:hAnsi="宋体" w:cs="宋体" w:eastAsia="宋体" w:hint="default"/>
          <w:spacing w:val="-1"/>
          <w:sz w:val="28"/>
          <w:szCs w:val="28"/>
        </w:rPr>
        <w:t>我们认为，贵公司财务报表在所有重大方面按照企业会计准则的规定编制，</w:t>
      </w:r>
      <w:r>
        <w:rPr>
          <w:rFonts w:ascii="宋体" w:hAnsi="宋体" w:cs="宋体" w:eastAsia="宋体" w:hint="default"/>
          <w:w w:val="99"/>
          <w:sz w:val="28"/>
          <w:szCs w:val="28"/>
        </w:rPr>
        <w:t> </w:t>
      </w:r>
      <w:r>
        <w:rPr>
          <w:rFonts w:ascii="宋体" w:hAnsi="宋体" w:cs="宋体" w:eastAsia="宋体" w:hint="default"/>
          <w:spacing w:val="3"/>
          <w:sz w:val="28"/>
          <w:szCs w:val="28"/>
        </w:rPr>
        <w:t>公允反映了贵公司</w:t>
      </w:r>
      <w:r>
        <w:rPr>
          <w:rFonts w:ascii="Times New Roman" w:hAnsi="Times New Roman" w:cs="Times New Roman" w:eastAsia="Times New Roman" w:hint="default"/>
          <w:spacing w:val="3"/>
          <w:sz w:val="28"/>
          <w:szCs w:val="28"/>
        </w:rPr>
        <w:t>2012</w:t>
      </w:r>
      <w:r>
        <w:rPr>
          <w:rFonts w:ascii="宋体" w:hAnsi="宋体" w:cs="宋体" w:eastAsia="宋体" w:hint="default"/>
          <w:spacing w:val="3"/>
          <w:sz w:val="28"/>
          <w:szCs w:val="28"/>
        </w:rPr>
        <w:t>年</w:t>
      </w:r>
      <w:r>
        <w:rPr>
          <w:rFonts w:ascii="Times New Roman" w:hAnsi="Times New Roman" w:cs="Times New Roman" w:eastAsia="Times New Roman" w:hint="default"/>
          <w:spacing w:val="3"/>
          <w:sz w:val="28"/>
          <w:szCs w:val="28"/>
        </w:rPr>
        <w:t>12</w:t>
      </w:r>
      <w:r>
        <w:rPr>
          <w:rFonts w:ascii="宋体" w:hAnsi="宋体" w:cs="宋体" w:eastAsia="宋体" w:hint="default"/>
          <w:spacing w:val="3"/>
          <w:sz w:val="28"/>
          <w:szCs w:val="28"/>
        </w:rPr>
        <w:t>月</w:t>
      </w:r>
      <w:r>
        <w:rPr>
          <w:rFonts w:ascii="Times New Roman" w:hAnsi="Times New Roman" w:cs="Times New Roman" w:eastAsia="Times New Roman" w:hint="default"/>
          <w:spacing w:val="3"/>
          <w:sz w:val="28"/>
          <w:szCs w:val="28"/>
        </w:rPr>
        <w:t>31</w:t>
      </w:r>
      <w:r>
        <w:rPr>
          <w:rFonts w:ascii="宋体" w:hAnsi="宋体" w:cs="宋体" w:eastAsia="宋体" w:hint="default"/>
          <w:spacing w:val="3"/>
          <w:sz w:val="28"/>
          <w:szCs w:val="28"/>
        </w:rPr>
        <w:t>日的财务状况以及</w:t>
      </w:r>
      <w:r>
        <w:rPr>
          <w:rFonts w:ascii="Times New Roman" w:hAnsi="Times New Roman" w:cs="Times New Roman" w:eastAsia="Times New Roman" w:hint="default"/>
          <w:spacing w:val="3"/>
          <w:sz w:val="28"/>
          <w:szCs w:val="28"/>
        </w:rPr>
        <w:t>2012</w:t>
      </w:r>
      <w:r>
        <w:rPr>
          <w:rFonts w:ascii="宋体" w:hAnsi="宋体" w:cs="宋体" w:eastAsia="宋体" w:hint="default"/>
          <w:spacing w:val="3"/>
          <w:sz w:val="28"/>
          <w:szCs w:val="28"/>
        </w:rPr>
        <w:t>年度的经营成果和现金</w:t>
      </w:r>
      <w:r>
        <w:rPr>
          <w:rFonts w:ascii="宋体" w:hAnsi="宋体" w:cs="宋体" w:eastAsia="宋体" w:hint="default"/>
          <w:spacing w:val="4"/>
          <w:w w:val="99"/>
          <w:sz w:val="28"/>
          <w:szCs w:val="28"/>
        </w:rPr>
        <w:t> </w:t>
      </w:r>
      <w:r>
        <w:rPr>
          <w:rFonts w:ascii="宋体" w:hAnsi="宋体" w:cs="宋体" w:eastAsia="宋体" w:hint="default"/>
          <w:sz w:val="28"/>
          <w:szCs w:val="28"/>
        </w:rPr>
        <w:t>流量。</w:t>
      </w:r>
    </w:p>
    <w:p>
      <w:pPr>
        <w:spacing w:after="0" w:line="398" w:lineRule="auto"/>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3869" w:val="left" w:leader="none"/>
        </w:tabs>
        <w:spacing w:before="13"/>
        <w:ind w:left="154" w:right="1619" w:firstLine="0"/>
        <w:jc w:val="left"/>
        <w:rPr>
          <w:rFonts w:ascii="宋体" w:hAnsi="宋体" w:cs="宋体" w:eastAsia="宋体" w:hint="default"/>
          <w:sz w:val="28"/>
          <w:szCs w:val="28"/>
        </w:rPr>
      </w:pPr>
      <w:r>
        <w:rPr>
          <w:rFonts w:ascii="宋体" w:hAnsi="宋体" w:cs="宋体" w:eastAsia="宋体" w:hint="default"/>
          <w:b/>
          <w:bCs/>
          <w:w w:val="95"/>
          <w:sz w:val="28"/>
          <w:szCs w:val="28"/>
        </w:rPr>
        <w:t>立信会计师事务所</w:t>
        <w:tab/>
      </w: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3" w:right="1619" w:firstLine="0"/>
        <w:jc w:val="left"/>
        <w:rPr>
          <w:rFonts w:ascii="宋体" w:hAnsi="宋体" w:cs="宋体" w:eastAsia="宋体" w:hint="default"/>
          <w:sz w:val="28"/>
          <w:szCs w:val="28"/>
        </w:rPr>
      </w:pPr>
      <w:r>
        <w:rPr>
          <w:rFonts w:ascii="宋体" w:hAnsi="宋体" w:cs="宋体" w:eastAsia="宋体" w:hint="default"/>
          <w:b/>
          <w:bCs/>
          <w:sz w:val="28"/>
          <w:szCs w:val="28"/>
        </w:rPr>
        <w:t>（特殊普通合伙）</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spacing w:before="0"/>
        <w:ind w:left="2141" w:right="1403" w:firstLine="0"/>
        <w:jc w:val="center"/>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tabs>
          <w:tab w:pos="4095" w:val="left" w:leader="none"/>
        </w:tabs>
        <w:spacing w:before="0"/>
        <w:ind w:left="153" w:right="1619" w:firstLine="0"/>
        <w:jc w:val="left"/>
        <w:rPr>
          <w:rFonts w:ascii="宋体" w:hAnsi="宋体" w:cs="宋体" w:eastAsia="宋体" w:hint="default"/>
          <w:sz w:val="28"/>
          <w:szCs w:val="28"/>
        </w:rPr>
      </w:pPr>
      <w:r>
        <w:rPr>
          <w:rFonts w:ascii="宋体" w:hAnsi="宋体" w:cs="宋体" w:eastAsia="宋体" w:hint="default"/>
          <w:b/>
          <w:bCs/>
          <w:w w:val="95"/>
          <w:sz w:val="28"/>
          <w:szCs w:val="28"/>
        </w:rPr>
        <w:t>中国</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上海</w:t>
        <w:tab/>
      </w:r>
      <w:r>
        <w:rPr>
          <w:rFonts w:ascii="宋体" w:hAnsi="宋体" w:cs="宋体" w:eastAsia="宋体" w:hint="default"/>
          <w:b/>
          <w:bCs/>
          <w:sz w:val="28"/>
          <w:szCs w:val="28"/>
        </w:rPr>
        <w:t>二</w:t>
      </w:r>
      <w:r>
        <w:rPr>
          <w:rFonts w:ascii="Times New Roman" w:hAnsi="Times New Roman" w:cs="Times New Roman" w:eastAsia="Times New Roman" w:hint="default"/>
          <w:b/>
          <w:bCs/>
          <w:sz w:val="28"/>
          <w:szCs w:val="28"/>
        </w:rPr>
        <w:t>0</w:t>
      </w:r>
      <w:r>
        <w:rPr>
          <w:rFonts w:ascii="宋体" w:hAnsi="宋体" w:cs="宋体" w:eastAsia="宋体" w:hint="default"/>
          <w:b/>
          <w:bCs/>
          <w:sz w:val="28"/>
          <w:szCs w:val="28"/>
        </w:rPr>
        <w:t>一三年三月十八日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4"/>
        <w:spacing w:line="240" w:lineRule="auto"/>
        <w:ind w:right="161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40,623,323.11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11,972,207.85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13,248,621.54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2,854,657.12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73,160.36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839,342.47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747,178.82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14,931,869.16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15,128,041.85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6,169,123.39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166,842.57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162,331,593.79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137,706,926.97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2,523,537.31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780,429.38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32,033.32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26,440,768.97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287,770.37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32,417,109.97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3,818,229.38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194,748,703.76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141,525,156.35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3,541,872.59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59,526.48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2,610,326.83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650,964.44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540,018.77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394,903.33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1,408,059.75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1,076,261.45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22,908,269.11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3,091,070.91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15,769,790.69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15,769,790.69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38,678,059.80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3,091,070.91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91,398,175.79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91,398,175.79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-174,024,153.78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-180,513,386.86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144,923,318.52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138,434,085.44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11,147,325.44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156,070,643.96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138,434,085.44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194,748,703.76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141,525,156.35</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19,035,117.54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103,265,170.77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73,160.36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839,342.47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5,975,637.63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28,389,509.74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115,876,097.64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131,727,840.87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42,774,779.29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610,183.92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780,429.38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46,401,163.21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14,818,229.38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162,277,260.85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146,546,070.25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59,526.48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650,964.44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394,903.33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99,495.52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974,501.26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1,075,961.45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2,242,731.77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3,090,770.91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15,475,353.19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15,475,353.19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17,718,084.96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3,090,770.91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91,413,112.19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91,413,112.19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-174,403,232.81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-175,507,109.36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144,559,175.89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143,455,299.34</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162,277,260.85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146,546,070.25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r>
        <w:rPr/>
        <w:pict>
          <v:group style="position:absolute;margin-left:205.320007pt;margin-top:713.22998pt;width:163.35pt;height:20.65pt;mso-position-horizontal-relative:page;mso-position-vertical-relative:page;z-index:-761560" coordorigin="4106,14265" coordsize="3267,413">
            <v:group style="position:absolute;left:4118;top:14276;width:2;height:390" coordorigin="4118,14276" coordsize="2,390">
              <v:shape style="position:absolute;left:4118;top:14276;width:2;height:390" coordorigin="4118,14276" coordsize="0,390" path="m4118,14276l4118,14666e" filled="false" stroked="true" strokeweight="1.140pt" strokecolor="#ffffff">
                <v:path arrowok="t"/>
              </v:shape>
            </v:group>
            <v:group style="position:absolute;left:4129;top:14275;width:3244;height:392" coordorigin="4129,14275" coordsize="3244,392">
              <v:shape style="position:absolute;left:4129;top:14275;width:3244;height:392" coordorigin="4129,14275" coordsize="3244,392" path="m4129,14666l7373,14666,7373,14275,4129,14275,4129,14666xe" filled="true" fillcolor="#ffffff" stroked="false">
                <v:path arrowok="t"/>
                <v:fill type="solid"/>
              </v:shape>
            </v:group>
            <w10:wrap type="none"/>
          </v:group>
        </w:pict>
      </w:r>
    </w:p>
    <w:p>
      <w:pPr>
        <w:tabs>
          <w:tab w:pos="3483" w:val="left" w:leader="none"/>
          <w:tab w:pos="7713"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36,083,823.45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18,849,467.00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36,083,823.45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18,849,467.00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24,321,562.31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34,083,446.90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9,039,774.17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15,140,874.94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1,330,479.32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1,084,336.50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2,396,899.10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1,877,279.00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12,140,027.96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15,704,367.91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-507,949.49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-390,849.84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-77,668.75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667,438.39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-290,573.90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839,342.47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-3,867,754.79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tabs>
                <w:tab w:pos="2241" w:val="left" w:leader="none"/>
              </w:tabs>
              <w:spacing w:line="240" w:lineRule="auto" w:before="51"/>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12,311,029.71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-19,101,734.69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206,262.90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25,779,535.86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320007pt;margin-top:183.509995pt;width:163.35pt;height:20.8pt;mso-position-horizontal-relative:page;mso-position-vertical-relative:page;z-index:-761536" coordorigin="4106,3670" coordsize="3267,416">
            <v:group style="position:absolute;left:4118;top:3682;width:2;height:393" coordorigin="4118,3682" coordsize="2,393">
              <v:shape style="position:absolute;left:4118;top:3682;width:2;height:393" coordorigin="4118,3682" coordsize="0,393" path="m4118,3682l4118,4074e" filled="false" stroked="true" strokeweight="1.140pt" strokecolor="#ffffff">
                <v:path arrowok="t"/>
              </v:shape>
            </v:group>
            <v:group style="position:absolute;left:4129;top:3682;width:3244;height:393" coordorigin="4129,3682" coordsize="3244,393">
              <v:shape style="position:absolute;left:4129;top:3682;width:3244;height:393" coordorigin="4129,3682" coordsize="3244,393" path="m4129,4074l7373,4074,7373,3682,4129,3682,4129,407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5,567.53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859,908.03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5,567.53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20,267.38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12,511,725.08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5,817,893.14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tabs>
                <w:tab w:pos="2236" w:val="left" w:leader="none"/>
              </w:tabs>
              <w:spacing w:line="240" w:lineRule="auto" w:before="51"/>
              <w:ind w:left="-12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12,511,725.08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5,817,893.14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6,489,233.08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5,629,285.46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6,022,492.00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188,607.68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12,511,725.08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5,817,893.14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6,489,233.08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5,629,285.46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6,022,492.00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188,607.68</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483" w:val="left" w:leader="none"/>
          <w:tab w:pos="7713" w:val="left" w:leader="none"/>
        </w:tabs>
        <w:spacing w:before="14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6,445,220.37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76,677.00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21,574.71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360,932.34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4,321.71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6,625,090.10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15,142,320.21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-438,228.03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-252,028.88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-663,249.55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1,072,249.57</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-290,573.90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199997pt;margin-top:143.309998pt;width:163.450pt;height:20.8pt;mso-position-horizontal-relative:page;mso-position-vertical-relative:page;z-index:-761512" coordorigin="4104,2866" coordsize="3269,416">
            <v:group style="position:absolute;left:4115;top:2878;width:2;height:393" coordorigin="4115,2878" coordsize="2,393">
              <v:shape style="position:absolute;left:4115;top:2878;width:2;height:393" coordorigin="4115,2878" coordsize="0,393" path="m4115,2878l4115,3270e" filled="false" stroked="true" strokeweight="1.140pt" strokecolor="#ffffff">
                <v:path arrowok="t"/>
              </v:shape>
            </v:group>
            <v:group style="position:absolute;left:4127;top:2878;width:3246;height:393" coordorigin="4127,2878" coordsize="3246,393">
              <v:shape style="position:absolute;left:4127;top:2878;width:3246;height:393" coordorigin="4127,2878" coordsize="3246,393" path="m4127,3270l7373,3270,7373,2878,4127,2878,4127,3270xe" filled="true" fillcolor="#ffffff" stroked="false">
                <v:path arrowok="t"/>
                <v:fill type="solid"/>
              </v:shape>
            </v:group>
            <w10:wrap type="none"/>
          </v:group>
        </w:pict>
      </w:r>
      <w:r>
        <w:rPr/>
        <w:pict>
          <v:group style="position:absolute;margin-left:205.199997pt;margin-top:279.510010pt;width:163.450pt;height:20.8pt;mso-position-horizontal-relative:page;mso-position-vertical-relative:page;z-index:-761488" coordorigin="4104,5590" coordsize="3269,416">
            <v:group style="position:absolute;left:4115;top:5602;width:2;height:393" coordorigin="4115,5602" coordsize="2,393">
              <v:shape style="position:absolute;left:4115;top:5602;width:2;height:393" coordorigin="4115,5602" coordsize="0,393" path="m4115,5602l4115,5994e" filled="false" stroked="true" strokeweight="1.140pt" strokecolor="#ffffff">
                <v:path arrowok="t"/>
              </v:shape>
            </v:group>
            <v:group style="position:absolute;left:4127;top:5602;width:3246;height:393" coordorigin="4127,5602" coordsize="3246,393">
              <v:shape style="position:absolute;left:4127;top:5602;width:3246;height:393" coordorigin="4127,5602" coordsize="3246,393" path="m4127,5994l7373,5994,7373,5602,4127,5602,4127,599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839,342.47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11,849,208.78</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tabs>
                <w:tab w:pos="2332" w:val="left" w:leader="none"/>
              </w:tabs>
              <w:spacing w:line="240" w:lineRule="auto" w:before="51"/>
              <w:ind w:left="-11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1,109,444.08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-4,062,551.54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25,279,902.49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5,567.53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838,315.20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1,103,876.55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20,379,035.75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tabs>
                <w:tab w:pos="2332" w:val="left" w:leader="none"/>
              </w:tabs>
              <w:spacing w:line="240" w:lineRule="auto" w:before="51"/>
              <w:ind w:left="-11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1,103,876.55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20,379,035.75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1,103,876.55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20,379,035.75</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49,090,737.83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37,569.15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257,895.06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871,815.74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641,980.50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49,962,553.57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937,444.71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10,725,560.71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1,930,405.88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7,231,927.54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6,221,305.08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1,493,168.38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1,151,486.52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10,110,401.90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6,563,803.03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29,561,058.53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15,867,000.51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20,401,495.04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-14,929,555.80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15,044,807.47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31,770,349.29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15,190,807.47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31,770,349.29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1,380,610.96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289,704.00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11,282,520.96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102,663,131.92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-87,472,324.45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31,480,645.29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265,762.34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511,740.31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777,502.65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-777,502.65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-62,660,829.41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15,773,586.84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103,284,152.52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87,510,565.68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40,623,323.11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14,522,342.03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37,569.15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257,895.06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766,496.14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278,274.36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15,288,838.17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573,738.57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21,007.16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55,405.88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3,871,240.07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6,221,305.08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500,639.48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787,084.91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3,580,812.16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22,560,848.85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7,973,698.87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29,624,644.72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7,315,139.30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-29,050,906.15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15,044,807.47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30,964,135.46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34,386,852.41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15,044,807.47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65,350,987.87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289,704.00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1,289,704.00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-91,545,192.53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64,061,283.87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-84,230,053.23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35,010,377.72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103,265,170.77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68,254,793.05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19,035,117.54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103,265,170.77</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855" w:space="606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97"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44" w:type="dxa"/>
            <w:vMerge/>
            <w:tcBorders>
              <w:left w:val="single" w:sz="4" w:space="0" w:color="000000"/>
              <w:right w:val="single" w:sz="4" w:space="0" w:color="000000"/>
            </w:tcBorders>
            <w:shd w:val="clear" w:color="auto" w:fill="D3D3D3"/>
          </w:tcPr>
          <w:p>
            <w:pP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3,386.86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138,434,08</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5.44</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3,386.86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138,434,08</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5.44</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17,636,558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-174,02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4,153.78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156,070,64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3.96</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6"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8"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0"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87,671,1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38.02</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-186,14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2,672.32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129,260,17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7.82</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87,671,1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38.02</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-186,14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2,672.32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129,260,17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7.82</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3,727,03</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7.77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5,629,28</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5.46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9,173,907.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5,629,28</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5.46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188,607.6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5,817,893.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5,629,28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5.46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5,817,893.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1,725.00</w:t>
            </w: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1,725.00</w:t>
            </w: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3,728,76</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2.77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3,728,76</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2.77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-180,51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3,386.86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138,434,08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5.44</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855" w:space="6064"/>
            <w:col w:w="1031"/>
          </w:cols>
        </w:sectPr>
      </w:pPr>
    </w:p>
    <w:p>
      <w:pPr>
        <w:spacing w:line="240" w:lineRule="auto" w:before="13"/>
        <w:rPr>
          <w:rFonts w:ascii="宋体" w:hAnsi="宋体" w:cs="宋体" w:eastAsia="宋体" w:hint="default"/>
          <w:sz w:val="7"/>
          <w:szCs w:val="7"/>
        </w:rPr>
      </w:pPr>
      <w:r>
        <w:rPr/>
        <w:pict>
          <v:group style="position:absolute;margin-left:180.720001pt;margin-top:686.640015pt;width:42.7pt;height:40.950pt;mso-position-horizontal-relative:page;mso-position-vertical-relative:page;z-index:-761464" coordorigin="3614,13733" coordsize="854,819">
            <v:group style="position:absolute;left:3626;top:13745;width:2;height:393" coordorigin="3626,13745" coordsize="2,393">
              <v:shape style="position:absolute;left:3626;top:13745;width:2;height:393" coordorigin="3626,13745" coordsize="0,393" path="m3626,13745l3626,14137e" filled="false" stroked="true" strokeweight="1.2pt" strokecolor="#ffffff">
                <v:path arrowok="t"/>
              </v:shape>
            </v:group>
            <v:group style="position:absolute;left:3638;top:13745;width:830;height:393" coordorigin="3638,13745" coordsize="830,393">
              <v:shape style="position:absolute;left:3638;top:13745;width:830;height:393" coordorigin="3638,13745" coordsize="830,393" path="m3638,14137l4468,14137,4468,13745,3638,13745,3638,14137xe" filled="true" fillcolor="#ffffff" stroked="false">
                <v:path arrowok="t"/>
                <v:fill type="solid"/>
              </v:shape>
            </v:group>
            <v:group style="position:absolute;left:3626;top:14147;width:2;height:393" coordorigin="3626,14147" coordsize="2,393">
              <v:shape style="position:absolute;left:3626;top:14147;width:2;height:393" coordorigin="3626,14147" coordsize="0,393" path="m3626,14147l3626,14539e" filled="false" stroked="true" strokeweight="1.2pt" strokecolor="#ffffff">
                <v:path arrowok="t"/>
              </v:shape>
            </v:group>
            <v:group style="position:absolute;left:3638;top:14147;width:830;height:393" coordorigin="3638,14147" coordsize="830,393">
              <v:shape style="position:absolute;left:3638;top:14147;width:830;height:393" coordorigin="3638,14147" coordsize="830,393" path="m3638,14539l4468,14539,4468,14147,3638,14147,3638,1453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7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8" w:hRule="exact"/>
        </w:trPr>
        <w:tc>
          <w:tcPr>
            <w:tcW w:w="2476"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7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-175,507,1</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09.36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143,455,29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9.34</w:t>
            </w:r>
          </w:p>
        </w:tc>
      </w:tr>
      <w:tr>
        <w:trPr>
          <w:trHeight w:val="393"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-175,507,1</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09.36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143,455,29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9.34</w:t>
            </w:r>
          </w:p>
        </w:tc>
      </w:tr>
      <w:tr>
        <w:trPr>
          <w:trHeight w:val="393"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160"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393"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393"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-174,403,2</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32.81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144,559,17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5.89</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3"/>
        <w:gridCol w:w="886"/>
        <w:gridCol w:w="884"/>
        <w:gridCol w:w="886"/>
        <w:gridCol w:w="883"/>
        <w:gridCol w:w="884"/>
        <w:gridCol w:w="884"/>
        <w:gridCol w:w="883"/>
        <w:gridCol w:w="882"/>
      </w:tblGrid>
      <w:tr>
        <w:trPr>
          <w:trHeight w:val="402"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83"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0"/>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6" w:hRule="exact"/>
        </w:trPr>
        <w:tc>
          <w:tcPr>
            <w:tcW w:w="2483"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83"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-195,886,1</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45.11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123,076,26</w:t>
            </w:r>
          </w:p>
          <w:p>
            <w:pPr>
              <w:pStyle w:val="TableParagraph"/>
              <w:spacing w:line="240" w:lineRule="auto" w:before="106"/>
              <w:ind w:left="533" w:right="0"/>
              <w:jc w:val="left"/>
              <w:rPr>
                <w:rFonts w:ascii="Times New Roman" w:hAnsi="Times New Roman" w:cs="Times New Roman" w:eastAsia="Times New Roman" w:hint="default"/>
                <w:sz w:val="18"/>
                <w:szCs w:val="18"/>
              </w:rPr>
            </w:pPr>
            <w:r>
              <w:rPr>
                <w:rFonts w:ascii="Times New Roman"/>
                <w:sz w:val="18"/>
              </w:rPr>
              <w:t>3.59</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-195,886,1</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45.11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123,076,26</w:t>
            </w:r>
          </w:p>
          <w:p>
            <w:pPr>
              <w:pStyle w:val="TableParagraph"/>
              <w:spacing w:line="240" w:lineRule="auto" w:before="106"/>
              <w:ind w:left="533" w:right="0"/>
              <w:jc w:val="left"/>
              <w:rPr>
                <w:rFonts w:ascii="Times New Roman" w:hAnsi="Times New Roman" w:cs="Times New Roman" w:eastAsia="Times New Roman" w:hint="default"/>
                <w:sz w:val="18"/>
                <w:szCs w:val="18"/>
              </w:rPr>
            </w:pPr>
            <w:r>
              <w:rPr>
                <w:rFonts w:ascii="Times New Roman"/>
                <w:sz w:val="18"/>
              </w:rPr>
              <w:t>3.59</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20,379,035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71.879997pt;width:42.7pt;height:40.950pt;mso-position-horizontal-relative:page;mso-position-vertical-relative:page;z-index:-761440" coordorigin="3634,1438" coordsize="854,819">
            <v:group style="position:absolute;left:3646;top:1450;width:2;height:393" coordorigin="3646,1450" coordsize="2,393">
              <v:shape style="position:absolute;left:3646;top:1450;width:2;height:393" coordorigin="3646,1450" coordsize="0,393" path="m3646,1450l3646,1842e" filled="false" stroked="true" strokeweight="1.2pt" strokecolor="#ffffff">
                <v:path arrowok="t"/>
              </v:shape>
            </v:group>
            <v:group style="position:absolute;left:3658;top:1450;width:830;height:393" coordorigin="3658,1450" coordsize="830,393">
              <v:shape style="position:absolute;left:3658;top:1450;width:830;height:393" coordorigin="3658,1450" coordsize="830,393" path="m3658,1842l4487,1842,4487,1450,3658,1450,3658,1842xe" filled="true" fillcolor="#ffffff" stroked="false">
                <v:path arrowok="t"/>
                <v:fill type="solid"/>
              </v:shape>
            </v:group>
            <v:group style="position:absolute;left:3646;top:1852;width:2;height:393" coordorigin="3646,1852" coordsize="2,393">
              <v:shape style="position:absolute;left:3646;top:1852;width:2;height:393" coordorigin="3646,1852" coordsize="0,393" path="m3646,1852l3646,2244e" filled="false" stroked="true" strokeweight="1.2pt" strokecolor="#ffffff">
                <v:path arrowok="t"/>
              </v:shape>
            </v:group>
            <v:group style="position:absolute;left:3658;top:1852;width:830;height:393" coordorigin="3658,1852" coordsize="830,393">
              <v:shape style="position:absolute;left:3658;top:1852;width:830;height:393" coordorigin="3658,1852" coordsize="830,393" path="m3658,2244l4487,2244,4487,1852,3658,1852,3658,224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-175,507,1</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09.36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143,455,29</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9.34</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
        <w:rPr>
          <w:rFonts w:ascii="宋体" w:hAnsi="宋体" w:cs="宋体" w:eastAsia="宋体" w:hint="default"/>
          <w:sz w:val="25"/>
          <w:szCs w:val="25"/>
        </w:rPr>
      </w:pPr>
    </w:p>
    <w:p>
      <w:pPr>
        <w:pStyle w:val="Heading4"/>
        <w:spacing w:line="240" w:lineRule="auto" w:before="0"/>
        <w:ind w:right="1619"/>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153" w:right="0"/>
        <w:jc w:val="left"/>
      </w:pPr>
      <w:r>
        <w:rPr/>
        <w:t>远东实业股份有限公司（以下简称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月经江苏省体改委批准成立的定向募集</w:t>
      </w:r>
      <w:r>
        <w:rPr>
          <w:spacing w:val="-91"/>
        </w:rPr>
        <w:t> </w:t>
      </w:r>
      <w:r>
        <w:rPr>
          <w:spacing w:val="-91"/>
        </w:rPr>
      </w:r>
      <w:r>
        <w:rPr/>
        <w:t>股份有限公司，公司的企业法人营业执照注册号</w:t>
      </w:r>
      <w:r>
        <w:rPr>
          <w:rFonts w:ascii="Times New Roman" w:hAnsi="Times New Roman" w:cs="Times New Roman" w:eastAsia="Times New Roman" w:hint="default"/>
        </w:rPr>
        <w:t>320400400000497</w:t>
      </w:r>
      <w:r>
        <w:rPr/>
        <w:t>。</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日经中国证监会批准于</w:t>
      </w:r>
      <w:r>
        <w:rPr>
          <w:spacing w:val="-45"/>
        </w:rPr>
        <w:t> </w:t>
      </w:r>
      <w:r>
        <w:rPr>
          <w:spacing w:val="-45"/>
        </w:rPr>
      </w:r>
      <w:r>
        <w:rPr>
          <w:spacing w:val="-2"/>
        </w:rPr>
        <w:t>深圳证券交易所上网发行人民币普通股</w:t>
      </w:r>
      <w:r>
        <w:rPr>
          <w:rFonts w:ascii="Times New Roman" w:hAnsi="Times New Roman" w:cs="Times New Roman" w:eastAsia="Times New Roman" w:hint="default"/>
          <w:spacing w:val="-2"/>
        </w:rPr>
        <w:t>12,500,000</w:t>
      </w:r>
      <w:r>
        <w:rPr>
          <w:spacing w:val="-2"/>
        </w:rPr>
        <w:t>股，当时注册资本为</w:t>
      </w:r>
      <w:r>
        <w:rPr>
          <w:rFonts w:ascii="Times New Roman" w:hAnsi="Times New Roman" w:cs="Times New Roman" w:eastAsia="Times New Roman" w:hint="default"/>
          <w:spacing w:val="-2"/>
        </w:rPr>
        <w:t>5,000</w:t>
      </w:r>
      <w:r>
        <w:rPr>
          <w:spacing w:val="-2"/>
        </w:rPr>
        <w:t>万元，并于</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日在深</w:t>
      </w:r>
      <w:r>
        <w:rPr>
          <w:spacing w:val="-79"/>
        </w:rPr>
        <w:t> </w:t>
      </w:r>
      <w:r>
        <w:rPr>
          <w:spacing w:val="-1"/>
        </w:rPr>
        <w:t>圳证券交易所上市流通。公司简称：远东股份；股票代码：</w:t>
      </w:r>
      <w:r>
        <w:rPr>
          <w:rFonts w:ascii="Times New Roman" w:hAnsi="Times New Roman" w:cs="Times New Roman" w:eastAsia="Times New Roman" w:hint="default"/>
          <w:spacing w:val="-1"/>
        </w:rPr>
        <w:t>000681</w:t>
      </w:r>
      <w:r>
        <w:rPr>
          <w:spacing w:val="-1"/>
        </w:rPr>
        <w:t>。所属行业为：计算机软件开发、软件</w:t>
      </w:r>
      <w:r>
        <w:rPr>
          <w:spacing w:val="-85"/>
        </w:rPr>
        <w:t> </w:t>
      </w:r>
      <w:r>
        <w:rPr>
          <w:spacing w:val="-85"/>
        </w:rPr>
      </w:r>
      <w:r>
        <w:rPr/>
        <w:t>服务业类。 </w:t>
      </w:r>
      <w:r>
        <w:rPr>
          <w:rFonts w:ascii="Times New Roman" w:hAnsi="Times New Roman" w:cs="Times New Roman" w:eastAsia="Times New Roman" w:hint="default"/>
        </w:rPr>
        <w:t>2006</w:t>
      </w:r>
      <w:r>
        <w:rPr/>
        <w:t>年度</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日公司召开股权分置改革相关股东大会决议通过：公司非流通股股东为使其持有的本公司</w:t>
      </w:r>
      <w:r>
        <w:rPr>
          <w:spacing w:val="-37"/>
        </w:rPr>
        <w:t> </w:t>
      </w:r>
      <w:r>
        <w:rPr>
          <w:spacing w:val="-37"/>
        </w:rPr>
      </w:r>
      <w:r>
        <w:rPr>
          <w:spacing w:val="3"/>
        </w:rPr>
        <w:t>非流通股获得流通权而向本公司流通股股东支付的对价为：流通股股东每持有</w:t>
      </w:r>
      <w:r>
        <w:rPr>
          <w:rFonts w:ascii="Times New Roman" w:hAnsi="Times New Roman" w:cs="Times New Roman" w:eastAsia="Times New Roman" w:hint="default"/>
          <w:spacing w:val="3"/>
        </w:rPr>
        <w:t>10</w:t>
      </w:r>
      <w:r>
        <w:rPr>
          <w:spacing w:val="3"/>
        </w:rPr>
        <w:t>股将获得</w:t>
      </w:r>
      <w:r>
        <w:rPr>
          <w:rFonts w:ascii="Times New Roman" w:hAnsi="Times New Roman" w:cs="Times New Roman" w:eastAsia="Times New Roman" w:hint="default"/>
          <w:spacing w:val="3"/>
        </w:rPr>
        <w:t>3 </w:t>
      </w:r>
      <w:r>
        <w:rPr>
          <w:spacing w:val="4"/>
        </w:rPr>
        <w:t>股的股份对</w:t>
      </w:r>
      <w:r>
        <w:rPr>
          <w:spacing w:val="-96"/>
        </w:rPr>
        <w:t> </w:t>
      </w:r>
      <w:r>
        <w:rPr/>
        <w:t>价，非流通股股东向流通股股东支付了</w:t>
      </w:r>
      <w:r>
        <w:rPr>
          <w:rFonts w:ascii="Times New Roman" w:hAnsi="Times New Roman" w:cs="Times New Roman" w:eastAsia="Times New Roman" w:hint="default"/>
        </w:rPr>
        <w:t>17,437,501</w:t>
      </w:r>
      <w:r>
        <w:rPr/>
        <w:t>股股票。实施上述送股对价后，公司股份总数不变，股</w:t>
      </w:r>
      <w:r>
        <w:rPr>
          <w:spacing w:val="-37"/>
        </w:rPr>
        <w:t> </w:t>
      </w:r>
      <w:r>
        <w:rPr>
          <w:spacing w:val="-37"/>
        </w:rPr>
      </w:r>
      <w:r>
        <w:rPr>
          <w:spacing w:val="7"/>
        </w:rPr>
        <w:t>份结构发生相应变化。截止到</w:t>
      </w:r>
      <w:r>
        <w:rPr>
          <w:rFonts w:ascii="Times New Roman" w:hAnsi="Times New Roman" w:cs="Times New Roman" w:eastAsia="Times New Roman" w:hint="default"/>
          <w:spacing w:val="7"/>
        </w:rPr>
        <w:t>2012</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日，股本总数为</w:t>
      </w:r>
      <w:r>
        <w:rPr>
          <w:rFonts w:ascii="Times New Roman" w:hAnsi="Times New Roman" w:cs="Times New Roman" w:eastAsia="Times New Roman" w:hint="default"/>
          <w:spacing w:val="7"/>
        </w:rPr>
        <w:t>198,750,000</w:t>
      </w:r>
      <w:r>
        <w:rPr>
          <w:spacing w:val="7"/>
        </w:rPr>
        <w:t>股，其中：有限售条件股份为</w:t>
      </w:r>
      <w:r>
        <w:rPr>
          <w:spacing w:val="10"/>
        </w:rPr>
        <w:t> </w:t>
      </w:r>
      <w:r>
        <w:rPr>
          <w:rFonts w:ascii="Times New Roman" w:hAnsi="Times New Roman" w:cs="Times New Roman" w:eastAsia="Times New Roman" w:hint="default"/>
        </w:rPr>
        <w:t>36,272,399</w:t>
      </w:r>
      <w:r>
        <w:rPr/>
        <w:t>股，占股份总数的</w:t>
      </w:r>
      <w:r>
        <w:rPr>
          <w:rFonts w:ascii="Times New Roman" w:hAnsi="Times New Roman" w:cs="Times New Roman" w:eastAsia="Times New Roman" w:hint="default"/>
        </w:rPr>
        <w:t>18.25%</w:t>
      </w:r>
      <w:r>
        <w:rPr/>
        <w:t>，无限售条件股份为</w:t>
      </w:r>
      <w:r>
        <w:rPr>
          <w:rFonts w:ascii="Times New Roman" w:hAnsi="Times New Roman" w:cs="Times New Roman" w:eastAsia="Times New Roman" w:hint="default"/>
        </w:rPr>
        <w:t>162,477,601</w:t>
      </w:r>
      <w:r>
        <w:rPr/>
        <w:t>股，占股份总数的</w:t>
      </w:r>
      <w:r>
        <w:rPr>
          <w:rFonts w:ascii="Times New Roman" w:hAnsi="Times New Roman" w:cs="Times New Roman" w:eastAsia="Times New Roman" w:hint="default"/>
        </w:rPr>
        <w:t>81.75%</w:t>
      </w:r>
      <w:r>
        <w:rPr/>
        <w:t>。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spacing w:val="-31"/>
        </w:rPr>
        <w:t> </w:t>
      </w:r>
      <w:r>
        <w:rPr>
          <w:rFonts w:ascii="Times New Roman" w:hAnsi="Times New Roman" w:cs="Times New Roman" w:eastAsia="Times New Roman" w:hint="default"/>
        </w:rPr>
        <w:t>19,875</w:t>
      </w:r>
      <w:r>
        <w:rPr/>
        <w:t>万股，公司注册资本为</w:t>
      </w:r>
      <w:r>
        <w:rPr>
          <w:rFonts w:ascii="Times New Roman" w:hAnsi="Times New Roman" w:cs="Times New Roman" w:eastAsia="Times New Roman" w:hint="default"/>
        </w:rPr>
        <w:t>19,875</w:t>
      </w:r>
      <w:r>
        <w:rPr/>
        <w:t>万元，经营范围为： </w:t>
      </w:r>
      <w:r>
        <w:rPr>
          <w:spacing w:val="-1"/>
        </w:rPr>
        <w:t>开发、生产计算机软、硬件，销售自产产品并提供相关技术和工程咨询、服务、培训，转让本企业所开发</w:t>
      </w:r>
      <w:r>
        <w:rPr>
          <w:spacing w:val="-83"/>
        </w:rPr>
        <w:t> </w:t>
      </w:r>
      <w:r>
        <w:rPr>
          <w:spacing w:val="-83"/>
        </w:rPr>
      </w:r>
      <w:r>
        <w:rPr>
          <w:spacing w:val="-1"/>
        </w:rPr>
        <w:t>的技术；生产服装、床上用品、装饰品、鞋帽、纺织品、服务辅料等。公司注册地：常州市钟楼区清潭荆</w:t>
      </w:r>
      <w:r>
        <w:rPr>
          <w:spacing w:val="-84"/>
        </w:rPr>
        <w:t> </w:t>
      </w:r>
      <w:r>
        <w:rPr>
          <w:spacing w:val="-84"/>
        </w:rPr>
      </w:r>
      <w:r>
        <w:rPr/>
        <w:t>川南路。办公地址：常州市钟楼区西新桥二村。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before="0"/>
        <w:ind w:right="1619"/>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871" w:right="147"/>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项具体会计准则、其后颁布的企业会计准则应用指南、企业会计准</w:t>
      </w:r>
      <w:r>
        <w:rPr>
          <w:spacing w:val="-24"/>
        </w:rPr>
        <w:t> </w:t>
      </w:r>
      <w:r>
        <w:rPr>
          <w:spacing w:val="-24"/>
        </w:rPr>
      </w:r>
      <w:r>
        <w:rPr>
          <w:spacing w:val="-1"/>
        </w:rPr>
        <w:t>则解释及其他相关规定</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、以及中国证券监督管理委员会《公开发行证券</w:t>
      </w:r>
      <w:r>
        <w:rPr>
          <w:spacing w:val="-80"/>
        </w:rPr>
        <w:t> </w:t>
      </w:r>
      <w:r>
        <w:rPr>
          <w:spacing w:val="-80"/>
        </w:rPr>
      </w:r>
      <w:r>
        <w:rPr/>
        <w:t>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w:t>
      </w:r>
      <w:r>
        <w:rPr>
          <w:spacing w:val="-57"/>
        </w:rPr>
        <w:t> </w:t>
      </w:r>
      <w:r>
        <w:rPr>
          <w:spacing w:val="-57"/>
        </w:rPr>
      </w:r>
      <w:r>
        <w:rPr/>
        <w:t>表。</w:t>
      </w:r>
    </w:p>
    <w:p>
      <w:pPr>
        <w:spacing w:after="0" w:line="256"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1"/>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154" w:right="56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spacing w:line="506" w:lineRule="auto" w:before="0"/>
        <w:ind w:left="154" w:right="731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pStyle w:val="Heading5"/>
        <w:spacing w:line="240" w:lineRule="auto" w:before="155"/>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left="153" w:right="171"/>
        <w:jc w:val="left"/>
      </w:pPr>
      <w:r>
        <w:rPr>
          <w:spacing w:val="-1"/>
        </w:rPr>
        <w:t>本公司在企业合并中取得的资产和负债，按照合并日在被合并方的账面价值计量。被合并各方采用的会计</w:t>
      </w:r>
      <w:r>
        <w:rPr>
          <w:spacing w:val="-81"/>
        </w:rPr>
        <w:t> </w:t>
      </w:r>
      <w:r>
        <w:rPr>
          <w:spacing w:val="-81"/>
        </w:rPr>
      </w:r>
      <w:r>
        <w:rPr>
          <w:spacing w:val="-1"/>
        </w:rPr>
        <w:t>政策与本公司不一致的，本公司在合并日按照本公司会计政策进行调整，在此基础上按照调整后的账面价</w:t>
      </w:r>
      <w:r>
        <w:rPr>
          <w:spacing w:val="-81"/>
        </w:rPr>
        <w:t> </w:t>
      </w:r>
      <w:r>
        <w:rPr>
          <w:spacing w:val="-81"/>
        </w:rPr>
      </w:r>
      <w:r>
        <w:rPr/>
        <w:t>值确认。 </w:t>
      </w:r>
      <w:r>
        <w:rPr>
          <w:spacing w:val="-1"/>
        </w:rPr>
        <w:t>在合并中取得的净资产账面价值与支付的合并对价账面价值（或发行股份面值总额）的差额，调整资本公</w:t>
      </w:r>
      <w:r>
        <w:rPr>
          <w:spacing w:val="-83"/>
        </w:rPr>
        <w:t> </w:t>
      </w:r>
      <w:r>
        <w:rPr>
          <w:spacing w:val="-83"/>
        </w:rPr>
      </w:r>
      <w:r>
        <w:rPr/>
        <w:t>积中的股本溢价，资本公积中的股本溢价不足冲减的，调整留存收益。 本公司为进行企业合并而发生的各项直接相关费用，包括为进行企业合并而支付的审计费用、评估费用、 法律服务费等，于发生时计入当期损益。 </w:t>
      </w:r>
      <w:r>
        <w:rPr>
          <w:spacing w:val="-1"/>
        </w:rPr>
        <w:t>企业合并中发行权益性证券发生的手续费、佣金等，抵减权益性证券溢价收入，溢价收入不足冲减的，冲</w:t>
      </w:r>
      <w:r>
        <w:rPr>
          <w:spacing w:val="-82"/>
        </w:rPr>
        <w:t> </w:t>
      </w:r>
      <w:r>
        <w:rPr>
          <w:spacing w:val="-82"/>
        </w:rPr>
      </w:r>
      <w:r>
        <w:rPr/>
        <w:t>减留存收益。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70"/>
        <w:jc w:val="left"/>
      </w:pPr>
      <w:r>
        <w:rPr>
          <w:spacing w:val="-1"/>
        </w:rPr>
        <w:t>本公司在购买日对作为企业合并对价付出的资产、发生或承担的负债按照公允价值计量。公允价值与其账</w:t>
      </w:r>
      <w:r>
        <w:rPr>
          <w:spacing w:val="-81"/>
        </w:rPr>
        <w:t> </w:t>
      </w:r>
      <w:r>
        <w:rPr>
          <w:spacing w:val="-81"/>
        </w:rPr>
      </w:r>
      <w:r>
        <w:rPr/>
        <w:t>面价值的差额，计入当期损益。 </w:t>
      </w:r>
      <w:r>
        <w:rPr>
          <w:spacing w:val="-1"/>
        </w:rPr>
        <w:t>本公司在购买日对合并成本进行分配，确认所取得的被购买方各项可辨认资产、负债及或有负债的公允价</w:t>
      </w:r>
      <w:r>
        <w:rPr>
          <w:spacing w:val="-81"/>
        </w:rPr>
        <w:t> </w:t>
      </w:r>
      <w:r>
        <w:rPr>
          <w:spacing w:val="-81"/>
        </w:rPr>
      </w:r>
      <w:r>
        <w:rPr/>
        <w:t>值。 </w:t>
      </w:r>
      <w:r>
        <w:rPr>
          <w:spacing w:val="-1"/>
        </w:rPr>
        <w:t>本公司对合并成本大于合并中取得的被购买方可辨认净资产公允价值份额的差额，确认为商誉；合并成本</w:t>
      </w:r>
      <w:r>
        <w:rPr>
          <w:spacing w:val="-81"/>
        </w:rPr>
        <w:t> </w:t>
      </w:r>
      <w:r>
        <w:rPr>
          <w:spacing w:val="-81"/>
        </w:rPr>
      </w:r>
      <w:r>
        <w:rPr/>
        <w:t>小于合并中取得的被购买方可辨认净资产公允价值份额的差额，经复核后，计入当期损益。 </w:t>
      </w:r>
      <w:r>
        <w:rPr>
          <w:spacing w:val="-1"/>
        </w:rPr>
        <w:t>企业合并中取得的被购买方除无形资产外的其他各项资产（不仅限于被购买方原已确认的资产），其所带</w:t>
      </w:r>
      <w:r>
        <w:rPr>
          <w:spacing w:val="-83"/>
        </w:rPr>
        <w:t> </w:t>
      </w:r>
      <w:r>
        <w:rPr>
          <w:spacing w:val="-83"/>
        </w:rPr>
      </w:r>
      <w:r>
        <w:rPr>
          <w:spacing w:val="-1"/>
        </w:rPr>
        <w:t>来的经济利益很可能流入本公司且公允价值能够可靠计量的，单独确认并按公允价值计量；公允价值能够</w:t>
      </w:r>
      <w:r>
        <w:rPr>
          <w:spacing w:val="-81"/>
        </w:rPr>
        <w:t> </w:t>
      </w:r>
      <w:r>
        <w:rPr>
          <w:spacing w:val="-81"/>
        </w:rPr>
      </w:r>
      <w:r>
        <w:rPr>
          <w:spacing w:val="-1"/>
        </w:rPr>
        <w:t>可靠计量的无形资产，单独确认为无形资产并按公允价值计量；取得的被购买方除或有负债以外的其他各</w:t>
      </w:r>
      <w:r>
        <w:rPr>
          <w:spacing w:val="-81"/>
        </w:rPr>
        <w:t> </w:t>
      </w:r>
      <w:r>
        <w:rPr>
          <w:spacing w:val="-81"/>
        </w:rPr>
      </w:r>
      <w:r>
        <w:rPr>
          <w:spacing w:val="-1"/>
        </w:rPr>
        <w:t>项负债，履行有关义务很可能导致经济利益流出本公司且公允价值能够可靠计量的，单独确认并按照公允</w:t>
      </w:r>
      <w:r>
        <w:rPr>
          <w:spacing w:val="-81"/>
        </w:rPr>
        <w:t> </w:t>
      </w:r>
      <w:r>
        <w:rPr>
          <w:spacing w:val="-81"/>
        </w:rPr>
      </w:r>
      <w:r>
        <w:rPr/>
        <w:t>价值计量；取得的被购买方或有负债，其公允价值能可靠计量的，单独确认为负债并按照公允价值计量。</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1" w:lineRule="auto" w:before="35"/>
        <w:ind w:left="153" w:right="102"/>
        <w:jc w:val="left"/>
      </w:pPr>
      <w:r>
        <w:rPr/>
        <w:t>本公司在企业合并中取得的被购买方的可抵扣暂时性差异，在购买日不符合递延所得税资产确认条件的， 不予以确认。购买日后</w:t>
      </w:r>
      <w:r>
        <w:rPr>
          <w:rFonts w:ascii="Times New Roman" w:hAnsi="Times New Roman" w:cs="Times New Roman" w:eastAsia="Times New Roman" w:hint="default"/>
        </w:rPr>
        <w:t>12</w:t>
      </w:r>
      <w:r>
        <w:rPr/>
        <w:t>个月内，如取得新的或进一步的信息表明购买日的相关情况已经存在，预期被购 </w:t>
      </w:r>
      <w:r>
        <w:rPr>
          <w:spacing w:val="-3"/>
        </w:rPr>
        <w:t>买方在购买日可抵扣暂时性差异带来的经济利益能够实现的，确认相关的递延所得税资产，同时减少商誉，</w:t>
      </w:r>
      <w:r>
        <w:rPr>
          <w:spacing w:val="-92"/>
        </w:rPr>
        <w:t> </w:t>
      </w:r>
      <w:r>
        <w:rPr>
          <w:spacing w:val="-92"/>
        </w:rPr>
      </w:r>
      <w:r>
        <w:rPr/>
        <w:t>商誉不足冲减的，差额部分确认为当期损益；除上述情况以外，确认与企业合并相关的递延所得税资产， 计入当期损益。 非同一控制下企业合并，购买方为企业合并发生的审计、法律服务、评估咨询等中介费用以及其他相关管</w:t>
      </w:r>
      <w:r>
        <w:rPr/>
        <w:t> 理费用，应当于发生时计入当期损益；购买方作为合并对价发行的权益性证券或债务性证券的交易费用， 应当计入权益性证券或债务性证券的初始确认金额。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0"/>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left="153" w:right="102"/>
        <w:jc w:val="left"/>
      </w:pPr>
      <w:r>
        <w:rPr/>
        <w:t>本公司合并财务报表的合并范围以控制为基础确定，所有子公司均纳入合并财务报表。 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进行调整。合并财务报表以本公司及子公司的财务报表为基础，根据其他有关资料，按照权益法调整对子 公司的长期股权投资后，由本公司编制。 合并财务报表时抵销本公司与各子公司、各子公司相互之间发生的内部交易对合并资产负债表、合并利润 表、合并现金流量表、合并所有者权益变动表的影响。 </w:t>
      </w:r>
      <w:r>
        <w:rPr>
          <w:spacing w:val="3"/>
        </w:rPr>
        <w:t>子公司少数股东应占的权益和损益分别在合并资产负债表中所有者权益项目下和合并利润表中净利润项</w:t>
      </w:r>
      <w:r>
        <w:rPr>
          <w:spacing w:val="-78"/>
        </w:rPr>
        <w:t> </w:t>
      </w:r>
      <w:r>
        <w:rPr>
          <w:spacing w:val="-78"/>
        </w:rPr>
      </w:r>
      <w:r>
        <w:rPr/>
        <w:t>目下单独列示。子公司少数股东分担的当期亏损超过了少数股东在该子公司期初所有者权益中所享有份额</w:t>
      </w:r>
      <w:r>
        <w:rPr/>
        <w:t> 而形成的余额，冲减少数股东权益。 在报告期内，若因同一控制下企业合并增加子公司的，则调整合并资产负债表的期初数；将子公司合并当 期期初至报告期末的收入、费用、利润纳入合并利润表；将子公司合并当期期初至报告期末的现金流量纳 入合并现金流量表，同时对比较报表的相关项目进行调整，视同合并后的报告主体在以前期间一直存在。 在报告期内，若因非同一控制下企业合并增加子公司的，则不调整合并资产负债表期初数；将子公司自购 买日至报告期末的收入、费用、利润纳入合并利润表；该子公司自购买日至报告期末的现金流量纳入合并 现金流量表。通过多次交易分步实现非同一控制下企业合并时，对于购买日之前持有的被购买方的股权， 本公司按照该股权在购买日的公允价值进行重新计量，公允价值与其账面价值的差额计入当期投资收益。 购买日之前持有的被购买方的股权涉及其他综合收益的，与其相关的其他综合收益转为购买日所属当期投 资收益。 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w:t>
      </w:r>
      <w:r>
        <w:rPr>
          <w:spacing w:val="-3"/>
        </w:rPr>
        <w:t>净资产的份额之间的差额，计入丧失控制权当期的投资收益。与原有子公司股权投资相关的其他综合收益，</w:t>
      </w:r>
      <w:r>
        <w:rPr>
          <w:spacing w:val="-92"/>
        </w:rPr>
        <w:t> </w:t>
      </w:r>
      <w:r>
        <w:rPr>
          <w:spacing w:val="-92"/>
        </w:rPr>
      </w:r>
      <w:r>
        <w:rPr/>
        <w:t>在丧失控制权时转为当期投资收益。 </w:t>
      </w:r>
      <w:r>
        <w:rPr>
          <w:spacing w:val="3"/>
        </w:rPr>
        <w:t>本公司因购买少数股权新取得的长期股权投资与按照新增持股比例计算应享有子公司的可辨认净资产份</w:t>
      </w:r>
      <w:r>
        <w:rPr>
          <w:spacing w:val="-78"/>
        </w:rPr>
        <w:t> </w:t>
      </w:r>
      <w:r>
        <w:rPr>
          <w:spacing w:val="-78"/>
        </w:rPr>
      </w:r>
      <w:r>
        <w:rPr/>
        <w:t>额之间的差额，以及在不丧失控制权的情况下因部分处置对子公司的股权投资而取得的处置价款与处置长</w:t>
      </w:r>
      <w:r>
        <w:rPr/>
        <w:t> 期股权投资相对应享有子公司净资产份额的差额，均调整合并资产负债表中的资本公积中的股本溢价，资</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1619"/>
        <w:jc w:val="left"/>
      </w:pPr>
      <w:r>
        <w:rPr/>
        <w:t>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48"/>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spacing w:line="240" w:lineRule="auto" w:before="0"/>
        <w:rPr>
          <w:rFonts w:ascii="宋体" w:hAnsi="宋体" w:cs="宋体" w:eastAsia="宋体" w:hint="default"/>
          <w:sz w:val="20"/>
          <w:szCs w:val="20"/>
        </w:rPr>
      </w:pPr>
    </w:p>
    <w:p>
      <w:pPr>
        <w:pStyle w:val="Heading5"/>
        <w:spacing w:line="240" w:lineRule="auto" w:before="155"/>
        <w:ind w:right="1619"/>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1"/>
        <w:jc w:val="both"/>
      </w:pPr>
      <w:r>
        <w:rPr>
          <w:spacing w:val="-1"/>
        </w:rPr>
        <w:t>管理层按照取得持有金融资产和承担金融负债的目的，将其划分为：以公允价值计量且其变动计入当期损</w:t>
      </w:r>
      <w:r>
        <w:rPr>
          <w:spacing w:val="-81"/>
        </w:rPr>
        <w:t> </w:t>
      </w:r>
      <w:r>
        <w:rPr>
          <w:spacing w:val="-81"/>
        </w:rPr>
      </w:r>
      <w:r>
        <w:rPr>
          <w:spacing w:val="-1"/>
        </w:rPr>
        <w:t>益的金融资产或金融负债，包括交易性金融资产或金融负债；持有至到期投资；应收款项；可供出售金融</w:t>
      </w:r>
      <w:r>
        <w:rPr>
          <w:spacing w:val="-82"/>
        </w:rPr>
        <w:t> </w:t>
      </w:r>
      <w:r>
        <w:rPr>
          <w:spacing w:val="-82"/>
        </w:rPr>
      </w:r>
      <w:r>
        <w:rPr/>
        <w:t>资产；其他金融负债等。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2"/>
        </w:rPr>
        <w:t> </w:t>
      </w:r>
      <w:r>
        <w:rPr>
          <w:spacing w:val="-82"/>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68" w:lineRule="auto" w:before="12"/>
        <w:ind w:right="0" w:hanging="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4"/>
        </w:rPr>
        <w:t> </w:t>
      </w:r>
      <w:r>
        <w:rPr>
          <w:spacing w:val="-84"/>
        </w:rPr>
      </w:r>
      <w:r>
        <w:rPr/>
        <w:t>存续期间或适用的更短期间内保持不变。 处置时，将所取得价款与该投资账面价值之间的差额计入投资收益。</w:t>
      </w:r>
    </w:p>
    <w:p>
      <w:pPr>
        <w:pStyle w:val="BodyText"/>
        <w:spacing w:line="266" w:lineRule="auto" w:before="12"/>
        <w:ind w:right="0" w:hanging="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w:t>
      </w:r>
      <w:r>
        <w:rPr>
          <w:spacing w:val="-82"/>
        </w:rPr>
        <w:t> </w:t>
      </w:r>
      <w:r>
        <w:rPr>
          <w:spacing w:val="-82"/>
        </w:rPr>
      </w:r>
      <w:r>
        <w:rPr>
          <w:spacing w:val="-1"/>
        </w:rPr>
        <w:t>债务工具的债权，包括应收账款、其他应收款、预付账款等，以向购货方应收的合同或协议价款作为初始</w:t>
      </w:r>
      <w:r>
        <w:rPr>
          <w:spacing w:val="-83"/>
        </w:rPr>
        <w:t> </w:t>
      </w:r>
      <w:r>
        <w:rPr>
          <w:spacing w:val="-83"/>
        </w:rPr>
      </w:r>
      <w:r>
        <w:rPr/>
        <w:t>确认金额；具有融资性质的，按其现值进行初始确认。</w:t>
      </w:r>
    </w:p>
    <w:p>
      <w:pPr>
        <w:spacing w:after="0" w:line="26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收回或处置时，将取得的价款与该应收款项账面价值之间的差额计入当期损益。</w:t>
      </w:r>
    </w:p>
    <w:p>
      <w:pPr>
        <w:pStyle w:val="BodyText"/>
        <w:spacing w:line="266" w:lineRule="auto" w:before="37"/>
        <w:ind w:right="0" w:hanging="1"/>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w:t>
      </w:r>
      <w:r>
        <w:rPr>
          <w:spacing w:val="-82"/>
        </w:rPr>
        <w:t> </w:t>
      </w:r>
      <w:r>
        <w:rPr>
          <w:spacing w:val="-82"/>
        </w:rPr>
      </w:r>
      <w:r>
        <w:rPr/>
        <w:t>费用之和作为初始确认金额。 </w:t>
      </w:r>
      <w:r>
        <w:rPr>
          <w:spacing w:val="-1"/>
        </w:rPr>
        <w:t>持有期间将取得的利息或现金股利确认为投资收益。期末以公允价值计量且将公允价值变动计入资本公积</w:t>
      </w:r>
    </w:p>
    <w:p>
      <w:pPr>
        <w:pStyle w:val="BodyText"/>
        <w:spacing w:line="273" w:lineRule="auto" w:before="14"/>
        <w:ind w:right="0"/>
        <w:jc w:val="left"/>
      </w:pPr>
      <w:r>
        <w:rPr/>
        <w:t>（其他资本公积）。 </w:t>
      </w:r>
      <w:r>
        <w:rPr>
          <w:spacing w:val="-1"/>
        </w:rPr>
        <w:t>处置时，将取得的价款与该金融资产账面价值之间的差额，计入投资损益；同时，将原直接计入所有者权</w:t>
      </w:r>
      <w:r>
        <w:rPr>
          <w:spacing w:val="-82"/>
        </w:rPr>
        <w:t> </w:t>
      </w:r>
      <w:r>
        <w:rPr>
          <w:spacing w:val="-82"/>
        </w:rPr>
      </w:r>
      <w:r>
        <w:rPr/>
        <w:t>益的公允价值变动累计额对应处置部分的金额转出，计入投资损益。</w:t>
      </w:r>
    </w:p>
    <w:p>
      <w:pPr>
        <w:pStyle w:val="BodyText"/>
        <w:spacing w:line="256" w:lineRule="auto" w:before="7"/>
        <w:ind w:right="2060" w:hanging="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7"/>
        <w:ind w:right="0"/>
        <w:jc w:val="left"/>
      </w:pPr>
      <w:r>
        <w:rPr/>
        <w:t>（</w:t>
      </w:r>
      <w:r>
        <w:rPr>
          <w:rFonts w:ascii="Times New Roman" w:hAnsi="Times New Roman" w:cs="Times New Roman" w:eastAsia="Times New Roman" w:hint="default"/>
        </w:rPr>
        <w:t>1</w:t>
      </w:r>
      <w:r>
        <w:rPr/>
        <w:t>）所转移金融资产的账面价值；</w:t>
      </w:r>
    </w:p>
    <w:p>
      <w:pPr>
        <w:pStyle w:val="BodyText"/>
        <w:spacing w:line="26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BodyText"/>
        <w:spacing w:line="240" w:lineRule="auto" w:before="14"/>
        <w:ind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3" w:lineRule="auto" w:before="21"/>
        <w:ind w:right="800"/>
        <w:jc w:val="left"/>
      </w:pPr>
      <w:r>
        <w:rPr/>
        <w:t>（涉及转移的金融资产为可供出售金融资产的情形）之和。 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02"/>
        <w:jc w:val="left"/>
      </w:pP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after="0" w:line="273"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spacing w:line="506" w:lineRule="auto" w:before="35"/>
        <w:ind w:left="154" w:right="9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本公司采用公允价值计量的金融资产和金融负债全部直接参考期末的平均价活跃市场中的报价。</w:t>
      </w:r>
    </w:p>
    <w:p>
      <w:pPr>
        <w:spacing w:line="240" w:lineRule="auto" w:before="0"/>
        <w:rPr>
          <w:rFonts w:ascii="宋体" w:hAnsi="宋体" w:cs="宋体" w:eastAsia="宋体" w:hint="default"/>
          <w:sz w:val="20"/>
          <w:szCs w:val="20"/>
        </w:rPr>
      </w:pPr>
    </w:p>
    <w:p>
      <w:pPr>
        <w:pStyle w:val="Heading5"/>
        <w:spacing w:line="240" w:lineRule="auto" w:before="155"/>
        <w:ind w:right="1619"/>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除以公允价值计量且其变动计入当期损益的金融资产外，本公司于资产负债表日对金融资产的账面价值进</w:t>
      </w:r>
      <w:r>
        <w:rPr>
          <w:spacing w:val="-81"/>
        </w:rPr>
        <w:t> </w:t>
      </w:r>
      <w:r>
        <w:rPr>
          <w:spacing w:val="-81"/>
        </w:rPr>
      </w:r>
      <w:r>
        <w:rPr/>
        <w:t>行检查，如果有客观证据表明某项金融资产发生减值的，计提减值准备。</w:t>
      </w:r>
    </w:p>
    <w:p>
      <w:pPr>
        <w:pStyle w:val="BodyText"/>
        <w:spacing w:line="268" w:lineRule="auto" w:before="7"/>
        <w:ind w:right="0" w:hanging="1"/>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w:t>
      </w:r>
      <w:r>
        <w:rPr>
          <w:spacing w:val="-82"/>
        </w:rPr>
        <w:t> </w:t>
      </w:r>
      <w:r>
        <w:rPr>
          <w:spacing w:val="-82"/>
        </w:rPr>
      </w:r>
      <w:r>
        <w:rPr>
          <w:spacing w:val="-1"/>
        </w:rPr>
        <w:t>属于非暂时性的，就认定其已发生减值，将原直接计入所有者权益的公允价值下降形成的累计损失一并转</w:t>
      </w:r>
      <w:r>
        <w:rPr>
          <w:spacing w:val="-82"/>
        </w:rPr>
        <w:t> </w:t>
      </w:r>
      <w:r>
        <w:rPr>
          <w:spacing w:val="-82"/>
        </w:rPr>
      </w:r>
      <w:r>
        <w:rPr/>
        <w:t>出，确认减值损失。 </w:t>
      </w:r>
      <w:r>
        <w:rPr>
          <w:spacing w:val="-1"/>
        </w:rPr>
        <w:t>对于已确认减值损失的可供出售债务工具，在随后的会计期间公允价值已上升且客观上与确认原减值损失</w:t>
      </w:r>
      <w:r>
        <w:rPr>
          <w:spacing w:val="-82"/>
        </w:rPr>
        <w:t> </w:t>
      </w:r>
      <w:r>
        <w:rPr>
          <w:spacing w:val="-82"/>
        </w:rPr>
      </w:r>
      <w:r>
        <w:rPr>
          <w:spacing w:val="-1"/>
        </w:rPr>
        <w:t>确认后发生的事项有关的，原确认的减值损失予以转回，计入当期损益。可供出售权益工具投资发生的减</w:t>
      </w:r>
      <w:r>
        <w:rPr>
          <w:spacing w:val="-84"/>
        </w:rPr>
        <w:t> </w:t>
      </w:r>
      <w:r>
        <w:rPr>
          <w:spacing w:val="-84"/>
        </w:rPr>
      </w:r>
      <w:r>
        <w:rPr/>
        <w:t>值损失，不得通过损益转回。</w:t>
      </w:r>
    </w:p>
    <w:p>
      <w:pPr>
        <w:pStyle w:val="BodyText"/>
        <w:spacing w:line="264" w:lineRule="auto" w:before="12"/>
        <w:ind w:right="145"/>
        <w:jc w:val="left"/>
      </w:pP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如果单项可供出售金融资产的公允价值出现较大幅度下降，超过其持有成本的</w:t>
      </w:r>
      <w:r>
        <w:rPr>
          <w:rFonts w:ascii="Times New Roman" w:hAnsi="Times New Roman" w:cs="Times New Roman" w:eastAsia="Times New Roman" w:hint="default"/>
        </w:rPr>
        <w:t>50%</w:t>
      </w:r>
      <w:r>
        <w:rPr/>
        <w:t>，认定该可供出售金融</w:t>
      </w:r>
      <w:r>
        <w:rPr>
          <w:spacing w:val="-98"/>
        </w:rPr>
        <w:t> </w:t>
      </w:r>
      <w:r>
        <w:rPr>
          <w:spacing w:val="-98"/>
        </w:rPr>
      </w:r>
      <w:r>
        <w:rPr/>
        <w:t>资产已发生减值为严重的，应计提减值准备，确认减值损失。 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w:t>
      </w:r>
      <w:r>
        <w:rPr>
          <w:spacing w:val="-1"/>
        </w:rPr>
        <w:t>如果单项可供出售金融资产的公允价值出现较大幅度下降，预期这种下降趋势属于非暂时性的，持续时间</w:t>
      </w:r>
      <w:r>
        <w:rPr>
          <w:spacing w:val="-81"/>
        </w:rPr>
        <w:t> </w:t>
      </w:r>
      <w:r>
        <w:rPr>
          <w:spacing w:val="-81"/>
        </w:rPr>
      </w:r>
      <w:r>
        <w:rPr>
          <w:spacing w:val="-1"/>
        </w:rPr>
        <w:t>超过一年，且在整个持有期间得不到根本改变时，认定该可供出售金融资产已发生减值为非暂时性的，应</w:t>
      </w:r>
      <w:r>
        <w:rPr>
          <w:spacing w:val="-83"/>
        </w:rPr>
        <w:t> </w:t>
      </w:r>
      <w:r>
        <w:rPr>
          <w:spacing w:val="-83"/>
        </w:rPr>
      </w:r>
      <w:r>
        <w:rPr/>
        <w:t>计提减值准备，确认减值损失。</w:t>
      </w:r>
    </w:p>
    <w:p>
      <w:pPr>
        <w:pStyle w:val="BodyText"/>
        <w:spacing w:line="256" w:lineRule="auto" w:before="16"/>
        <w:ind w:right="3260"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3"/>
        <w:ind w:left="153" w:right="55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z w:val="21"/>
          <w:szCs w:val="21"/>
        </w:rPr>
        <w:t>应收款项包括应收账款、其他应收款等。</w:t>
      </w:r>
    </w:p>
    <w:p>
      <w:pPr>
        <w:pStyle w:val="BodyText"/>
        <w:spacing w:line="273" w:lineRule="auto" w:before="37"/>
        <w:ind w:left="153" w:right="0"/>
        <w:jc w:val="left"/>
      </w:pPr>
      <w:r>
        <w:rPr>
          <w:spacing w:val="-1"/>
        </w:rPr>
        <w:t>期末如果有客观证据表明应收款项发生减值，则将其账面价值减记至可收回金额，减记的金额确认为资产</w:t>
      </w:r>
      <w:r>
        <w:rPr>
          <w:spacing w:val="-81"/>
        </w:rPr>
        <w:t> </w:t>
      </w:r>
      <w:r>
        <w:rPr>
          <w:spacing w:val="-81"/>
        </w:rPr>
      </w:r>
      <w:r>
        <w:rPr>
          <w:spacing w:val="-1"/>
        </w:rPr>
        <w:t>减值损失，计入当期损益。可收回金额是通过对其的未来现金流量（不包括尚未发生的信用损失）按原实</w:t>
      </w:r>
      <w:r>
        <w:rPr>
          <w:spacing w:val="-82"/>
        </w:rPr>
        <w:t> </w:t>
      </w:r>
      <w:r>
        <w:rPr>
          <w:spacing w:val="-82"/>
        </w:rPr>
      </w:r>
      <w:r>
        <w:rPr/>
        <w:t>际利率折现确定，并考虑相关担保物的价值（扣除预计处置费用等）。 原实际利率是初始确认该应收款项时计算确定的实际利率。 </w:t>
      </w:r>
      <w:r>
        <w:rPr>
          <w:spacing w:val="-1"/>
        </w:rPr>
        <w:t>短期应收款项的预计未来现金流量与其现值相差很小，在确定相关减值损失时，不对其预计未来现金流量</w:t>
      </w:r>
      <w:r>
        <w:rPr>
          <w:spacing w:val="-81"/>
        </w:rPr>
        <w:t> </w:t>
      </w:r>
      <w:r>
        <w:rPr>
          <w:spacing w:val="-81"/>
        </w:rPr>
      </w:r>
      <w:r>
        <w:rPr/>
        <w:t>进行折现。</w:t>
      </w:r>
    </w:p>
    <w:p>
      <w:pPr>
        <w:spacing w:after="0" w:line="273"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6"/>
        <w:gridCol w:w="4512"/>
      </w:tblGrid>
      <w:tr>
        <w:trPr>
          <w:trHeight w:val="714"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应收款项的单项金额重大是指：占应收款项余额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1338"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生减值的，包括在具有类似信用风险特征的应收款项组合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中再进行减值测试。</w:t>
            </w:r>
          </w:p>
        </w:tc>
      </w:tr>
    </w:tbl>
    <w:p>
      <w:pPr>
        <w:spacing w:line="240" w:lineRule="auto" w:before="2"/>
        <w:rPr>
          <w:rFonts w:ascii="宋体" w:hAnsi="宋体" w:cs="宋体" w:eastAsia="宋体" w:hint="default"/>
          <w:b/>
          <w:bCs/>
          <w:sz w:val="19"/>
          <w:szCs w:val="19"/>
        </w:rPr>
      </w:pPr>
    </w:p>
    <w:p>
      <w:pPr>
        <w:spacing w:before="35"/>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按账龄段划分为具有类似信用风险特征的应收款项组合。</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其他不重大的应收款项指除上述两种情况以外但有客观证据表明应收款项发生 减值的单项应收款。</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将应收款项账面价值减记至可收回金额，减记的金额确认为资产减值损失，计 入当期损益。</w:t>
            </w:r>
          </w:p>
        </w:tc>
      </w:tr>
    </w:tbl>
    <w:p>
      <w:pPr>
        <w:spacing w:line="240" w:lineRule="auto" w:before="2"/>
        <w:rPr>
          <w:rFonts w:ascii="宋体" w:hAnsi="宋体" w:cs="宋体" w:eastAsia="宋体" w:hint="default"/>
          <w:b/>
          <w:bCs/>
          <w:sz w:val="19"/>
          <w:szCs w:val="19"/>
        </w:rPr>
      </w:pPr>
    </w:p>
    <w:p>
      <w:pPr>
        <w:spacing w:before="35"/>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存货分类为：原材料、包装物、在产品、产成品、库存商品、低值易耗品和工程施工等。库存商品包含本公司已入库的电视</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剧产成品之实际成本。</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计价方法：其他</w:t>
      </w:r>
    </w:p>
    <w:p>
      <w:pPr>
        <w:pStyle w:val="BodyText"/>
        <w:spacing w:line="240" w:lineRule="auto" w:before="89"/>
        <w:ind w:right="1619"/>
        <w:jc w:val="left"/>
      </w:pPr>
      <w:r>
        <w:rPr/>
        <w:t>①采购存货专门用于单项业务时，按个别计价法确认；</w:t>
      </w:r>
    </w:p>
    <w:p>
      <w:pPr>
        <w:pStyle w:val="BodyText"/>
        <w:spacing w:line="240" w:lineRule="auto" w:before="37"/>
        <w:ind w:left="153" w:right="1619"/>
        <w:jc w:val="left"/>
      </w:pPr>
      <w:r>
        <w:rPr/>
        <w:t>②非为单项业务单独采购的存货，按加权平均法确认；</w:t>
      </w:r>
    </w:p>
    <w:p>
      <w:pPr>
        <w:pStyle w:val="BodyText"/>
        <w:spacing w:line="261" w:lineRule="auto" w:before="37"/>
        <w:ind w:left="153" w:right="135"/>
        <w:jc w:val="left"/>
      </w:pPr>
      <w:r>
        <w:rPr>
          <w:spacing w:val="-1"/>
        </w:rPr>
        <w:t>③电视剧成本的入库和发出计价方法：委托摄制业务中，公司按合同约定预付给受托方的制片款项，先通</w:t>
      </w:r>
      <w:r>
        <w:rPr>
          <w:spacing w:val="-83"/>
        </w:rPr>
        <w:t> </w:t>
      </w:r>
      <w:r>
        <w:rPr>
          <w:spacing w:val="-83"/>
        </w:rPr>
      </w:r>
      <w:r>
        <w:rPr/>
        <w:t>过</w:t>
      </w:r>
      <w:r>
        <w:rPr>
          <w:rFonts w:ascii="Times New Roman" w:hAnsi="Times New Roman" w:cs="Times New Roman" w:eastAsia="Times New Roman" w:hint="default"/>
        </w:rPr>
        <w:t>“</w:t>
      </w:r>
      <w:r>
        <w:rPr/>
        <w:t>预付账款</w:t>
      </w:r>
      <w:r>
        <w:rPr>
          <w:rFonts w:ascii="Times New Roman" w:hAnsi="Times New Roman" w:cs="Times New Roman" w:eastAsia="Times New Roman" w:hint="default"/>
        </w:rPr>
        <w:t>”</w:t>
      </w:r>
      <w:r>
        <w:rPr/>
        <w:t>科目进行核算；当影视片完成摄制并收到受托方出具的经审计或双方确认的有关成本、费用 结算凭据或报表时，按实际结算金额将该款项转作影视片库存成本，计入</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科目核算。 销售库存商品（电视剧），自符合收入确认条件之日起，按以下方法和规定结转销售成本：</w:t>
      </w:r>
      <w:r>
        <w:rPr>
          <w:rFonts w:ascii="Times New Roman" w:hAnsi="Times New Roman" w:cs="Times New Roman" w:eastAsia="Times New Roman" w:hint="default"/>
        </w:rPr>
        <w:t>A</w:t>
      </w:r>
      <w:r>
        <w:rPr/>
        <w:t>．以一次性</w:t>
      </w:r>
      <w:r>
        <w:rPr>
          <w:spacing w:val="-74"/>
        </w:rPr>
        <w:t> </w:t>
      </w:r>
      <w:r>
        <w:rPr>
          <w:spacing w:val="-74"/>
        </w:rPr>
      </w:r>
      <w:r>
        <w:rPr>
          <w:spacing w:val="-1"/>
        </w:rPr>
        <w:t>卖断国内全部著作权的，在收到卖断价款时，将其全部实际成本一次性结转销售成本；采用分期收款销售</w:t>
      </w:r>
      <w:r>
        <w:rPr>
          <w:spacing w:val="-83"/>
        </w:rPr>
        <w:t> </w:t>
      </w:r>
      <w:r>
        <w:rPr>
          <w:spacing w:val="-83"/>
        </w:rPr>
      </w:r>
      <w:r>
        <w:rPr>
          <w:spacing w:val="-4"/>
        </w:rPr>
        <w:t>方式的，按企业会计准则的规定执行。</w:t>
      </w:r>
      <w:r>
        <w:rPr>
          <w:rFonts w:ascii="Times New Roman" w:hAnsi="Times New Roman" w:cs="Times New Roman" w:eastAsia="Times New Roman" w:hint="default"/>
          <w:spacing w:val="-4"/>
        </w:rPr>
        <w:t>B</w:t>
      </w:r>
      <w:r>
        <w:rPr>
          <w:spacing w:val="-4"/>
        </w:rPr>
        <w:t>．采用按票款、发行收入等分账结算方式，或采用多次、局部（特</w:t>
      </w:r>
      <w:r>
        <w:rPr>
          <w:spacing w:val="-80"/>
        </w:rPr>
        <w:t> </w:t>
      </w:r>
      <w:r>
        <w:rPr>
          <w:spacing w:val="-80"/>
        </w:rPr>
      </w:r>
      <w:r>
        <w:rPr>
          <w:spacing w:val="-1"/>
        </w:rPr>
        <w:t>定院线或一定区域、一定时期内）将发行权、放映权转让给部分电影院线（发行公司）或电视台等，且仍</w:t>
      </w:r>
      <w:r>
        <w:rPr>
          <w:spacing w:val="-83"/>
        </w:rPr>
        <w:t> </w:t>
      </w:r>
      <w:r>
        <w:rPr>
          <w:spacing w:val="-83"/>
        </w:rPr>
      </w:r>
      <w:r>
        <w:rPr/>
        <w:t>可继续向其他单位发行、销售的电视剧，在符合收入确认条件之日起，不超过</w:t>
      </w:r>
      <w:r>
        <w:rPr>
          <w:rFonts w:ascii="Times New Roman" w:hAnsi="Times New Roman" w:cs="Times New Roman" w:eastAsia="Times New Roman" w:hint="default"/>
        </w:rPr>
        <w:t>1</w:t>
      </w:r>
      <w:r>
        <w:rPr/>
        <w:t>年的期间内，采用计划收</w:t>
      </w:r>
      <w:r>
        <w:rPr>
          <w:spacing w:val="-34"/>
        </w:rPr>
        <w:t> </w:t>
      </w:r>
      <w:r>
        <w:rPr>
          <w:spacing w:val="-34"/>
        </w:rPr>
      </w:r>
      <w:r>
        <w:rPr>
          <w:spacing w:val="-2"/>
        </w:rPr>
        <w:t>入比例法将其全部实际成本逐笔（期）结转销售成本。</w:t>
      </w:r>
      <w:r>
        <w:rPr>
          <w:rFonts w:ascii="Times New Roman" w:hAnsi="Times New Roman" w:cs="Times New Roman" w:eastAsia="Times New Roman" w:hint="default"/>
          <w:spacing w:val="-2"/>
        </w:rPr>
        <w:t>C</w:t>
      </w:r>
      <w:r>
        <w:rPr>
          <w:spacing w:val="-2"/>
        </w:rPr>
        <w:t>．公司在尚拥有影片、电视片著作权时，在</w:t>
      </w:r>
      <w:r>
        <w:rPr>
          <w:rFonts w:ascii="Times New Roman" w:hAnsi="Times New Roman" w:cs="Times New Roman" w:eastAsia="Times New Roman" w:hint="default"/>
          <w:spacing w:val="-2"/>
        </w:rPr>
        <w:t>“</w:t>
      </w:r>
      <w:r>
        <w:rPr>
          <w:spacing w:val="-2"/>
        </w:rPr>
        <w:t>库存</w:t>
      </w:r>
      <w:r>
        <w:rPr>
          <w:spacing w:val="-61"/>
        </w:rPr>
        <w:t> </w:t>
      </w:r>
      <w:r>
        <w:rPr/>
        <w:t>商品</w:t>
      </w:r>
      <w:r>
        <w:rPr>
          <w:rFonts w:ascii="Times New Roman" w:hAnsi="Times New Roman" w:cs="Times New Roman" w:eastAsia="Times New Roman" w:hint="default"/>
        </w:rPr>
        <w:t>”</w:t>
      </w:r>
      <w:r>
        <w:rPr/>
        <w:t>中象征性保留</w:t>
      </w:r>
      <w:r>
        <w:rPr>
          <w:rFonts w:ascii="Times New Roman" w:hAnsi="Times New Roman" w:cs="Times New Roman" w:eastAsia="Times New Roman" w:hint="default"/>
        </w:rPr>
        <w:t>1</w:t>
      </w:r>
      <w:r>
        <w:rPr/>
        <w:t>元余额。</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0"/>
        <w:jc w:val="left"/>
      </w:pP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BodyText"/>
        <w:spacing w:line="256" w:lineRule="auto" w:before="7"/>
        <w:ind w:left="153" w:right="3261"/>
        <w:jc w:val="left"/>
      </w:pPr>
      <w:r>
        <w:rPr/>
        <w:t>资产负债表日市场价格异常的判断依据为：波动超过</w:t>
      </w:r>
      <w:r>
        <w:rPr>
          <w:rFonts w:ascii="Times New Roman" w:hAnsi="Times New Roman" w:cs="Times New Roman" w:eastAsia="Times New Roman" w:hint="default"/>
        </w:rPr>
        <w:t>30%</w:t>
      </w:r>
      <w:r>
        <w:rPr/>
        <w:t>。 本期期末存货项目的可变现净值以资产负债表日市场价格为基础确定。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90"/>
        <w:ind w:right="1619"/>
        <w:jc w:val="left"/>
      </w:pPr>
      <w:r>
        <w:rPr/>
        <w:t>采用永续盘存制。</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010"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2"/>
        <w:ind w:right="0"/>
        <w:jc w:val="both"/>
      </w:pPr>
      <w:r>
        <w:rPr/>
        <w:t>低值易耗品采用一次转销法；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45" w:lineRule="auto" w:before="0"/>
        <w:ind w:left="154" w:right="7500" w:firstLine="0"/>
        <w:jc w:val="left"/>
        <w:rPr>
          <w:rFonts w:ascii="宋体" w:hAnsi="宋体" w:cs="宋体" w:eastAsia="宋体" w:hint="default"/>
          <w:sz w:val="21"/>
          <w:szCs w:val="21"/>
        </w:rPr>
      </w:pPr>
      <w:r>
        <w:rPr>
          <w:rFonts w:ascii="宋体" w:hAnsi="宋体" w:cs="宋体" w:eastAsia="宋体" w:hint="default"/>
          <w:sz w:val="18"/>
          <w:szCs w:val="18"/>
        </w:rPr>
        <w:t>包装物 摊销方法：一次摊销法 </w:t>
      </w:r>
      <w:r>
        <w:rPr>
          <w:rFonts w:ascii="宋体" w:hAnsi="宋体" w:cs="宋体" w:eastAsia="宋体" w:hint="default"/>
          <w:sz w:val="21"/>
          <w:szCs w:val="21"/>
        </w:rPr>
        <w:t>包装物采用一次转销法。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54" w:right="108"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）企业合并形成的长期股权投资同一控制下的企业合并：公司以支付现金、转让非现金资产或承担债务方式以及以发行 </w:t>
      </w:r>
      <w:r>
        <w:rPr>
          <w:rFonts w:ascii="宋体" w:hAnsi="宋体" w:cs="宋体" w:eastAsia="宋体" w:hint="default"/>
          <w:spacing w:val="-2"/>
          <w:sz w:val="18"/>
          <w:szCs w:val="18"/>
        </w:rPr>
        <w:t>权益性证券作为合并对价的，在合并日按照取得被合并方所有者权益账面价值的份额作为长期股权投资的初始投资成本。长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期股权投资初始投资成本与支付合并对价之间的差额，调整资本公积中的股本溢价；资本公积中的股本溢价不足冲减的，调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整留存收益。合并发生的各项直接相关费用，包括为进行合并而支付的审计费用、评估费用、法律服务费用等，于发生时计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入当期损益。非同一控制下的企业合并：公司按照购买日确定的合并成本作为长期股权投资的初始投资成本。合并成本为购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买日购买方为取得对被购买方的控制权而付出的资产、发生或承担的负债以及发行的权益性证券的公允价值。购买方为企业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合并而发生的审计、法律服务、评估咨询等中介费用以及其他相关管理费用于发生时计入当期损益；购买方作为合并对价发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行的权益性证券或债务性证券的交易费用，计入权益性证券或债务性证券的初始确认金额。通过多次交易分步实现的非同一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控制下企业合并，以购买日之前所持被购买方的股权投资的账面价值与购买日新增投资成本之和，作为该项投资的初始投资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成本。本公司将合并协议约定的或有对价作为企业合并转移对价的一部分，按照其在购买日的公允价值计入企业合并成本。</w:t>
      </w:r>
    </w:p>
    <w:p>
      <w:pPr>
        <w:spacing w:line="314" w:lineRule="auto" w:before="19"/>
        <w:ind w:left="153" w:right="19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）其他方式取得的长期股权投资以支付现金方式取得的长期股权投资，按照实际支付的购买价款作为初始投资成本。以 </w:t>
      </w:r>
      <w:r>
        <w:rPr>
          <w:rFonts w:ascii="宋体" w:hAnsi="宋体" w:cs="宋体" w:eastAsia="宋体" w:hint="default"/>
          <w:spacing w:val="-2"/>
          <w:sz w:val="18"/>
          <w:szCs w:val="18"/>
        </w:rPr>
        <w:t>发行权益性证券取得的长期股权投资，按照发行权益性证券的公允价值作为初始投资成本。投资者投入的长期股权投资，按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照投资合同或协议约定的价值（扣除已宣告但尚未发放的现金股利或利润）作为初始投资成本，但合同或协议约定价值不公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允的除外。 在非货币性资产交换具备商业实质和换入资产或换出资产的公允价值能够可靠计量的前提下，非货币性资产交 </w:t>
      </w:r>
      <w:r>
        <w:rPr>
          <w:rFonts w:ascii="宋体" w:hAnsi="宋体" w:cs="宋体" w:eastAsia="宋体" w:hint="default"/>
          <w:spacing w:val="-2"/>
          <w:sz w:val="18"/>
          <w:szCs w:val="18"/>
        </w:rPr>
        <w:t>换换入的长期股权投资以换出资产的公允价值为基础确定其初始投资成本，除非有确凿证据表明换入资产的公允价值更加可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靠；不满足上述前提的非货币性资产交换，以换出资产的账面价值和应支付的相关税费作为换入长期股权投资的初始投资成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本。通过债务重组取得的长期股权投资，其初始投资成本按照公允价值为基础确定。</w:t>
      </w:r>
    </w:p>
    <w:p>
      <w:pPr>
        <w:spacing w:line="240" w:lineRule="auto" w:before="6"/>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spacing w:line="312" w:lineRule="auto" w:before="0"/>
        <w:ind w:left="153" w:right="189"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）后续计量公司对子公司的长期股权投资，采用成本法核算，编制合并财务报表时按照权益法进行调整。对被投资单位 </w:t>
      </w:r>
      <w:r>
        <w:rPr>
          <w:rFonts w:ascii="宋体" w:hAnsi="宋体" w:cs="宋体" w:eastAsia="宋体" w:hint="default"/>
          <w:spacing w:val="-2"/>
          <w:sz w:val="18"/>
          <w:szCs w:val="18"/>
        </w:rPr>
        <w:t>不具有共同控制或重大影响，并且在活跃市场中没有报价、公允价值不能可靠计量的长期股权投资，采用成本法核算。对被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投资单位具有共同控制或重大影响的长期股权投资，采用权益法核算。初始投资成本大于投资时应享有被投资单位可辨认净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资产公允价值份额的差额，不调整长期股权投资的初始投资成本；初始投资成本小于投资时应享有被投资单位可辨认净资产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公允价值份额的差额，计入当期损益。被投资单位除净损益以外所有者权益其他变动的处理：对于被投资单位除净损益以外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所有者权益的其他变动，在持股比例不变的情况下，公司按照持股比例计算应享有或承担的部分，调整长期股权投资的账面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价值，同时增加或减少资本公积（其他资本公积）。（</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）损益确认成本法下，除取得投资时实际支付的价款或对价中包含的</w:t>
      </w:r>
      <w:r>
        <w:rPr>
          <w:rFonts w:ascii="宋体" w:hAnsi="宋体" w:cs="宋体" w:eastAsia="宋体" w:hint="default"/>
          <w:spacing w:val="-50"/>
          <w:sz w:val="18"/>
          <w:szCs w:val="18"/>
        </w:rPr>
        <w:t> </w:t>
      </w:r>
      <w:r>
        <w:rPr>
          <w:rFonts w:ascii="宋体" w:hAnsi="宋体" w:cs="宋体" w:eastAsia="宋体" w:hint="default"/>
          <w:spacing w:val="-2"/>
          <w:sz w:val="18"/>
          <w:szCs w:val="18"/>
        </w:rPr>
        <w:t>已宣告但尚未发放的现金股利或利润外，公司按照享有被投资单位宣告发放的现金股利或利润确认投资收益。权益法下，在</w:t>
      </w:r>
    </w:p>
    <w:p>
      <w:pPr>
        <w:spacing w:after="0" w:line="312"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line="319" w:lineRule="auto" w:before="44"/>
        <w:ind w:left="153" w:right="88" w:firstLine="0"/>
        <w:jc w:val="left"/>
        <w:rPr>
          <w:rFonts w:ascii="宋体" w:hAnsi="宋体" w:cs="宋体" w:eastAsia="宋体" w:hint="default"/>
          <w:sz w:val="18"/>
          <w:szCs w:val="18"/>
        </w:rPr>
      </w:pPr>
      <w:r>
        <w:rPr>
          <w:rFonts w:ascii="宋体" w:hAnsi="宋体" w:cs="宋体" w:eastAsia="宋体" w:hint="default"/>
          <w:spacing w:val="-2"/>
          <w:sz w:val="18"/>
          <w:szCs w:val="18"/>
        </w:rPr>
        <w:t>被投资单位账面净利润的基础上考虑：被投资单位与本公司采用的会计政策及会计期间不一致，按本公司的会计政策及会计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期间对被投资单位财务报表进行调整；以取得投资时被投资单位固定资产、无形资产的公允价值为基础计提的折旧额或摊销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额以及有关资产减值准备金额等对被投资单位净利润的影响；对本公司与联营企业及合营企业之间发生的未实现内部交易予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以抵销等事项的适当调整后，确认应享有或应负担被投资单位的净利润或净亏损。在公司确认应分担被投资单位发生的亏损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时，按照以下顺序进行处理：首先，冲减长期股权投资的账面价值。其次，长期股权投资的账面价值不足以冲减的，以其他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实质上构成对被投资单位净投资的长期权益账面价值为限继续确认投资损失，冲减长期应收项目等的账面价值。最后，经过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上述处理，按照投资合同或协议约定企业仍承担额外义务的，按预计承担的义务确认预计负债，计入当期投资损失。被投资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单位以后期间实现盈利的，公司在扣除未确认的亏损分担额后，按与上述相反的顺序处理，减记已确认预计负债的账面余额、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恢复其他实质上构成对被投资单位净投资的长期权益及长期股权投资的账面价值，同时确认投资收益。在持有投资期间，被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投资单位能够提供合并财务报表的，应当以合并财务报表中的净利润和其他权益变动为基础进行核算。</w:t>
      </w:r>
    </w:p>
    <w:p>
      <w:pPr>
        <w:spacing w:line="240" w:lineRule="auto" w:before="3"/>
        <w:rPr>
          <w:rFonts w:ascii="宋体" w:hAnsi="宋体" w:cs="宋体" w:eastAsia="宋体" w:hint="default"/>
          <w:sz w:val="22"/>
          <w:szCs w:val="22"/>
        </w:rPr>
      </w:pPr>
    </w:p>
    <w:p>
      <w:pPr>
        <w:pStyle w:val="Heading5"/>
        <w:spacing w:line="240" w:lineRule="auto"/>
        <w:ind w:right="88"/>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共同控制，是指按照合同约定对某项经济活动所共有的控制，仅在与该项经济活动相关的重要财务和经营决策需要分享控制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权的投资方一致同意时存在。投资企业与其他方对被投资单位实施共同控制的，被投资单位为其合营企业。重大影响，是指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对一个企业的财务和经营决策有参与决策的权力，但并不能够控制或者与其他方一起共同控制这些政策的制定。投资企业能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够对被投资单位施加重大影响的，被投资单位为其联营企业。</w:t>
      </w:r>
    </w:p>
    <w:p>
      <w:pPr>
        <w:spacing w:line="240" w:lineRule="auto" w:before="3"/>
        <w:rPr>
          <w:rFonts w:ascii="宋体" w:hAnsi="宋体" w:cs="宋体" w:eastAsia="宋体" w:hint="default"/>
          <w:sz w:val="22"/>
          <w:szCs w:val="22"/>
        </w:rPr>
      </w:pPr>
    </w:p>
    <w:p>
      <w:pPr>
        <w:pStyle w:val="Heading5"/>
        <w:spacing w:line="240" w:lineRule="auto"/>
        <w:ind w:right="88"/>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3" w:right="88"/>
        <w:jc w:val="left"/>
      </w:pPr>
      <w:r>
        <w:rPr>
          <w:spacing w:val="-1"/>
        </w:rPr>
        <w:t>重大影响以下的、在活跃市场中没有报价、公允价值不能可靠计量的长期股权投资，其减值损失是根据其</w:t>
      </w:r>
      <w:r>
        <w:rPr>
          <w:spacing w:val="-83"/>
        </w:rPr>
        <w:t> </w:t>
      </w:r>
      <w:r>
        <w:rPr>
          <w:spacing w:val="-83"/>
        </w:rPr>
      </w:r>
      <w:r>
        <w:rPr/>
        <w:t>账面价值与按类似金融资产当时市场收益率对未来现金流量折现确定的现值之间的差额进行确定。 </w:t>
      </w:r>
      <w:r>
        <w:rPr>
          <w:spacing w:val="-1"/>
        </w:rPr>
        <w:t>除因企业合并形成的商誉以外的存在减值迹象的其他长期股权投资，如果可收回金额的计量结果表明，该</w:t>
      </w:r>
      <w:r>
        <w:rPr>
          <w:spacing w:val="-81"/>
        </w:rPr>
        <w:t> </w:t>
      </w:r>
      <w:r>
        <w:rPr>
          <w:spacing w:val="-81"/>
        </w:rPr>
      </w:r>
      <w:r>
        <w:rPr/>
        <w:t>长期股权投资的可收回金额低于其账面价值的，将差额确认为减值损失。 长期股权投资减值损失一经确认，不再转回。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88"/>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88"/>
        <w:jc w:val="left"/>
      </w:pPr>
      <w:r>
        <w:rPr>
          <w:spacing w:val="-1"/>
        </w:rPr>
        <w:t>投资性房地产是指为赚取租金或资本增值，或两者兼有而持有的房地产，包括已出租的土地使用权、持有</w:t>
      </w:r>
      <w:r>
        <w:rPr>
          <w:spacing w:val="-83"/>
        </w:rPr>
        <w:t> </w:t>
      </w:r>
      <w:r>
        <w:rPr>
          <w:spacing w:val="-83"/>
        </w:rPr>
      </w: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88"/>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3" w:right="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88"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after="0" w:line="319"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88"/>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spacing w:line="304" w:lineRule="auto" w:before="0"/>
        <w:ind w:left="153" w:right="88" w:firstLine="0"/>
        <w:jc w:val="left"/>
        <w:rPr>
          <w:rFonts w:ascii="宋体" w:hAnsi="宋体" w:cs="宋体" w:eastAsia="宋体" w:hint="default"/>
          <w:sz w:val="18"/>
          <w:szCs w:val="18"/>
        </w:rPr>
      </w:pPr>
      <w:r>
        <w:rPr>
          <w:rFonts w:ascii="宋体" w:hAnsi="宋体" w:cs="宋体" w:eastAsia="宋体" w:hint="default"/>
          <w:spacing w:val="-4"/>
          <w:sz w:val="18"/>
          <w:szCs w:val="18"/>
        </w:rPr>
        <w:t>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使用寿命的大部分；（</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）租赁开始日的最低租赁付款额现值，与该资产的公允价值不存在较大的差异。公司在承租开始日，</w:t>
      </w:r>
      <w:r>
        <w:rPr>
          <w:rFonts w:ascii="宋体" w:hAnsi="宋体" w:cs="宋体" w:eastAsia="宋体" w:hint="default"/>
          <w:spacing w:val="-70"/>
          <w:sz w:val="18"/>
          <w:szCs w:val="18"/>
        </w:rPr>
        <w:t> </w:t>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0"/>
        <w:rPr>
          <w:rFonts w:ascii="宋体" w:hAnsi="宋体" w:cs="宋体" w:eastAsia="宋体" w:hint="default"/>
          <w:sz w:val="23"/>
          <w:szCs w:val="23"/>
        </w:rPr>
      </w:pPr>
    </w:p>
    <w:p>
      <w:pPr>
        <w:pStyle w:val="Heading5"/>
        <w:spacing w:line="240" w:lineRule="auto"/>
        <w:ind w:right="88"/>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50"/>
        <w:jc w:val="left"/>
      </w:pPr>
      <w:r>
        <w:rPr/>
        <w:t>固定资产折旧采用年限平均法分类计提，根据固定资产类别、预计使用寿命和预计净残值率确定折旧率。 </w:t>
      </w:r>
      <w:r>
        <w:rPr>
          <w:spacing w:val="-1"/>
        </w:rPr>
        <w:t>如固定资产各组成部分的使用寿命不同或者以不同方式为企业提供经济利益，则选择不同折旧率或折旧方</w:t>
      </w:r>
      <w:r>
        <w:rPr>
          <w:spacing w:val="-81"/>
        </w:rPr>
        <w:t> </w:t>
      </w:r>
      <w:r>
        <w:rPr>
          <w:spacing w:val="-81"/>
        </w:rPr>
      </w:r>
      <w:r>
        <w:rPr/>
        <w:t>法，分别计提折旧。 </w:t>
      </w:r>
      <w:r>
        <w:rPr>
          <w:spacing w:val="-1"/>
        </w:rPr>
        <w:t>融资租赁方式租入的固定资产，能合理确定租赁期届满时将会取得租赁资产所有权的，在租赁资产尚可使</w:t>
      </w:r>
      <w:r>
        <w:rPr>
          <w:spacing w:val="-81"/>
        </w:rPr>
        <w:t> </w:t>
      </w:r>
      <w:r>
        <w:rPr>
          <w:spacing w:val="-81"/>
        </w:rPr>
      </w: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pStyle w:val="BodyText"/>
        <w:spacing w:line="240" w:lineRule="auto" w:before="7"/>
        <w:ind w:right="88"/>
        <w:jc w:val="left"/>
      </w:pPr>
      <w:r>
        <w:rPr/>
        <w:t>各类固定资产折旧年限和年折旧率如下：</w:t>
      </w:r>
    </w:p>
    <w:p>
      <w:pPr>
        <w:spacing w:line="240" w:lineRule="auto" w:before="11"/>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89"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12.13%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11.25%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89"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19.4%</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11.25%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32.33%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18%</w:t>
            </w:r>
            <w:r>
              <w:rPr>
                <w:rFonts w:ascii="Times New Roman" w:hAnsi="Times New Roman" w:cs="Times New Roman" w:eastAsia="Times New Roman" w:hint="default"/>
                <w:sz w:val="21"/>
                <w:szCs w:val="21"/>
              </w:rPr>
            </w:r>
          </w:p>
        </w:tc>
      </w:tr>
    </w:tbl>
    <w:p>
      <w:pPr>
        <w:spacing w:line="240" w:lineRule="auto" w:before="2"/>
        <w:rPr>
          <w:rFonts w:ascii="宋体" w:hAnsi="宋体" w:cs="宋体" w:eastAsia="宋体" w:hint="default"/>
          <w:sz w:val="19"/>
          <w:szCs w:val="19"/>
        </w:rPr>
      </w:pPr>
    </w:p>
    <w:p>
      <w:pPr>
        <w:pStyle w:val="Heading5"/>
        <w:spacing w:line="240" w:lineRule="auto" w:before="35"/>
        <w:ind w:right="88"/>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88"/>
        <w:jc w:val="left"/>
      </w:pPr>
      <w:r>
        <w:rPr/>
        <w:t>公司在每期末判断固定资产是否存在可能发生减值的迹象。 </w:t>
      </w:r>
      <w:r>
        <w:rPr>
          <w:spacing w:val="-1"/>
        </w:rPr>
        <w:t>固定资产存在减值迹象的，估计其可收回金额。可收回金额根据固定资产的公允价值减去处置费用后的净</w:t>
      </w:r>
      <w:r>
        <w:rPr>
          <w:spacing w:val="-81"/>
        </w:rPr>
        <w:t> </w:t>
      </w:r>
      <w:r>
        <w:rPr>
          <w:spacing w:val="-81"/>
        </w:rPr>
      </w:r>
      <w:r>
        <w:rPr/>
        <w:t>额与固定资产预计未来现金流量的现值两者之间较高者确定。 </w:t>
      </w:r>
      <w:r>
        <w:rPr>
          <w:spacing w:val="-1"/>
        </w:rPr>
        <w:t>当固定资产的可收回金额低于其账面价值的，将固定资产的账面价值减记至可收回金额，减记的金额确认</w:t>
      </w:r>
      <w:r>
        <w:rPr>
          <w:spacing w:val="-81"/>
        </w:rPr>
        <w:t> </w:t>
      </w:r>
      <w:r>
        <w:rPr>
          <w:spacing w:val="-81"/>
        </w:rPr>
      </w:r>
      <w:r>
        <w:rPr/>
        <w:t>为固定资产减值损失，计入当期损益，同时计提相应的固定资产减值准备。 </w:t>
      </w:r>
      <w:r>
        <w:rPr>
          <w:spacing w:val="-1"/>
        </w:rPr>
        <w:t>固定资产减值损失确认后，减值固定资产的折旧在未来期间作相应调整，以使该固定资产在剩余使用寿命</w:t>
      </w:r>
      <w:r>
        <w:rPr>
          <w:spacing w:val="-81"/>
        </w:rPr>
        <w:t> </w:t>
      </w:r>
      <w:r>
        <w:rPr>
          <w:spacing w:val="-81"/>
        </w:rPr>
      </w:r>
      <w:r>
        <w:rPr/>
        <w:t>内，系统地分摊调整后的固定资产账面价值（扣除预计净残值）。 固定资产的减值损失一经确认，在以后会计期间不再转回。 </w:t>
      </w:r>
      <w:r>
        <w:rPr>
          <w:spacing w:val="-1"/>
        </w:rPr>
        <w:t>有迹象表明一项固定资产可能发生减值的，企业以单项固定资产为基础估计其可收回金额。企业难以对单</w:t>
      </w:r>
      <w:r>
        <w:rPr>
          <w:spacing w:val="-81"/>
        </w:rPr>
        <w:t> </w:t>
      </w:r>
      <w:r>
        <w:rPr>
          <w:spacing w:val="-81"/>
        </w:rPr>
      </w:r>
      <w:r>
        <w:rPr/>
        <w:t>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88"/>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8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49" w:firstLine="0"/>
        <w:jc w:val="both"/>
        <w:rPr>
          <w:rFonts w:ascii="宋体" w:hAnsi="宋体" w:cs="宋体" w:eastAsia="宋体" w:hint="default"/>
          <w:sz w:val="18"/>
          <w:szCs w:val="18"/>
        </w:rPr>
      </w:pPr>
      <w:r>
        <w:rPr>
          <w:rFonts w:ascii="宋体" w:hAnsi="宋体" w:cs="宋体" w:eastAsia="宋体" w:hint="default"/>
          <w:spacing w:val="-2"/>
          <w:sz w:val="18"/>
          <w:szCs w:val="18"/>
        </w:rPr>
        <w:t>在建工程项目按建造该项资产达到预定可使用状态前所发生的全部支出，作为固定资产的入账价值。所建造的固定资产在建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工程已达到预定可使用状态，但尚未办理竣工决算的，自达到预定可使用状态之日起，根据工程预算、造价或者工程实际成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本等，按估计的价值转入固定资产，并按本公司固定资产折旧政策计提固定资产的折旧，待办理竣工决算后，再按实际成本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调整原来的暂估价值，但不调整原已计提的折旧额。</w:t>
      </w:r>
    </w:p>
    <w:p>
      <w:pPr>
        <w:spacing w:line="240" w:lineRule="auto" w:before="4"/>
        <w:rPr>
          <w:rFonts w:ascii="宋体" w:hAnsi="宋体" w:cs="宋体" w:eastAsia="宋体" w:hint="default"/>
          <w:sz w:val="22"/>
          <w:szCs w:val="22"/>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公司在每期末判断在建工程是否存在可能发生减值的迹象。 </w:t>
      </w:r>
      <w:r>
        <w:rPr>
          <w:spacing w:val="-1"/>
        </w:rPr>
        <w:t>在建工程存在减值迹象的，估计其可收回金额。有迹象表明一项在建工程可能发生减值的，企业以单项在</w:t>
      </w:r>
      <w:r>
        <w:rPr>
          <w:spacing w:val="-83"/>
        </w:rPr>
        <w:t> </w:t>
      </w:r>
      <w:r>
        <w:rPr>
          <w:spacing w:val="-83"/>
        </w:rPr>
      </w:r>
      <w:r>
        <w:rPr>
          <w:spacing w:val="-1"/>
        </w:rPr>
        <w:t>建工程为基础估计其可收回金额。企业难以对单项在建工程的可收回金额进行估计的，以该在建工程所属</w:t>
      </w:r>
      <w:r>
        <w:rPr>
          <w:spacing w:val="-81"/>
        </w:rPr>
        <w:t> </w:t>
      </w:r>
      <w:r>
        <w:rPr>
          <w:spacing w:val="-81"/>
        </w:rPr>
      </w:r>
      <w:r>
        <w:rPr/>
        <w:t>的资产组为基础确定资产组的可收回金额。 </w:t>
      </w:r>
      <w:r>
        <w:rPr>
          <w:spacing w:val="3"/>
        </w:rPr>
        <w:t>可收回金额根据在建工程的公允价值减去处置费用后的净额与在建工程预计未来现金流量的现值两者之</w:t>
      </w:r>
      <w:r>
        <w:rPr>
          <w:spacing w:val="-78"/>
        </w:rPr>
        <w:t> </w:t>
      </w:r>
      <w:r>
        <w:rPr>
          <w:spacing w:val="-78"/>
        </w:rPr>
      </w:r>
      <w:r>
        <w:rPr/>
        <w:t>间较高者确定。</w:t>
      </w:r>
      <w:r>
        <w:rPr/>
        <w:t> </w:t>
      </w:r>
      <w:r>
        <w:rPr>
          <w:spacing w:val="-1"/>
        </w:rPr>
        <w:t>当在建工程的可收回金额低于其账面价值的，将在建工程的账面价值减记至可收回金额，减记的金额确认</w:t>
      </w:r>
      <w:r>
        <w:rPr>
          <w:spacing w:val="-81"/>
        </w:rPr>
        <w:t> </w:t>
      </w:r>
      <w:r>
        <w:rPr>
          <w:spacing w:val="-81"/>
        </w:rPr>
      </w:r>
      <w:r>
        <w:rPr/>
        <w:t>为在建工程减值损失，计入当期损益，同时计提相应的在建工程减值准备。 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left="153" w:right="0"/>
        <w:jc w:val="left"/>
      </w:pP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7"/>
        <w:ind w:left="153" w:right="1619"/>
        <w:jc w:val="left"/>
      </w:pPr>
      <w:r>
        <w:rPr/>
        <w:t>借款费用同时满足下列条件时开始资本化：</w:t>
      </w:r>
    </w:p>
    <w:p>
      <w:pPr>
        <w:pStyle w:val="BodyText"/>
        <w:spacing w:line="256" w:lineRule="auto" w:before="37"/>
        <w:ind w:left="153"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35"/>
        </w:rPr>
        <w:t> </w:t>
      </w:r>
      <w:r>
        <w:rPr>
          <w:spacing w:val="-35"/>
        </w:rPr>
      </w:r>
      <w:r>
        <w:rPr/>
        <w:t>金资产或者承担带息债务形式发生的支出；</w:t>
      </w:r>
    </w:p>
    <w:p>
      <w:pPr>
        <w:pStyle w:val="BodyText"/>
        <w:spacing w:line="240" w:lineRule="auto" w:before="22"/>
        <w:ind w:left="153" w:right="1619"/>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153" w:right="1619"/>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line="506" w:lineRule="auto"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资本化期间，指从借款费用开始资本化时点到停止资本化时点的期间，借款费用暂停资本化的期间不包括</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53" w:right="151"/>
        <w:jc w:val="left"/>
      </w:pP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46"/>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33"/>
        </w:rPr>
        <w:t> </w:t>
      </w:r>
      <w:r>
        <w:rPr>
          <w:spacing w:val="-33"/>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0"/>
        <w:jc w:val="left"/>
      </w:pP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产支出加权平均数乘以所占用一般借款的资本化率，计算确定一般借款应予资本化的利息金额。资本化率</w:t>
      </w:r>
      <w:r>
        <w:rPr>
          <w:spacing w:val="-81"/>
        </w:rPr>
        <w:t> </w:t>
      </w:r>
      <w:r>
        <w:rPr>
          <w:spacing w:val="-81"/>
        </w:rPr>
      </w:r>
      <w:r>
        <w:rPr/>
        <w:t>根据一般借款加权平均利率计算确定。 </w:t>
      </w:r>
      <w:r>
        <w:rPr>
          <w:spacing w:val="-1"/>
        </w:rPr>
        <w:t>借款存在折价或者溢价的，按照实际利率法确定每一会计期间应摊销的折价或者溢价金额，调整每期利息</w:t>
      </w:r>
      <w:r>
        <w:rPr>
          <w:spacing w:val="-81"/>
        </w:rPr>
        <w:t> </w:t>
      </w:r>
      <w:r>
        <w:rPr>
          <w:spacing w:val="-81"/>
        </w:rPr>
      </w:r>
      <w:r>
        <w:rPr/>
        <w:t>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68" w:lineRule="auto"/>
        <w:ind w:right="0" w:hanging="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2"/>
        </w:rPr>
        <w:t> </w:t>
      </w:r>
      <w:r>
        <w:rPr>
          <w:spacing w:val="-82"/>
        </w:rPr>
      </w:r>
      <w:r>
        <w:rPr>
          <w:spacing w:val="-1"/>
        </w:rPr>
        <w:t>出。购买无形资产的价款超过正常信用条件延期支付，实质上具有融资性质的，无形资产的成本以购买价</w:t>
      </w:r>
      <w:r>
        <w:rPr>
          <w:spacing w:val="-84"/>
        </w:rPr>
        <w:t> </w:t>
      </w:r>
      <w:r>
        <w:rPr>
          <w:spacing w:val="-84"/>
        </w:rPr>
      </w:r>
      <w:r>
        <w:rPr/>
        <w:t>款的现值为基础确定。 </w:t>
      </w:r>
      <w:r>
        <w:rPr>
          <w:spacing w:val="-1"/>
        </w:rPr>
        <w:t>债务重组取得债务人用以抵债的无形资产，以该无形资产的公允价值为基础确定其入账价值，并将重组债</w:t>
      </w:r>
    </w:p>
    <w:p>
      <w:pPr>
        <w:spacing w:after="0" w:line="26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53" w:right="0"/>
        <w:jc w:val="left"/>
      </w:pP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 </w:t>
      </w: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r>
        <w:rPr>
          <w:spacing w:val="-83"/>
        </w:rPr>
        <w:t> </w:t>
      </w:r>
      <w:r>
        <w:rPr>
          <w:spacing w:val="-83"/>
        </w:rPr>
      </w: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pStyle w:val="BodyText"/>
        <w:spacing w:line="256" w:lineRule="auto" w:before="7"/>
        <w:ind w:right="5990" w:hanging="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3050"/>
        <w:jc w:val="left"/>
      </w:pPr>
      <w:r>
        <w:rPr/>
        <w:t>每期末，对使用寿命有限的无形资产的使用寿命及摊销方法进行复核。 经复核，本年期末无形资产的使用寿命及摊销方法与以前估计未有不同。</w:t>
      </w:r>
    </w:p>
    <w:p>
      <w:pPr>
        <w:spacing w:line="240" w:lineRule="auto" w:before="8"/>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预计的使用期限</w:t>
            </w:r>
          </w:p>
        </w:tc>
      </w:tr>
    </w:tbl>
    <w:p>
      <w:pPr>
        <w:spacing w:line="240" w:lineRule="auto" w:before="2"/>
        <w:rPr>
          <w:rFonts w:ascii="宋体" w:hAnsi="宋体" w:cs="宋体" w:eastAsia="宋体" w:hint="default"/>
          <w:sz w:val="19"/>
          <w:szCs w:val="19"/>
        </w:rPr>
      </w:pPr>
    </w:p>
    <w:p>
      <w:pPr>
        <w:spacing w:line="506" w:lineRule="auto" w:before="35"/>
        <w:ind w:left="154" w:right="431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spacing w:val="1"/>
          <w:w w:val="99"/>
          <w:sz w:val="21"/>
          <w:szCs w:val="21"/>
        </w:rPr>
        <w:t> </w:t>
      </w:r>
      <w:r>
        <w:rPr>
          <w:rFonts w:ascii="宋体" w:hAnsi="宋体" w:cs="宋体" w:eastAsia="宋体" w:hint="default"/>
          <w:sz w:val="21"/>
          <w:szCs w:val="21"/>
        </w:rPr>
        <w:t>截至资产负债表日，本公司没有使用寿命不确定的无形资产</w:t>
      </w:r>
    </w:p>
    <w:p>
      <w:pPr>
        <w:spacing w:line="240" w:lineRule="auto" w:before="0"/>
        <w:rPr>
          <w:rFonts w:ascii="宋体" w:hAnsi="宋体" w:cs="宋体" w:eastAsia="宋体" w:hint="default"/>
          <w:sz w:val="20"/>
          <w:szCs w:val="20"/>
        </w:rPr>
      </w:pPr>
    </w:p>
    <w:p>
      <w:pPr>
        <w:pStyle w:val="Heading5"/>
        <w:spacing w:line="240" w:lineRule="auto" w:before="155"/>
        <w:ind w:right="1619"/>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宋体" w:hAnsi="宋体" w:cs="宋体" w:eastAsia="宋体" w:hint="default"/>
          <w:b/>
          <w:bCs/>
          <w:sz w:val="24"/>
          <w:szCs w:val="24"/>
        </w:rPr>
      </w:pPr>
    </w:p>
    <w:p>
      <w:pPr>
        <w:pStyle w:val="BodyText"/>
        <w:spacing w:line="271" w:lineRule="auto"/>
        <w:ind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 </w:t>
      </w:r>
      <w:r>
        <w:rPr>
          <w:spacing w:val="3"/>
        </w:rPr>
        <w:t>可收回金额根据无形资产的公允价值减去处置费用后的净额与无形资产预计未来现金流量的现值两者之</w:t>
      </w:r>
      <w:r>
        <w:rPr>
          <w:spacing w:val="-78"/>
        </w:rPr>
        <w:t> </w:t>
      </w:r>
      <w:r>
        <w:rPr>
          <w:spacing w:val="-78"/>
        </w:rPr>
      </w:r>
      <w:r>
        <w:rPr/>
        <w:t>间较高者确定。</w:t>
      </w:r>
      <w:r>
        <w:rPr/>
        <w:t>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after="0" w:line="271"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spacing w:line="240" w:lineRule="auto" w:before="8"/>
        <w:rPr>
          <w:rFonts w:ascii="宋体" w:hAnsi="宋体" w:cs="宋体" w:eastAsia="宋体" w:hint="default"/>
          <w:sz w:val="24"/>
          <w:szCs w:val="24"/>
        </w:rPr>
      </w:pPr>
    </w:p>
    <w:p>
      <w:pPr>
        <w:spacing w:line="590" w:lineRule="atLeast" w:before="0"/>
        <w:ind w:left="154" w:right="29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7"/>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5"/>
        </w:rPr>
        <w:t> </w:t>
      </w:r>
      <w:r>
        <w:rPr>
          <w:spacing w:val="-35"/>
        </w:rPr>
      </w:r>
      <w:r>
        <w:rPr/>
        <w:t>存在市场，无形资产将在内部使用的，能够证明其有用性；</w:t>
      </w:r>
    </w:p>
    <w:p>
      <w:pPr>
        <w:pStyle w:val="BodyText"/>
        <w:spacing w:line="256" w:lineRule="auto" w:before="22"/>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BodyText"/>
        <w:spacing w:line="264" w:lineRule="auto" w:before="22"/>
        <w:ind w:right="0" w:hanging="1"/>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w:t>
      </w:r>
      <w:r>
        <w:rPr>
          <w:spacing w:val="-83"/>
        </w:rPr>
        <w:t> </w:t>
      </w:r>
      <w:r>
        <w:rPr>
          <w:spacing w:val="-83"/>
        </w:rPr>
      </w:r>
      <w:r>
        <w:rPr/>
        <w:t>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641"/>
        <w:jc w:val="left"/>
      </w:pPr>
      <w:r>
        <w:rPr/>
        <w:t>长期待摊费用为已经发生但应由本期和以后各期负担的分摊期限在一年以上的各项费用。 长期待摊费用在受益期内平均摊销，没有明确受益年限的，按不短于</w:t>
      </w:r>
      <w:r>
        <w:rPr>
          <w:rFonts w:ascii="Times New Roman" w:hAnsi="Times New Roman" w:cs="Times New Roman" w:eastAsia="Times New Roman" w:hint="default"/>
        </w:rPr>
        <w:t>5</w:t>
      </w:r>
      <w:r>
        <w:rPr/>
        <w:t>年的期限摊销。</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02"/>
        <w:jc w:val="left"/>
      </w:pPr>
      <w:r>
        <w:rPr>
          <w:spacing w:val="-3"/>
        </w:rPr>
        <w:t>本公司涉及诉讼、债务担保、亏损合同、重组事项时，如该等事项很可能需要未来以交付资产或提供劳务、</w:t>
      </w:r>
      <w:r>
        <w:rPr>
          <w:spacing w:val="-96"/>
        </w:rPr>
        <w:t> </w:t>
      </w:r>
      <w:r>
        <w:rPr>
          <w:spacing w:val="-96"/>
        </w:rPr>
      </w:r>
      <w:r>
        <w:rPr/>
        <w:t>其金额能够可靠计量的，确认为预计负债。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154" w:right="33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与或有事项相关的义务同时满足下列条件时，本公司确认为预计负债：</w:t>
      </w:r>
    </w:p>
    <w:p>
      <w:pPr>
        <w:pStyle w:val="BodyText"/>
        <w:spacing w:line="240" w:lineRule="auto" w:before="37"/>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right="0"/>
        <w:jc w:val="left"/>
      </w:pPr>
      <w:r>
        <w:rPr/>
        <w:t>（</w:t>
      </w:r>
      <w:r>
        <w:rPr>
          <w:rFonts w:ascii="Times New Roman" w:hAnsi="Times New Roman" w:cs="Times New Roman" w:eastAsia="Times New Roman" w:hint="default"/>
        </w:rPr>
        <w:t>3</w:t>
      </w:r>
      <w:r>
        <w:rPr/>
        <w:t>）该义务的金额能够可靠地计量。</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1619"/>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所需支出存在一个连续范围（或区间），且该范围内各种结果发生的可能性相同的，则最佳估计数按照该</w:t>
      </w:r>
      <w:r>
        <w:rPr>
          <w:spacing w:val="-82"/>
        </w:rPr>
        <w:t> </w:t>
      </w:r>
      <w:r>
        <w:rPr>
          <w:spacing w:val="-82"/>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1619"/>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50" w:firstLine="0"/>
        <w:jc w:val="both"/>
        <w:rPr>
          <w:rFonts w:ascii="宋体" w:hAnsi="宋体" w:cs="宋体" w:eastAsia="宋体" w:hint="default"/>
          <w:sz w:val="18"/>
          <w:szCs w:val="18"/>
        </w:rPr>
      </w:pPr>
      <w:r>
        <w:rPr>
          <w:rFonts w:ascii="宋体" w:hAnsi="宋体" w:cs="宋体" w:eastAsia="宋体" w:hint="default"/>
          <w:spacing w:val="-2"/>
          <w:sz w:val="18"/>
          <w:szCs w:val="18"/>
        </w:rPr>
        <w:t>公司已将商品所有权上的主要风险和报酬转移给购买方；公司既没有保留与所有权相联系的继续管理权，也没有对已售出的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商品实施有效控制；收入的金额能够可靠地计量；相关的经济利益很可能流入企业；相关的已发生或将发生的成本能够可靠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地计量时，确认商品销售收入实现。</w:t>
      </w:r>
    </w:p>
    <w:p>
      <w:pPr>
        <w:spacing w:line="240" w:lineRule="auto" w:before="3"/>
        <w:rPr>
          <w:rFonts w:ascii="宋体" w:hAnsi="宋体" w:cs="宋体" w:eastAsia="宋体" w:hint="default"/>
          <w:sz w:val="22"/>
          <w:szCs w:val="22"/>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3" w:right="0"/>
        <w:jc w:val="left"/>
      </w:pPr>
      <w:r>
        <w:rPr>
          <w:spacing w:val="-1"/>
        </w:rPr>
        <w:t>与交易相关的经济利益很可能流入企业，收入的金额能够可靠地计量时。分别下列情况确定让渡资产使用</w:t>
      </w:r>
      <w:r>
        <w:rPr>
          <w:spacing w:val="-81"/>
        </w:rPr>
        <w:t> </w:t>
      </w:r>
      <w:r>
        <w:rPr>
          <w:spacing w:val="-81"/>
        </w:rPr>
      </w:r>
      <w:r>
        <w:rPr/>
        <w:t>权收入金额：</w:t>
      </w:r>
    </w:p>
    <w:p>
      <w:pPr>
        <w:pStyle w:val="BodyText"/>
        <w:spacing w:line="240" w:lineRule="auto" w:before="7"/>
        <w:ind w:left="153" w:right="1619"/>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right="1619"/>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88"/>
        <w:jc w:val="left"/>
        <w:rPr>
          <w:b w:val="0"/>
          <w:bCs w:val="0"/>
        </w:rPr>
      </w:pPr>
      <w:r>
        <w:rPr/>
        <w:t>（</w:t>
      </w:r>
      <w:r>
        <w:rPr>
          <w:rFonts w:ascii="Times New Roman" w:hAnsi="Times New Roman" w:cs="Times New Roman" w:eastAsia="Times New Roman" w:hint="default"/>
        </w:rPr>
        <w:t>3</w:t>
      </w:r>
      <w:r>
        <w:rPr/>
        <w:t>）</w:t>
      </w:r>
      <w:r>
        <w:rPr>
          <w:spacing w:val="-4"/>
        </w:rPr>
        <w:t> </w:t>
      </w:r>
      <w:r>
        <w:rPr/>
        <w:t>拍摄电视剧收入</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left="153" w:right="88"/>
        <w:jc w:val="left"/>
      </w:pPr>
      <w:r>
        <w:rPr>
          <w:spacing w:val="-1"/>
        </w:rPr>
        <w:t>拍摄电视剧收入确认的具体方法：以电视剧的播放带交付给购买者，并取得相关的收款凭证时作为收入的</w:t>
      </w:r>
      <w:r>
        <w:rPr>
          <w:spacing w:val="-81"/>
        </w:rPr>
        <w:t> </w:t>
      </w:r>
      <w:r>
        <w:rPr>
          <w:spacing w:val="-81"/>
        </w:rPr>
      </w:r>
      <w:r>
        <w:rPr/>
        <w:t>确认。 </w:t>
      </w:r>
      <w:r>
        <w:rPr>
          <w:spacing w:val="-1"/>
        </w:rPr>
        <w:t>成本结转方法：在符合收入确认条件之日起，不超过</w:t>
      </w:r>
      <w:r>
        <w:rPr>
          <w:rFonts w:ascii="Times New Roman" w:hAnsi="Times New Roman" w:cs="Times New Roman" w:eastAsia="Times New Roman" w:hint="default"/>
          <w:spacing w:val="-1"/>
        </w:rPr>
        <w:t>12</w:t>
      </w:r>
      <w:r>
        <w:rPr>
          <w:spacing w:val="-1"/>
        </w:rPr>
        <w:t>月的期间内，采用计划收入比例法将其全部实际成</w:t>
      </w:r>
      <w:r>
        <w:rPr>
          <w:spacing w:val="-84"/>
        </w:rPr>
        <w:t> </w:t>
      </w:r>
      <w:r>
        <w:rPr>
          <w:spacing w:val="-84"/>
        </w:rPr>
      </w:r>
      <w:r>
        <w:rPr>
          <w:spacing w:val="-1"/>
        </w:rPr>
        <w:t>本逐期结转销售成本。计划收入比例除有特殊情况随时调整外，在年度内不作变动。如果预计影片不再拥</w:t>
      </w:r>
      <w:r>
        <w:rPr>
          <w:spacing w:val="-83"/>
        </w:rPr>
        <w:t> </w:t>
      </w:r>
      <w:r>
        <w:rPr>
          <w:spacing w:val="-83"/>
        </w:rPr>
      </w:r>
      <w:r>
        <w:rPr/>
        <w:t>有发行、销售市场，将未结转的成本予以全部结转。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88"/>
        <w:jc w:val="left"/>
        <w:rPr>
          <w:b w:val="0"/>
          <w:bCs w:val="0"/>
        </w:rPr>
      </w:pPr>
      <w:r>
        <w:rPr/>
        <w:t>（</w:t>
      </w:r>
      <w:r>
        <w:rPr>
          <w:rFonts w:ascii="Times New Roman" w:hAnsi="Times New Roman" w:cs="Times New Roman" w:eastAsia="Times New Roman" w:hint="default"/>
        </w:rPr>
        <w:t>4</w:t>
      </w:r>
      <w:r>
        <w:rPr/>
        <w:t>）</w:t>
      </w:r>
      <w:r>
        <w:rPr>
          <w:spacing w:val="-5"/>
        </w:rPr>
        <w:t> </w:t>
      </w:r>
      <w:r>
        <w:rPr/>
        <w:t>系统集成项目收入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0"/>
        <w:jc w:val="left"/>
      </w:pPr>
      <w:r>
        <w:rPr>
          <w:spacing w:val="-1"/>
        </w:rPr>
        <w:t>系统集成项目主要是指机电一体化、动态仿真、机械结构以及多媒体产品的技术开发及系统集成项目。公</w:t>
      </w:r>
      <w:r>
        <w:rPr>
          <w:spacing w:val="-83"/>
        </w:rPr>
        <w:t> </w:t>
      </w:r>
      <w:r>
        <w:rPr>
          <w:spacing w:val="-83"/>
        </w:rPr>
      </w:r>
      <w:r>
        <w:rPr/>
        <w:t>司直接采购（或者公司自制）硬件、软件、特技系统、影片系统等并进行安装、调试和销售； </w:t>
      </w:r>
      <w:r>
        <w:rPr>
          <w:spacing w:val="-1"/>
        </w:rPr>
        <w:t>在系统集成项目中，为使设备达到客户要求的可使用状态，公司需要提供设备调试、布线等服务，由于用</w:t>
      </w:r>
      <w:r>
        <w:rPr>
          <w:spacing w:val="-82"/>
        </w:rPr>
        <w:t> </w:t>
      </w:r>
      <w:r>
        <w:rPr>
          <w:spacing w:val="-82"/>
        </w:rPr>
      </w:r>
      <w:r>
        <w:rPr>
          <w:spacing w:val="-1"/>
        </w:rPr>
        <w:t>户需要的是整套可使用的设备而非单独采购这些服务，因此这些服务的金额通常只占合同总金额很小的部</w:t>
      </w:r>
      <w:r>
        <w:rPr>
          <w:spacing w:val="-81"/>
        </w:rPr>
        <w:t> </w:t>
      </w:r>
      <w:r>
        <w:rPr>
          <w:spacing w:val="-81"/>
        </w:rPr>
      </w:r>
      <w:r>
        <w:rPr>
          <w:spacing w:val="-1"/>
        </w:rPr>
        <w:t>分且无法与软硬件采购分离出来单独向用户提供。根据集成业务的上述特点，系统集成项目本质上属于销</w:t>
      </w:r>
      <w:r>
        <w:rPr>
          <w:spacing w:val="-81"/>
        </w:rPr>
        <w:t> </w:t>
      </w:r>
      <w:r>
        <w:rPr>
          <w:spacing w:val="-81"/>
        </w:rPr>
      </w:r>
      <w:r>
        <w:rPr>
          <w:spacing w:val="-1"/>
        </w:rPr>
        <w:t>售商品，附带的服务只是为了使销售的商品达到预计可使用状态而必须提供的简单劳务。系统集成业务适</w:t>
      </w:r>
      <w:r>
        <w:rPr>
          <w:spacing w:val="-81"/>
        </w:rPr>
        <w:t> </w:t>
      </w:r>
      <w:r>
        <w:rPr>
          <w:spacing w:val="-81"/>
        </w:rPr>
      </w:r>
      <w:r>
        <w:rPr>
          <w:spacing w:val="-1"/>
        </w:rPr>
        <w:t>用收入准则中商品销售收入的确认原则，系统集成企业在将商品所有权上的主要风险和报酬转移给购货方</w:t>
      </w:r>
      <w:r>
        <w:rPr>
          <w:spacing w:val="-81"/>
        </w:rPr>
        <w:t> </w:t>
      </w:r>
      <w:r>
        <w:rPr>
          <w:spacing w:val="-81"/>
        </w:rPr>
      </w:r>
      <w:r>
        <w:rPr/>
        <w:t>时确认收入。 </w:t>
      </w:r>
      <w:r>
        <w:rPr>
          <w:spacing w:val="-1"/>
        </w:rPr>
        <w:t>公司根据合同的约定，在系统集成中的外购软硬件产品和公司软件产品主要风险和报酬已转移给买方，不</w:t>
      </w:r>
      <w:r>
        <w:rPr>
          <w:spacing w:val="-81"/>
        </w:rPr>
        <w:t> </w:t>
      </w:r>
      <w:r>
        <w:rPr>
          <w:spacing w:val="-81"/>
        </w:rPr>
      </w:r>
      <w:r>
        <w:rPr/>
        <w:t>再保留与之相联系的继续管理权和控制权，系统已按合同约定的条件安装调试、取得了买方的验收确认， 相关成本能够可靠计量时，确认收入。 </w:t>
      </w:r>
      <w:r>
        <w:rPr>
          <w:spacing w:val="-1"/>
        </w:rPr>
        <w:t>具体方法：系统已按合同约定的条件安装调试、并取得了买方对系统设备的验收文件并收到价款或取得收</w:t>
      </w:r>
      <w:r>
        <w:rPr>
          <w:spacing w:val="-81"/>
        </w:rPr>
        <w:t> </w:t>
      </w:r>
      <w:r>
        <w:rPr>
          <w:spacing w:val="-81"/>
        </w:rPr>
      </w:r>
      <w:r>
        <w:rPr/>
        <w:t>取款项的证据时确认收入。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506" w:lineRule="auto"/>
        <w:ind w:left="153" w:right="15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设计费收入</w:t>
      </w:r>
      <w:r>
        <w:rPr>
          <w:rFonts w:ascii="宋体" w:hAnsi="宋体" w:cs="宋体" w:eastAsia="宋体" w:hint="default"/>
          <w:b/>
          <w:bCs/>
          <w:spacing w:val="1"/>
          <w:w w:val="99"/>
        </w:rPr>
        <w:t> </w:t>
      </w:r>
      <w:r>
        <w:rPr/>
        <w:t>公司按照合同的约定提供设计方案，该方案经买方验收并收到价款或取得收取款项的证据时，确认收入。</w:t>
      </w:r>
    </w:p>
    <w:p>
      <w:pPr>
        <w:spacing w:line="240" w:lineRule="auto" w:before="0"/>
        <w:rPr>
          <w:rFonts w:ascii="宋体" w:hAnsi="宋体" w:cs="宋体" w:eastAsia="宋体" w:hint="default"/>
          <w:sz w:val="20"/>
          <w:szCs w:val="20"/>
        </w:rPr>
      </w:pPr>
    </w:p>
    <w:p>
      <w:pPr>
        <w:pStyle w:val="Heading5"/>
        <w:spacing w:line="240" w:lineRule="auto" w:before="155"/>
        <w:ind w:right="88"/>
        <w:jc w:val="left"/>
        <w:rPr>
          <w:b w:val="0"/>
          <w:bCs w:val="0"/>
        </w:rPr>
      </w:pPr>
      <w:r>
        <w:rPr/>
        <w:t>（</w:t>
      </w:r>
      <w:r>
        <w:rPr>
          <w:rFonts w:ascii="Times New Roman" w:hAnsi="Times New Roman" w:cs="Times New Roman" w:eastAsia="Times New Roman" w:hint="default"/>
        </w:rPr>
        <w:t>6</w:t>
      </w:r>
      <w:r>
        <w:rPr/>
        <w:t>）</w:t>
      </w:r>
      <w:r>
        <w:rPr>
          <w:spacing w:val="-2"/>
        </w:rPr>
        <w:t> </w:t>
      </w:r>
      <w:r>
        <w:rPr/>
        <w:t>影片制作收入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91"/>
        <w:jc w:val="both"/>
      </w:pPr>
      <w:r>
        <w:rPr>
          <w:spacing w:val="-1"/>
        </w:rPr>
        <w:t>公司在已将所制作的影片产品所有权上的主要风险或报酬转移给购货方，并不再对该影片实施继续管理权</w:t>
      </w:r>
      <w:r>
        <w:rPr>
          <w:spacing w:val="-81"/>
        </w:rPr>
        <w:t> </w:t>
      </w:r>
      <w:r>
        <w:rPr>
          <w:spacing w:val="-81"/>
        </w:rPr>
      </w:r>
      <w:r>
        <w:rPr>
          <w:spacing w:val="-1"/>
        </w:rPr>
        <w:t>和实际控制权，相关的收入已经取得或取得了收款的凭据且相关的经济利益很可能流入，与销售该商品有</w:t>
      </w:r>
      <w:r>
        <w:rPr>
          <w:spacing w:val="-81"/>
        </w:rPr>
        <w:t> </w:t>
      </w:r>
      <w:r>
        <w:rPr>
          <w:spacing w:val="-81"/>
        </w:rPr>
      </w:r>
      <w:r>
        <w:rPr>
          <w:spacing w:val="-1"/>
        </w:rPr>
        <w:t>关的成本能够可靠地计量时，确认影片销售收入的实现。具体方法：根据合同约定，以影片交付购买方并</w:t>
      </w:r>
      <w:r>
        <w:rPr>
          <w:spacing w:val="-82"/>
        </w:rPr>
        <w:t> </w:t>
      </w:r>
      <w:r>
        <w:rPr>
          <w:spacing w:val="-82"/>
        </w:rPr>
      </w:r>
      <w:r>
        <w:rPr/>
        <w:t>经购买方验收合格并收到价款或取得收取款项的证据时确认收入的实现。</w:t>
      </w:r>
    </w:p>
    <w:p>
      <w:pPr>
        <w:spacing w:line="240" w:lineRule="auto" w:before="8"/>
        <w:rPr>
          <w:rFonts w:ascii="宋体" w:hAnsi="宋体" w:cs="宋体" w:eastAsia="宋体" w:hint="default"/>
          <w:sz w:val="23"/>
          <w:szCs w:val="23"/>
        </w:rPr>
      </w:pPr>
    </w:p>
    <w:p>
      <w:pPr>
        <w:pStyle w:val="Heading5"/>
        <w:spacing w:line="240" w:lineRule="auto"/>
        <w:ind w:right="88"/>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spacing w:before="0"/>
        <w:ind w:left="153" w:right="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政府补助，是本公司从政府无偿取得的货币性资产与非货币性资产。分为与资产相关的政府补助和与收益相关的政府补助。</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spacing w:val="-1"/>
        </w:rPr>
        <w:t>与购建固定资产、无形资产等长期资产相关的政府补助，确认为递延收益，按照所建造或购买的资产使用</w:t>
      </w:r>
      <w:r>
        <w:rPr>
          <w:spacing w:val="-83"/>
        </w:rPr>
        <w:t> </w:t>
      </w:r>
      <w:r>
        <w:rPr>
          <w:spacing w:val="-83"/>
        </w:rPr>
      </w:r>
      <w:r>
        <w:rPr/>
        <w:t>年限分期计入营业外收入； </w:t>
      </w:r>
      <w:r>
        <w:rPr>
          <w:spacing w:val="-1"/>
        </w:rPr>
        <w:t>与收益相关的政府补助，用于补偿企业以后期间的相关费用或损失的，取得时确认为递延收益，在确认相</w:t>
      </w:r>
      <w:r>
        <w:rPr>
          <w:spacing w:val="-83"/>
        </w:rPr>
        <w:t> </w:t>
      </w:r>
      <w:r>
        <w:rPr>
          <w:spacing w:val="-83"/>
        </w:rPr>
      </w:r>
      <w:r>
        <w:rPr>
          <w:spacing w:val="-1"/>
        </w:rPr>
        <w:t>关费用的期间计入当期营业外收入；用于补偿企业已发生的相关费用或损失的，取得时直接计入当期营业</w:t>
      </w:r>
      <w:r>
        <w:rPr>
          <w:spacing w:val="-81"/>
        </w:rPr>
        <w:t> </w:t>
      </w:r>
      <w:r>
        <w:rPr>
          <w:spacing w:val="-81"/>
        </w:rPr>
      </w:r>
      <w:r>
        <w:rPr/>
        <w:t>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对于可抵扣暂时性差异确认递延所得税资产，以未来期间很可能取得的用来抵扣可抵扣暂时性差异的应纳税所得额为限。</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对于应纳税暂时性差异，除特殊情况外，确认递延所得税负债。</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66" w:lineRule="auto"/>
        <w:ind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BodyText"/>
        <w:spacing w:line="268" w:lineRule="auto" w:before="14"/>
        <w:ind w:right="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right="207"/>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BodyText"/>
        <w:spacing w:line="264" w:lineRule="auto" w:before="14"/>
        <w:ind w:left="153" w:right="102"/>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after="0" w:line="264"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590" w:lineRule="atLeast" w:before="23"/>
        <w:ind w:left="153" w:right="395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本公司将同时符合下列条件的非流动资产确认为持有待售资产：</w:t>
      </w:r>
    </w:p>
    <w:p>
      <w:pPr>
        <w:pStyle w:val="BodyText"/>
        <w:spacing w:line="240" w:lineRule="auto" w:before="37"/>
        <w:ind w:left="153" w:right="0"/>
        <w:jc w:val="left"/>
      </w:pPr>
      <w:r>
        <w:rPr/>
        <w:t>（</w:t>
      </w:r>
      <w:r>
        <w:rPr>
          <w:rFonts w:ascii="Times New Roman" w:hAnsi="Times New Roman" w:cs="Times New Roman" w:eastAsia="Times New Roman" w:hint="default"/>
        </w:rPr>
        <w:t>1</w:t>
      </w:r>
      <w:r>
        <w:rPr/>
        <w:t>）公司已就该资产出售事项作出决议</w:t>
      </w:r>
    </w:p>
    <w:p>
      <w:pPr>
        <w:pStyle w:val="BodyText"/>
        <w:spacing w:line="240" w:lineRule="auto" w:before="21"/>
        <w:ind w:right="0"/>
        <w:jc w:val="left"/>
      </w:pPr>
      <w:r>
        <w:rPr/>
        <w:t>（</w:t>
      </w:r>
      <w:r>
        <w:rPr>
          <w:rFonts w:ascii="Times New Roman" w:hAnsi="Times New Roman" w:cs="Times New Roman" w:eastAsia="Times New Roman" w:hint="default"/>
        </w:rPr>
        <w:t>2</w:t>
      </w:r>
      <w:r>
        <w:rPr/>
        <w:t>）公司已与对方签订了不可撤消的转让协议</w:t>
      </w:r>
    </w:p>
    <w:p>
      <w:pPr>
        <w:pStyle w:val="BodyText"/>
        <w:spacing w:line="240" w:lineRule="auto" w:before="21"/>
        <w:ind w:right="0"/>
        <w:jc w:val="left"/>
      </w:pPr>
      <w:r>
        <w:rPr/>
        <w:t>（</w:t>
      </w:r>
      <w:r>
        <w:rPr>
          <w:rFonts w:ascii="Times New Roman" w:hAnsi="Times New Roman" w:cs="Times New Roman" w:eastAsia="Times New Roman" w:hint="default"/>
        </w:rPr>
        <w:t>3</w:t>
      </w:r>
      <w:r>
        <w:rPr/>
        <w:t>）该资产转让将在一年内完成。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1"/>
        <w:jc w:val="left"/>
      </w:pPr>
      <w:r>
        <w:rPr/>
        <w:t>符合持有待售条件的非流动资产</w:t>
      </w:r>
      <w:r>
        <w:rPr>
          <w:rFonts w:ascii="Times New Roman" w:hAnsi="Times New Roman" w:cs="Times New Roman" w:eastAsia="Times New Roman" w:hint="default"/>
        </w:rPr>
        <w:t>(</w:t>
      </w:r>
      <w:r>
        <w:rPr/>
        <w:t>不包括金融资产及递延所得税资产</w:t>
      </w:r>
      <w:r>
        <w:rPr>
          <w:rFonts w:ascii="Times New Roman" w:hAnsi="Times New Roman" w:cs="Times New Roman" w:eastAsia="Times New Roman" w:hint="default"/>
        </w:rPr>
        <w:t>)</w:t>
      </w:r>
      <w:r>
        <w:rPr/>
        <w:t>，以账面价值与公允价值减去处置费</w:t>
      </w:r>
      <w:r>
        <w:rPr>
          <w:spacing w:val="-69"/>
        </w:rPr>
        <w:t> </w:t>
      </w:r>
      <w:r>
        <w:rPr>
          <w:spacing w:val="-69"/>
        </w:rPr>
      </w:r>
      <w:r>
        <w:rPr>
          <w:spacing w:val="-3"/>
        </w:rPr>
        <w:t>用孰低的金额列示为其他流动资产。公允价值减去处置费用低于原账面价值的金额，确认为资产减值损失。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12"/>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6"/>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line="544" w:lineRule="auto" w:before="117"/>
        <w:ind w:left="154" w:right="47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4"/>
        <w:spacing w:line="240" w:lineRule="auto" w:before="100"/>
        <w:ind w:right="1619"/>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61" w:hRule="exact"/>
        </w:trPr>
        <w:tc>
          <w:tcPr>
            <w:tcW w:w="3515" w:type="dxa"/>
            <w:vMerge w:val="restart"/>
            <w:tcBorders>
              <w:top w:val="single" w:sz="4" w:space="0" w:color="000000"/>
              <w:left w:val="single" w:sz="4" w:space="0" w:color="000000"/>
              <w:right w:val="single" w:sz="4" w:space="0" w:color="000000"/>
            </w:tcBorders>
            <w:shd w:val="clear" w:color="auto" w:fill="D3D3D3"/>
          </w:tcPr>
          <w:p>
            <w:pPr/>
          </w:p>
        </w:tc>
        <w:tc>
          <w:tcPr>
            <w:tcW w:w="30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w:t>
            </w:r>
          </w:p>
        </w:tc>
        <w:tc>
          <w:tcPr>
            <w:tcW w:w="302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3515" w:type="dxa"/>
            <w:vMerge/>
            <w:tcBorders>
              <w:left w:val="single" w:sz="4" w:space="0" w:color="000000"/>
              <w:bottom w:val="nil" w:sz="6" w:space="0" w:color="auto"/>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务收入为基础计算销项税额</w:t>
            </w:r>
            <w:r>
              <w:rPr>
                <w:rFonts w:ascii="宋体" w:hAnsi="宋体" w:cs="宋体" w:eastAsia="宋体" w:hint="default"/>
                <w:spacing w:val="-90"/>
                <w:sz w:val="18"/>
                <w:szCs w:val="18"/>
              </w:rPr>
              <w:t>，</w:t>
            </w:r>
            <w:r>
              <w:rPr>
                <w:rFonts w:ascii="宋体" w:hAnsi="宋体" w:cs="宋体" w:eastAsia="宋体" w:hint="default"/>
                <w:sz w:val="18"/>
                <w:szCs w:val="18"/>
              </w:rPr>
              <w:t>在扣除当</w:t>
            </w:r>
            <w:r>
              <w:rPr>
                <w:rFonts w:ascii="宋体" w:hAnsi="宋体" w:cs="宋体" w:eastAsia="宋体" w:hint="default"/>
                <w:sz w:val="18"/>
                <w:szCs w:val="18"/>
              </w:rPr>
              <w:t> 期允许抵扣的进项税额后</w:t>
            </w:r>
            <w:r>
              <w:rPr>
                <w:rFonts w:ascii="宋体" w:hAnsi="宋体" w:cs="宋体" w:eastAsia="宋体" w:hint="default"/>
                <w:spacing w:val="-90"/>
                <w:sz w:val="18"/>
                <w:szCs w:val="18"/>
              </w:rPr>
              <w:t>，</w:t>
            </w:r>
            <w:r>
              <w:rPr>
                <w:rFonts w:ascii="宋体" w:hAnsi="宋体" w:cs="宋体" w:eastAsia="宋体" w:hint="default"/>
                <w:sz w:val="18"/>
                <w:szCs w:val="18"/>
              </w:rPr>
              <w:t>差额部分为</w:t>
            </w: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61"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nil" w:sz="6" w:space="0" w:color="auto"/>
              <w:left w:val="single" w:sz="13" w:space="0" w:color="D3D3D3"/>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02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515" w:type="dxa"/>
            <w:vMerge w:val="restart"/>
            <w:tcBorders>
              <w:top w:val="nil" w:sz="6" w:space="0" w:color="auto"/>
              <w:left w:val="single" w:sz="4" w:space="0" w:color="000000"/>
              <w:right w:val="single" w:sz="4" w:space="0" w:color="000000"/>
            </w:tcBorders>
            <w:shd w:val="clear" w:color="auto" w:fill="D3D3D3"/>
          </w:tcPr>
          <w:p>
            <w:pPr/>
          </w:p>
        </w:tc>
        <w:tc>
          <w:tcPr>
            <w:tcW w:w="30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子公司深圳艾特凡斯智能科技有限公</w:t>
            </w:r>
          </w:p>
        </w:tc>
        <w:tc>
          <w:tcPr>
            <w:tcW w:w="3026"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3515" w:type="dxa"/>
            <w:vMerge/>
            <w:tcBorders>
              <w:left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月原交纳营业税的业务</w:t>
            </w: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（小规模纳税人）</w:t>
            </w:r>
          </w:p>
        </w:tc>
      </w:tr>
      <w:tr>
        <w:trPr>
          <w:trHeight w:val="351" w:hRule="exact"/>
        </w:trPr>
        <w:tc>
          <w:tcPr>
            <w:tcW w:w="3515" w:type="dxa"/>
            <w:vMerge/>
            <w:tcBorders>
              <w:left w:val="single" w:sz="4" w:space="0" w:color="000000"/>
              <w:bottom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转为交纳增值税业务</w:t>
            </w:r>
          </w:p>
        </w:tc>
        <w:tc>
          <w:tcPr>
            <w:tcW w:w="302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10" w:space="0" w:color="D3D3D3"/>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vMerge/>
            <w:tcBorders>
              <w:left w:val="single" w:sz="10"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10"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pStyle w:val="BodyText"/>
        <w:spacing w:line="590" w:lineRule="atLeast" w:before="24"/>
        <w:ind w:right="3680"/>
        <w:jc w:val="left"/>
      </w:pPr>
      <w:r>
        <w:rPr>
          <w:rFonts w:ascii="Times New Roman" w:hAnsi="Times New Roman" w:cs="Times New Roman" w:eastAsia="Times New Roman" w:hint="default"/>
          <w:b/>
          <w:bCs/>
        </w:rPr>
        <w:t>3</w:t>
      </w:r>
      <w:r>
        <w:rPr>
          <w:rFonts w:ascii="宋体" w:hAnsi="宋体" w:cs="宋体" w:eastAsia="宋体" w:hint="default"/>
          <w:b/>
          <w:bCs/>
        </w:rPr>
        <w:t>、其他说明</w:t>
      </w:r>
      <w:r>
        <w:rPr>
          <w:rFonts w:ascii="宋体" w:hAnsi="宋体" w:cs="宋体" w:eastAsia="宋体" w:hint="default"/>
          <w:b/>
          <w:bCs/>
          <w:spacing w:val="1"/>
          <w:w w:val="99"/>
        </w:rPr>
        <w:t> </w:t>
      </w:r>
      <w:r>
        <w:rPr/>
        <w:t>一、说明：与合作拍摄影视剧收入有关的税金由合作方代扣代缴。</w:t>
      </w:r>
    </w:p>
    <w:p>
      <w:pPr>
        <w:spacing w:line="300" w:lineRule="auto" w:before="37"/>
        <w:ind w:left="153" w:right="151" w:firstLine="0"/>
        <w:jc w:val="both"/>
        <w:rPr>
          <w:rFonts w:ascii="宋体" w:hAnsi="宋体" w:cs="宋体" w:eastAsia="宋体" w:hint="default"/>
          <w:sz w:val="18"/>
          <w:szCs w:val="18"/>
        </w:rPr>
      </w:pPr>
      <w:r>
        <w:rPr>
          <w:rFonts w:ascii="宋体" w:hAnsi="宋体" w:cs="宋体" w:eastAsia="宋体" w:hint="default"/>
          <w:spacing w:val="-1"/>
          <w:sz w:val="21"/>
          <w:szCs w:val="21"/>
        </w:rPr>
        <w:t>二、</w:t>
      </w:r>
      <w:r>
        <w:rPr>
          <w:rFonts w:ascii="宋体" w:hAnsi="宋体" w:cs="宋体" w:eastAsia="宋体" w:hint="default"/>
          <w:b/>
          <w:bCs/>
          <w:spacing w:val="-1"/>
          <w:sz w:val="18"/>
          <w:szCs w:val="18"/>
        </w:rPr>
        <w:t>所得税：</w:t>
      </w:r>
      <w:r>
        <w:rPr>
          <w:rFonts w:ascii="宋体" w:hAnsi="宋体" w:cs="宋体" w:eastAsia="宋体" w:hint="default"/>
          <w:spacing w:val="-1"/>
          <w:sz w:val="18"/>
          <w:szCs w:val="18"/>
        </w:rPr>
        <w:t>本公司子公司深圳艾特凡斯智能科技有限公司于</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日取得了由深圳市经济贸易和信息化委员会颁发</w:t>
      </w:r>
      <w:r>
        <w:rPr>
          <w:rFonts w:ascii="宋体" w:hAnsi="宋体" w:cs="宋体" w:eastAsia="宋体" w:hint="default"/>
          <w:sz w:val="18"/>
          <w:szCs w:val="18"/>
        </w:rPr>
        <w:t> 的《软件企业认定证书》后，并取得深圳市蛇口地方税务局税务事项通知书深地税蛇备（</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350</w:t>
      </w:r>
      <w:r>
        <w:rPr>
          <w:rFonts w:ascii="宋体" w:hAnsi="宋体" w:cs="宋体" w:eastAsia="宋体" w:hint="default"/>
          <w:sz w:val="18"/>
          <w:szCs w:val="18"/>
        </w:rPr>
        <w:t>号文件，根据该文的规 </w:t>
      </w:r>
      <w:r>
        <w:rPr>
          <w:rFonts w:ascii="宋体" w:hAnsi="宋体" w:cs="宋体" w:eastAsia="宋体" w:hint="default"/>
          <w:spacing w:val="-5"/>
          <w:sz w:val="18"/>
          <w:szCs w:val="18"/>
        </w:rPr>
        <w:t>定：根据《中华人民共和国企业所得税法》第三十六条、《财政部、国家税务总局关于企业所得税若干优惠政策的通知》（财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号）的规定深圳艾特凡斯智能科技有限公司自开始获利年度起，企业所得税享受两免三减半。</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年为免税第</w:t>
      </w:r>
    </w:p>
    <w:p>
      <w:pPr>
        <w:spacing w:after="0" w:line="30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一年。</w:t>
      </w:r>
    </w:p>
    <w:p>
      <w:pPr>
        <w:pStyle w:val="BodyText"/>
        <w:spacing w:line="266" w:lineRule="auto" w:before="51"/>
        <w:ind w:left="153" w:right="92"/>
        <w:jc w:val="left"/>
      </w:pPr>
      <w:r>
        <w:rPr>
          <w:rFonts w:ascii="宋体" w:hAnsi="宋体" w:cs="宋体" w:eastAsia="宋体" w:hint="default"/>
          <w:b/>
          <w:bCs/>
        </w:rPr>
        <w:t>营业税：</w:t>
      </w:r>
      <w:r>
        <w:rPr/>
        <w:t>根据财政部、国家税务总局《关于贯彻落实＜中共中央</w:t>
      </w:r>
      <w:r>
        <w:rPr>
          <w:spacing w:val="-29"/>
        </w:rPr>
        <w:t> </w:t>
      </w:r>
      <w:r>
        <w:rPr/>
        <w:t>国务院关于加强技术创新，发展高科技，</w:t>
      </w:r>
      <w:r>
        <w:rPr/>
        <w:t> 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号）相关规定，本公司的子公司深圳艾</w:t>
      </w:r>
      <w:r>
        <w:rPr>
          <w:spacing w:val="-37"/>
        </w:rPr>
        <w:t> </w:t>
      </w:r>
      <w:r>
        <w:rPr>
          <w:spacing w:val="-37"/>
        </w:rPr>
      </w:r>
      <w:r>
        <w:rPr/>
        <w:t>特凡斯智能科技有限公司取得的技术转让、技术开发业务和与之相关的技术咨询、技术服务业务的技术性</w:t>
      </w:r>
      <w:r>
        <w:rPr/>
        <w:t> 收入免征营业税。</w:t>
      </w:r>
    </w:p>
    <w:p>
      <w:pPr>
        <w:pStyle w:val="BodyText"/>
        <w:spacing w:line="264" w:lineRule="auto" w:before="14"/>
        <w:ind w:left="153" w:right="205"/>
        <w:jc w:val="both"/>
        <w:rPr>
          <w:rFonts w:ascii="Times New Roman" w:hAnsi="Times New Roman" w:cs="Times New Roman" w:eastAsia="Times New Roman" w:hint="default"/>
        </w:rPr>
      </w:pPr>
      <w:r>
        <w:rPr>
          <w:rFonts w:ascii="宋体" w:hAnsi="宋体" w:cs="宋体" w:eastAsia="宋体" w:hint="default"/>
          <w:b/>
          <w:bCs/>
        </w:rPr>
        <w:t>增值税：</w:t>
      </w:r>
      <w:r>
        <w:rPr/>
        <w:t>根据《深圳市国家税务总局 深圳市地方税务局关于深圳市营业税改征增值税试点纳税人办理税</w:t>
      </w:r>
      <w:r>
        <w:rPr>
          <w:spacing w:val="-43"/>
        </w:rPr>
        <w:t> </w:t>
      </w:r>
      <w:r>
        <w:rPr>
          <w:spacing w:val="-43"/>
        </w:rPr>
      </w:r>
      <w:r>
        <w:rPr>
          <w:spacing w:val="-1"/>
        </w:rPr>
        <w:t>收业务的通告》（深国税告（</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11</w:t>
      </w:r>
      <w:r>
        <w:rPr>
          <w:spacing w:val="-1"/>
        </w:rPr>
        <w:t>号）的规定：</w:t>
      </w:r>
      <w:r>
        <w:rPr>
          <w:rFonts w:ascii="Times New Roman" w:hAnsi="Times New Roman" w:cs="Times New Roman" w:eastAsia="Times New Roman" w:hint="default"/>
          <w:spacing w:val="-1"/>
        </w:rPr>
        <w:t>“</w:t>
      </w:r>
      <w:r>
        <w:rPr>
          <w:spacing w:val="-1"/>
        </w:rPr>
        <w:t>深圳市将于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日起在交通运输业和部分现</w:t>
      </w:r>
      <w:r>
        <w:rPr>
          <w:spacing w:val="-79"/>
        </w:rPr>
        <w:t> </w:t>
      </w:r>
      <w:r>
        <w:rPr>
          <w:spacing w:val="-79"/>
        </w:rPr>
      </w:r>
      <w:r>
        <w:rPr/>
        <w:t>代服务业试点营业税改征增值税</w:t>
      </w:r>
      <w:r>
        <w:rPr>
          <w:rFonts w:ascii="Times New Roman" w:hAnsi="Times New Roman" w:cs="Times New Roman" w:eastAsia="Times New Roman" w:hint="default"/>
        </w:rPr>
        <w:t>”</w:t>
      </w:r>
      <w:r>
        <w:rPr/>
        <w:t>。目前子公司深圳艾特凡斯智能科技有限公司尚未取得增值税一般纳税</w:t>
      </w:r>
      <w:r>
        <w:rPr>
          <w:spacing w:val="-23"/>
        </w:rPr>
        <w:t> </w:t>
      </w:r>
      <w:r>
        <w:rPr>
          <w:spacing w:val="-23"/>
        </w:rPr>
      </w:r>
      <w:r>
        <w:rPr/>
        <w:t>人资质，故销项税税率为</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日已获取一般纳税人认定</w:t>
      </w:r>
      <w:r>
        <w:rPr>
          <w:rFonts w:ascii="Times New Roman" w:hAnsi="Times New Roman" w:cs="Times New Roman" w:eastAsia="Times New Roman" w:hint="default"/>
        </w:rPr>
        <w:t>,</w:t>
      </w:r>
      <w:r>
        <w:rPr/>
        <w:t>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日开始实施）。根据《交通运</w:t>
      </w:r>
      <w:r>
        <w:rPr>
          <w:spacing w:val="-54"/>
        </w:rPr>
        <w:t> </w:t>
      </w:r>
      <w:r>
        <w:rPr>
          <w:spacing w:val="-54"/>
        </w:rPr>
      </w:r>
      <w:r>
        <w:rPr>
          <w:spacing w:val="-1"/>
        </w:rPr>
        <w:t>输业和部分现代服务业营业税改征增值税试点过渡政策的规定》（财税（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111</w:t>
      </w:r>
      <w:r>
        <w:rPr>
          <w:spacing w:val="-1"/>
        </w:rPr>
        <w:t>号）规定：</w:t>
      </w:r>
      <w:r>
        <w:rPr>
          <w:rFonts w:ascii="Times New Roman" w:hAnsi="Times New Roman" w:cs="Times New Roman" w:eastAsia="Times New Roman" w:hint="default"/>
          <w:spacing w:val="-1"/>
        </w:rPr>
        <w:t>“</w:t>
      </w:r>
      <w:r>
        <w:rPr>
          <w:spacing w:val="-1"/>
        </w:rPr>
        <w:t>交通运输</w:t>
      </w:r>
      <w:r>
        <w:rPr>
          <w:spacing w:val="-75"/>
        </w:rPr>
        <w:t> </w:t>
      </w:r>
      <w:r>
        <w:rPr>
          <w:spacing w:val="-1"/>
        </w:rPr>
        <w:t>业和部分现代服务业营业税改征增值税后，为实现试点纳税人原享受的营业税优惠政策平稳过渡，试点期</w:t>
      </w:r>
      <w:r>
        <w:rPr>
          <w:spacing w:val="-81"/>
        </w:rPr>
        <w:t> </w:t>
      </w:r>
      <w:r>
        <w:rPr>
          <w:spacing w:val="-81"/>
        </w:rPr>
      </w:r>
      <w:r>
        <w:rPr>
          <w:spacing w:val="-1"/>
        </w:rPr>
        <w:t>间试点纳税人有关增值税优惠政策如下：一、（五）试点纳税人提供技术转让、技术开发和与之相关的技</w:t>
      </w:r>
      <w:r>
        <w:rPr>
          <w:spacing w:val="-82"/>
        </w:rPr>
        <w:t> </w:t>
      </w:r>
      <w:r>
        <w:rPr>
          <w:spacing w:val="-82"/>
        </w:rPr>
      </w:r>
      <w:r>
        <w:rPr/>
        <w:t>术咨询、技术服务免征增值税。</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2"/>
        <w:rPr>
          <w:rFonts w:ascii="Times New Roman" w:hAnsi="Times New Roman" w:cs="Times New Roman" w:eastAsia="Times New Roman" w:hint="default"/>
          <w:sz w:val="29"/>
          <w:szCs w:val="29"/>
        </w:rPr>
      </w:pPr>
    </w:p>
    <w:p>
      <w:pPr>
        <w:pStyle w:val="Heading4"/>
        <w:spacing w:line="240" w:lineRule="auto" w:before="0"/>
        <w:ind w:right="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常州远</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常州新</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3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东文化 产业有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北区泯 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动画游 戏</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2"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2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0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分担的 本期亏 损超过</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2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享有份 额后的 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交互软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6"/>
                <w:sz w:val="18"/>
                <w:szCs w:val="18"/>
              </w:rPr>
              <w:t>发；</w:t>
            </w:r>
            <w:r>
              <w:rPr>
                <w:rFonts w:ascii="Times New Roman" w:hAnsi="Times New Roman" w:cs="Times New Roman" w:eastAsia="Times New Roman" w:hint="default"/>
                <w:spacing w:val="-16"/>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体化、</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动态仿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真、机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械结构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特凡斯 智能科 技有限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1,000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以及多 媒体产 品的技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31,774,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779.29</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0"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11,147,3</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25.44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 </w:t>
            </w:r>
            <w:r>
              <w:rPr>
                <w:rFonts w:ascii="宋体" w:hAnsi="宋体" w:cs="宋体" w:eastAsia="宋体" w:hint="default"/>
                <w:spacing w:val="-3"/>
                <w:sz w:val="18"/>
                <w:szCs w:val="18"/>
              </w:rPr>
              <w:t>；动</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漫设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硬件的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发与销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396"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57"/>
        <w:ind w:left="154" w:right="1619"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56" w:lineRule="auto" w:before="90"/>
        <w:ind w:right="0"/>
        <w:jc w:val="left"/>
      </w:pPr>
      <w:r>
        <w:rPr/>
        <w:t>与上期相比本期新增合并单位</w:t>
      </w:r>
      <w:r>
        <w:rPr>
          <w:spacing w:val="47"/>
        </w:rPr>
        <w:t> </w:t>
      </w:r>
      <w:r>
        <w:rPr>
          <w:rFonts w:ascii="Times New Roman" w:hAnsi="Times New Roman" w:cs="Times New Roman" w:eastAsia="Times New Roman" w:hint="default"/>
        </w:rPr>
        <w:t>1</w:t>
      </w:r>
      <w:r>
        <w:rPr/>
        <w:t>家，原因为：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月本公司以非同一控制下的企业合并的方式购买了</w:t>
      </w:r>
      <w:r>
        <w:rPr>
          <w:spacing w:val="-86"/>
        </w:rPr>
        <w:t> </w:t>
      </w:r>
      <w:r>
        <w:rPr>
          <w:spacing w:val="-86"/>
        </w:rPr>
      </w:r>
      <w:r>
        <w:rPr/>
        <w:t>深圳艾特凡斯智能科技有限公司</w:t>
      </w:r>
      <w:r>
        <w:rPr>
          <w:rFonts w:ascii="Times New Roman" w:hAnsi="Times New Roman" w:cs="Times New Roman" w:eastAsia="Times New Roman" w:hint="default"/>
        </w:rPr>
        <w:t>51%</w:t>
      </w:r>
      <w:r>
        <w:rPr/>
        <w:t>的股权，纳入本公司的合并范围。</w:t>
      </w:r>
    </w:p>
    <w:p>
      <w:pPr>
        <w:spacing w:line="240" w:lineRule="auto" w:before="4"/>
        <w:rPr>
          <w:rFonts w:ascii="宋体" w:hAnsi="宋体" w:cs="宋体" w:eastAsia="宋体" w:hint="default"/>
          <w:sz w:val="29"/>
          <w:szCs w:val="29"/>
        </w:rPr>
      </w:pPr>
    </w:p>
    <w:p>
      <w:pPr>
        <w:spacing w:line="357" w:lineRule="auto" w:before="0"/>
        <w:ind w:left="153" w:right="5813" w:firstLine="0"/>
        <w:jc w:val="left"/>
        <w:rPr>
          <w:rFonts w:ascii="宋体" w:hAnsi="宋体" w:cs="宋体" w:eastAsia="宋体" w:hint="default"/>
          <w:sz w:val="18"/>
          <w:szCs w:val="18"/>
        </w:rPr>
      </w:pPr>
      <w:r>
        <w:rPr>
          <w:rFonts w:ascii="宋体" w:hAnsi="宋体" w:cs="宋体" w:eastAsia="宋体" w:hint="default"/>
          <w:sz w:val="18"/>
          <w:szCs w:val="18"/>
        </w:rPr>
        <w:t>√ 适用 □ 不适用 与上年相比本年（期）新增合并单位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70"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spacing w:val="-2"/>
        </w:rPr>
        <w:t>年</w:t>
      </w:r>
      <w:r>
        <w:rPr>
          <w:rFonts w:ascii="Times New Roman" w:hAnsi="Times New Roman" w:cs="Times New Roman" w:eastAsia="Times New Roman" w:hint="default"/>
        </w:rPr>
        <w:t>7</w:t>
      </w:r>
      <w:r>
        <w:rPr/>
        <w:t>月</w:t>
      </w:r>
      <w:r>
        <w:rPr>
          <w:spacing w:val="-2"/>
        </w:rPr>
        <w:t>本</w:t>
      </w:r>
      <w:r>
        <w:rPr/>
        <w:t>公司以非同一控制下的企业合并的方式购买了深圳艾特凡斯智能科技有限公司</w:t>
      </w: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t>的股权</w:t>
      </w:r>
      <w:r>
        <w:rPr>
          <w:spacing w:val="-93"/>
        </w:rPr>
        <w:t>，</w:t>
      </w:r>
      <w:r>
        <w:rPr/>
        <w:t>纳</w:t>
      </w:r>
    </w:p>
    <w:p>
      <w:pPr>
        <w:spacing w:after="0" w:line="270" w:lineRule="exact"/>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1619"/>
        <w:jc w:val="left"/>
      </w:pPr>
      <w:r>
        <w:rPr/>
        <w:t>入本公司的合并范围。</w:t>
      </w:r>
    </w:p>
    <w:p>
      <w:pPr>
        <w:spacing w:line="240" w:lineRule="auto" w:before="0"/>
        <w:rPr>
          <w:rFonts w:ascii="宋体" w:hAnsi="宋体" w:cs="宋体" w:eastAsia="宋体" w:hint="default"/>
          <w:sz w:val="20"/>
          <w:szCs w:val="20"/>
        </w:rPr>
      </w:pPr>
    </w:p>
    <w:p>
      <w:pPr>
        <w:spacing w:before="153"/>
        <w:ind w:left="154" w:right="1619" w:firstLine="0"/>
        <w:jc w:val="left"/>
        <w:rPr>
          <w:rFonts w:ascii="宋体" w:hAnsi="宋体" w:cs="宋体" w:eastAsia="宋体" w:hint="default"/>
          <w:sz w:val="18"/>
          <w:szCs w:val="18"/>
        </w:rPr>
      </w:pPr>
      <w:r>
        <w:rPr>
          <w:rFonts w:ascii="宋体" w:hAnsi="宋体" w:cs="宋体" w:eastAsia="宋体" w:hint="default"/>
          <w:sz w:val="18"/>
          <w:szCs w:val="18"/>
        </w:rPr>
        <w:t>与上年相比本年（期）减少合并单位家，原因为</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1" w:right="0"/>
              <w:jc w:val="left"/>
              <w:rPr>
                <w:rFonts w:ascii="Times New Roman" w:hAnsi="Times New Roman" w:cs="Times New Roman" w:eastAsia="Times New Roman" w:hint="default"/>
                <w:sz w:val="18"/>
                <w:szCs w:val="18"/>
              </w:rPr>
            </w:pPr>
            <w:r>
              <w:rPr>
                <w:rFonts w:ascii="Times New Roman"/>
                <w:sz w:val="18"/>
              </w:rPr>
              <w:t>22,749,643.77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7" w:right="0"/>
              <w:jc w:val="left"/>
              <w:rPr>
                <w:rFonts w:ascii="Times New Roman" w:hAnsi="Times New Roman" w:cs="Times New Roman" w:eastAsia="Times New Roman" w:hint="default"/>
                <w:sz w:val="18"/>
                <w:szCs w:val="18"/>
              </w:rPr>
            </w:pPr>
            <w:r>
              <w:rPr>
                <w:rFonts w:ascii="Times New Roman"/>
                <w:sz w:val="18"/>
              </w:rPr>
              <w:t>13,660,372.43</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087879pt;width:479.1pt;height:103.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362" w:hRule="exact"/>
                    </w:trPr>
                    <w:tc>
                      <w:tcPr>
                        <w:tcW w:w="2677"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27,184,779.29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元，在</w:t>
                        </w:r>
                      </w:p>
                    </w:tc>
                  </w:tr>
                  <w:tr>
                    <w:trPr>
                      <w:trHeight w:val="311"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合并中取得艾特凡斯公司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权益，可辨认净资</w:t>
                        </w:r>
                      </w:p>
                    </w:tc>
                  </w:tr>
                  <w:tr>
                    <w:trPr>
                      <w:trHeight w:val="312" w:hRule="exact"/>
                    </w:trPr>
                    <w:tc>
                      <w:tcPr>
                        <w:tcW w:w="2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center"/>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61" w:right="0"/>
                          <w:jc w:val="left"/>
                          <w:rPr>
                            <w:rFonts w:ascii="Times New Roman" w:hAnsi="Times New Roman" w:cs="Times New Roman" w:eastAsia="Times New Roman" w:hint="default"/>
                            <w:sz w:val="18"/>
                            <w:szCs w:val="18"/>
                          </w:rPr>
                        </w:pPr>
                        <w:r>
                          <w:rPr>
                            <w:rFonts w:ascii="Times New Roman"/>
                            <w:sz w:val="18"/>
                          </w:rPr>
                          <w:t>26,440,768.97</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产在购买日的公允价值为人民币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1,458,843.76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tc>
                  </w:tr>
                  <w:tr>
                    <w:trPr>
                      <w:trHeight w:val="313"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归属于母公司的是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744,010.32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元，两者的差额人</w:t>
                        </w:r>
                      </w:p>
                    </w:tc>
                  </w:tr>
                  <w:tr>
                    <w:trPr>
                      <w:trHeight w:val="352" w:hRule="exact"/>
                    </w:trPr>
                    <w:tc>
                      <w:tcPr>
                        <w:tcW w:w="2677"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26,440,768.97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元确认为商誉。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pStyle w:val="BodyText"/>
        <w:spacing w:line="256" w:lineRule="auto" w:before="90"/>
        <w:ind w:left="153"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本期发生的非同一控制下企业合并的情况：</w:t>
      </w:r>
      <w:r>
        <w:rPr>
          <w:rFonts w:ascii="宋体" w:hAnsi="宋体" w:cs="宋体" w:eastAsia="宋体" w:hint="default"/>
          <w:b/>
          <w:bCs/>
          <w:spacing w:val="1"/>
          <w:w w:val="99"/>
        </w:rPr>
        <w:t> </w:t>
      </w:r>
      <w:r>
        <w:rPr/>
        <w:t>本公司以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日为购买日，支付现金人民币</w:t>
      </w:r>
      <w:r>
        <w:rPr>
          <w:rFonts w:ascii="Times New Roman" w:hAnsi="Times New Roman" w:cs="Times New Roman" w:eastAsia="Times New Roman" w:hint="default"/>
        </w:rPr>
        <w:t>12,000,000.00</w:t>
      </w:r>
      <w:r>
        <w:rPr/>
        <w:t>元、承担或有对价（公允价值）人民币</w:t>
      </w:r>
      <w:r>
        <w:rPr>
          <w:spacing w:val="1"/>
        </w:rPr>
        <w:t> </w:t>
      </w:r>
      <w:r>
        <w:rPr>
          <w:spacing w:val="1"/>
        </w:rPr>
      </w:r>
      <w:r>
        <w:rPr>
          <w:rFonts w:ascii="Times New Roman" w:hAnsi="Times New Roman" w:cs="Times New Roman" w:eastAsia="Times New Roman" w:hint="default"/>
        </w:rPr>
        <w:t>15,184,779.29</w:t>
      </w:r>
      <w:r>
        <w:rPr/>
        <w:t>元作为合并成本购买深圳艾特凡斯智能科技有限公司</w:t>
      </w:r>
      <w:r>
        <w:rPr>
          <w:rFonts w:ascii="Times New Roman" w:hAnsi="Times New Roman" w:cs="Times New Roman" w:eastAsia="Times New Roman" w:hint="default"/>
        </w:rPr>
        <w:t>51%</w:t>
      </w:r>
      <w:r>
        <w:rPr/>
        <w:t>的权益。合并成本在购买日的总额</w:t>
      </w:r>
      <w:r>
        <w:rPr>
          <w:spacing w:val="-58"/>
        </w:rPr>
        <w:t> </w:t>
      </w:r>
      <w:r>
        <w:rPr>
          <w:spacing w:val="-58"/>
        </w:rPr>
      </w:r>
      <w:r>
        <w:rPr/>
        <w:t>为人民币</w:t>
      </w:r>
      <w:r>
        <w:rPr>
          <w:rFonts w:ascii="Times New Roman" w:hAnsi="Times New Roman" w:cs="Times New Roman" w:eastAsia="Times New Roman" w:hint="default"/>
        </w:rPr>
        <w:t>27,184,779.29</w:t>
      </w:r>
      <w:r>
        <w:rPr/>
        <w:t>元。</w:t>
      </w:r>
    </w:p>
    <w:p>
      <w:pPr>
        <w:pStyle w:val="Heading5"/>
        <w:spacing w:line="240" w:lineRule="auto" w:before="5"/>
        <w:ind w:left="153" w:right="1619"/>
        <w:jc w:val="left"/>
        <w:rPr>
          <w:b w:val="0"/>
          <w:bCs w:val="0"/>
        </w:rPr>
      </w:pPr>
      <w:r>
        <w:rPr>
          <w:rFonts w:ascii="Times New Roman" w:hAnsi="Times New Roman" w:cs="Times New Roman" w:eastAsia="Times New Roman" w:hint="default"/>
        </w:rPr>
        <w:t>2</w:t>
      </w:r>
      <w:r>
        <w:rPr/>
        <w:t>、</w:t>
      </w:r>
      <w:r>
        <w:rPr>
          <w:spacing w:val="-4"/>
        </w:rPr>
        <w:t> </w:t>
      </w:r>
      <w:r>
        <w:rPr/>
        <w:t>购买日的确定依据：</w:t>
      </w:r>
      <w:r>
        <w:rPr>
          <w:b w:val="0"/>
          <w:bCs w:val="0"/>
        </w:rPr>
      </w:r>
    </w:p>
    <w:p>
      <w:pPr>
        <w:pStyle w:val="BodyText"/>
        <w:spacing w:line="256" w:lineRule="auto" w:before="21"/>
        <w:ind w:left="153" w:right="145"/>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日，本公司（受让方）第七届董事会第三次会议审议通过了《关于公司收购深圳艾特凡斯智</w:t>
      </w:r>
      <w:r>
        <w:rPr>
          <w:spacing w:val="-36"/>
        </w:rPr>
        <w:t> </w:t>
      </w:r>
      <w:r>
        <w:rPr>
          <w:spacing w:val="-36"/>
        </w:rPr>
      </w:r>
      <w:r>
        <w:rPr>
          <w:spacing w:val="-2"/>
        </w:rPr>
        <w:t>能科技有限公司</w:t>
      </w:r>
      <w:r>
        <w:rPr>
          <w:rFonts w:ascii="Times New Roman" w:hAnsi="Times New Roman" w:cs="Times New Roman" w:eastAsia="Times New Roman" w:hint="default"/>
          <w:spacing w:val="-2"/>
        </w:rPr>
        <w:t>51%</w:t>
      </w:r>
      <w:r>
        <w:rPr>
          <w:spacing w:val="-2"/>
        </w:rPr>
        <w:t>股权的议案》，公司与深圳艾特凡斯智能科技有限公司（目标公司）（简称</w:t>
      </w:r>
      <w:r>
        <w:rPr>
          <w:rFonts w:ascii="Times New Roman" w:hAnsi="Times New Roman" w:cs="Times New Roman" w:eastAsia="Times New Roman" w:hint="default"/>
          <w:spacing w:val="-2"/>
        </w:rPr>
        <w:t>“</w:t>
      </w:r>
      <w:r>
        <w:rPr>
          <w:spacing w:val="-2"/>
        </w:rPr>
        <w:t>艾特凡斯</w:t>
      </w:r>
      <w:r>
        <w:rPr>
          <w:spacing w:val="-94"/>
        </w:rPr>
        <w:t> </w:t>
      </w:r>
      <w:r>
        <w:rPr/>
        <w:t>公司</w:t>
      </w:r>
      <w:r>
        <w:rPr>
          <w:rFonts w:ascii="Times New Roman" w:hAnsi="Times New Roman" w:cs="Times New Roman" w:eastAsia="Times New Roman" w:hint="default"/>
        </w:rPr>
        <w:t>”</w:t>
      </w:r>
      <w:r>
        <w:rPr/>
        <w:t>）原股东江苏仁众投资管理有限公司、程波、王星、钟祥明、高新良、陈坤、汤芝加及艾特凡斯公</w:t>
      </w:r>
      <w:r>
        <w:rPr>
          <w:spacing w:val="-23"/>
        </w:rPr>
        <w:t> </w:t>
      </w:r>
      <w:r>
        <w:rPr>
          <w:spacing w:val="-23"/>
        </w:rPr>
      </w:r>
      <w:r>
        <w:rPr>
          <w:spacing w:val="-2"/>
        </w:rPr>
        <w:t>司签署了《</w:t>
      </w:r>
      <w:r>
        <w:rPr>
          <w:spacing w:val="-2"/>
          <w:u w:val="single" w:color="000000"/>
        </w:rPr>
        <w:t>关于深圳艾特凡斯智能科技有限公司的</w:t>
      </w:r>
      <w:r>
        <w:rPr>
          <w:spacing w:val="-2"/>
        </w:rPr>
        <w:t>股权转让协议书》，公司以</w:t>
      </w:r>
      <w:r>
        <w:rPr>
          <w:rFonts w:ascii="Times New Roman" w:hAnsi="Times New Roman" w:cs="Times New Roman" w:eastAsia="Times New Roman" w:hint="default"/>
          <w:spacing w:val="-2"/>
        </w:rPr>
        <w:t>1,200</w:t>
      </w:r>
      <w:r>
        <w:rPr>
          <w:spacing w:val="-2"/>
        </w:rPr>
        <w:t>万元受让艾特凡斯公司</w:t>
      </w:r>
    </w:p>
    <w:p>
      <w:pPr>
        <w:spacing w:after="0" w:line="256" w:lineRule="auto"/>
        <w:jc w:val="both"/>
        <w:sectPr>
          <w:footerReference w:type="default" r:id="rId18"/>
          <w:pgSz w:w="11910" w:h="16840"/>
          <w:pgMar w:footer="982" w:header="747" w:top="1060" w:bottom="1180" w:left="980" w:right="980"/>
          <w:pgNumType w:start="86"/>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rFonts w:ascii="Times New Roman" w:hAnsi="Times New Roman" w:cs="Times New Roman" w:eastAsia="Times New Roman" w:hint="default"/>
        </w:rPr>
        <w:t>51%</w:t>
      </w:r>
      <w:r>
        <w:rPr/>
        <w:t>股权。该项股权转让协议经本公司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日的第一次临时股东大会审议通过。</w:t>
      </w:r>
    </w:p>
    <w:p>
      <w:pPr>
        <w:pStyle w:val="BodyText"/>
        <w:spacing w:line="256" w:lineRule="auto" w:before="21"/>
        <w:ind w:right="18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日支付第一笔股权转让款</w:t>
      </w:r>
      <w:r>
        <w:rPr>
          <w:rFonts w:ascii="Times New Roman" w:hAnsi="Times New Roman" w:cs="Times New Roman" w:eastAsia="Times New Roman" w:hint="default"/>
        </w:rPr>
        <w:t>600</w:t>
      </w:r>
      <w:r>
        <w:rPr/>
        <w:t>万元，</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日艾特凡斯公司完成股东和董事会成员的工商变更</w:t>
      </w:r>
      <w:r>
        <w:rPr>
          <w:spacing w:val="-37"/>
        </w:rPr>
        <w:t> </w:t>
      </w:r>
      <w:r>
        <w:rPr>
          <w:spacing w:val="-37"/>
        </w:rPr>
      </w:r>
      <w:r>
        <w:rPr/>
        <w:t>登记，</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日本公司支付剩余</w:t>
      </w:r>
      <w:r>
        <w:rPr>
          <w:rFonts w:ascii="Times New Roman" w:hAnsi="Times New Roman" w:cs="Times New Roman" w:eastAsia="Times New Roman" w:hint="default"/>
        </w:rPr>
        <w:t>600</w:t>
      </w:r>
      <w:r>
        <w:rPr/>
        <w:t>万元的股权转让款，至此本公司的该项收购业务完成。</w:t>
      </w:r>
    </w:p>
    <w:p>
      <w:pPr>
        <w:pStyle w:val="Heading5"/>
        <w:spacing w:line="240" w:lineRule="auto" w:before="5"/>
        <w:ind w:right="0"/>
        <w:jc w:val="both"/>
        <w:rPr>
          <w:b w:val="0"/>
          <w:bCs w:val="0"/>
        </w:rPr>
      </w:pPr>
      <w:r>
        <w:rPr>
          <w:rFonts w:ascii="Times New Roman" w:hAnsi="Times New Roman" w:cs="Times New Roman" w:eastAsia="Times New Roman" w:hint="default"/>
        </w:rPr>
        <w:t>3</w:t>
      </w:r>
      <w:r>
        <w:rPr/>
        <w:t>、</w:t>
      </w:r>
      <w:r>
        <w:rPr>
          <w:spacing w:val="-5"/>
        </w:rPr>
        <w:t> </w:t>
      </w:r>
      <w:r>
        <w:rPr/>
        <w:t>合并协议关于或有对价的约定：</w:t>
      </w:r>
      <w:r>
        <w:rPr>
          <w:b w:val="0"/>
          <w:bCs w:val="0"/>
        </w:rPr>
      </w:r>
    </w:p>
    <w:p>
      <w:pPr>
        <w:pStyle w:val="BodyText"/>
        <w:spacing w:line="256" w:lineRule="auto" w:before="21"/>
        <w:ind w:right="188" w:hanging="1"/>
        <w:jc w:val="both"/>
      </w:pPr>
      <w:r>
        <w:rPr/>
        <w:t>（</w:t>
      </w:r>
      <w:r>
        <w:rPr>
          <w:rFonts w:ascii="Times New Roman" w:hAnsi="Times New Roman" w:cs="Times New Roman" w:eastAsia="Times New Roman" w:hint="default"/>
        </w:rPr>
        <w:t>1</w:t>
      </w:r>
      <w:r>
        <w:rPr/>
        <w:t>）如目标公司</w:t>
      </w:r>
      <w:r>
        <w:rPr>
          <w:rFonts w:ascii="Times New Roman" w:hAnsi="Times New Roman" w:cs="Times New Roman" w:eastAsia="Times New Roman" w:hint="default"/>
        </w:rPr>
        <w:t>2013</w:t>
      </w:r>
      <w:r>
        <w:rPr/>
        <w:t>年度的净利润（扣除非经常性损益）达到</w:t>
      </w:r>
      <w:r>
        <w:rPr>
          <w:rFonts w:ascii="Times New Roman" w:hAnsi="Times New Roman" w:cs="Times New Roman" w:eastAsia="Times New Roman" w:hint="default"/>
        </w:rPr>
        <w:t>2,000</w:t>
      </w:r>
      <w:r>
        <w:rPr/>
        <w:t>万元以上（以受让方年审会计师审计</w:t>
      </w:r>
      <w:r>
        <w:rPr>
          <w:spacing w:val="-85"/>
        </w:rPr>
        <w:t> </w:t>
      </w:r>
      <w:r>
        <w:rPr>
          <w:spacing w:val="-85"/>
        </w:rPr>
      </w:r>
      <w:r>
        <w:rPr/>
        <w:t>为准），则受让方向原股东予以奖励，奖励数额为超过</w:t>
      </w:r>
      <w:r>
        <w:rPr>
          <w:rFonts w:ascii="Times New Roman" w:hAnsi="Times New Roman" w:cs="Times New Roman" w:eastAsia="Times New Roman" w:hint="default"/>
        </w:rPr>
        <w:t>2,000</w:t>
      </w:r>
      <w:r>
        <w:rPr/>
        <w:t>万元（不含）部分的</w:t>
      </w:r>
      <w:r>
        <w:rPr>
          <w:rFonts w:ascii="Times New Roman" w:hAnsi="Times New Roman" w:cs="Times New Roman" w:eastAsia="Times New Roman" w:hint="default"/>
        </w:rPr>
        <w:t>50%</w:t>
      </w:r>
      <w:r>
        <w:rPr/>
        <w:t>，但最高不超过</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w:t>
      </w:r>
    </w:p>
    <w:p>
      <w:pPr>
        <w:pStyle w:val="BodyText"/>
        <w:spacing w:line="256" w:lineRule="auto" w:before="22"/>
        <w:ind w:right="188"/>
        <w:jc w:val="both"/>
      </w:pPr>
      <w:r>
        <w:rPr/>
        <w:t>（</w:t>
      </w:r>
      <w:r>
        <w:rPr>
          <w:rFonts w:ascii="Times New Roman" w:hAnsi="Times New Roman" w:cs="Times New Roman" w:eastAsia="Times New Roman" w:hint="default"/>
        </w:rPr>
        <w:t>2</w:t>
      </w:r>
      <w:r>
        <w:rPr/>
        <w:t>）如目标公司</w:t>
      </w:r>
      <w:r>
        <w:rPr>
          <w:rFonts w:ascii="Times New Roman" w:hAnsi="Times New Roman" w:cs="Times New Roman" w:eastAsia="Times New Roman" w:hint="default"/>
        </w:rPr>
        <w:t>2014</w:t>
      </w:r>
      <w:r>
        <w:rPr/>
        <w:t>年度的净利润（扣除非经常性损益）达到</w:t>
      </w:r>
      <w:r>
        <w:rPr>
          <w:rFonts w:ascii="Times New Roman" w:hAnsi="Times New Roman" w:cs="Times New Roman" w:eastAsia="Times New Roman" w:hint="default"/>
        </w:rPr>
        <w:t>3,000</w:t>
      </w:r>
      <w:r>
        <w:rPr/>
        <w:t>万元以上（以受让方年审会计师审计</w:t>
      </w:r>
      <w:r>
        <w:rPr>
          <w:spacing w:val="-85"/>
        </w:rPr>
        <w:t> </w:t>
      </w:r>
      <w:r>
        <w:rPr>
          <w:spacing w:val="-85"/>
        </w:rPr>
      </w:r>
      <w:r>
        <w:rPr>
          <w:spacing w:val="-2"/>
        </w:rPr>
        <w:t>为准），则受让方向原股东予以奖励，奖励数额为超过</w:t>
      </w:r>
      <w:r>
        <w:rPr>
          <w:rFonts w:ascii="Times New Roman" w:hAnsi="Times New Roman" w:cs="Times New Roman" w:eastAsia="Times New Roman" w:hint="default"/>
          <w:spacing w:val="-2"/>
        </w:rPr>
        <w:t>3,000</w:t>
      </w:r>
      <w:r>
        <w:rPr>
          <w:spacing w:val="-2"/>
        </w:rPr>
        <w:t>万元（不含）部分的</w:t>
      </w:r>
      <w:r>
        <w:rPr>
          <w:rFonts w:ascii="Times New Roman" w:hAnsi="Times New Roman" w:cs="Times New Roman" w:eastAsia="Times New Roman" w:hint="default"/>
          <w:spacing w:val="-2"/>
        </w:rPr>
        <w:t>50%</w:t>
      </w:r>
      <w:r>
        <w:rPr>
          <w:spacing w:val="-2"/>
        </w:rPr>
        <w:t>，但最高不超过</w:t>
      </w:r>
      <w:r>
        <w:rPr>
          <w:rFonts w:ascii="Times New Roman" w:hAnsi="Times New Roman" w:cs="Times New Roman" w:eastAsia="Times New Roman" w:hint="default"/>
          <w:spacing w:val="-2"/>
        </w:rPr>
        <w:t>1,200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万元。</w:t>
      </w:r>
    </w:p>
    <w:p>
      <w:pPr>
        <w:pStyle w:val="BodyText"/>
        <w:spacing w:line="261" w:lineRule="auto" w:before="22"/>
        <w:ind w:right="88"/>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合并对价公允价值的确定方法：</w:t>
      </w:r>
      <w:r>
        <w:rPr>
          <w:rFonts w:ascii="宋体" w:hAnsi="宋体" w:cs="宋体" w:eastAsia="宋体" w:hint="default"/>
          <w:b/>
          <w:bCs/>
          <w:spacing w:val="1"/>
          <w:w w:val="99"/>
        </w:rPr>
        <w:t> </w:t>
      </w:r>
      <w:r>
        <w:rPr>
          <w:spacing w:val="-1"/>
        </w:rPr>
        <w:t>按照企业会计准则中非同一控制下企业合并确认企业合并成本中或有对价的公允价值的规定，将同期国债</w:t>
      </w:r>
      <w:r>
        <w:rPr>
          <w:spacing w:val="-81"/>
        </w:rPr>
        <w:t> </w:t>
      </w:r>
      <w:r>
        <w:rPr>
          <w:spacing w:val="-81"/>
        </w:rPr>
      </w:r>
      <w:r>
        <w:rPr>
          <w:spacing w:val="-1"/>
        </w:rPr>
        <w:t>利率作为折现利率计算。</w:t>
      </w:r>
      <w:r>
        <w:rPr>
          <w:rFonts w:ascii="Times New Roman" w:hAnsi="Times New Roman" w:cs="Times New Roman" w:eastAsia="Times New Roman" w:hint="default"/>
          <w:spacing w:val="-1"/>
        </w:rPr>
        <w:t>2014</w:t>
      </w:r>
      <w:r>
        <w:rPr>
          <w:spacing w:val="-1"/>
        </w:rPr>
        <w:t>年需支付的</w:t>
      </w:r>
      <w:r>
        <w:rPr>
          <w:rFonts w:ascii="Times New Roman" w:hAnsi="Times New Roman" w:cs="Times New Roman" w:eastAsia="Times New Roman" w:hint="default"/>
          <w:spacing w:val="-1"/>
        </w:rPr>
        <w:t>500</w:t>
      </w:r>
      <w:r>
        <w:rPr>
          <w:spacing w:val="-1"/>
        </w:rPr>
        <w:t>万元的现值为</w:t>
      </w:r>
      <w:r>
        <w:rPr>
          <w:rFonts w:ascii="Times New Roman" w:hAnsi="Times New Roman" w:cs="Times New Roman" w:eastAsia="Times New Roman" w:hint="default"/>
          <w:spacing w:val="-1"/>
        </w:rPr>
        <w:t>4,654,386.96</w:t>
      </w:r>
      <w:r>
        <w:rPr>
          <w:spacing w:val="-1"/>
        </w:rPr>
        <w:t>元；</w:t>
      </w:r>
      <w:r>
        <w:rPr>
          <w:rFonts w:ascii="Times New Roman" w:hAnsi="Times New Roman" w:cs="Times New Roman" w:eastAsia="Times New Roman" w:hint="default"/>
          <w:spacing w:val="-1"/>
        </w:rPr>
        <w:t>2015</w:t>
      </w:r>
      <w:r>
        <w:rPr>
          <w:spacing w:val="-1"/>
        </w:rPr>
        <w:t>年需支付的</w:t>
      </w:r>
      <w:r>
        <w:rPr>
          <w:rFonts w:ascii="Times New Roman" w:hAnsi="Times New Roman" w:cs="Times New Roman" w:eastAsia="Times New Roman" w:hint="default"/>
          <w:spacing w:val="-1"/>
        </w:rPr>
        <w:t>1,200</w:t>
      </w:r>
      <w:r>
        <w:rPr>
          <w:spacing w:val="-1"/>
        </w:rPr>
        <w:t>万元的现</w:t>
      </w:r>
      <w:r>
        <w:rPr>
          <w:spacing w:val="-84"/>
        </w:rPr>
        <w:t> </w:t>
      </w:r>
      <w:r>
        <w:rPr/>
        <w:t>值为</w:t>
      </w:r>
      <w:r>
        <w:rPr>
          <w:rFonts w:ascii="Times New Roman" w:hAnsi="Times New Roman" w:cs="Times New Roman" w:eastAsia="Times New Roman" w:hint="default"/>
        </w:rPr>
        <w:t>10,530,392.33</w:t>
      </w:r>
      <w:r>
        <w:rPr/>
        <w:t>元，合计</w:t>
      </w:r>
      <w:r>
        <w:rPr>
          <w:rFonts w:ascii="Times New Roman" w:hAnsi="Times New Roman" w:cs="Times New Roman" w:eastAsia="Times New Roman" w:hint="default"/>
        </w:rPr>
        <w:t>15,184,779.29</w:t>
      </w:r>
      <w:r>
        <w:rPr/>
        <w:t>元。</w:t>
      </w:r>
    </w:p>
    <w:p>
      <w:pPr>
        <w:pStyle w:val="Heading5"/>
        <w:spacing w:line="240" w:lineRule="auto"/>
        <w:ind w:right="0"/>
        <w:jc w:val="both"/>
        <w:rPr>
          <w:b w:val="0"/>
          <w:bCs w:val="0"/>
        </w:rPr>
      </w:pPr>
      <w:r>
        <w:rPr>
          <w:rFonts w:ascii="Times New Roman" w:hAnsi="Times New Roman" w:cs="Times New Roman" w:eastAsia="Times New Roman" w:hint="default"/>
        </w:rPr>
        <w:t>5</w:t>
      </w:r>
      <w:r>
        <w:rPr/>
        <w:t>、</w:t>
      </w:r>
      <w:r>
        <w:rPr>
          <w:spacing w:val="-5"/>
        </w:rPr>
        <w:t> </w:t>
      </w:r>
      <w:r>
        <w:rPr/>
        <w:t>商誉的确定：</w:t>
      </w:r>
      <w:r>
        <w:rPr>
          <w:b w:val="0"/>
          <w:bCs w:val="0"/>
        </w:rPr>
      </w:r>
    </w:p>
    <w:p>
      <w:pPr>
        <w:spacing w:line="240" w:lineRule="auto" w:before="10"/>
        <w:rPr>
          <w:rFonts w:ascii="宋体" w:hAnsi="宋体" w:cs="宋体" w:eastAsia="宋体" w:hint="default"/>
          <w:b/>
          <w:bCs/>
          <w:sz w:val="2"/>
          <w:szCs w:val="2"/>
        </w:rPr>
      </w:pPr>
    </w:p>
    <w:tbl>
      <w:tblPr>
        <w:tblW w:w="0" w:type="auto"/>
        <w:jc w:val="left"/>
        <w:tblInd w:w="756" w:type="dxa"/>
        <w:tblLayout w:type="fixed"/>
        <w:tblCellMar>
          <w:top w:w="0" w:type="dxa"/>
          <w:left w:w="0" w:type="dxa"/>
          <w:bottom w:w="0" w:type="dxa"/>
          <w:right w:w="0" w:type="dxa"/>
        </w:tblCellMar>
        <w:tblLook w:val="01E0"/>
      </w:tblPr>
      <w:tblGrid>
        <w:gridCol w:w="1518"/>
        <w:gridCol w:w="1559"/>
        <w:gridCol w:w="5290"/>
      </w:tblGrid>
      <w:tr>
        <w:trPr>
          <w:trHeight w:val="355" w:hRule="exact"/>
        </w:trPr>
        <w:tc>
          <w:tcPr>
            <w:tcW w:w="1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被合并方</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70" w:right="0"/>
              <w:jc w:val="left"/>
              <w:rPr>
                <w:rFonts w:ascii="宋体" w:hAnsi="宋体" w:cs="宋体" w:eastAsia="宋体" w:hint="default"/>
                <w:sz w:val="20"/>
                <w:szCs w:val="20"/>
              </w:rPr>
            </w:pPr>
            <w:r>
              <w:rPr>
                <w:rFonts w:ascii="宋体" w:hAnsi="宋体" w:cs="宋体" w:eastAsia="宋体" w:hint="default"/>
                <w:sz w:val="20"/>
                <w:szCs w:val="20"/>
              </w:rPr>
              <w:t>商誉金额（元）</w:t>
            </w:r>
          </w:p>
        </w:tc>
        <w:tc>
          <w:tcPr>
            <w:tcW w:w="52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商誉计算方法</w:t>
            </w:r>
          </w:p>
        </w:tc>
      </w:tr>
      <w:tr>
        <w:trPr>
          <w:trHeight w:val="332" w:hRule="exact"/>
        </w:trPr>
        <w:tc>
          <w:tcPr>
            <w:tcW w:w="1518" w:type="dxa"/>
            <w:tcBorders>
              <w:top w:val="single" w:sz="12" w:space="0" w:color="000000"/>
              <w:left w:val="single" w:sz="6" w:space="0" w:color="000000"/>
              <w:bottom w:val="nil" w:sz="6" w:space="0" w:color="auto"/>
              <w:right w:val="single" w:sz="6" w:space="0" w:color="000000"/>
            </w:tcBorders>
          </w:tcPr>
          <w:p>
            <w:pPr>
              <w:pStyle w:val="TableParagraph"/>
              <w:spacing w:line="256" w:lineRule="exact"/>
              <w:ind w:left="3" w:right="-14"/>
              <w:jc w:val="center"/>
              <w:rPr>
                <w:rFonts w:ascii="宋体" w:hAnsi="宋体" w:cs="宋体" w:eastAsia="宋体" w:hint="default"/>
                <w:sz w:val="20"/>
                <w:szCs w:val="20"/>
              </w:rPr>
            </w:pPr>
            <w:r>
              <w:rPr>
                <w:rFonts w:ascii="宋体" w:hAnsi="宋体" w:cs="宋体" w:eastAsia="宋体" w:hint="default"/>
                <w:spacing w:val="14"/>
                <w:sz w:val="20"/>
                <w:szCs w:val="20"/>
              </w:rPr>
              <w:t>深圳艾特凡斯智</w:t>
            </w:r>
            <w:r>
              <w:rPr>
                <w:rFonts w:ascii="宋体" w:hAnsi="宋体" w:cs="宋体" w:eastAsia="宋体" w:hint="default"/>
                <w:sz w:val="20"/>
                <w:szCs w:val="20"/>
              </w:rPr>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0"/>
              <w:ind w:left="391" w:right="0"/>
              <w:jc w:val="left"/>
              <w:rPr>
                <w:rFonts w:ascii="Times New Roman" w:hAnsi="Times New Roman" w:cs="Times New Roman" w:eastAsia="Times New Roman" w:hint="default"/>
                <w:sz w:val="20"/>
                <w:szCs w:val="20"/>
              </w:rPr>
            </w:pPr>
            <w:r>
              <w:rPr>
                <w:rFonts w:ascii="Times New Roman"/>
                <w:sz w:val="20"/>
              </w:rPr>
              <w:t>26,440,768.97</w:t>
            </w:r>
          </w:p>
        </w:tc>
        <w:tc>
          <w:tcPr>
            <w:tcW w:w="5290" w:type="dxa"/>
            <w:tcBorders>
              <w:top w:val="single" w:sz="12" w:space="0" w:color="000000"/>
              <w:left w:val="single" w:sz="6" w:space="0" w:color="000000"/>
              <w:bottom w:val="nil" w:sz="6" w:space="0" w:color="auto"/>
              <w:right w:val="nil" w:sz="6" w:space="0" w:color="auto"/>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pacing w:val="-3"/>
                <w:sz w:val="20"/>
                <w:szCs w:val="20"/>
              </w:rPr>
              <w:t>本公司的合并成本为人民币</w:t>
            </w:r>
            <w:r>
              <w:rPr>
                <w:rFonts w:ascii="Times New Roman" w:hAnsi="Times New Roman" w:cs="Times New Roman" w:eastAsia="Times New Roman" w:hint="default"/>
                <w:spacing w:val="-3"/>
                <w:sz w:val="20"/>
                <w:szCs w:val="20"/>
              </w:rPr>
              <w:t>27,184,779.29</w:t>
            </w:r>
            <w:r>
              <w:rPr>
                <w:rFonts w:ascii="宋体" w:hAnsi="宋体" w:cs="宋体" w:eastAsia="宋体" w:hint="default"/>
                <w:spacing w:val="-3"/>
                <w:sz w:val="20"/>
                <w:szCs w:val="20"/>
              </w:rPr>
              <w:t>元，在合并中取得艾</w:t>
            </w:r>
          </w:p>
        </w:tc>
      </w:tr>
      <w:tr>
        <w:trPr>
          <w:trHeight w:val="312" w:hRule="exact"/>
        </w:trPr>
        <w:tc>
          <w:tcPr>
            <w:tcW w:w="1518" w:type="dxa"/>
            <w:tcBorders>
              <w:top w:val="nil" w:sz="6" w:space="0" w:color="auto"/>
              <w:left w:val="single" w:sz="6" w:space="0" w:color="000000"/>
              <w:bottom w:val="nil" w:sz="6" w:space="0" w:color="auto"/>
              <w:right w:val="single" w:sz="6" w:space="0" w:color="000000"/>
            </w:tcBorders>
          </w:tcPr>
          <w:p>
            <w:pPr>
              <w:pStyle w:val="TableParagraph"/>
              <w:spacing w:line="251" w:lineRule="exact"/>
              <w:ind w:right="94"/>
              <w:jc w:val="center"/>
              <w:rPr>
                <w:rFonts w:ascii="宋体" w:hAnsi="宋体" w:cs="宋体" w:eastAsia="宋体" w:hint="default"/>
                <w:sz w:val="20"/>
                <w:szCs w:val="20"/>
              </w:rPr>
            </w:pPr>
            <w:r>
              <w:rPr>
                <w:rFonts w:ascii="宋体" w:hAnsi="宋体" w:cs="宋体" w:eastAsia="宋体" w:hint="default"/>
                <w:sz w:val="20"/>
                <w:szCs w:val="20"/>
              </w:rPr>
              <w:t>能科技有限公司</w:t>
            </w:r>
          </w:p>
        </w:tc>
        <w:tc>
          <w:tcPr>
            <w:tcW w:w="1559" w:type="dxa"/>
            <w:tcBorders>
              <w:top w:val="nil" w:sz="6" w:space="0" w:color="auto"/>
              <w:left w:val="single" w:sz="6" w:space="0" w:color="000000"/>
              <w:bottom w:val="nil" w:sz="6" w:space="0" w:color="auto"/>
              <w:right w:val="single" w:sz="6" w:space="0" w:color="000000"/>
            </w:tcBorders>
          </w:tcPr>
          <w:p>
            <w:pPr/>
          </w:p>
        </w:tc>
        <w:tc>
          <w:tcPr>
            <w:tcW w:w="5290" w:type="dxa"/>
            <w:tcBorders>
              <w:top w:val="nil" w:sz="6" w:space="0" w:color="auto"/>
              <w:left w:val="single" w:sz="6" w:space="0" w:color="000000"/>
              <w:bottom w:val="nil" w:sz="6" w:space="0" w:color="auto"/>
              <w:right w:val="nil" w:sz="6" w:space="0" w:color="auto"/>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w w:val="100"/>
                <w:sz w:val="20"/>
                <w:szCs w:val="20"/>
              </w:rPr>
              <w:t>特凡斯</w:t>
            </w:r>
            <w:r>
              <w:rPr>
                <w:rFonts w:ascii="宋体" w:hAnsi="宋体" w:cs="宋体" w:eastAsia="宋体" w:hint="default"/>
                <w:spacing w:val="-2"/>
                <w:w w:val="100"/>
                <w:sz w:val="20"/>
                <w:szCs w:val="20"/>
              </w:rPr>
              <w:t>公</w:t>
            </w:r>
            <w:r>
              <w:rPr>
                <w:rFonts w:ascii="宋体" w:hAnsi="宋体" w:cs="宋体" w:eastAsia="宋体" w:hint="default"/>
                <w:w w:val="100"/>
                <w:sz w:val="20"/>
                <w:szCs w:val="20"/>
              </w:rPr>
              <w:t>司</w:t>
            </w:r>
            <w:r>
              <w:rPr>
                <w:rFonts w:ascii="Times New Roman" w:hAnsi="Times New Roman" w:cs="Times New Roman" w:eastAsia="Times New Roman" w:hint="default"/>
                <w:spacing w:val="-1"/>
                <w:w w:val="100"/>
                <w:sz w:val="20"/>
                <w:szCs w:val="20"/>
              </w:rPr>
              <w:t>51%</w:t>
            </w:r>
            <w:r>
              <w:rPr>
                <w:rFonts w:ascii="宋体" w:hAnsi="宋体" w:cs="宋体" w:eastAsia="宋体" w:hint="default"/>
                <w:w w:val="100"/>
                <w:sz w:val="20"/>
                <w:szCs w:val="20"/>
              </w:rPr>
              <w:t>权益</w:t>
            </w:r>
            <w:r>
              <w:rPr>
                <w:rFonts w:ascii="宋体" w:hAnsi="宋体" w:cs="宋体" w:eastAsia="宋体" w:hint="default"/>
                <w:spacing w:val="-90"/>
                <w:w w:val="100"/>
                <w:sz w:val="20"/>
                <w:szCs w:val="20"/>
              </w:rPr>
              <w:t>，</w:t>
            </w:r>
            <w:r>
              <w:rPr>
                <w:rFonts w:ascii="宋体" w:hAnsi="宋体" w:cs="宋体" w:eastAsia="宋体" w:hint="default"/>
                <w:spacing w:val="-2"/>
                <w:w w:val="100"/>
                <w:sz w:val="20"/>
                <w:szCs w:val="20"/>
              </w:rPr>
              <w:t>可辨</w:t>
            </w:r>
            <w:r>
              <w:rPr>
                <w:rFonts w:ascii="宋体" w:hAnsi="宋体" w:cs="宋体" w:eastAsia="宋体" w:hint="default"/>
                <w:w w:val="100"/>
                <w:sz w:val="20"/>
                <w:szCs w:val="20"/>
              </w:rPr>
              <w:t>认净资</w:t>
            </w:r>
            <w:r>
              <w:rPr>
                <w:rFonts w:ascii="宋体" w:hAnsi="宋体" w:cs="宋体" w:eastAsia="宋体" w:hint="default"/>
                <w:spacing w:val="-2"/>
                <w:w w:val="100"/>
                <w:sz w:val="20"/>
                <w:szCs w:val="20"/>
              </w:rPr>
              <w:t>产</w:t>
            </w:r>
            <w:r>
              <w:rPr>
                <w:rFonts w:ascii="宋体" w:hAnsi="宋体" w:cs="宋体" w:eastAsia="宋体" w:hint="default"/>
                <w:w w:val="100"/>
                <w:sz w:val="20"/>
                <w:szCs w:val="20"/>
              </w:rPr>
              <w:t>在</w:t>
            </w:r>
            <w:r>
              <w:rPr>
                <w:rFonts w:ascii="宋体" w:hAnsi="宋体" w:cs="宋体" w:eastAsia="宋体" w:hint="default"/>
                <w:spacing w:val="-2"/>
                <w:w w:val="100"/>
                <w:sz w:val="20"/>
                <w:szCs w:val="20"/>
              </w:rPr>
              <w:t>购</w:t>
            </w:r>
            <w:r>
              <w:rPr>
                <w:rFonts w:ascii="宋体" w:hAnsi="宋体" w:cs="宋体" w:eastAsia="宋体" w:hint="default"/>
                <w:w w:val="100"/>
                <w:sz w:val="20"/>
                <w:szCs w:val="20"/>
              </w:rPr>
              <w:t>买日的</w:t>
            </w:r>
            <w:r>
              <w:rPr>
                <w:rFonts w:ascii="宋体" w:hAnsi="宋体" w:cs="宋体" w:eastAsia="宋体" w:hint="default"/>
                <w:spacing w:val="-2"/>
                <w:w w:val="100"/>
                <w:sz w:val="20"/>
                <w:szCs w:val="20"/>
              </w:rPr>
              <w:t>公</w:t>
            </w:r>
            <w:r>
              <w:rPr>
                <w:rFonts w:ascii="宋体" w:hAnsi="宋体" w:cs="宋体" w:eastAsia="宋体" w:hint="default"/>
                <w:w w:val="100"/>
                <w:sz w:val="20"/>
                <w:szCs w:val="20"/>
              </w:rPr>
              <w:t>允</w:t>
            </w:r>
            <w:r>
              <w:rPr>
                <w:rFonts w:ascii="宋体" w:hAnsi="宋体" w:cs="宋体" w:eastAsia="宋体" w:hint="default"/>
                <w:spacing w:val="-2"/>
                <w:w w:val="100"/>
                <w:sz w:val="20"/>
                <w:szCs w:val="20"/>
              </w:rPr>
              <w:t>价</w:t>
            </w:r>
            <w:r>
              <w:rPr>
                <w:rFonts w:ascii="宋体" w:hAnsi="宋体" w:cs="宋体" w:eastAsia="宋体" w:hint="default"/>
                <w:w w:val="100"/>
                <w:sz w:val="20"/>
                <w:szCs w:val="20"/>
              </w:rPr>
              <w:t>值为人</w:t>
            </w:r>
          </w:p>
        </w:tc>
      </w:tr>
      <w:tr>
        <w:trPr>
          <w:trHeight w:val="312" w:hRule="exact"/>
        </w:trPr>
        <w:tc>
          <w:tcPr>
            <w:tcW w:w="151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5290" w:type="dxa"/>
            <w:tcBorders>
              <w:top w:val="nil" w:sz="6" w:space="0" w:color="auto"/>
              <w:left w:val="single" w:sz="6" w:space="0" w:color="000000"/>
              <w:bottom w:val="nil" w:sz="6" w:space="0" w:color="auto"/>
              <w:right w:val="nil" w:sz="6" w:space="0" w:color="auto"/>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pacing w:val="-3"/>
                <w:sz w:val="20"/>
                <w:szCs w:val="20"/>
              </w:rPr>
              <w:t>民币</w:t>
            </w:r>
            <w:r>
              <w:rPr>
                <w:rFonts w:ascii="Times New Roman" w:hAnsi="Times New Roman" w:cs="Times New Roman" w:eastAsia="Times New Roman" w:hint="default"/>
                <w:spacing w:val="-3"/>
                <w:sz w:val="20"/>
                <w:szCs w:val="20"/>
              </w:rPr>
              <w:t>1,458,843.76</w:t>
            </w:r>
            <w:r>
              <w:rPr>
                <w:rFonts w:ascii="宋体" w:hAnsi="宋体" w:cs="宋体" w:eastAsia="宋体" w:hint="default"/>
                <w:spacing w:val="-3"/>
                <w:sz w:val="20"/>
                <w:szCs w:val="20"/>
              </w:rPr>
              <w:t>元，归属于母公司的是</w:t>
            </w:r>
            <w:r>
              <w:rPr>
                <w:rFonts w:ascii="Times New Roman" w:hAnsi="Times New Roman" w:cs="Times New Roman" w:eastAsia="Times New Roman" w:hint="default"/>
                <w:spacing w:val="-3"/>
                <w:sz w:val="20"/>
                <w:szCs w:val="20"/>
              </w:rPr>
              <w:t>744,010.32</w:t>
            </w:r>
            <w:r>
              <w:rPr>
                <w:rFonts w:ascii="宋体" w:hAnsi="宋体" w:cs="宋体" w:eastAsia="宋体" w:hint="default"/>
                <w:spacing w:val="-3"/>
                <w:sz w:val="20"/>
                <w:szCs w:val="20"/>
              </w:rPr>
              <w:t>元，两者的</w:t>
            </w:r>
          </w:p>
        </w:tc>
      </w:tr>
      <w:tr>
        <w:trPr>
          <w:trHeight w:val="331" w:hRule="exact"/>
        </w:trPr>
        <w:tc>
          <w:tcPr>
            <w:tcW w:w="1518"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5290" w:type="dxa"/>
            <w:tcBorders>
              <w:top w:val="nil" w:sz="6" w:space="0" w:color="auto"/>
              <w:left w:val="single" w:sz="6" w:space="0" w:color="000000"/>
              <w:bottom w:val="single" w:sz="12" w:space="0" w:color="000000"/>
              <w:right w:val="nil" w:sz="6" w:space="0" w:color="auto"/>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z w:val="20"/>
                <w:szCs w:val="20"/>
              </w:rPr>
              <w:t>差额人民币</w:t>
            </w:r>
            <w:r>
              <w:rPr>
                <w:rFonts w:ascii="Times New Roman" w:hAnsi="Times New Roman" w:cs="Times New Roman" w:eastAsia="Times New Roman" w:hint="default"/>
                <w:sz w:val="20"/>
                <w:szCs w:val="20"/>
              </w:rPr>
              <w:t>26,440,768.97</w:t>
            </w:r>
            <w:r>
              <w:rPr>
                <w:rFonts w:ascii="宋体" w:hAnsi="宋体" w:cs="宋体" w:eastAsia="宋体" w:hint="default"/>
                <w:sz w:val="20"/>
                <w:szCs w:val="20"/>
              </w:rPr>
              <w:t>元确认为商誉。</w:t>
            </w:r>
          </w:p>
        </w:tc>
      </w:tr>
    </w:tbl>
    <w:p>
      <w:pPr>
        <w:spacing w:line="240" w:lineRule="auto" w:before="0"/>
        <w:rPr>
          <w:rFonts w:ascii="宋体" w:hAnsi="宋体" w:cs="宋体" w:eastAsia="宋体" w:hint="default"/>
          <w:b/>
          <w:bCs/>
          <w:sz w:val="20"/>
          <w:szCs w:val="20"/>
        </w:rPr>
      </w:pPr>
    </w:p>
    <w:p>
      <w:pPr>
        <w:pStyle w:val="BodyText"/>
        <w:tabs>
          <w:tab w:pos="993" w:val="left" w:leader="none"/>
        </w:tabs>
        <w:spacing w:line="261" w:lineRule="auto" w:before="35"/>
        <w:ind w:left="153" w:right="115"/>
        <w:jc w:val="left"/>
      </w:pPr>
      <w:r>
        <w:rPr>
          <w:rFonts w:ascii="Times New Roman" w:hAnsi="Times New Roman" w:cs="Times New Roman" w:eastAsia="Times New Roman" w:hint="default"/>
          <w:b/>
          <w:bCs/>
          <w:w w:val="95"/>
        </w:rPr>
        <w:t>6</w:t>
      </w:r>
      <w:r>
        <w:rPr>
          <w:rFonts w:ascii="宋体" w:hAnsi="宋体" w:cs="宋体" w:eastAsia="宋体" w:hint="default"/>
          <w:b/>
          <w:bCs/>
          <w:w w:val="95"/>
        </w:rPr>
        <w:t>、</w:t>
        <w:tab/>
      </w:r>
      <w:r>
        <w:rPr>
          <w:rFonts w:ascii="宋体" w:hAnsi="宋体" w:cs="宋体" w:eastAsia="宋体" w:hint="default"/>
          <w:b/>
          <w:bCs/>
        </w:rPr>
        <w:t>被购买方可辨认资产和负债的情况</w:t>
      </w:r>
      <w:r>
        <w:rPr>
          <w:rFonts w:ascii="宋体" w:hAnsi="宋体" w:cs="宋体" w:eastAsia="宋体" w:hint="default"/>
          <w:b/>
          <w:bCs/>
          <w:w w:val="99"/>
        </w:rPr>
        <w:t> </w:t>
      </w:r>
      <w:r>
        <w:rPr/>
        <w:t>被购买方对其</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日可辨认的资产和负债聘请专业机构进行了评估，净资产账面价值</w:t>
      </w:r>
      <w:r>
        <w:rPr>
          <w:rFonts w:ascii="Times New Roman" w:hAnsi="Times New Roman" w:cs="Times New Roman" w:eastAsia="Times New Roman" w:hint="default"/>
        </w:rPr>
        <w:t>264.62</w:t>
      </w:r>
      <w:r>
        <w:rPr/>
        <w:t>万元， 评估值</w:t>
      </w:r>
      <w:r>
        <w:rPr>
          <w:rFonts w:ascii="Times New Roman" w:hAnsi="Times New Roman" w:cs="Times New Roman" w:eastAsia="Times New Roman" w:hint="default"/>
        </w:rPr>
        <w:t>262.30</w:t>
      </w:r>
      <w:r>
        <w:rPr/>
        <w:t>万元，评估减值</w:t>
      </w:r>
      <w:r>
        <w:rPr>
          <w:rFonts w:ascii="Times New Roman" w:hAnsi="Times New Roman" w:cs="Times New Roman" w:eastAsia="Times New Roman" w:hint="default"/>
        </w:rPr>
        <w:t>2.32</w:t>
      </w:r>
      <w:r>
        <w:rPr/>
        <w:t>万元，减值率</w:t>
      </w:r>
      <w:r>
        <w:rPr>
          <w:rFonts w:ascii="Times New Roman" w:hAnsi="Times New Roman" w:cs="Times New Roman" w:eastAsia="Times New Roman" w:hint="default"/>
        </w:rPr>
        <w:t>0.88%</w:t>
      </w:r>
      <w:r>
        <w:rPr/>
        <w:t>。鉴于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日评估结果与账面的差异较小，</w:t>
      </w:r>
      <w:r>
        <w:rPr>
          <w:spacing w:val="-60"/>
        </w:rPr>
        <w:t> </w:t>
      </w:r>
      <w:r>
        <w:rPr>
          <w:spacing w:val="-60"/>
        </w:rPr>
      </w:r>
      <w:r>
        <w:rPr/>
        <w:t>并且自该次评估后被购买方的可辨认资产和负债未发生重大的变化，故认定在购买日被购买方可辨认资产</w:t>
      </w:r>
      <w:r>
        <w:rPr/>
        <w:t> 和负债的账面价值与公允价值一致。具体情况如下：</w:t>
      </w:r>
    </w:p>
    <w:p>
      <w:pPr>
        <w:tabs>
          <w:tab w:pos="3889" w:val="left" w:leader="none"/>
          <w:tab w:pos="6777" w:val="left" w:leader="none"/>
        </w:tabs>
        <w:spacing w:before="37"/>
        <w:ind w:left="1370" w:right="88" w:firstLine="0"/>
        <w:jc w:val="left"/>
        <w:rPr>
          <w:rFonts w:ascii="宋体" w:hAnsi="宋体" w:cs="宋体" w:eastAsia="宋体" w:hint="default"/>
          <w:sz w:val="20"/>
          <w:szCs w:val="20"/>
        </w:rPr>
      </w:pPr>
      <w:r>
        <w:rPr>
          <w:rFonts w:ascii="宋体" w:hAnsi="宋体" w:cs="宋体" w:eastAsia="宋体" w:hint="default"/>
          <w:sz w:val="20"/>
          <w:szCs w:val="20"/>
        </w:rPr>
        <w:t>项目</w:t>
        <w:tab/>
        <w:t>购买日</w:t>
        <w:tab/>
        <w:t>上一资产负债表日</w:t>
      </w:r>
    </w:p>
    <w:p>
      <w:pPr>
        <w:spacing w:line="240" w:lineRule="auto" w:before="3"/>
        <w:rPr>
          <w:rFonts w:ascii="宋体" w:hAnsi="宋体" w:cs="宋体" w:eastAsia="宋体" w:hint="default"/>
          <w:sz w:val="6"/>
          <w:szCs w:val="6"/>
        </w:rPr>
      </w:pPr>
    </w:p>
    <w:tbl>
      <w:tblPr>
        <w:tblW w:w="0" w:type="auto"/>
        <w:jc w:val="left"/>
        <w:tblInd w:w="728" w:type="dxa"/>
        <w:tblLayout w:type="fixed"/>
        <w:tblCellMar>
          <w:top w:w="0" w:type="dxa"/>
          <w:left w:w="0" w:type="dxa"/>
          <w:bottom w:w="0" w:type="dxa"/>
          <w:right w:w="0" w:type="dxa"/>
        </w:tblCellMar>
        <w:tblLook w:val="01E0"/>
      </w:tblPr>
      <w:tblGrid>
        <w:gridCol w:w="1686"/>
        <w:gridCol w:w="1962"/>
        <w:gridCol w:w="1797"/>
        <w:gridCol w:w="1649"/>
        <w:gridCol w:w="1370"/>
      </w:tblGrid>
      <w:tr>
        <w:trPr>
          <w:trHeight w:val="352" w:hRule="exact"/>
        </w:trPr>
        <w:tc>
          <w:tcPr>
            <w:tcW w:w="1686" w:type="dxa"/>
            <w:tcBorders>
              <w:top w:val="nil" w:sz="6" w:space="0" w:color="auto"/>
              <w:left w:val="nil" w:sz="6" w:space="0" w:color="auto"/>
              <w:bottom w:val="single" w:sz="12" w:space="0" w:color="000000"/>
              <w:right w:val="nil" w:sz="6" w:space="0" w:color="auto"/>
            </w:tcBorders>
          </w:tcPr>
          <w:p>
            <w:pP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4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3" w:right="0"/>
              <w:jc w:val="left"/>
              <w:rPr>
                <w:rFonts w:ascii="宋体" w:hAnsi="宋体" w:cs="宋体" w:eastAsia="宋体" w:hint="default"/>
                <w:sz w:val="20"/>
                <w:szCs w:val="20"/>
              </w:rPr>
            </w:pPr>
            <w:r>
              <w:rPr>
                <w:rFonts w:ascii="宋体" w:hAnsi="宋体" w:cs="宋体" w:eastAsia="宋体" w:hint="default"/>
                <w:sz w:val="20"/>
                <w:szCs w:val="20"/>
              </w:rPr>
              <w:t>公允价值</w:t>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24"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94" w:right="0"/>
              <w:jc w:val="left"/>
              <w:rPr>
                <w:rFonts w:ascii="宋体" w:hAnsi="宋体" w:cs="宋体" w:eastAsia="宋体" w:hint="default"/>
                <w:sz w:val="20"/>
                <w:szCs w:val="20"/>
              </w:rPr>
            </w:pPr>
            <w:r>
              <w:rPr>
                <w:rFonts w:ascii="宋体" w:hAnsi="宋体" w:cs="宋体" w:eastAsia="宋体" w:hint="default"/>
                <w:sz w:val="20"/>
                <w:szCs w:val="20"/>
              </w:rPr>
              <w:t>公允价值</w:t>
            </w:r>
          </w:p>
        </w:tc>
      </w:tr>
      <w:tr>
        <w:trPr>
          <w:trHeight w:val="353"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4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3"/>
              <w:jc w:val="right"/>
              <w:rPr>
                <w:rFonts w:ascii="Times New Roman" w:hAnsi="Times New Roman" w:cs="Times New Roman" w:eastAsia="Times New Roman" w:hint="default"/>
                <w:sz w:val="20"/>
                <w:szCs w:val="20"/>
              </w:rPr>
            </w:pPr>
            <w:r>
              <w:rPr>
                <w:rFonts w:ascii="Times New Roman"/>
                <w:spacing w:val="-1"/>
                <w:sz w:val="20"/>
              </w:rPr>
              <w:t>717,479.04</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4"/>
              <w:jc w:val="right"/>
              <w:rPr>
                <w:rFonts w:ascii="Times New Roman" w:hAnsi="Times New Roman" w:cs="Times New Roman" w:eastAsia="Times New Roman" w:hint="default"/>
                <w:sz w:val="20"/>
                <w:szCs w:val="20"/>
              </w:rPr>
            </w:pPr>
            <w:r>
              <w:rPr>
                <w:rFonts w:ascii="Times New Roman"/>
                <w:spacing w:val="-1"/>
                <w:sz w:val="20"/>
              </w:rPr>
              <w:t>717,479.04</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1,714,454.12</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1,714,454.12</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1,334,295.00</w:t>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2"/>
              <w:jc w:val="right"/>
              <w:rPr>
                <w:rFonts w:ascii="Times New Roman" w:hAnsi="Times New Roman" w:cs="Times New Roman" w:eastAsia="Times New Roman" w:hint="default"/>
                <w:sz w:val="20"/>
                <w:szCs w:val="20"/>
              </w:rPr>
            </w:pPr>
            <w:r>
              <w:rPr>
                <w:rFonts w:ascii="Times New Roman"/>
                <w:spacing w:val="-1"/>
                <w:sz w:val="20"/>
              </w:rPr>
              <w:t>1,334,295.00</w:t>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w w:val="100"/>
                <w:sz w:val="20"/>
              </w:rPr>
              <w:t>-</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2"/>
              <w:jc w:val="right"/>
              <w:rPr>
                <w:rFonts w:ascii="Times New Roman" w:hAnsi="Times New Roman" w:cs="Times New Roman" w:eastAsia="Times New Roman" w:hint="default"/>
                <w:sz w:val="20"/>
                <w:szCs w:val="20"/>
              </w:rPr>
            </w:pPr>
            <w:r>
              <w:rPr>
                <w:rFonts w:ascii="Times New Roman"/>
                <w:spacing w:val="-1"/>
                <w:sz w:val="20"/>
              </w:rPr>
              <w:t>149,010.00</w:t>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149,010.00</w:t>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7,500.00</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7,500.00</w:t>
            </w:r>
          </w:p>
        </w:tc>
      </w:tr>
      <w:tr>
        <w:trPr>
          <w:trHeight w:val="353"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3"/>
              <w:jc w:val="right"/>
              <w:rPr>
                <w:rFonts w:ascii="Times New Roman" w:hAnsi="Times New Roman" w:cs="Times New Roman" w:eastAsia="Times New Roman" w:hint="default"/>
                <w:sz w:val="20"/>
                <w:szCs w:val="20"/>
              </w:rPr>
            </w:pPr>
            <w:r>
              <w:rPr>
                <w:rFonts w:ascii="Times New Roman"/>
                <w:spacing w:val="-1"/>
                <w:sz w:val="20"/>
              </w:rPr>
              <w:t>347,109.05</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4"/>
              <w:jc w:val="right"/>
              <w:rPr>
                <w:rFonts w:ascii="Times New Roman" w:hAnsi="Times New Roman" w:cs="Times New Roman" w:eastAsia="Times New Roman" w:hint="default"/>
                <w:sz w:val="20"/>
                <w:szCs w:val="20"/>
              </w:rPr>
            </w:pPr>
            <w:r>
              <w:rPr>
                <w:rFonts w:ascii="Times New Roman"/>
                <w:spacing w:val="-1"/>
                <w:sz w:val="20"/>
              </w:rPr>
              <w:t>347,109.05</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234,673.42</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234,673.42</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4,103,907.12</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4,103,907.12</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2,288,824.81</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2,288,824.81</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1,028,156.60</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1,028,156.60</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690,006.64</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690,006.64</w:t>
            </w:r>
            <w:r>
              <w:rPr>
                <w:rFonts w:ascii="Times New Roman"/>
                <w:sz w:val="20"/>
              </w:rPr>
            </w:r>
          </w:p>
        </w:tc>
      </w:tr>
      <w:tr>
        <w:trPr>
          <w:trHeight w:val="353"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right="320"/>
              <w:jc w:val="right"/>
              <w:rPr>
                <w:rFonts w:ascii="宋体" w:hAnsi="宋体" w:cs="宋体" w:eastAsia="宋体" w:hint="default"/>
                <w:sz w:val="20"/>
                <w:szCs w:val="20"/>
              </w:rPr>
            </w:pPr>
            <w:r>
              <w:rPr>
                <w:rFonts w:ascii="宋体" w:hAnsi="宋体" w:cs="宋体" w:eastAsia="宋体" w:hint="default"/>
                <w:spacing w:val="-1"/>
                <w:sz w:val="20"/>
                <w:szCs w:val="20"/>
              </w:rPr>
              <w:t>长期待摊费用</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3"/>
              <w:jc w:val="right"/>
              <w:rPr>
                <w:rFonts w:ascii="Times New Roman" w:hAnsi="Times New Roman" w:cs="Times New Roman" w:eastAsia="Times New Roman" w:hint="default"/>
                <w:sz w:val="20"/>
                <w:szCs w:val="20"/>
              </w:rPr>
            </w:pPr>
            <w:r>
              <w:rPr>
                <w:rFonts w:ascii="Times New Roman"/>
                <w:spacing w:val="-1"/>
                <w:sz w:val="20"/>
              </w:rPr>
              <w:t>406,012.01</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4"/>
              <w:jc w:val="right"/>
              <w:rPr>
                <w:rFonts w:ascii="Times New Roman" w:hAnsi="Times New Roman" w:cs="Times New Roman" w:eastAsia="Times New Roman" w:hint="default"/>
                <w:sz w:val="20"/>
                <w:szCs w:val="20"/>
              </w:rPr>
            </w:pPr>
            <w:r>
              <w:rPr>
                <w:rFonts w:ascii="Times New Roman"/>
                <w:spacing w:val="-1"/>
                <w:sz w:val="20"/>
              </w:rPr>
              <w:t>406,012.01</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458,188.71</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458,188.71</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8,085,968.82</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8,085,968.82</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5,393,647.70</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5,393,647.70</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3"/>
              <w:jc w:val="right"/>
              <w:rPr>
                <w:rFonts w:ascii="Times New Roman" w:hAnsi="Times New Roman" w:cs="Times New Roman" w:eastAsia="Times New Roman" w:hint="default"/>
                <w:sz w:val="20"/>
                <w:szCs w:val="20"/>
              </w:rPr>
            </w:pPr>
            <w:r>
              <w:rPr>
                <w:rFonts w:ascii="Times New Roman"/>
                <w:spacing w:val="-1"/>
                <w:sz w:val="20"/>
              </w:rPr>
              <w:t>280,928.95</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4"/>
              <w:jc w:val="right"/>
              <w:rPr>
                <w:rFonts w:ascii="Times New Roman" w:hAnsi="Times New Roman" w:cs="Times New Roman" w:eastAsia="Times New Roman" w:hint="default"/>
                <w:sz w:val="20"/>
                <w:szCs w:val="20"/>
              </w:rPr>
            </w:pPr>
            <w:r>
              <w:rPr>
                <w:rFonts w:ascii="Times New Roman"/>
                <w:spacing w:val="-1"/>
                <w:sz w:val="20"/>
              </w:rPr>
              <w:t>280,928.95</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823,200.00</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823,200.00</w:t>
            </w:r>
            <w:r>
              <w:rPr>
                <w:rFonts w:ascii="Times New Roman"/>
                <w:sz w:val="20"/>
              </w:rPr>
            </w:r>
          </w:p>
        </w:tc>
      </w:tr>
      <w:tr>
        <w:trPr>
          <w:trHeight w:val="353"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4,822,500.00</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4,822,500.00</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3,390,000.00</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3,390,000.00</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right="320"/>
              <w:jc w:val="right"/>
              <w:rPr>
                <w:rFonts w:ascii="宋体" w:hAnsi="宋体" w:cs="宋体" w:eastAsia="宋体" w:hint="default"/>
                <w:sz w:val="20"/>
                <w:szCs w:val="20"/>
              </w:rPr>
            </w:pPr>
            <w:r>
              <w:rPr>
                <w:rFonts w:ascii="宋体" w:hAnsi="宋体" w:cs="宋体" w:eastAsia="宋体" w:hint="default"/>
                <w:spacing w:val="-1"/>
                <w:sz w:val="20"/>
                <w:szCs w:val="20"/>
              </w:rPr>
              <w:t>应付职工薪酬</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3"/>
              <w:jc w:val="right"/>
              <w:rPr>
                <w:rFonts w:ascii="Times New Roman" w:hAnsi="Times New Roman" w:cs="Times New Roman" w:eastAsia="Times New Roman" w:hint="default"/>
                <w:sz w:val="20"/>
                <w:szCs w:val="20"/>
              </w:rPr>
            </w:pPr>
            <w:r>
              <w:rPr>
                <w:rFonts w:ascii="Times New Roman"/>
                <w:spacing w:val="-1"/>
                <w:sz w:val="20"/>
              </w:rPr>
              <w:t>534,256.38</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4"/>
              <w:jc w:val="right"/>
              <w:rPr>
                <w:rFonts w:ascii="Times New Roman" w:hAnsi="Times New Roman" w:cs="Times New Roman" w:eastAsia="Times New Roman" w:hint="default"/>
                <w:sz w:val="20"/>
                <w:szCs w:val="20"/>
              </w:rPr>
            </w:pPr>
            <w:r>
              <w:rPr>
                <w:rFonts w:ascii="Times New Roman"/>
                <w:spacing w:val="-1"/>
                <w:sz w:val="20"/>
              </w:rPr>
              <w:t>534,256.38</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321,088.89</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321,088.89</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2"/>
              <w:jc w:val="right"/>
              <w:rPr>
                <w:rFonts w:ascii="Times New Roman" w:hAnsi="Times New Roman" w:cs="Times New Roman" w:eastAsia="Times New Roman" w:hint="default"/>
                <w:sz w:val="20"/>
                <w:szCs w:val="20"/>
              </w:rPr>
            </w:pPr>
            <w:r>
              <w:rPr>
                <w:rFonts w:ascii="Times New Roman"/>
                <w:spacing w:val="-1"/>
                <w:sz w:val="20"/>
              </w:rPr>
              <w:t>-314,198.46</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-314,198.46</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3"/>
              <w:jc w:val="right"/>
              <w:rPr>
                <w:rFonts w:ascii="Times New Roman" w:hAnsi="Times New Roman" w:cs="Times New Roman" w:eastAsia="Times New Roman" w:hint="default"/>
                <w:sz w:val="20"/>
                <w:szCs w:val="20"/>
              </w:rPr>
            </w:pPr>
            <w:r>
              <w:rPr>
                <w:rFonts w:ascii="Times New Roman"/>
                <w:spacing w:val="-1"/>
                <w:sz w:val="20"/>
              </w:rPr>
              <w:t>-169,167.45</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-169,167.45</w:t>
            </w:r>
            <w:r>
              <w:rPr>
                <w:rFonts w:ascii="Times New Roman"/>
                <w:sz w:val="20"/>
              </w:rPr>
            </w:r>
          </w:p>
        </w:tc>
      </w:tr>
      <w:tr>
        <w:trPr>
          <w:trHeight w:val="353"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6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1,303,638.19</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1,303,638.19</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4"/>
              <w:jc w:val="right"/>
              <w:rPr>
                <w:rFonts w:ascii="Times New Roman" w:hAnsi="Times New Roman" w:cs="Times New Roman" w:eastAsia="Times New Roman" w:hint="default"/>
                <w:sz w:val="20"/>
                <w:szCs w:val="20"/>
              </w:rPr>
            </w:pPr>
            <w:r>
              <w:rPr>
                <w:rFonts w:ascii="Times New Roman"/>
                <w:spacing w:val="-1"/>
                <w:sz w:val="20"/>
              </w:rPr>
              <w:t>939,254.92</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939,254.92</w:t>
            </w:r>
            <w:r>
              <w:rPr>
                <w:rFonts w:ascii="Times New Roman"/>
                <w:sz w:val="20"/>
              </w:rPr>
            </w:r>
          </w:p>
        </w:tc>
      </w:tr>
      <w:tr>
        <w:trPr>
          <w:trHeight w:val="352" w:hRule="exact"/>
        </w:trPr>
        <w:tc>
          <w:tcPr>
            <w:tcW w:w="1686"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61"/>
              <w:jc w:val="right"/>
              <w:rPr>
                <w:rFonts w:ascii="Times New Roman" w:hAnsi="Times New Roman" w:cs="Times New Roman" w:eastAsia="Times New Roman" w:hint="default"/>
                <w:sz w:val="20"/>
                <w:szCs w:val="20"/>
              </w:rPr>
            </w:pPr>
            <w:r>
              <w:rPr>
                <w:rFonts w:ascii="Times New Roman"/>
                <w:spacing w:val="-1"/>
                <w:sz w:val="20"/>
              </w:rPr>
              <w:t>6,627,125.06</w:t>
            </w:r>
            <w:r>
              <w:rPr>
                <w:rFonts w:ascii="Times New Roman"/>
                <w:sz w:val="20"/>
              </w:rPr>
            </w:r>
          </w:p>
        </w:tc>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23"/>
              <w:jc w:val="right"/>
              <w:rPr>
                <w:rFonts w:ascii="Times New Roman" w:hAnsi="Times New Roman" w:cs="Times New Roman" w:eastAsia="Times New Roman" w:hint="default"/>
                <w:sz w:val="20"/>
                <w:szCs w:val="20"/>
              </w:rPr>
            </w:pPr>
            <w:r>
              <w:rPr>
                <w:rFonts w:ascii="Times New Roman"/>
                <w:spacing w:val="-1"/>
                <w:sz w:val="20"/>
              </w:rPr>
              <w:t>6,627,125.06</w:t>
            </w:r>
            <w:r>
              <w:rPr>
                <w:rFonts w:ascii="Times New Roman"/>
                <w:sz w:val="20"/>
              </w:rPr>
            </w:r>
          </w:p>
        </w:tc>
        <w:tc>
          <w:tcPr>
            <w:tcW w:w="16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5,304,376.36</w:t>
            </w:r>
            <w:r>
              <w:rPr>
                <w:rFonts w:ascii="Times New Roman"/>
                <w:sz w:val="20"/>
              </w:rPr>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5,304,376.36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82" w:top="1060" w:bottom="1180" w:left="980" w:right="940"/>
        </w:sectPr>
      </w:pPr>
    </w:p>
    <w:p>
      <w:pPr>
        <w:spacing w:line="240" w:lineRule="auto" w:before="11"/>
        <w:rPr>
          <w:rFonts w:ascii="宋体" w:hAnsi="宋体" w:cs="宋体" w:eastAsia="宋体" w:hint="default"/>
          <w:sz w:val="25"/>
          <w:szCs w:val="25"/>
        </w:rPr>
      </w:pPr>
    </w:p>
    <w:p>
      <w:pPr>
        <w:tabs>
          <w:tab w:pos="3062" w:val="left" w:leader="none"/>
          <w:tab w:pos="4898" w:val="left" w:leader="none"/>
          <w:tab w:pos="6827" w:val="left" w:leader="none"/>
          <w:tab w:pos="8387" w:val="left" w:leader="none"/>
        </w:tabs>
        <w:spacing w:before="38"/>
        <w:ind w:left="731" w:right="0" w:firstLine="0"/>
        <w:jc w:val="left"/>
        <w:rPr>
          <w:rFonts w:ascii="Times New Roman" w:hAnsi="Times New Roman" w:cs="Times New Roman" w:eastAsia="Times New Roman" w:hint="default"/>
          <w:sz w:val="20"/>
          <w:szCs w:val="20"/>
        </w:rPr>
      </w:pPr>
      <w:r>
        <w:rPr>
          <w:rFonts w:ascii="宋体" w:hAnsi="宋体" w:cs="宋体" w:eastAsia="宋体" w:hint="default"/>
          <w:b/>
          <w:bCs/>
          <w:w w:val="95"/>
          <w:sz w:val="20"/>
          <w:szCs w:val="20"/>
        </w:rPr>
        <w:t>净资产</w:t>
        <w:tab/>
      </w:r>
      <w:r>
        <w:rPr>
          <w:rFonts w:ascii="Times New Roman" w:hAnsi="Times New Roman" w:cs="Times New Roman" w:eastAsia="Times New Roman" w:hint="default"/>
          <w:spacing w:val="-1"/>
          <w:sz w:val="20"/>
          <w:szCs w:val="20"/>
        </w:rPr>
        <w:t>1,458,843.76</w:t>
        <w:tab/>
        <w:t>1,458,843.76</w:t>
        <w:tab/>
        <w:t>89,271.34</w:t>
        <w:tab/>
        <w:t>89,271.34</w:t>
      </w:r>
    </w:p>
    <w:p>
      <w:pPr>
        <w:spacing w:line="240" w:lineRule="auto" w:before="6"/>
        <w:rPr>
          <w:rFonts w:ascii="Times New Roman" w:hAnsi="Times New Roman" w:cs="Times New Roman" w:eastAsia="Times New Roman" w:hint="default"/>
          <w:sz w:val="4"/>
          <w:szCs w:val="4"/>
        </w:rPr>
      </w:pPr>
    </w:p>
    <w:p>
      <w:pPr>
        <w:spacing w:line="30" w:lineRule="exact"/>
        <w:ind w:left="713"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4.7pt;height:1.5pt;mso-position-horizontal-relative:char;mso-position-vertical-relative:line" coordorigin="0,0" coordsize="8494,30">
            <v:group style="position:absolute;left:15;top:15;width:1686;height:2" coordorigin="15,15" coordsize="1686,2">
              <v:shape style="position:absolute;left:15;top:15;width:1686;height:2" coordorigin="15,15" coordsize="1686,0" path="m15,15l1701,15e" filled="false" stroked="true" strokeweight="1.5pt" strokecolor="#000000">
                <v:path arrowok="t"/>
              </v:shape>
            </v:group>
            <v:group style="position:absolute;left:1715;top:15;width:1688;height:2" coordorigin="1715,15" coordsize="1688,2">
              <v:shape style="position:absolute;left:1715;top:15;width:1688;height:2" coordorigin="1715,15" coordsize="1688,0" path="m1715,15l3403,15e" filled="false" stroked="true" strokeweight="1.5pt" strokecolor="#000000">
                <v:path arrowok="t"/>
              </v:shape>
            </v:group>
            <v:group style="position:absolute;left:3417;top:15;width:1822;height:2" coordorigin="3417,15" coordsize="1822,2">
              <v:shape style="position:absolute;left:3417;top:15;width:1822;height:2" coordorigin="3417,15" coordsize="1822,0" path="m3417,15l5239,15e" filled="false" stroked="true" strokeweight="1.5pt" strokecolor="#000000">
                <v:path arrowok="t"/>
              </v:shape>
            </v:group>
            <v:group style="position:absolute;left:5253;top:15;width:30;height:2" coordorigin="5253,15" coordsize="30,2">
              <v:shape style="position:absolute;left:5253;top:15;width:30;height:2" coordorigin="5253,15" coordsize="30,0" path="m5253,15l5283,15e" filled="false" stroked="true" strokeweight="1.5pt" strokecolor="#000000">
                <v:path arrowok="t"/>
              </v:shape>
            </v:group>
            <v:group style="position:absolute;left:5283;top:15;width:1636;height:2" coordorigin="5283,15" coordsize="1636,2">
              <v:shape style="position:absolute;left:5283;top:15;width:1636;height:2" coordorigin="5283,15" coordsize="1636,0" path="m5283,15l6919,15e" filled="false" stroked="true" strokeweight="1.5pt" strokecolor="#000000">
                <v:path arrowok="t"/>
              </v:shape>
            </v:group>
            <v:group style="position:absolute;left:6933;top:15;width:1546;height:2" coordorigin="6933,15" coordsize="1546,2">
              <v:shape style="position:absolute;left:6933;top:15;width:1546;height:2" coordorigin="6933,15" coordsize="1546,0" path="m6933,15l8479,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2"/>
        <w:rPr>
          <w:rFonts w:ascii="Times New Roman" w:hAnsi="Times New Roman" w:cs="Times New Roman" w:eastAsia="Times New Roman" w:hint="default"/>
          <w:sz w:val="27"/>
          <w:szCs w:val="27"/>
        </w:rPr>
      </w:pPr>
    </w:p>
    <w:tbl>
      <w:tblPr>
        <w:tblW w:w="0" w:type="auto"/>
        <w:jc w:val="left"/>
        <w:tblInd w:w="756" w:type="dxa"/>
        <w:tblLayout w:type="fixed"/>
        <w:tblCellMar>
          <w:top w:w="0" w:type="dxa"/>
          <w:left w:w="0" w:type="dxa"/>
          <w:bottom w:w="0" w:type="dxa"/>
          <w:right w:w="0" w:type="dxa"/>
        </w:tblCellMar>
        <w:tblLook w:val="01E0"/>
      </w:tblPr>
      <w:tblGrid>
        <w:gridCol w:w="2934"/>
        <w:gridCol w:w="1703"/>
        <w:gridCol w:w="1842"/>
        <w:gridCol w:w="1829"/>
      </w:tblGrid>
      <w:tr>
        <w:trPr>
          <w:trHeight w:val="667" w:hRule="exact"/>
        </w:trPr>
        <w:tc>
          <w:tcPr>
            <w:tcW w:w="2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被购买方</w:t>
            </w:r>
          </w:p>
        </w:tc>
        <w:tc>
          <w:tcPr>
            <w:tcW w:w="1703"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442" w:right="42" w:hanging="400"/>
              <w:jc w:val="left"/>
              <w:rPr>
                <w:rFonts w:ascii="宋体" w:hAnsi="宋体" w:cs="宋体" w:eastAsia="宋体" w:hint="default"/>
                <w:sz w:val="20"/>
                <w:szCs w:val="20"/>
              </w:rPr>
            </w:pPr>
            <w:r>
              <w:rPr>
                <w:rFonts w:ascii="宋体" w:hAnsi="宋体" w:cs="宋体" w:eastAsia="宋体" w:hint="default"/>
                <w:sz w:val="20"/>
                <w:szCs w:val="20"/>
              </w:rPr>
              <w:t>自购买日至本期期</w:t>
            </w:r>
            <w:r>
              <w:rPr>
                <w:rFonts w:ascii="宋体" w:hAnsi="宋体" w:cs="宋体" w:eastAsia="宋体" w:hint="default"/>
                <w:w w:val="100"/>
                <w:sz w:val="20"/>
                <w:szCs w:val="20"/>
              </w:rPr>
              <w:t> </w:t>
            </w:r>
            <w:r>
              <w:rPr>
                <w:rFonts w:ascii="宋体" w:hAnsi="宋体" w:cs="宋体" w:eastAsia="宋体" w:hint="default"/>
                <w:sz w:val="20"/>
                <w:szCs w:val="20"/>
              </w:rPr>
              <w:t>末的收入</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512" w:right="11" w:hanging="500"/>
              <w:jc w:val="left"/>
              <w:rPr>
                <w:rFonts w:ascii="宋体" w:hAnsi="宋体" w:cs="宋体" w:eastAsia="宋体" w:hint="default"/>
                <w:sz w:val="20"/>
                <w:szCs w:val="20"/>
              </w:rPr>
            </w:pPr>
            <w:r>
              <w:rPr>
                <w:rFonts w:ascii="宋体" w:hAnsi="宋体" w:cs="宋体" w:eastAsia="宋体" w:hint="default"/>
                <w:sz w:val="20"/>
                <w:szCs w:val="20"/>
              </w:rPr>
              <w:t>自购买日至本期期末</w:t>
            </w:r>
            <w:r>
              <w:rPr>
                <w:rFonts w:ascii="宋体" w:hAnsi="宋体" w:cs="宋体" w:eastAsia="宋体" w:hint="default"/>
                <w:w w:val="100"/>
                <w:sz w:val="20"/>
                <w:szCs w:val="20"/>
              </w:rPr>
              <w:t> </w:t>
            </w:r>
            <w:r>
              <w:rPr>
                <w:rFonts w:ascii="宋体" w:hAnsi="宋体" w:cs="宋体" w:eastAsia="宋体" w:hint="default"/>
                <w:sz w:val="20"/>
                <w:szCs w:val="20"/>
              </w:rPr>
              <w:t>的净利润</w:t>
            </w:r>
          </w:p>
        </w:tc>
        <w:tc>
          <w:tcPr>
            <w:tcW w:w="1829"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5"/>
              <w:ind w:left="9" w:right="8"/>
              <w:jc w:val="left"/>
              <w:rPr>
                <w:rFonts w:ascii="宋体" w:hAnsi="宋体" w:cs="宋体" w:eastAsia="宋体" w:hint="default"/>
                <w:sz w:val="20"/>
                <w:szCs w:val="20"/>
              </w:rPr>
            </w:pPr>
            <w:r>
              <w:rPr>
                <w:rFonts w:ascii="宋体" w:hAnsi="宋体" w:cs="宋体" w:eastAsia="宋体" w:hint="default"/>
                <w:sz w:val="20"/>
                <w:szCs w:val="20"/>
              </w:rPr>
              <w:t>自购买日至本期期末</w:t>
            </w:r>
            <w:r>
              <w:rPr>
                <w:rFonts w:ascii="宋体" w:hAnsi="宋体" w:cs="宋体" w:eastAsia="宋体" w:hint="default"/>
                <w:w w:val="100"/>
                <w:sz w:val="20"/>
                <w:szCs w:val="20"/>
              </w:rPr>
              <w:t> </w:t>
            </w:r>
            <w:r>
              <w:rPr>
                <w:rFonts w:ascii="宋体" w:hAnsi="宋体" w:cs="宋体" w:eastAsia="宋体" w:hint="default"/>
                <w:sz w:val="20"/>
                <w:szCs w:val="20"/>
              </w:rPr>
              <w:t>的经营活动净现金流</w:t>
            </w:r>
          </w:p>
        </w:tc>
      </w:tr>
      <w:tr>
        <w:trPr>
          <w:trHeight w:val="352" w:hRule="exact"/>
        </w:trPr>
        <w:tc>
          <w:tcPr>
            <w:tcW w:w="293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深圳艾特凡斯智能科技有限公司</w:t>
            </w:r>
          </w:p>
        </w:tc>
        <w:tc>
          <w:tcPr>
            <w:tcW w:w="1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535" w:right="0"/>
              <w:jc w:val="left"/>
              <w:rPr>
                <w:rFonts w:ascii="Times New Roman" w:hAnsi="Times New Roman" w:cs="Times New Roman" w:eastAsia="Times New Roman" w:hint="default"/>
                <w:sz w:val="20"/>
                <w:szCs w:val="20"/>
              </w:rPr>
            </w:pPr>
            <w:r>
              <w:rPr>
                <w:rFonts w:ascii="Times New Roman"/>
                <w:sz w:val="20"/>
              </w:rPr>
              <w:t>20,074,413.45</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674" w:right="0"/>
              <w:jc w:val="left"/>
              <w:rPr>
                <w:rFonts w:ascii="Times New Roman" w:hAnsi="Times New Roman" w:cs="Times New Roman" w:eastAsia="Times New Roman" w:hint="default"/>
                <w:sz w:val="20"/>
                <w:szCs w:val="20"/>
              </w:rPr>
            </w:pPr>
            <w:r>
              <w:rPr>
                <w:rFonts w:ascii="Times New Roman"/>
                <w:sz w:val="20"/>
              </w:rPr>
              <w:t>12,290,800.01</w:t>
            </w:r>
          </w:p>
        </w:tc>
        <w:tc>
          <w:tcPr>
            <w:tcW w:w="1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left="668" w:right="0"/>
              <w:jc w:val="left"/>
              <w:rPr>
                <w:rFonts w:ascii="Times New Roman" w:hAnsi="Times New Roman" w:cs="Times New Roman" w:eastAsia="Times New Roman" w:hint="default"/>
                <w:sz w:val="20"/>
                <w:szCs w:val="20"/>
              </w:rPr>
            </w:pPr>
            <w:r>
              <w:rPr>
                <w:rFonts w:ascii="Times New Roman"/>
                <w:sz w:val="20"/>
              </w:rPr>
              <w:t>12,736,567.72</w:t>
            </w:r>
          </w:p>
        </w:tc>
      </w:tr>
    </w:tbl>
    <w:p>
      <w:pPr>
        <w:spacing w:line="240" w:lineRule="auto" w:before="9"/>
        <w:rPr>
          <w:rFonts w:ascii="Times New Roman" w:hAnsi="Times New Roman" w:cs="Times New Roman" w:eastAsia="Times New Roman" w:hint="default"/>
          <w:sz w:val="22"/>
          <w:szCs w:val="22"/>
        </w:rPr>
      </w:pPr>
    </w:p>
    <w:p>
      <w:pPr>
        <w:pStyle w:val="BodyText"/>
        <w:spacing w:line="256" w:lineRule="auto" w:before="35"/>
        <w:ind w:left="153" w:right="150"/>
        <w:jc w:val="both"/>
      </w:pPr>
      <w:r>
        <w:rPr/>
        <w:t>评估基准择日（</w:t>
      </w:r>
      <w:r>
        <w:rPr>
          <w:rFonts w:ascii="Times New Roman" w:hAnsi="Times New Roman" w:cs="Times New Roman" w:eastAsia="Times New Roman" w:hint="default"/>
        </w:rPr>
        <w:t>2012.04.30</w:t>
      </w:r>
      <w:r>
        <w:rPr/>
        <w:t>）的账面净资产为</w:t>
      </w:r>
      <w:r>
        <w:rPr>
          <w:rFonts w:ascii="Times New Roman" w:hAnsi="Times New Roman" w:cs="Times New Roman" w:eastAsia="Times New Roman" w:hint="default"/>
        </w:rPr>
        <w:t>264.62</w:t>
      </w:r>
      <w:r>
        <w:rPr/>
        <w:t>万元，购买日（</w:t>
      </w:r>
      <w:r>
        <w:rPr>
          <w:rFonts w:ascii="Times New Roman" w:hAnsi="Times New Roman" w:cs="Times New Roman" w:eastAsia="Times New Roman" w:hint="default"/>
        </w:rPr>
        <w:t>2012.07.20</w:t>
      </w:r>
      <w:r>
        <w:rPr/>
        <w:t>）的账面净资产为</w:t>
      </w:r>
      <w:r>
        <w:rPr>
          <w:rFonts w:ascii="Times New Roman" w:hAnsi="Times New Roman" w:cs="Times New Roman" w:eastAsia="Times New Roman" w:hint="default"/>
        </w:rPr>
        <w:t>145.88</w:t>
      </w:r>
      <w:r>
        <w:rPr/>
        <w:t>万</w:t>
      </w:r>
      <w:r>
        <w:rPr>
          <w:spacing w:val="-48"/>
        </w:rPr>
        <w:t> </w:t>
      </w:r>
      <w:r>
        <w:rPr/>
        <w:t>元，资产降低的原因为</w:t>
      </w:r>
      <w:r>
        <w:rPr>
          <w:rFonts w:ascii="Times New Roman" w:hAnsi="Times New Roman" w:cs="Times New Roman" w:eastAsia="Times New Roman" w:hint="default"/>
        </w:rPr>
        <w:t>5-7</w:t>
      </w:r>
      <w:r>
        <w:rPr/>
        <w:t>月公司的项目在进行中，但未形成收入，但该期间发生管理费用</w:t>
      </w:r>
      <w:r>
        <w:rPr>
          <w:rFonts w:ascii="Times New Roman" w:hAnsi="Times New Roman" w:cs="Times New Roman" w:eastAsia="Times New Roman" w:hint="default"/>
        </w:rPr>
        <w:t>130</w:t>
      </w:r>
      <w:r>
        <w:rPr/>
        <w:t>万元，至购</w:t>
      </w:r>
      <w:r>
        <w:rPr>
          <w:spacing w:val="-100"/>
        </w:rPr>
        <w:t> </w:t>
      </w:r>
      <w:r>
        <w:rPr/>
        <w:t>买日的净资产比评估基准日的净资产降低了</w:t>
      </w:r>
      <w:r>
        <w:rPr>
          <w:rFonts w:ascii="Times New Roman" w:hAnsi="Times New Roman" w:cs="Times New Roman" w:eastAsia="Times New Roman" w:hint="default"/>
        </w:rPr>
        <w:t>118.74</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83"/>
      </w:tblGrid>
      <w:tr>
        <w:trPr>
          <w:trHeight w:val="403"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11"/>
        <w:rPr>
          <w:rFonts w:ascii="宋体" w:hAnsi="宋体" w:cs="宋体" w:eastAsia="宋体" w:hint="default"/>
          <w:sz w:val="26"/>
          <w:szCs w:val="26"/>
        </w:rPr>
      </w:pPr>
    </w:p>
    <w:p>
      <w:pPr>
        <w:spacing w:line="487" w:lineRule="auto" w:before="0"/>
        <w:ind w:left="154" w:right="5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9"/>
        <w:gridCol w:w="1299"/>
        <w:gridCol w:w="935"/>
        <w:gridCol w:w="1457"/>
        <w:gridCol w:w="1345"/>
        <w:gridCol w:w="917"/>
        <w:gridCol w:w="1594"/>
      </w:tblGrid>
      <w:tr>
        <w:trPr>
          <w:trHeight w:val="201" w:hRule="exact"/>
        </w:trPr>
        <w:tc>
          <w:tcPr>
            <w:tcW w:w="2009" w:type="dxa"/>
            <w:tcBorders>
              <w:top w:val="single" w:sz="4" w:space="0" w:color="000000"/>
              <w:left w:val="single" w:sz="4" w:space="0" w:color="000000"/>
              <w:bottom w:val="nil" w:sz="6" w:space="0" w:color="auto"/>
              <w:right w:val="single" w:sz="4" w:space="0" w:color="000000"/>
            </w:tcBorders>
            <w:shd w:val="clear" w:color="auto" w:fill="D3D3D3"/>
          </w:tcPr>
          <w:p>
            <w:pPr/>
          </w:p>
        </w:tc>
        <w:tc>
          <w:tcPr>
            <w:tcW w:w="369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20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1" w:type="dxa"/>
            <w:gridSpan w:val="3"/>
            <w:vMerge/>
            <w:tcBorders>
              <w:left w:val="single" w:sz="4" w:space="0" w:color="000000"/>
              <w:bottom w:val="single" w:sz="4" w:space="0" w:color="000000"/>
              <w:right w:val="single" w:sz="4" w:space="0" w:color="000000"/>
            </w:tcBorders>
            <w:shd w:val="clear" w:color="auto" w:fill="D3D3D3"/>
          </w:tcPr>
          <w:p>
            <w:pPr/>
          </w:p>
        </w:tc>
        <w:tc>
          <w:tcPr>
            <w:tcW w:w="3856"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3D3D3"/>
          </w:tcPr>
          <w:p>
            <w:pPr/>
          </w:p>
        </w:tc>
        <w:tc>
          <w:tcPr>
            <w:tcW w:w="12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1" w:hRule="exact"/>
        </w:trPr>
        <w:tc>
          <w:tcPr>
            <w:tcW w:w="20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57" w:type="dxa"/>
            <w:vMerge/>
            <w:tcBorders>
              <w:left w:val="single" w:sz="4" w:space="0" w:color="000000"/>
              <w:bottom w:val="single" w:sz="4" w:space="0" w:color="000000"/>
              <w:right w:val="single" w:sz="4" w:space="0" w:color="000000"/>
            </w:tcBorders>
            <w:shd w:val="clear" w:color="auto" w:fill="D3D3D3"/>
          </w:tcPr>
          <w:p>
            <w:pPr/>
          </w:p>
        </w:tc>
        <w:tc>
          <w:tcPr>
            <w:tcW w:w="1345" w:type="dxa"/>
            <w:vMerge/>
            <w:tcBorders>
              <w:left w:val="single" w:sz="4" w:space="0" w:color="000000"/>
              <w:bottom w:val="single" w:sz="4" w:space="0" w:color="000000"/>
              <w:right w:val="single" w:sz="4" w:space="0" w:color="000000"/>
            </w:tcBorders>
            <w:shd w:val="clear" w:color="auto" w:fill="D3D3D3"/>
          </w:tcPr>
          <w:p>
            <w:pPr/>
          </w:p>
        </w:tc>
        <w:tc>
          <w:tcPr>
            <w:tcW w:w="91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56,648.74</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96"/>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32,482.84</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56,648.74</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96"/>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32,482.84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17"/>
        <w:gridCol w:w="1606"/>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40,566,674.37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103,251,669.68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40,558,501.90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103,243,066.13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1,300.21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1,299.10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6.62%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8,603.55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0"/>
        <w:ind w:left="1414" w:right="1619"/>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日，货币资金中无使用权受限的情况。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28"/>
        <w:gridCol w:w="2672"/>
        <w:gridCol w:w="2656"/>
      </w:tblGrid>
      <w:tr>
        <w:trPr>
          <w:trHeight w:val="402" w:hRule="exact"/>
        </w:trPr>
        <w:tc>
          <w:tcPr>
            <w:tcW w:w="4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394" w:space="54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60" w:lineRule="auto" w:before="51"/>
        <w:ind w:left="154" w:right="6890"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11"/>
        <w:rPr>
          <w:rFonts w:ascii="宋体" w:hAnsi="宋体" w:cs="宋体" w:eastAsia="宋体" w:hint="default"/>
          <w:sz w:val="19"/>
          <w:szCs w:val="19"/>
        </w:rPr>
      </w:pPr>
    </w:p>
    <w:p>
      <w:pPr>
        <w:pStyle w:val="Heading5"/>
        <w:spacing w:line="240" w:lineRule="auto"/>
        <w:ind w:right="1619"/>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号理财产品</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839,342.47</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spacing w:before="0"/>
        <w:ind w:left="1410" w:right="1619" w:firstLine="0"/>
        <w:jc w:val="left"/>
        <w:rPr>
          <w:rFonts w:ascii="宋体" w:hAnsi="宋体" w:cs="宋体" w:eastAsia="宋体" w:hint="default"/>
          <w:sz w:val="21"/>
          <w:szCs w:val="21"/>
        </w:rPr>
      </w:pPr>
      <w:r>
        <w:rPr>
          <w:rFonts w:ascii="宋体" w:hAnsi="宋体" w:cs="宋体" w:eastAsia="宋体" w:hint="default"/>
          <w:b/>
          <w:bCs/>
          <w:sz w:val="21"/>
          <w:szCs w:val="21"/>
        </w:rPr>
        <w:t>期末应收利息中无持本公司</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12,032,369.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60,161.85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13,315,19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66,575.99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12,032,369.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60,161.85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13,315,19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66,575.99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12,032,369.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60,161.85</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13,315,19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7.53</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66,575.99</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12,032,369.70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13,315,197.53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66,575.99</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12,032,369.70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13,315,197.53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66,575.99</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12,032,369.70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13,315,197.53</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66,575.99</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北京中外名人影视制作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联合摄制电视剧合作方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10,801,369.70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江苏嬉戏族有限公司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深圳市圣天元数字科技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重庆野生动物世界有限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12,032,369.70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396"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8"/>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849;top:16;width:2;height:392" coordorigin="3849,16" coordsize="2,392">
              <v:shape style="position:absolute;left:3849;top:16;width:2;height:392" coordorigin="3849,16" coordsize="0,392" path="m3849,16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6;width:2;height:392" coordorigin="3882,16" coordsize="2,392">
              <v:shape style="position:absolute;left:3882;top:16;width:2;height:392" coordorigin="3882,16" coordsize="0,392" path="m3882,16l3882,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5;width:2;height:1217" coordorigin="10,5" coordsize="2,1217">
              <v:shape style="position:absolute;left:10;top:5;width:2;height:1217" coordorigin="10,5" coordsize="0,1217" path="m10,5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4pt" strokecolor="#000000">
                <v:path arrowok="t"/>
              </v:shape>
            </v:group>
            <v:group style="position:absolute;left:9577;top:5;width:2;height:1217" coordorigin="9577,5" coordsize="2,1217">
              <v:shape style="position:absolute;left:9577;top:5;width:2;height:1217" coordorigin="9577,5" coordsize="0,1217" path="m9577,5l9577,1222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1619"/>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760,035.02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12,856.20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75,661.54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760,035.02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12,856.20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75,661.54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760,035.02</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12,856.20</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75,661.54</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57"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592,490.64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77.96%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592,490.64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77.96%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160,013.68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21.05%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1,830.70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91.54</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0.24%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35"/>
        <w:gridCol w:w="1853"/>
        <w:gridCol w:w="659"/>
        <w:gridCol w:w="1447"/>
        <w:gridCol w:w="1450"/>
        <w:gridCol w:w="656"/>
        <w:gridCol w:w="1668"/>
      </w:tblGrid>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0.75%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760,035.02</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12,856.20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15,007,530.70</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75,661.54</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2"/>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6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宿迁市招标投标管理办 公室</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26.31%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深圳花样年商业管理有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承租关系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183,282.00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24.11%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浙江横店影视城有限公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483,282.00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63.58%</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66"/>
        <w:gridCol w:w="2430"/>
        <w:gridCol w:w="2430"/>
        <w:gridCol w:w="2430"/>
      </w:tblGrid>
      <w:tr>
        <w:trPr>
          <w:trHeight w:val="396"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8"/>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715;top:16;width:2;height:392" coordorigin="3715,16" coordsize="2,392">
              <v:shape style="position:absolute;left:3715;top:16;width:2;height:392" coordorigin="3715,16" coordsize="0,392" path="m3715,16l3715,407e" filled="false" stroked="true" strokeweight="1.2pt" strokecolor="#d3d3d3">
                <v:path arrowok="t"/>
              </v:shape>
            </v:group>
            <v:group style="position:absolute;left:37;top:14;width:3666;height:393" coordorigin="37,14" coordsize="3666,393">
              <v:shape style="position:absolute;left:37;top:14;width:3666;height:393" coordorigin="37,14" coordsize="3666,393" path="m37,407l3703,407,3703,14,37,14,37,407xe" filled="true" fillcolor="#d3d3d3" stroked="false">
                <v:path arrowok="t"/>
                <v:fill type="solid"/>
              </v:shape>
            </v:group>
            <v:group style="position:absolute;left:3748;top:16;width:2;height:392" coordorigin="3748,16" coordsize="2,392">
              <v:shape style="position:absolute;left:3748;top:16;width:2;height:392" coordorigin="3748,16" coordsize="0,392" path="m3748,16l3748,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60;top:14;width:5790;height:393" coordorigin="3760,14" coordsize="5790,393">
              <v:shape style="position:absolute;left:3760;top:14;width:5790;height:393" coordorigin="3760,14" coordsize="5790,393" path="m3760,407l9550,407,9550,14,3760,14,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1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1619"/>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0"/>
        <w:gridCol w:w="3188"/>
        <w:gridCol w:w="1063"/>
        <w:gridCol w:w="3053"/>
        <w:gridCol w:w="1051"/>
      </w:tblGrid>
      <w:tr>
        <w:trPr>
          <w:trHeight w:val="201" w:hRule="exact"/>
        </w:trPr>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90" w:type="dxa"/>
            <w:vMerge/>
            <w:tcBorders>
              <w:left w:val="single" w:sz="4" w:space="0" w:color="000000"/>
              <w:bottom w:val="nil" w:sz="6" w:space="0" w:color="auto"/>
              <w:right w:val="single" w:sz="4" w:space="0" w:color="000000"/>
            </w:tcBorders>
            <w:shd w:val="clear" w:color="auto" w:fill="D3D3D3"/>
          </w:tcPr>
          <w:p>
            <w:pPr/>
          </w:p>
        </w:tc>
        <w:tc>
          <w:tcPr>
            <w:tcW w:w="3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8"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3053"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2,854,657.12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73,160.36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2,854,657.12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73,160.36</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江苏滨联建设工程有限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广州安恒信息科技有限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729,030.00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预付投影机款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南京中科天文仪器有限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预付椭圆双曲面展成幕 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上海旭濮钢结构建筑有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上海米优多媒体科技有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预付设计费</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2,307,530.00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15"/>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6"/>
        <w:gridCol w:w="1472"/>
        <w:gridCol w:w="1194"/>
        <w:gridCol w:w="1330"/>
        <w:gridCol w:w="1327"/>
        <w:gridCol w:w="1330"/>
        <w:gridCol w:w="1328"/>
      </w:tblGrid>
      <w:tr>
        <w:trPr>
          <w:trHeight w:val="201"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1,057,905.18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1,057,905.18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6,169,123.39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6,169,123.39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385,634.47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385,634.47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系统集成项目</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13,681,350.20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13,681,350.20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15,128,041.85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15,128,041.85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6,169,123.39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6,169,123.39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8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5"/>
        <w:spacing w:line="240" w:lineRule="auto" w:before="35"/>
        <w:ind w:right="88"/>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存货的说明</w:t>
      </w:r>
    </w:p>
    <w:p>
      <w:pPr>
        <w:pStyle w:val="BodyText"/>
        <w:spacing w:line="261" w:lineRule="auto" w:before="90"/>
        <w:ind w:left="153" w:right="187"/>
        <w:jc w:val="both"/>
      </w:pPr>
      <w:r>
        <w:rPr/>
        <w:t>注：期末库存商品</w:t>
      </w:r>
      <w:r>
        <w:rPr>
          <w:rFonts w:ascii="Times New Roman" w:hAnsi="Times New Roman" w:cs="Times New Roman" w:eastAsia="Times New Roman" w:hint="default"/>
        </w:rPr>
        <w:t>2.00</w:t>
      </w:r>
      <w:r>
        <w:rPr/>
        <w:t>元为子公司远东文化拍摄的电视剧《革命人永远是年轻》及《老爸的筒子楼》的象</w:t>
      </w:r>
      <w:r>
        <w:rPr>
          <w:spacing w:val="-80"/>
        </w:rPr>
        <w:t> </w:t>
      </w:r>
      <w:r>
        <w:rPr>
          <w:spacing w:val="-80"/>
        </w:rPr>
      </w:r>
      <w:r>
        <w:rPr>
          <w:spacing w:val="-1"/>
        </w:rPr>
        <w:t>征性保留成本。两部电视剧已摄制完成，并获得了国家广电总局批复的发行许可证，截止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83"/>
        </w:rPr>
        <w:t> </w:t>
      </w:r>
      <w:r>
        <w:rPr>
          <w:spacing w:val="-1"/>
        </w:rPr>
        <w:t>已在多家电视台播出，销售播放计划已经完成，存货应全部结转营业成本，由于企业拥有两部电视剧的版</w:t>
      </w:r>
      <w:r>
        <w:rPr>
          <w:spacing w:val="-83"/>
        </w:rPr>
        <w:t> </w:t>
      </w:r>
      <w:r>
        <w:rPr>
          <w:spacing w:val="-83"/>
        </w:rPr>
      </w:r>
      <w:r>
        <w:rPr/>
        <w:t>权，故在存货中象征性的每部电视剧保留</w:t>
      </w:r>
      <w:r>
        <w:rPr>
          <w:rFonts w:ascii="Times New Roman" w:hAnsi="Times New Roman" w:cs="Times New Roman" w:eastAsia="Times New Roman" w:hint="default"/>
        </w:rPr>
        <w:t>1.00</w:t>
      </w:r>
      <w:r>
        <w:rPr/>
        <w:t>元的成本。</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号理财产品</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88"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10"/>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4" w:right="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57" w:lineRule="auto" w:before="52"/>
        <w:ind w:left="154" w:right="88"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1"/>
        <w:rPr>
          <w:rFonts w:ascii="宋体" w:hAnsi="宋体" w:cs="宋体" w:eastAsia="宋体" w:hint="default"/>
          <w:sz w:val="20"/>
          <w:szCs w:val="20"/>
        </w:rPr>
      </w:pPr>
    </w:p>
    <w:p>
      <w:pPr>
        <w:pStyle w:val="Heading5"/>
        <w:spacing w:line="240" w:lineRule="auto"/>
        <w:ind w:right="88"/>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88"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6"/>
        <w:gridCol w:w="2790"/>
        <w:gridCol w:w="3980"/>
      </w:tblGrid>
      <w:tr>
        <w:trPr>
          <w:trHeight w:val="402" w:hRule="exact"/>
        </w:trPr>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3322"/>
        <w:gridCol w:w="3442"/>
      </w:tblGrid>
      <w:tr>
        <w:trPr>
          <w:trHeight w:val="397" w:hRule="exact"/>
        </w:trPr>
        <w:tc>
          <w:tcPr>
            <w:tcW w:w="2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常州永东服饰 洗水有限公司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41.57%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41.57%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610"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pStyle w:val="BodyText"/>
        <w:spacing w:line="256" w:lineRule="auto" w:before="89"/>
        <w:ind w:right="0"/>
        <w:jc w:val="left"/>
      </w:pPr>
      <w:r>
        <w:rPr/>
        <w:t>注：常州永东服饰洗水有限公司于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月后停业至今，已多年未提供报表。本公司已于</w:t>
      </w:r>
      <w:r>
        <w:rPr>
          <w:rFonts w:ascii="Times New Roman" w:hAnsi="Times New Roman" w:cs="Times New Roman" w:eastAsia="Times New Roman" w:hint="default"/>
        </w:rPr>
        <w:t>2007</w:t>
      </w:r>
      <w:r>
        <w:rPr/>
        <w:t>年度按账</w:t>
      </w:r>
      <w:r>
        <w:rPr>
          <w:spacing w:val="-36"/>
        </w:rPr>
        <w:t> </w:t>
      </w:r>
      <w:r>
        <w:rPr>
          <w:spacing w:val="-36"/>
        </w:rPr>
      </w:r>
      <w:r>
        <w:rPr/>
        <w:t>面对该公司长期投资余额全额计提了长期投资减值准备。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1619"/>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352;top:14;width:2;height:393" coordorigin="5352,14" coordsize="2,393">
              <v:shape style="position:absolute;left:5352;top:14;width:2;height:393" coordorigin="5352,14" coordsize="0,393" path="m5352,14l5352,407e" filled="false" stroked="true" strokeweight="1.2pt" strokecolor="#d3d3d3">
                <v:path arrowok="t"/>
              </v:shape>
            </v:group>
            <v:group style="position:absolute;left:37;top:14;width:5303;height:393" coordorigin="37,14" coordsize="5303,393">
              <v:shape style="position:absolute;left:37;top:14;width:5303;height:393" coordorigin="37,14" coordsize="5303,393" path="m37,407l5340,407,5340,14,37,14,37,407xe" filled="true" fillcolor="#d3d3d3" stroked="false">
                <v:path arrowok="t"/>
                <v:fill type="solid"/>
              </v:shape>
            </v:group>
            <v:group style="position:absolute;left:5385;top:14;width:2;height:393" coordorigin="5385,14" coordsize="2,393">
              <v:shape style="position:absolute;left:5385;top:14;width:2;height:393" coordorigin="5385,14" coordsize="0,393" path="m5385,14l5385,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396;top:14;width:4154;height:393" coordorigin="5396,14" coordsize="4154,393">
              <v:shape style="position:absolute;left:5396;top:14;width:4154;height:393" coordorigin="5396,14" coordsize="4154,393" path="m5396,407l9550,407,9550,14,5396,14,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360;height:2" coordorigin="5,412" coordsize="5360,2">
              <v:shape style="position:absolute;left:5;top:412;width:5360;height:2" coordorigin="5,412" coordsize="5360,0" path="m5,412l5364,412e" filled="false" stroked="true" strokeweight=".48001pt" strokecolor="#000000">
                <v:path arrowok="t"/>
              </v:shape>
            </v:group>
            <v:group style="position:absolute;left:5369;top:14;width:2;height:402" coordorigin="5369,14" coordsize="2,402">
              <v:shape style="position:absolute;left:5369;top:14;width:2;height:402" coordorigin="5369,14" coordsize="0,402" path="m5369,14l5369,416e" filled="false" stroked="true" strokeweight=".47998pt" strokecolor="#000000">
                <v:path arrowok="t"/>
              </v:shape>
            </v:group>
            <v:group style="position:absolute;left:5374;top:412;width:4199;height:2" coordorigin="5374,412" coordsize="4199,2">
              <v:shape style="position:absolute;left:5374;top:412;width:4199;height:2" coordorigin="5374,412" coordsize="4199,0" path="m537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729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5"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spacing w:line="316" w:lineRule="auto" w:before="5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6"/>
        <w:rPr>
          <w:rFonts w:ascii="宋体" w:hAnsi="宋体" w:cs="宋体" w:eastAsia="宋体" w:hint="default"/>
          <w:sz w:val="22"/>
          <w:szCs w:val="22"/>
        </w:rPr>
      </w:pPr>
    </w:p>
    <w:p>
      <w:pPr>
        <w:pStyle w:val="Heading5"/>
        <w:spacing w:line="240" w:lineRule="auto"/>
        <w:ind w:right="1619"/>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2922"/>
        <w:gridCol w:w="1594"/>
        <w:gridCol w:w="1462"/>
      </w:tblGrid>
      <w:tr>
        <w:trPr>
          <w:trHeight w:val="396"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17"/>
        <w:gridCol w:w="1485"/>
        <w:gridCol w:w="1316"/>
        <w:gridCol w:w="1595"/>
        <w:gridCol w:w="1577"/>
        <w:gridCol w:w="1478"/>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3,349,577.53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2,321,980.45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65,000.00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5,606,557.98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1,628,560.00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68,600.00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1,697,160.00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1,642,537.53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65,000.00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1,995,537.53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78,480.00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1,835,380.45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1,913,860.45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2,098,607.23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193,192.45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335,305.07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14,625.00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2,612,479.75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918,019.08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29,177.33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947,196.41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1,160,759.35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110,303.02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14,625.00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1,256,437.37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19,828.80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193,192.45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195,824.72</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408,845.97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1,250,970.30</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2,994,078.23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710,540.92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749,963.59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481,778.18</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739,100.16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5"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58,651.20</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1,505,014.48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470,540.92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470,540.92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5"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780,429.38</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2,523,537.31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240,000.00</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279,422.67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481,778.18</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739,100.16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5"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58,651.20</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1,505,014.48</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335,305.07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778;top:14;width:2;height:392" coordorigin="4778,14" coordsize="2,392">
              <v:shape style="position:absolute;left:4778;top:14;width:2;height:392" coordorigin="4778,14" coordsize="0,392" path="m4778,14l4778,406e" filled="false" stroked="true" strokeweight="1.2pt" strokecolor="#d3d3d3">
                <v:path arrowok="t"/>
              </v:shape>
            </v:group>
            <v:group style="position:absolute;left:37;top:14;width:4730;height:392" coordorigin="37,14" coordsize="4730,392">
              <v:shape style="position:absolute;left:37;top:14;width:4730;height:392" coordorigin="37,14" coordsize="4730,392" path="m37,406l4766,406,4766,14,37,14,37,406xe" filled="true" fillcolor="#d3d3d3" stroked="false">
                <v:path arrowok="t"/>
                <v:fill type="solid"/>
              </v:shape>
            </v:group>
            <v:group style="position:absolute;left:4811;top:14;width:2;height:392" coordorigin="4811,14" coordsize="2,392">
              <v:shape style="position:absolute;left:4811;top:14;width:2;height:392" coordorigin="4811,14" coordsize="0,392" path="m4811,14l4811,406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4823;top:14;width:4727;height:392" coordorigin="4823,14" coordsize="4727,392">
              <v:shape style="position:absolute;left:4823;top:14;width:4727;height:392" coordorigin="4823,14" coordsize="4727,392" path="m4823,406l9550,406,9550,14,4823,14,4823,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7998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footerReference w:type="default" r:id="rId19"/>
          <w:pgSz w:w="11910" w:h="16840"/>
          <w:pgMar w:footer="982" w:header="747"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before="9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本期增加列的数据包含子公司深圳艾特凡斯智能科技有限公司购买日的数据转入</w:t>
      </w:r>
      <w:r>
        <w:rPr>
          <w:rFonts w:ascii="Times New Roman" w:hAnsi="Times New Roman" w:cs="Times New Roman" w:eastAsia="Times New Roman" w:hint="default"/>
          <w:b/>
          <w:bCs/>
          <w:sz w:val="18"/>
          <w:szCs w:val="18"/>
        </w:rPr>
        <w:t>1,221,349.05</w:t>
      </w:r>
      <w:r>
        <w:rPr>
          <w:rFonts w:ascii="宋体" w:hAnsi="宋体" w:cs="宋体" w:eastAsia="宋体" w:hint="default"/>
          <w:b/>
          <w:bCs/>
          <w:sz w:val="18"/>
          <w:szCs w:val="18"/>
        </w:rPr>
        <w:t>元</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28"/>
          <w:szCs w:val="28"/>
        </w:rPr>
      </w:pPr>
    </w:p>
    <w:p>
      <w:pPr>
        <w:pStyle w:val="Heading5"/>
        <w:spacing w:line="240" w:lineRule="auto"/>
        <w:ind w:right="1619"/>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在建商业用房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88"/>
        <w:gridCol w:w="3191"/>
      </w:tblGrid>
      <w:tr>
        <w:trPr>
          <w:trHeight w:val="397"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20"/>
          <w:pgSz w:w="11910" w:h="16840"/>
          <w:pgMar w:footer="982" w:header="747" w:top="1060" w:bottom="1180" w:left="980" w:right="980"/>
          <w:pgNumType w:start="101"/>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56" w:lineRule="auto"/>
        <w:ind w:left="153" w:right="0"/>
        <w:jc w:val="left"/>
      </w:pPr>
      <w:r>
        <w:rPr/>
        <w:t>在建工程中在建商业用房原值</w:t>
      </w:r>
      <w:r>
        <w:rPr>
          <w:rFonts w:ascii="Times New Roman" w:hAnsi="Times New Roman" w:cs="Times New Roman" w:eastAsia="Times New Roman" w:hint="default"/>
        </w:rPr>
        <w:t>3,000,000.00</w:t>
      </w:r>
      <w:r>
        <w:rPr/>
        <w:t>元，本期未发生变化，产生原因为：本公司的宿舍楼被房产开发 公司拆迁，拆迁补偿的金额为</w:t>
      </w:r>
      <w:r>
        <w:rPr>
          <w:rFonts w:ascii="Times New Roman" w:hAnsi="Times New Roman" w:cs="Times New Roman" w:eastAsia="Times New Roman" w:hint="default"/>
        </w:rPr>
        <w:t>8,000,000.00</w:t>
      </w:r>
      <w:r>
        <w:rPr/>
        <w:t>元，其中现金</w:t>
      </w:r>
      <w:r>
        <w:rPr>
          <w:rFonts w:ascii="Times New Roman" w:hAnsi="Times New Roman" w:cs="Times New Roman" w:eastAsia="Times New Roman" w:hint="default"/>
        </w:rPr>
        <w:t>5,000,000.00</w:t>
      </w:r>
      <w:r>
        <w:rPr/>
        <w:t>元，两层商业用房折合人民币 </w:t>
      </w:r>
      <w:r>
        <w:rPr>
          <w:rFonts w:ascii="Times New Roman" w:hAnsi="Times New Roman" w:cs="Times New Roman" w:eastAsia="Times New Roman" w:hint="default"/>
          <w:spacing w:val="-3"/>
        </w:rPr>
        <w:t>3,000,000.00</w:t>
      </w:r>
      <w:r>
        <w:rPr>
          <w:spacing w:val="-3"/>
        </w:rPr>
        <w:t>元，对于尚未交付的两层商业用房本公司作为</w:t>
      </w:r>
      <w:r>
        <w:rPr>
          <w:rFonts w:ascii="Times New Roman" w:hAnsi="Times New Roman" w:cs="Times New Roman" w:eastAsia="Times New Roman" w:hint="default"/>
          <w:spacing w:val="-3"/>
        </w:rPr>
        <w:t>“</w:t>
      </w:r>
      <w:r>
        <w:rPr>
          <w:spacing w:val="-3"/>
        </w:rPr>
        <w:t>在建工程</w:t>
      </w:r>
      <w:r>
        <w:rPr>
          <w:rFonts w:ascii="Times New Roman" w:hAnsi="Times New Roman" w:cs="Times New Roman" w:eastAsia="Times New Roman" w:hint="default"/>
          <w:spacing w:val="-3"/>
        </w:rPr>
        <w:t>”</w:t>
      </w:r>
      <w:r>
        <w:rPr>
          <w:spacing w:val="-3"/>
        </w:rPr>
        <w:t>核算。主体已经完工，预计</w:t>
      </w:r>
      <w:r>
        <w:rPr>
          <w:rFonts w:ascii="Times New Roman" w:hAnsi="Times New Roman" w:cs="Times New Roman" w:eastAsia="Times New Roman" w:hint="default"/>
          <w:spacing w:val="-3"/>
        </w:rPr>
        <w:t>2013</w:t>
      </w:r>
      <w:r>
        <w:rPr>
          <w:spacing w:val="-3"/>
        </w:rPr>
        <w:t>年四、</w:t>
      </w:r>
      <w:r>
        <w:rPr>
          <w:spacing w:val="-97"/>
        </w:rPr>
        <w:t> </w:t>
      </w:r>
      <w:r>
        <w:rPr/>
        <w:t>五月份交房。</w:t>
      </w:r>
    </w:p>
    <w:p>
      <w:pPr>
        <w:spacing w:line="240" w:lineRule="auto" w:before="10"/>
        <w:rPr>
          <w:rFonts w:ascii="宋体" w:hAnsi="宋体" w:cs="宋体" w:eastAsia="宋体" w:hint="default"/>
          <w:sz w:val="24"/>
          <w:szCs w:val="24"/>
        </w:rPr>
      </w:pPr>
    </w:p>
    <w:p>
      <w:pPr>
        <w:pStyle w:val="Heading5"/>
        <w:spacing w:line="240" w:lineRule="auto"/>
        <w:ind w:left="153"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15"/>
        <w:gridCol w:w="1993"/>
        <w:gridCol w:w="2126"/>
        <w:gridCol w:w="2522"/>
      </w:tblGrid>
      <w:tr>
        <w:trPr>
          <w:trHeight w:val="402" w:hRule="exact"/>
        </w:trPr>
        <w:tc>
          <w:tcPr>
            <w:tcW w:w="2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3"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数据海量存储系统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金蝶软件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24,766.68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402,466.68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数据海量存储系统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70,200.00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金蝶软件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3,166.68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3,166.68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-5,766.68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32,033.32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数据海量存储系统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37,800.00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金蝶软件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15,833.32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数据海量存储系统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金蝶软件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-5,766.68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32,033.32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数据海量存储系统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37,800.00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金蝶软件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15,833.32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24,766.68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spacing w:line="357" w:lineRule="auto" w:before="52"/>
        <w:ind w:left="153" w:right="4371"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9"/>
        <w:rPr>
          <w:rFonts w:ascii="宋体" w:hAnsi="宋体" w:cs="宋体" w:eastAsia="宋体" w:hint="default"/>
          <w:sz w:val="25"/>
          <w:szCs w:val="25"/>
        </w:rPr>
      </w:pPr>
    </w:p>
    <w:p>
      <w:pPr>
        <w:pStyle w:val="Heading5"/>
        <w:spacing w:line="240" w:lineRule="auto"/>
        <w:ind w:right="1619"/>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深圳艾特凡斯智能科技有限公 司</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263,641.33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206,328.00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19,051.45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68,585.23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3,571.43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12,857.14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小车轨道展示费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48,416.67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34,583.33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38,305.43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20,893.87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工厂装修费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16,818.37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698,891.57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244,278.63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287,770.37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7201" w:firstLine="0"/>
        <w:jc w:val="left"/>
        <w:rPr>
          <w:rFonts w:ascii="Times New Roman" w:hAnsi="Times New Roman" w:cs="Times New Roman" w:eastAsia="Times New Roman" w:hint="default"/>
          <w:sz w:val="18"/>
          <w:szCs w:val="18"/>
        </w:rPr>
      </w:pPr>
      <w:r>
        <w:rPr/>
        <w:pict>
          <v:shape style="position:absolute;margin-left:55.23pt;margin-top:35.142006pt;width:305.4pt;height:51.3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1276"/>
                    <w:gridCol w:w="1136"/>
                    <w:gridCol w:w="1132"/>
                    <w:gridCol w:w="1136"/>
                  </w:tblGrid>
                  <w:tr>
                    <w:trPr>
                      <w:trHeight w:val="659" w:hRule="exact"/>
                    </w:trPr>
                    <w:tc>
                      <w:tcPr>
                        <w:tcW w:w="1398" w:type="dxa"/>
                        <w:tcBorders>
                          <w:top w:val="nil" w:sz="6" w:space="0" w:color="auto"/>
                          <w:left w:val="nil" w:sz="6" w:space="0" w:color="auto"/>
                          <w:bottom w:val="single" w:sz="12" w:space="0" w:color="000000"/>
                          <w:right w:val="single" w:sz="6" w:space="0" w:color="000000"/>
                        </w:tcBorders>
                      </w:tcPr>
                      <w:p>
                        <w:pPr>
                          <w:pStyle w:val="TableParagraph"/>
                          <w:spacing w:line="240" w:lineRule="auto" w:before="4"/>
                          <w:ind w:left="48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项</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w:t>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right="26"/>
                          <w:jc w:val="right"/>
                          <w:rPr>
                            <w:rFonts w:ascii="宋体" w:hAnsi="宋体" w:cs="宋体" w:eastAsia="宋体" w:hint="default"/>
                            <w:sz w:val="20"/>
                            <w:szCs w:val="20"/>
                          </w:rPr>
                        </w:pPr>
                        <w:r>
                          <w:rPr>
                            <w:rFonts w:ascii="宋体" w:hAnsi="宋体" w:cs="宋体" w:eastAsia="宋体" w:hint="default"/>
                            <w:spacing w:val="-1"/>
                            <w:sz w:val="20"/>
                            <w:szCs w:val="20"/>
                          </w:rPr>
                          <w:t>本期转入原值</w:t>
                        </w:r>
                      </w:p>
                    </w:tc>
                    <w:tc>
                      <w:tcPr>
                        <w:tcW w:w="1136" w:type="dxa"/>
                        <w:tcBorders>
                          <w:top w:val="nil" w:sz="6" w:space="0" w:color="auto"/>
                          <w:left w:val="single" w:sz="6" w:space="0" w:color="000000"/>
                          <w:bottom w:val="single" w:sz="12" w:space="0" w:color="000000"/>
                          <w:right w:val="single" w:sz="6" w:space="0" w:color="000000"/>
                        </w:tcBorders>
                      </w:tcPr>
                      <w:p>
                        <w:pPr>
                          <w:pStyle w:val="TableParagraph"/>
                          <w:spacing w:line="285" w:lineRule="auto" w:before="4"/>
                          <w:ind w:left="459" w:right="59" w:hanging="400"/>
                          <w:jc w:val="left"/>
                          <w:rPr>
                            <w:rFonts w:ascii="宋体" w:hAnsi="宋体" w:cs="宋体" w:eastAsia="宋体" w:hint="default"/>
                            <w:sz w:val="20"/>
                            <w:szCs w:val="20"/>
                          </w:rPr>
                        </w:pPr>
                        <w:r>
                          <w:rPr>
                            <w:rFonts w:ascii="宋体" w:hAnsi="宋体" w:cs="宋体" w:eastAsia="宋体" w:hint="default"/>
                            <w:sz w:val="20"/>
                            <w:szCs w:val="20"/>
                          </w:rPr>
                          <w:t>本期转入摊</w:t>
                        </w:r>
                        <w:r>
                          <w:rPr>
                            <w:rFonts w:ascii="宋体" w:hAnsi="宋体" w:cs="宋体" w:eastAsia="宋体" w:hint="default"/>
                            <w:w w:val="100"/>
                            <w:sz w:val="20"/>
                            <w:szCs w:val="20"/>
                          </w:rPr>
                          <w:t> </w:t>
                        </w:r>
                        <w:r>
                          <w:rPr>
                            <w:rFonts w:ascii="宋体" w:hAnsi="宋体" w:cs="宋体" w:eastAsia="宋体" w:hint="default"/>
                            <w:sz w:val="20"/>
                            <w:szCs w:val="20"/>
                          </w:rPr>
                          <w:t>销</w:t>
                        </w:r>
                      </w:p>
                    </w:tc>
                    <w:tc>
                      <w:tcPr>
                        <w:tcW w:w="113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left="157"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13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left="60" w:right="0"/>
                          <w:jc w:val="left"/>
                          <w:rPr>
                            <w:rFonts w:ascii="宋体" w:hAnsi="宋体" w:cs="宋体" w:eastAsia="宋体" w:hint="default"/>
                            <w:sz w:val="20"/>
                            <w:szCs w:val="20"/>
                          </w:rPr>
                        </w:pPr>
                        <w:r>
                          <w:rPr>
                            <w:rFonts w:ascii="宋体" w:hAnsi="宋体" w:cs="宋体" w:eastAsia="宋体" w:hint="default"/>
                            <w:sz w:val="20"/>
                            <w:szCs w:val="20"/>
                          </w:rPr>
                          <w:t>本期增加额</w:t>
                        </w:r>
                      </w:p>
                    </w:tc>
                  </w:tr>
                  <w:tr>
                    <w:trPr>
                      <w:trHeight w:val="352"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办公区装修费</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378,268.00</w:t>
                        </w:r>
                        <w:r>
                          <w:rPr>
                            <w:rFonts w:ascii="Times New Roman"/>
                            <w:sz w:val="20"/>
                          </w:rPr>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16" w:right="0"/>
                          <w:jc w:val="left"/>
                          <w:rPr>
                            <w:rFonts w:ascii="Times New Roman" w:hAnsi="Times New Roman" w:cs="Times New Roman" w:eastAsia="Times New Roman" w:hint="default"/>
                            <w:sz w:val="20"/>
                            <w:szCs w:val="20"/>
                          </w:rPr>
                        </w:pPr>
                        <w:r>
                          <w:rPr>
                            <w:rFonts w:ascii="Times New Roman"/>
                            <w:sz w:val="20"/>
                          </w:rPr>
                          <w:t>114,626.67</w:t>
                        </w:r>
                      </w:p>
                    </w:tc>
                    <w:tc>
                      <w:tcPr>
                        <w:tcW w:w="1132"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263,641.33</w:t>
                        </w:r>
                      </w:p>
                    </w:tc>
                  </w:tr>
                </w:tbl>
                <w:p>
                  <w:pPr/>
                </w:p>
              </w:txbxContent>
            </v:textbox>
            <w10:wrap type="none"/>
          </v:shape>
        </w:pict>
      </w:r>
      <w:r>
        <w:rPr>
          <w:rFonts w:ascii="宋体" w:hAnsi="宋体" w:cs="宋体" w:eastAsia="宋体" w:hint="default"/>
          <w:sz w:val="18"/>
          <w:szCs w:val="18"/>
        </w:rPr>
        <w:t>长期待摊费用的说明 本期增加额的具体数字来源如下</w:t>
      </w:r>
      <w:r>
        <w:rPr>
          <w:rFonts w:ascii="Times New Roman" w:hAnsi="Times New Roman" w:cs="Times New Roman" w:eastAsia="Times New Roman" w:hint="default"/>
          <w:sz w:val="18"/>
          <w:szCs w:val="18"/>
        </w:rPr>
        <w:t>:</w:t>
      </w:r>
    </w:p>
    <w:p>
      <w:pPr>
        <w:spacing w:after="0" w:line="357"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1398"/>
        <w:gridCol w:w="1276"/>
        <w:gridCol w:w="1136"/>
        <w:gridCol w:w="1132"/>
        <w:gridCol w:w="1136"/>
      </w:tblGrid>
      <w:tr>
        <w:trPr>
          <w:trHeight w:val="347" w:hRule="exact"/>
        </w:trPr>
        <w:tc>
          <w:tcPr>
            <w:tcW w:w="1398" w:type="dxa"/>
            <w:tcBorders>
              <w:top w:val="nil" w:sz="6" w:space="0" w:color="auto"/>
              <w:left w:val="nil" w:sz="6" w:space="0" w:color="auto"/>
              <w:bottom w:val="single" w:sz="12" w:space="0" w:color="000000"/>
              <w:right w:val="single" w:sz="6" w:space="0" w:color="000000"/>
            </w:tcBorders>
          </w:tcPr>
          <w:p>
            <w:pPr>
              <w:pStyle w:val="TableParagraph"/>
              <w:spacing w:line="240" w:lineRule="auto" w:before="4"/>
              <w:ind w:left="24" w:right="0"/>
              <w:jc w:val="left"/>
              <w:rPr>
                <w:rFonts w:ascii="宋体" w:hAnsi="宋体" w:cs="宋体" w:eastAsia="宋体" w:hint="default"/>
                <w:sz w:val="20"/>
                <w:szCs w:val="20"/>
              </w:rPr>
            </w:pPr>
            <w:r>
              <w:rPr>
                <w:rFonts w:ascii="宋体" w:hAnsi="宋体" w:cs="宋体" w:eastAsia="宋体" w:hint="default"/>
                <w:sz w:val="20"/>
                <w:szCs w:val="20"/>
              </w:rPr>
              <w:t>办公区装修费</w:t>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118,119.00</w:t>
            </w:r>
            <w:r>
              <w:rPr>
                <w:rFonts w:ascii="Times New Roman"/>
                <w:sz w:val="20"/>
              </w:rPr>
            </w:r>
          </w:p>
        </w:tc>
        <w:tc>
          <w:tcPr>
            <w:tcW w:w="113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30,482.32</w:t>
            </w:r>
          </w:p>
        </w:tc>
        <w:tc>
          <w:tcPr>
            <w:tcW w:w="1132" w:type="dxa"/>
            <w:tcBorders>
              <w:top w:val="nil" w:sz="6" w:space="0" w:color="auto"/>
              <w:left w:val="single" w:sz="6" w:space="0" w:color="000000"/>
              <w:bottom w:val="single" w:sz="12" w:space="0" w:color="000000"/>
              <w:right w:val="single" w:sz="6" w:space="0" w:color="000000"/>
            </w:tcBorders>
          </w:tcPr>
          <w:p>
            <w:pPr/>
          </w:p>
        </w:tc>
        <w:tc>
          <w:tcPr>
            <w:tcW w:w="113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87,636.68</w:t>
            </w:r>
          </w:p>
        </w:tc>
      </w:tr>
      <w:tr>
        <w:trPr>
          <w:trHeight w:val="352"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办公区装修费</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20,000.00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3,571.43</w:t>
            </w:r>
          </w:p>
        </w:tc>
        <w:tc>
          <w:tcPr>
            <w:tcW w:w="1132"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16,428.57</w:t>
            </w:r>
          </w:p>
        </w:tc>
      </w:tr>
      <w:tr>
        <w:trPr>
          <w:trHeight w:val="664"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85" w:lineRule="auto"/>
              <w:ind w:left="24" w:right="163"/>
              <w:jc w:val="left"/>
              <w:rPr>
                <w:rFonts w:ascii="宋体" w:hAnsi="宋体" w:cs="宋体" w:eastAsia="宋体" w:hint="default"/>
                <w:sz w:val="20"/>
                <w:szCs w:val="20"/>
              </w:rPr>
            </w:pPr>
            <w:r>
              <w:rPr>
                <w:rFonts w:ascii="宋体" w:hAnsi="宋体" w:cs="宋体" w:eastAsia="宋体" w:hint="default"/>
                <w:sz w:val="20"/>
                <w:szCs w:val="20"/>
              </w:rPr>
              <w:t>小车轨道展示</w:t>
            </w:r>
            <w:r>
              <w:rPr>
                <w:rFonts w:ascii="宋体" w:hAnsi="宋体" w:cs="宋体" w:eastAsia="宋体" w:hint="default"/>
                <w:w w:val="100"/>
                <w:sz w:val="20"/>
                <w:szCs w:val="20"/>
              </w:rPr>
              <w:t> </w:t>
            </w:r>
            <w:r>
              <w:rPr>
                <w:rFonts w:ascii="宋体" w:hAnsi="宋体" w:cs="宋体" w:eastAsia="宋体" w:hint="default"/>
                <w:sz w:val="20"/>
                <w:szCs w:val="20"/>
              </w:rPr>
              <w:t>费</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83,000.00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83,000.00</w:t>
            </w:r>
          </w:p>
        </w:tc>
      </w:tr>
      <w:tr>
        <w:trPr>
          <w:trHeight w:val="353"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办公区装修费</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41,787.74</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3,482.31</w:t>
            </w:r>
          </w:p>
        </w:tc>
        <w:tc>
          <w:tcPr>
            <w:tcW w:w="1132"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38,305.43</w:t>
            </w:r>
          </w:p>
        </w:tc>
      </w:tr>
      <w:tr>
        <w:trPr>
          <w:trHeight w:val="352"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26,652.00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26,652.00</w:t>
            </w:r>
          </w:p>
        </w:tc>
      </w:tr>
      <w:tr>
        <w:trPr>
          <w:trHeight w:val="352"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工厂装修费</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158,000.00</w:t>
            </w:r>
            <w:r>
              <w:rPr>
                <w:rFonts w:ascii="Times New Roman"/>
                <w:sz w:val="20"/>
              </w:rPr>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158,000.00</w:t>
            </w:r>
            <w:r>
              <w:rPr>
                <w:rFonts w:ascii="Times New Roman"/>
                <w:sz w:val="21"/>
              </w:rPr>
            </w:r>
          </w:p>
        </w:tc>
      </w:tr>
      <w:tr>
        <w:trPr>
          <w:trHeight w:val="353"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25,227.56</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25,227.56</w:t>
            </w:r>
          </w:p>
        </w:tc>
      </w:tr>
      <w:tr>
        <w:trPr>
          <w:trHeight w:val="352" w:hRule="exact"/>
        </w:trPr>
        <w:tc>
          <w:tcPr>
            <w:tcW w:w="1398"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42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0"/>
                <w:sz w:val="20"/>
                <w:szCs w:val="20"/>
              </w:rPr>
              <w:t> </w:t>
            </w:r>
            <w:r>
              <w:rPr>
                <w:rFonts w:ascii="宋体" w:hAnsi="宋体" w:cs="宋体" w:eastAsia="宋体" w:hint="default"/>
                <w:sz w:val="20"/>
                <w:szCs w:val="20"/>
              </w:rPr>
              <w:t>计</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558,174.74</w:t>
            </w:r>
            <w:r>
              <w:rPr>
                <w:rFonts w:ascii="Times New Roman"/>
                <w:sz w:val="20"/>
              </w:rPr>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
              <w:jc w:val="right"/>
              <w:rPr>
                <w:rFonts w:ascii="Times New Roman" w:hAnsi="Times New Roman" w:cs="Times New Roman" w:eastAsia="Times New Roman" w:hint="default"/>
                <w:sz w:val="20"/>
                <w:szCs w:val="20"/>
              </w:rPr>
            </w:pPr>
            <w:r>
              <w:rPr>
                <w:rFonts w:ascii="Times New Roman"/>
                <w:spacing w:val="-1"/>
                <w:sz w:val="20"/>
              </w:rPr>
              <w:t>152,162.73</w:t>
            </w:r>
            <w:r>
              <w:rPr>
                <w:rFonts w:ascii="Times New Roman"/>
                <w:sz w:val="20"/>
              </w:rPr>
            </w: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292,879.56</w:t>
            </w:r>
            <w:r>
              <w:rPr>
                <w:rFonts w:ascii="Times New Roman"/>
                <w:sz w:val="20"/>
              </w:rPr>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698,891.57</w:t>
            </w:r>
            <w:r>
              <w:rPr>
                <w:rFonts w:ascii="Times New Roman"/>
                <w:sz w:val="21"/>
              </w:rPr>
            </w:r>
          </w:p>
        </w:tc>
      </w:tr>
    </w:tbl>
    <w:p>
      <w:pPr>
        <w:pStyle w:val="BodyText"/>
        <w:spacing w:line="260" w:lineRule="exact"/>
        <w:ind w:right="0"/>
        <w:jc w:val="left"/>
      </w:pPr>
      <w:r>
        <w:rPr/>
        <w:t>注：本期转入原值和本期转入摊销为本期收购的子公司深圳艾特凡斯智能科技有限公司购买日的数据。其</w:t>
      </w:r>
    </w:p>
    <w:p>
      <w:pPr>
        <w:pStyle w:val="BodyText"/>
        <w:spacing w:line="240" w:lineRule="auto" w:before="37"/>
        <w:ind w:right="1619"/>
        <w:jc w:val="left"/>
      </w:pPr>
      <w:r>
        <w:rPr/>
        <w:t>他减少为剩余摊销年限不足一年的长期待摊费用转入一年内到期的非流动资产。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619"/>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17"/>
      </w:tblGrid>
      <w:tr>
        <w:trPr>
          <w:trHeight w:val="35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报告期初互抵后的</w:t>
            </w:r>
          </w:p>
        </w:tc>
        <w:tc>
          <w:tcPr>
            <w:tcW w:w="161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报告期初互抵后的</w:t>
            </w:r>
          </w:p>
        </w:tc>
      </w:tr>
      <w:tr>
        <w:trPr>
          <w:trHeight w:val="313"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递延所得税资产或</w:t>
            </w:r>
          </w:p>
        </w:tc>
        <w:tc>
          <w:tcPr>
            <w:tcW w:w="16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可抵扣或应纳税暂</w:t>
            </w:r>
          </w:p>
        </w:tc>
        <w:tc>
          <w:tcPr>
            <w:tcW w:w="1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递延所得税资产或</w:t>
            </w:r>
          </w:p>
        </w:tc>
        <w:tc>
          <w:tcPr>
            <w:tcW w:w="16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可抵扣或应纳税暂</w:t>
            </w:r>
          </w:p>
        </w:tc>
      </w:tr>
      <w:tr>
        <w:trPr>
          <w:trHeight w:val="356"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62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时性差异</w:t>
            </w:r>
          </w:p>
        </w:tc>
        <w:tc>
          <w:tcPr>
            <w:tcW w:w="162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负债</w:t>
            </w:r>
          </w:p>
        </w:tc>
        <w:tc>
          <w:tcPr>
            <w:tcW w:w="161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时性差异</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849;top:16;width:2;height:392" coordorigin="3849,16" coordsize="2,392">
              <v:shape style="position:absolute;left:3849;top:16;width:2;height:392" coordorigin="3849,16" coordsize="0,392" path="m3849,16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6;width:2;height:392" coordorigin="3882,16" coordsize="2,392">
              <v:shape style="position:absolute;left:3882;top:16;width:2;height:392" coordorigin="3882,16" coordsize="0,392" path="m3882,16l3882,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856;height:2" coordorigin="5,413" coordsize="3856,2">
              <v:shape style="position:absolute;left:5;top:413;width:3856;height:2" coordorigin="5,413" coordsize="3856,0" path="m5,413l3860,413e" filled="false" stroked="true" strokeweight=".48004pt" strokecolor="#000000">
                <v:path arrowok="t"/>
              </v:shape>
            </v:group>
            <v:group style="position:absolute;left:3865;top:14;width:2;height:404" coordorigin="3865,14" coordsize="2,404">
              <v:shape style="position:absolute;left:3865;top:14;width:2;height:404" coordorigin="3865,14" coordsize="0,404" path="m3865,14l3865,418e" filled="false" stroked="true" strokeweight=".48pt" strokecolor="#000000">
                <v:path arrowok="t"/>
              </v:shape>
            </v:group>
            <v:group style="position:absolute;left:3870;top:413;width:5703;height:2" coordorigin="3870,413" coordsize="5703,2">
              <v:shape style="position:absolute;left:3870;top:413;width:5703;height:2" coordorigin="3870,413" coordsize="5703,0" path="m3870,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3"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7"/>
        <w:ind w:left="154" w:right="1619"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0"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5"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40"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142,237.53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8,449.27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73,018.05</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1,567,670.29</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1,567,670.29</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2,180,448.74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8,449.27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2,111,229.26</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pStyle w:val="BodyText"/>
        <w:spacing w:line="240" w:lineRule="auto" w:before="89"/>
        <w:ind w:right="1619"/>
        <w:jc w:val="left"/>
      </w:pPr>
      <w:r>
        <w:rPr/>
        <w:t>本期增加额为转入本期收购的子公司深圳艾特凡斯智能科技有限公司购买日的数据。</w:t>
      </w:r>
    </w:p>
    <w:p>
      <w:pPr>
        <w:spacing w:line="240" w:lineRule="auto" w:before="11"/>
        <w:rPr>
          <w:rFonts w:ascii="宋体" w:hAnsi="宋体" w:cs="宋体" w:eastAsia="宋体" w:hint="default"/>
          <w:sz w:val="25"/>
          <w:szCs w:val="25"/>
        </w:rPr>
      </w:pPr>
    </w:p>
    <w:p>
      <w:pPr>
        <w:pStyle w:val="Heading5"/>
        <w:spacing w:line="240" w:lineRule="auto"/>
        <w:ind w:left="153" w:right="1619"/>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60" w:lineRule="auto" w:before="51"/>
        <w:ind w:left="153" w:right="365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11"/>
        <w:rPr>
          <w:rFonts w:ascii="宋体" w:hAnsi="宋体" w:cs="宋体" w:eastAsia="宋体" w:hint="default"/>
          <w:sz w:val="19"/>
          <w:szCs w:val="19"/>
        </w:rPr>
      </w:pPr>
    </w:p>
    <w:p>
      <w:pPr>
        <w:pStyle w:val="Heading5"/>
        <w:spacing w:line="240" w:lineRule="auto"/>
        <w:ind w:right="1619"/>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403"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357" w:lineRule="auto" w:before="52"/>
        <w:ind w:left="153" w:right="7251"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1"/>
        <w:rPr>
          <w:rFonts w:ascii="宋体" w:hAnsi="宋体" w:cs="宋体" w:eastAsia="宋体" w:hint="default"/>
          <w:sz w:val="20"/>
          <w:szCs w:val="20"/>
        </w:rPr>
      </w:pPr>
    </w:p>
    <w:p>
      <w:pPr>
        <w:pStyle w:val="Heading5"/>
        <w:spacing w:line="240" w:lineRule="auto"/>
        <w:ind w:right="1619"/>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2,731,952.90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2,534.10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807,385.59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807,385.59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3,541,872.59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619"/>
        <w:jc w:val="left"/>
      </w:pPr>
      <w:r>
        <w:rPr>
          <w:rFonts w:ascii="Times New Roman" w:hAnsi="Times New Roman" w:cs="Times New Roman" w:eastAsia="Times New Roman" w:hint="default"/>
        </w:rPr>
        <w:t>5</w:t>
      </w:r>
      <w:r>
        <w:rPr/>
        <w:t>年以上的应付款项为以前年度的暂估的货款，一直未支付。</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14,652,000.00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59,526.48</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56,495.65</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14,708,495.65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59,526.48</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8,097,933.13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5,578,473.30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2,603,459.83</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312,312.20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228,312.20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6,760.78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547,209.13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553,969.91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1,261.96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166,547.20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167,809.16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4,887.84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328,132.50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333,020.34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610.98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30,611.21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31,222.19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8,296.29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8,296.29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13,621.93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13,621.93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149,997.82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143,130.82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644,203.66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29,123.69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673,327.35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宋体" w:hAnsi="宋体" w:cs="宋体" w:eastAsia="宋体" w:hint="default"/>
                <w:sz w:val="18"/>
                <w:szCs w:val="18"/>
              </w:rPr>
              <w:t>工会会费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58,934.66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25,163.69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84,098.35</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3,960.00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3,960.00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firstLine="540"/>
              <w:jc w:val="left"/>
              <w:rPr>
                <w:rFonts w:ascii="宋体" w:hAnsi="宋体" w:cs="宋体" w:eastAsia="宋体" w:hint="default"/>
                <w:sz w:val="18"/>
                <w:szCs w:val="18"/>
              </w:rPr>
            </w:pPr>
            <w:r>
              <w:rPr>
                <w:rFonts w:ascii="宋体" w:hAnsi="宋体" w:cs="宋体" w:eastAsia="宋体" w:hint="default"/>
                <w:sz w:val="18"/>
                <w:szCs w:val="18"/>
              </w:rPr>
              <w:t>解除劳动关 系补偿</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585,269.00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585,269.00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650,964.44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9,136,575.97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7,177,213.58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2,610,326.83</w:t>
            </w:r>
          </w:p>
        </w:tc>
      </w:tr>
    </w:tbl>
    <w:p>
      <w:pPr>
        <w:spacing w:line="360" w:lineRule="auto" w:before="51"/>
        <w:ind w:left="153" w:right="2931"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应付职工薪酬中属于拖欠性质的金额元。 工会经费和职工教育经费金额元，非货币性福利金额元，因解除劳动关系给予补偿元。 应付职工薪酬预计发放时间、金额等安排</w:t>
      </w:r>
    </w:p>
    <w:p>
      <w:pPr>
        <w:spacing w:line="240" w:lineRule="auto" w:before="12"/>
        <w:rPr>
          <w:rFonts w:ascii="宋体" w:hAnsi="宋体" w:cs="宋体" w:eastAsia="宋体" w:hint="default"/>
          <w:sz w:val="19"/>
          <w:szCs w:val="19"/>
        </w:rPr>
      </w:pPr>
    </w:p>
    <w:p>
      <w:pPr>
        <w:pStyle w:val="Heading5"/>
        <w:spacing w:line="240" w:lineRule="auto"/>
        <w:ind w:right="1619"/>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399,794.79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-79,134.03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-360,837.67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26,869.13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455,000.29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451,537.36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19,192.23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540,018.77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394,903.33</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pStyle w:val="Heading5"/>
        <w:spacing w:line="240" w:lineRule="auto" w:before="90"/>
        <w:ind w:left="910" w:right="1619"/>
        <w:jc w:val="left"/>
        <w:rPr>
          <w:b w:val="0"/>
          <w:bCs w:val="0"/>
        </w:rPr>
      </w:pPr>
      <w:r>
        <w:rPr/>
        <w:t>期末营业税余额负数为预缴税金。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公众股利及税金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99,495.32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99,495.32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中行江苏信托投资公司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99,495.52</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631,798.30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770,961.45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770,961.45</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1,408,059.75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1,076,261.45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619"/>
        <w:jc w:val="left"/>
      </w:pPr>
      <w:r>
        <w:rPr>
          <w:rFonts w:ascii="Times New Roman" w:hAnsi="Times New Roman" w:cs="Times New Roman" w:eastAsia="Times New Roman" w:hint="default"/>
        </w:rPr>
        <w:t>5</w:t>
      </w:r>
      <w:r>
        <w:rPr/>
        <w:t>年以上的应付款项</w:t>
      </w:r>
      <w:r>
        <w:rPr>
          <w:rFonts w:ascii="Times New Roman" w:hAnsi="Times New Roman" w:cs="Times New Roman" w:eastAsia="Times New Roman" w:hint="default"/>
        </w:rPr>
        <w:t>770,961.45</w:t>
      </w:r>
      <w:r>
        <w:rPr/>
        <w:t>元，为应付远东实业股份香港有限公司的往来款。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855" w:type="dxa"/>
        <w:tblLayout w:type="fixed"/>
        <w:tblCellMar>
          <w:top w:w="0" w:type="dxa"/>
          <w:left w:w="0" w:type="dxa"/>
          <w:bottom w:w="0" w:type="dxa"/>
          <w:right w:w="0" w:type="dxa"/>
        </w:tblCellMar>
        <w:tblLook w:val="01E0"/>
      </w:tblPr>
      <w:tblGrid>
        <w:gridCol w:w="2693"/>
        <w:gridCol w:w="2268"/>
        <w:gridCol w:w="1843"/>
        <w:gridCol w:w="1614"/>
      </w:tblGrid>
      <w:tr>
        <w:trPr>
          <w:trHeight w:val="355" w:hRule="exact"/>
        </w:trPr>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6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远东实业股份香港有限公司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770,961.45</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6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立信会计师事务所江苏分所</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
              <w:jc w:val="right"/>
              <w:rPr>
                <w:rFonts w:ascii="Times New Roman" w:hAnsi="Times New Roman" w:cs="Times New Roman" w:eastAsia="Times New Roman" w:hint="default"/>
                <w:sz w:val="20"/>
                <w:szCs w:val="20"/>
              </w:rPr>
            </w:pPr>
            <w:r>
              <w:rPr>
                <w:rFonts w:ascii="Times New Roman"/>
                <w:spacing w:val="-1"/>
                <w:sz w:val="20"/>
              </w:rPr>
              <w:t>380,188.68</w:t>
            </w:r>
            <w:r>
              <w:rPr>
                <w:rFonts w:ascii="Times New Roman"/>
                <w:sz w:val="20"/>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应付审计费</w:t>
            </w:r>
          </w:p>
        </w:tc>
        <w:tc>
          <w:tcPr>
            <w:tcW w:w="161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100,000.00</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财务顾问费</w:t>
            </w:r>
          </w:p>
        </w:tc>
        <w:tc>
          <w:tcPr>
            <w:tcW w:w="161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82"/>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9"/>
        <w:gridCol w:w="2789"/>
        <w:gridCol w:w="3188"/>
      </w:tblGrid>
      <w:tr>
        <w:trPr>
          <w:trHeight w:val="402" w:hRule="exact"/>
        </w:trPr>
        <w:tc>
          <w:tcPr>
            <w:tcW w:w="3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35" w:space="39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5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11"/>
        <w:rPr>
          <w:rFonts w:ascii="宋体" w:hAnsi="宋体" w:cs="宋体" w:eastAsia="宋体" w:hint="default"/>
          <w:sz w:val="19"/>
          <w:szCs w:val="19"/>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5"/>
        <w:ind w:left="154" w:right="1619"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396"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8"/>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5"/>
      </w:tblGrid>
      <w:tr>
        <w:trPr>
          <w:trHeight w:val="401"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55"/>
        <w:ind w:left="153" w:right="5811"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after="0" w:line="36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83"/>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52"/>
        <w:ind w:left="154" w:right="83"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0"/>
        <w:rPr>
          <w:rFonts w:ascii="宋体" w:hAnsi="宋体" w:cs="宋体" w:eastAsia="宋体" w:hint="default"/>
          <w:sz w:val="26"/>
          <w:szCs w:val="26"/>
        </w:rPr>
      </w:pPr>
    </w:p>
    <w:p>
      <w:pPr>
        <w:pStyle w:val="Heading5"/>
        <w:spacing w:line="240" w:lineRule="auto"/>
        <w:ind w:right="83"/>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企业合并成本中或有对价的公允价值</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15,475,353.19</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294,437.50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15,769,790.69</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83"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56" w:lineRule="auto" w:before="89"/>
        <w:ind w:right="83"/>
        <w:jc w:val="left"/>
      </w:pPr>
      <w:r>
        <w:rPr>
          <w:rFonts w:ascii="Times New Roman" w:hAnsi="Times New Roman" w:cs="Times New Roman" w:eastAsia="Times New Roman" w:hint="default"/>
        </w:rPr>
        <w:t>1</w:t>
      </w:r>
      <w:r>
        <w:rPr/>
        <w:t>、根据本公司与艾特凡斯公司原股东签订的股权转让协议，本公司支付</w:t>
      </w:r>
      <w:r>
        <w:rPr>
          <w:rFonts w:ascii="Times New Roman" w:hAnsi="Times New Roman" w:cs="Times New Roman" w:eastAsia="Times New Roman" w:hint="default"/>
        </w:rPr>
        <w:t>1,200</w:t>
      </w:r>
      <w:r>
        <w:rPr/>
        <w:t>万元购买目标公司的</w:t>
      </w:r>
      <w:r>
        <w:rPr>
          <w:rFonts w:ascii="Times New Roman" w:hAnsi="Times New Roman" w:cs="Times New Roman" w:eastAsia="Times New Roman" w:hint="default"/>
        </w:rPr>
        <w:t>51%</w:t>
      </w:r>
      <w:r>
        <w:rPr/>
        <w:t>的</w:t>
      </w:r>
      <w:r>
        <w:rPr>
          <w:spacing w:val="-56"/>
        </w:rPr>
        <w:t> </w:t>
      </w:r>
      <w:r>
        <w:rPr/>
        <w:t>股权，同时承担部分或有对价，该部分或有对价在报表日的公允价值为</w:t>
      </w:r>
      <w:r>
        <w:rPr>
          <w:rFonts w:ascii="Times New Roman" w:hAnsi="Times New Roman" w:cs="Times New Roman" w:eastAsia="Times New Roman" w:hint="default"/>
          <w:sz w:val="20"/>
          <w:szCs w:val="20"/>
        </w:rPr>
        <w:t>15,475,353.19</w:t>
      </w:r>
      <w:r>
        <w:rPr/>
        <w:t>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月本公司收到科技部科技型中小企业技术创新基金管理中心的</w:t>
      </w:r>
      <w:r>
        <w:rPr>
          <w:spacing w:val="-40"/>
        </w:rPr>
        <w:t> </w:t>
      </w:r>
      <w:r>
        <w:rPr>
          <w:rFonts w:ascii="Times New Roman" w:hAnsi="Times New Roman" w:cs="Times New Roman" w:eastAsia="Times New Roman" w:hint="default"/>
          <w:spacing w:val="-4"/>
        </w:rPr>
        <w:t>35</w:t>
      </w:r>
      <w:r>
        <w:rPr>
          <w:spacing w:val="-4"/>
        </w:rPr>
        <w:t>万政府补助：其中</w:t>
      </w:r>
      <w:r>
        <w:rPr>
          <w:rFonts w:ascii="Times New Roman" w:hAnsi="Times New Roman" w:cs="Times New Roman" w:eastAsia="Times New Roman" w:hint="default"/>
          <w:spacing w:val="-4"/>
        </w:rPr>
        <w:t>146,000.00</w:t>
      </w:r>
      <w:r>
        <w:rPr>
          <w:rFonts w:ascii="Times New Roman" w:hAnsi="Times New Roman" w:cs="Times New Roman" w:eastAsia="Times New Roman" w:hint="default"/>
          <w:spacing w:val="-1"/>
        </w:rPr>
        <w:t> </w:t>
      </w:r>
      <w:r>
        <w:rPr/>
        <w:t>元用于购买</w:t>
      </w:r>
      <w:r>
        <w:rPr>
          <w:rFonts w:ascii="Times New Roman" w:hAnsi="Times New Roman" w:cs="Times New Roman" w:eastAsia="Times New Roman" w:hint="default"/>
        </w:rPr>
        <w:t>360</w:t>
      </w:r>
      <w:r>
        <w:rPr/>
        <w:t>度全景式</w:t>
      </w:r>
      <w:r>
        <w:rPr>
          <w:rFonts w:ascii="Times New Roman" w:hAnsi="Times New Roman" w:cs="Times New Roman" w:eastAsia="Times New Roman" w:hint="default"/>
        </w:rPr>
        <w:t>3D </w:t>
      </w:r>
      <w:r>
        <w:rPr/>
        <w:t>仿真系统中</w:t>
      </w:r>
      <w:r>
        <w:rPr>
          <w:rFonts w:ascii="Times New Roman" w:hAnsi="Times New Roman" w:cs="Times New Roman" w:eastAsia="Times New Roman" w:hint="default"/>
        </w:rPr>
        <w:t>2</w:t>
      </w:r>
      <w:r>
        <w:rPr/>
        <w:t>台投影机，该部分属于与资产相关的政府补助，本期与资产相关</w:t>
      </w:r>
      <w:r>
        <w:rPr>
          <w:spacing w:val="-83"/>
        </w:rPr>
        <w:t> </w:t>
      </w:r>
      <w:r>
        <w:rPr>
          <w:spacing w:val="-83"/>
        </w:rPr>
      </w:r>
      <w:r>
        <w:rPr/>
        <w:t>的政府补助按照固定资产的剩余折旧年限摊销计入营业外收入的金额为</w:t>
      </w:r>
      <w:r>
        <w:rPr>
          <w:rFonts w:ascii="Times New Roman" w:hAnsi="Times New Roman" w:cs="Times New Roman" w:eastAsia="Times New Roman" w:hint="default"/>
        </w:rPr>
        <w:t>4,562.50</w:t>
      </w:r>
      <w:r>
        <w:rPr/>
        <w:t>元，期末剩余的与资产相</w:t>
      </w:r>
      <w:r>
        <w:rPr>
          <w:spacing w:val="-40"/>
        </w:rPr>
        <w:t> </w:t>
      </w:r>
      <w:r>
        <w:rPr>
          <w:spacing w:val="-40"/>
        </w:rPr>
      </w:r>
      <w:r>
        <w:rPr/>
        <w:t>关的政府补助金额为</w:t>
      </w:r>
      <w:r>
        <w:rPr>
          <w:rFonts w:ascii="Times New Roman" w:hAnsi="Times New Roman" w:cs="Times New Roman" w:eastAsia="Times New Roman" w:hint="default"/>
        </w:rPr>
        <w:t>141,437.50</w:t>
      </w:r>
      <w:r>
        <w:rPr/>
        <w:t>元；其中</w:t>
      </w:r>
      <w:r>
        <w:rPr>
          <w:rFonts w:ascii="Times New Roman" w:hAnsi="Times New Roman" w:cs="Times New Roman" w:eastAsia="Times New Roman" w:hint="default"/>
        </w:rPr>
        <w:t>204,000.00</w:t>
      </w:r>
      <w:r>
        <w:rPr/>
        <w:t>元用于支付研发用水电费、房租等，属于与收益相关的 政府补助，</w:t>
      </w:r>
      <w:r>
        <w:rPr>
          <w:rFonts w:ascii="Times New Roman" w:hAnsi="Times New Roman" w:cs="Times New Roman" w:eastAsia="Times New Roman" w:hint="default"/>
        </w:rPr>
        <w:t>360</w:t>
      </w:r>
      <w:r>
        <w:rPr/>
        <w:t>度全景式</w:t>
      </w:r>
      <w:r>
        <w:rPr>
          <w:rFonts w:ascii="Times New Roman" w:hAnsi="Times New Roman" w:cs="Times New Roman" w:eastAsia="Times New Roman" w:hint="default"/>
        </w:rPr>
        <w:t>3D</w:t>
      </w:r>
      <w:r>
        <w:rPr/>
        <w:t>仿真系统项目的建设期为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月，按照剩余项目建设期摊销， 本期计入营业外收入金额为</w:t>
      </w:r>
      <w:r>
        <w:rPr>
          <w:rFonts w:ascii="Times New Roman" w:hAnsi="Times New Roman" w:cs="Times New Roman" w:eastAsia="Times New Roman" w:hint="default"/>
        </w:rPr>
        <w:t>51,000.00</w:t>
      </w:r>
      <w:r>
        <w:rPr/>
        <w:t>元，期末剩余的与收益相关的政府补助金额为</w:t>
      </w:r>
      <w:r>
        <w:rPr>
          <w:rFonts w:ascii="Times New Roman" w:hAnsi="Times New Roman" w:cs="Times New Roman" w:eastAsia="Times New Roman" w:hint="default"/>
        </w:rPr>
        <w:t>153,000.00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83"/>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9"/>
        <w:rPr>
          <w:rFonts w:ascii="宋体" w:hAnsi="宋体" w:cs="宋体" w:eastAsia="宋体" w:hint="default"/>
          <w:b/>
          <w:bCs/>
          <w:sz w:val="26"/>
          <w:szCs w:val="26"/>
        </w:rPr>
      </w:pPr>
    </w:p>
    <w:p>
      <w:pPr>
        <w:spacing w:before="0"/>
        <w:ind w:left="0" w:right="1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5"/>
        <w:gridCol w:w="1196"/>
        <w:gridCol w:w="1184"/>
        <w:gridCol w:w="1207"/>
      </w:tblGrid>
      <w:tr>
        <w:trPr>
          <w:trHeight w:val="201"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1"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198,750,000.00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198,750,000.00</w:t>
            </w:r>
          </w:p>
        </w:tc>
      </w:tr>
    </w:tbl>
    <w:p>
      <w:pPr>
        <w:spacing w:before="51"/>
        <w:ind w:left="154" w:right="8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4"/>
        <w:ind w:left="154" w:right="83"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5"/>
        <w:spacing w:line="240" w:lineRule="auto"/>
        <w:ind w:right="83"/>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9"/>
        <w:rPr>
          <w:rFonts w:ascii="宋体" w:hAnsi="宋体" w:cs="宋体" w:eastAsia="宋体" w:hint="default"/>
          <w:b/>
          <w:bCs/>
          <w:sz w:val="26"/>
          <w:szCs w:val="26"/>
        </w:rPr>
      </w:pPr>
    </w:p>
    <w:p>
      <w:pPr>
        <w:spacing w:before="0"/>
        <w:ind w:left="154" w:right="83"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10"/>
        <w:rPr>
          <w:rFonts w:ascii="宋体" w:hAnsi="宋体" w:cs="宋体" w:eastAsia="宋体" w:hint="default"/>
          <w:sz w:val="26"/>
          <w:szCs w:val="26"/>
        </w:rPr>
      </w:pPr>
    </w:p>
    <w:p>
      <w:pPr>
        <w:pStyle w:val="Heading5"/>
        <w:spacing w:line="240" w:lineRule="auto"/>
        <w:ind w:right="8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spacing w:before="0"/>
        <w:ind w:left="154" w:right="83"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after="0"/>
        <w:jc w:val="left"/>
        <w:rPr>
          <w:rFonts w:ascii="宋体" w:hAnsi="宋体" w:cs="宋体" w:eastAsia="宋体" w:hint="default"/>
          <w:sz w:val="18"/>
          <w:szCs w:val="18"/>
        </w:rPr>
        <w:sectPr>
          <w:pgSz w:w="11910" w:h="16840"/>
          <w:pgMar w:header="747" w:footer="982" w:top="1060" w:bottom="1180" w:left="980" w:right="96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91,321,713.62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91,321,713.62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76,462.17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76,462.17</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91,398,175.79</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91,398,175.79</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28,799,296.51</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28,799,296.51</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9"/>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1"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-180,513,386.86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6,489,233.08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-174,024,153.78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2"/>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2"/>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3"/>
        <w:ind w:left="153"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4" w:lineRule="auto"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after="0" w:line="324"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20,074,413.45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18,849,467.00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9,039,774.17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15,140,874.94</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数字影片设计制作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20,074,413.45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2,524,533.96</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20,074,413.45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2,524,533.96</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江苏嬉戏族有限公司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10,431,169.81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宿迁市湖滨新城投资开发有限公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上海东方娱乐传媒集团有限公司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北京电视台</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2,012,500.00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山西广播电视台</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23,418,669.81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1,126,618.85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942,473.35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123,588.02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88,250.00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80,272.45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53,613.15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1,330,479.32</w:t>
            </w:r>
          </w:p>
        </w:tc>
        <w:tc>
          <w:tcPr>
            <w:tcW w:w="186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1,084,336.50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1,877,279.00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720,358.10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考察费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2,396,899.10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1,877,279.00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362,637.97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166,913.34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26,126.08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1,484,557.05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1,795,626.10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275,606.48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281,102.90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224,369.78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25,163.69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3,860,759.97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3,946,750.05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43,176.00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考察费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114,113.00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1,033,466.07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372,727.39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交通、快递费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387,440.00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其他资产摊销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77,782.96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431,379.24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547,209.13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596,197.33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15,099.60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124,002.45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497,960.66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144,100.09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77,433.25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1,501,181.80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149,997.82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178,272.00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279,527.56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58,867.00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网站设计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12,119.30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136,762.07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职工补偿金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1,541,489.44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274,999.25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687,899.50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12,140,027.96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15,704,367.91</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-517,115.34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-410,624.77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-507,949.49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-390,849.84</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按公允价值计量的金融负债</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1"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-3,867,754.79</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-3,867,754.79</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15"/>
        <w:gridCol w:w="1993"/>
        <w:gridCol w:w="1727"/>
        <w:gridCol w:w="2921"/>
      </w:tblGrid>
      <w:tr>
        <w:trPr>
          <w:trHeight w:val="396" w:hRule="exact"/>
        </w:trPr>
        <w:tc>
          <w:tcPr>
            <w:tcW w:w="2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7"/>
        <w:ind w:left="154" w:right="1619"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-77,668.75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196,897.47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3"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-77,668.75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667,438.39</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396"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8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1"/>
        <w:gridCol w:w="1967"/>
        <w:gridCol w:w="2160"/>
        <w:gridCol w:w="2160"/>
      </w:tblGrid>
      <w:tr>
        <w:trPr>
          <w:trHeight w:val="36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25,701,354.16</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25,676,541.77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206,062.50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206,062.50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应付款项核销收入</w:t>
            </w:r>
          </w:p>
        </w:tc>
        <w:tc>
          <w:tcPr>
            <w:tcW w:w="1967"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61,925.29</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10,256.41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1967"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206,262.90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25,779,535.86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206,262.90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南山区自主创新产业发展专项资 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年度文化产业入驻企业房 租补贴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149,900.00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科技部科技型中小企业技术创新 基金政府补助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55,562.50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北京市老旧机动车淘汰更新</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206,062.50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营业外收入说明</w:t>
      </w:r>
    </w:p>
    <w:p>
      <w:pPr>
        <w:pStyle w:val="Heading5"/>
        <w:spacing w:line="240" w:lineRule="auto" w:before="89"/>
        <w:ind w:left="1410" w:right="1619"/>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t>年收到的政府补助主要情况如下</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56" w:lineRule="auto" w:before="21"/>
        <w:ind w:left="153" w:right="148"/>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年度本公司收到深圳市南山区财政局根据《关于下达南山区自主创新产业发展专项资金</w:t>
      </w:r>
      <w:r>
        <w:rPr>
          <w:rFonts w:ascii="Times New Roman" w:hAnsi="Times New Roman" w:cs="Times New Roman" w:eastAsia="Times New Roman" w:hint="default"/>
        </w:rPr>
        <w:t>2012</w:t>
      </w:r>
      <w:r>
        <w:rPr/>
        <w:t>年</w:t>
      </w:r>
      <w:r>
        <w:rPr>
          <w:spacing w:val="-38"/>
        </w:rPr>
        <w:t> </w:t>
      </w:r>
      <w:r>
        <w:rPr/>
        <w:t>度文化产业第一批资助项目的通知》（深南文产</w:t>
      </w:r>
      <w:r>
        <w:rPr>
          <w:rFonts w:ascii="Times New Roman" w:hAnsi="Times New Roman" w:cs="Times New Roman" w:eastAsia="Times New Roman" w:hint="default"/>
        </w:rPr>
        <w:t>[2012]1</w:t>
      </w:r>
      <w:r>
        <w:rPr/>
        <w:t>号）拨付的</w:t>
      </w:r>
      <w:r>
        <w:rPr>
          <w:rFonts w:ascii="Times New Roman" w:hAnsi="Times New Roman" w:cs="Times New Roman" w:eastAsia="Times New Roman" w:hint="default"/>
        </w:rPr>
        <w:t>149,900.00</w:t>
      </w:r>
      <w:r>
        <w:rPr/>
        <w:t>元的政府补助，为入驻企业</w:t>
      </w:r>
      <w:r>
        <w:rPr>
          <w:spacing w:val="-74"/>
        </w:rPr>
        <w:t> </w:t>
      </w:r>
      <w:r>
        <w:rPr>
          <w:spacing w:val="-74"/>
        </w:rPr>
      </w:r>
      <w:r>
        <w:rPr/>
        <w:t>房租补贴；</w:t>
      </w:r>
    </w:p>
    <w:p>
      <w:pPr>
        <w:pStyle w:val="BodyText"/>
        <w:spacing w:line="256" w:lineRule="auto" w:before="22"/>
        <w:ind w:left="153" w:right="151"/>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月本公司收到科技部科技型中小企业技术创新基金管理中心的</w:t>
      </w:r>
      <w:r>
        <w:rPr>
          <w:spacing w:val="-31"/>
        </w:rPr>
        <w:t> </w:t>
      </w:r>
      <w:r>
        <w:rPr>
          <w:rFonts w:ascii="Times New Roman" w:hAnsi="Times New Roman" w:cs="Times New Roman" w:eastAsia="Times New Roman" w:hint="default"/>
        </w:rPr>
        <w:t>35</w:t>
      </w:r>
      <w:r>
        <w:rPr/>
        <w:t>万政府补助，本期摊销计 入营业外收入的金额为</w:t>
      </w:r>
      <w:r>
        <w:rPr>
          <w:rFonts w:ascii="Times New Roman" w:hAnsi="Times New Roman" w:cs="Times New Roman" w:eastAsia="Times New Roman" w:hint="default"/>
        </w:rPr>
        <w:t>55,562.50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3"/>
        <w:gridCol w:w="1914"/>
        <w:gridCol w:w="1914"/>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20,267.38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03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211,317.20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三项基金</w:t>
            </w:r>
          </w:p>
        </w:tc>
        <w:tc>
          <w:tcPr>
            <w:tcW w:w="203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补交以前年度拆迁款的税金</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23,286.00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859,908.03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0" w:right="0"/>
              <w:jc w:val="left"/>
              <w:rPr>
                <w:rFonts w:ascii="Times New Roman" w:hAnsi="Times New Roman" w:cs="Times New Roman" w:eastAsia="Times New Roman" w:hint="default"/>
                <w:sz w:val="18"/>
                <w:szCs w:val="18"/>
              </w:rPr>
            </w:pPr>
            <w:r>
              <w:rPr>
                <w:rFonts w:ascii="Times New Roman"/>
                <w:sz w:val="18"/>
              </w:rPr>
              <w:t>5,567.53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794" w:type="dxa"/>
        <w:tblLayout w:type="fixed"/>
        <w:tblCellMar>
          <w:top w:w="0" w:type="dxa"/>
          <w:left w:w="0" w:type="dxa"/>
          <w:bottom w:w="0" w:type="dxa"/>
          <w:right w:w="0" w:type="dxa"/>
        </w:tblCellMar>
        <w:tblLook w:val="01E0"/>
      </w:tblPr>
      <w:tblGrid>
        <w:gridCol w:w="2122"/>
        <w:gridCol w:w="2120"/>
        <w:gridCol w:w="2122"/>
        <w:gridCol w:w="2116"/>
      </w:tblGrid>
      <w:tr>
        <w:trPr>
          <w:trHeight w:val="362" w:hRule="exact"/>
        </w:trPr>
        <w:tc>
          <w:tcPr>
            <w:tcW w:w="2122" w:type="dxa"/>
            <w:vMerge w:val="restart"/>
            <w:tcBorders>
              <w:top w:val="single" w:sz="12" w:space="0" w:color="000000"/>
              <w:left w:val="single" w:sz="6" w:space="0" w:color="000000"/>
              <w:right w:val="single" w:sz="6" w:space="0" w:color="000000"/>
            </w:tcBorders>
          </w:tcPr>
          <w:p>
            <w:pPr>
              <w:pStyle w:val="TableParagraph"/>
              <w:spacing w:line="240" w:lineRule="auto" w:before="4"/>
              <w:ind w:left="6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年度</w:t>
            </w:r>
          </w:p>
        </w:tc>
        <w:tc>
          <w:tcPr>
            <w:tcW w:w="2120" w:type="dxa"/>
            <w:vMerge w:val="restart"/>
            <w:tcBorders>
              <w:top w:val="single" w:sz="12" w:space="0" w:color="000000"/>
              <w:left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加权平均净资产收益率</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4237"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每股收益（元）</w:t>
            </w:r>
          </w:p>
        </w:tc>
      </w:tr>
      <w:tr>
        <w:trPr>
          <w:trHeight w:val="362" w:hRule="exact"/>
        </w:trPr>
        <w:tc>
          <w:tcPr>
            <w:tcW w:w="2122" w:type="dxa"/>
            <w:vMerge/>
            <w:tcBorders>
              <w:left w:val="single" w:sz="6" w:space="0" w:color="000000"/>
              <w:bottom w:val="single" w:sz="12" w:space="0" w:color="000000"/>
              <w:right w:val="single" w:sz="6" w:space="0" w:color="000000"/>
            </w:tcBorders>
          </w:tcPr>
          <w:p>
            <w:pPr/>
          </w:p>
        </w:tc>
        <w:tc>
          <w:tcPr>
            <w:tcW w:w="2120" w:type="dxa"/>
            <w:vMerge/>
            <w:tcBorders>
              <w:left w:val="single" w:sz="6" w:space="0" w:color="000000"/>
              <w:bottom w:val="single" w:sz="12" w:space="0" w:color="000000"/>
              <w:right w:val="single" w:sz="6" w:space="0" w:color="000000"/>
            </w:tcBorders>
          </w:tcPr>
          <w:p>
            <w:pP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53"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454"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673" w:hRule="exact"/>
        </w:trPr>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2" w:right="-8"/>
              <w:jc w:val="left"/>
              <w:rPr>
                <w:rFonts w:ascii="宋体" w:hAnsi="宋体" w:cs="宋体" w:eastAsia="宋体" w:hint="default"/>
                <w:sz w:val="20"/>
                <w:szCs w:val="20"/>
              </w:rPr>
            </w:pPr>
            <w:r>
              <w:rPr>
                <w:rFonts w:ascii="宋体" w:hAnsi="宋体" w:cs="宋体" w:eastAsia="宋体" w:hint="default"/>
                <w:spacing w:val="10"/>
                <w:sz w:val="20"/>
                <w:szCs w:val="20"/>
              </w:rPr>
              <w:t>归属于公司普通股股东</w:t>
            </w:r>
            <w:r>
              <w:rPr>
                <w:rFonts w:ascii="宋体" w:hAnsi="宋体" w:cs="宋体" w:eastAsia="宋体" w:hint="default"/>
                <w:spacing w:val="-96"/>
                <w:sz w:val="20"/>
                <w:szCs w:val="20"/>
              </w:rPr>
              <w:t> </w:t>
            </w:r>
            <w:r>
              <w:rPr>
                <w:rFonts w:ascii="宋体" w:hAnsi="宋体" w:cs="宋体" w:eastAsia="宋体" w:hint="default"/>
                <w:sz w:val="20"/>
                <w:szCs w:val="20"/>
              </w:rPr>
              <w:t>的净利润</w:t>
            </w:r>
          </w:p>
        </w:tc>
        <w:tc>
          <w:tcPr>
            <w:tcW w:w="2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4.58</w:t>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r>
      <w:tr>
        <w:trPr>
          <w:trHeight w:val="986" w:hRule="exact"/>
        </w:trPr>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2" w:right="-8"/>
              <w:jc w:val="both"/>
              <w:rPr>
                <w:rFonts w:ascii="宋体" w:hAnsi="宋体" w:cs="宋体" w:eastAsia="宋体" w:hint="default"/>
                <w:sz w:val="20"/>
                <w:szCs w:val="20"/>
              </w:rPr>
            </w:pPr>
            <w:r>
              <w:rPr>
                <w:rFonts w:ascii="宋体" w:hAnsi="宋体" w:cs="宋体" w:eastAsia="宋体" w:hint="default"/>
                <w:spacing w:val="10"/>
                <w:sz w:val="20"/>
                <w:szCs w:val="20"/>
              </w:rPr>
              <w:t>扣除非经常性损益后归</w:t>
            </w:r>
            <w:r>
              <w:rPr>
                <w:rFonts w:ascii="宋体" w:hAnsi="宋体" w:cs="宋体" w:eastAsia="宋体" w:hint="default"/>
                <w:spacing w:val="-96"/>
                <w:sz w:val="20"/>
                <w:szCs w:val="20"/>
              </w:rPr>
              <w:t> </w:t>
            </w:r>
            <w:r>
              <w:rPr>
                <w:rFonts w:ascii="宋体" w:hAnsi="宋体" w:cs="宋体" w:eastAsia="宋体" w:hint="default"/>
                <w:spacing w:val="10"/>
                <w:sz w:val="20"/>
                <w:szCs w:val="20"/>
              </w:rPr>
              <w:t>属于公司普通股股东的</w:t>
            </w:r>
            <w:r>
              <w:rPr>
                <w:rFonts w:ascii="宋体" w:hAnsi="宋体" w:cs="宋体" w:eastAsia="宋体" w:hint="default"/>
                <w:spacing w:val="-96"/>
                <w:sz w:val="20"/>
                <w:szCs w:val="20"/>
              </w:rPr>
              <w:t> </w:t>
            </w:r>
            <w:r>
              <w:rPr>
                <w:rFonts w:ascii="宋体" w:hAnsi="宋体" w:cs="宋体" w:eastAsia="宋体" w:hint="default"/>
                <w:sz w:val="20"/>
                <w:szCs w:val="20"/>
              </w:rPr>
              <w:t>净利润</w:t>
            </w:r>
          </w:p>
        </w:tc>
        <w:tc>
          <w:tcPr>
            <w:tcW w:w="2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4.12</w:t>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r>
    </w:tbl>
    <w:p>
      <w:pPr>
        <w:spacing w:line="240" w:lineRule="auto" w:before="11"/>
        <w:rPr>
          <w:rFonts w:ascii="宋体" w:hAnsi="宋体" w:cs="宋体" w:eastAsia="宋体" w:hint="default"/>
          <w:b/>
          <w:bCs/>
          <w:sz w:val="23"/>
          <w:szCs w:val="23"/>
        </w:rPr>
      </w:pPr>
    </w:p>
    <w:tbl>
      <w:tblPr>
        <w:tblW w:w="0" w:type="auto"/>
        <w:jc w:val="left"/>
        <w:tblInd w:w="794" w:type="dxa"/>
        <w:tblLayout w:type="fixed"/>
        <w:tblCellMar>
          <w:top w:w="0" w:type="dxa"/>
          <w:left w:w="0" w:type="dxa"/>
          <w:bottom w:w="0" w:type="dxa"/>
          <w:right w:w="0" w:type="dxa"/>
        </w:tblCellMar>
        <w:tblLook w:val="01E0"/>
      </w:tblPr>
      <w:tblGrid>
        <w:gridCol w:w="2122"/>
        <w:gridCol w:w="2120"/>
        <w:gridCol w:w="2122"/>
        <w:gridCol w:w="2116"/>
      </w:tblGrid>
      <w:tr>
        <w:trPr>
          <w:trHeight w:val="362" w:hRule="exact"/>
        </w:trPr>
        <w:tc>
          <w:tcPr>
            <w:tcW w:w="2122" w:type="dxa"/>
            <w:vMerge w:val="restart"/>
            <w:tcBorders>
              <w:top w:val="single" w:sz="12" w:space="0" w:color="000000"/>
              <w:left w:val="single" w:sz="6" w:space="0" w:color="000000"/>
              <w:right w:val="single" w:sz="6" w:space="0" w:color="000000"/>
            </w:tcBorders>
          </w:tcPr>
          <w:p>
            <w:pPr>
              <w:pStyle w:val="TableParagraph"/>
              <w:spacing w:line="240" w:lineRule="auto" w:before="4"/>
              <w:ind w:left="6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年度</w:t>
            </w:r>
          </w:p>
        </w:tc>
        <w:tc>
          <w:tcPr>
            <w:tcW w:w="2120" w:type="dxa"/>
            <w:vMerge w:val="restart"/>
            <w:tcBorders>
              <w:top w:val="single" w:sz="12" w:space="0" w:color="000000"/>
              <w:left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加权平均净资产收益率</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4237"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每股收益（元）</w:t>
            </w:r>
          </w:p>
        </w:tc>
      </w:tr>
      <w:tr>
        <w:trPr>
          <w:trHeight w:val="361" w:hRule="exact"/>
        </w:trPr>
        <w:tc>
          <w:tcPr>
            <w:tcW w:w="2122" w:type="dxa"/>
            <w:vMerge/>
            <w:tcBorders>
              <w:left w:val="single" w:sz="6" w:space="0" w:color="000000"/>
              <w:bottom w:val="single" w:sz="12" w:space="0" w:color="000000"/>
              <w:right w:val="single" w:sz="6" w:space="0" w:color="000000"/>
            </w:tcBorders>
          </w:tcPr>
          <w:p>
            <w:pPr/>
          </w:p>
        </w:tc>
        <w:tc>
          <w:tcPr>
            <w:tcW w:w="2120" w:type="dxa"/>
            <w:vMerge/>
            <w:tcBorders>
              <w:left w:val="single" w:sz="6" w:space="0" w:color="000000"/>
              <w:bottom w:val="single" w:sz="12" w:space="0" w:color="000000"/>
              <w:right w:val="single" w:sz="6" w:space="0" w:color="000000"/>
            </w:tcBorders>
          </w:tcPr>
          <w:p>
            <w:pP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53"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454"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674" w:hRule="exact"/>
        </w:trPr>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2" w:right="-8"/>
              <w:jc w:val="left"/>
              <w:rPr>
                <w:rFonts w:ascii="宋体" w:hAnsi="宋体" w:cs="宋体" w:eastAsia="宋体" w:hint="default"/>
                <w:sz w:val="20"/>
                <w:szCs w:val="20"/>
              </w:rPr>
            </w:pPr>
            <w:r>
              <w:rPr>
                <w:rFonts w:ascii="宋体" w:hAnsi="宋体" w:cs="宋体" w:eastAsia="宋体" w:hint="default"/>
                <w:spacing w:val="10"/>
                <w:sz w:val="20"/>
                <w:szCs w:val="20"/>
              </w:rPr>
              <w:t>归属于公司普通股股东</w:t>
            </w:r>
            <w:r>
              <w:rPr>
                <w:rFonts w:ascii="宋体" w:hAnsi="宋体" w:cs="宋体" w:eastAsia="宋体" w:hint="default"/>
                <w:spacing w:val="-96"/>
                <w:sz w:val="20"/>
                <w:szCs w:val="20"/>
              </w:rPr>
              <w:t> </w:t>
            </w:r>
            <w:r>
              <w:rPr>
                <w:rFonts w:ascii="宋体" w:hAnsi="宋体" w:cs="宋体" w:eastAsia="宋体" w:hint="default"/>
                <w:sz w:val="20"/>
                <w:szCs w:val="20"/>
              </w:rPr>
              <w:t>的净利润</w:t>
            </w:r>
          </w:p>
        </w:tc>
        <w:tc>
          <w:tcPr>
            <w:tcW w:w="2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4.21</w:t>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r>
      <w:tr>
        <w:trPr>
          <w:trHeight w:val="986" w:hRule="exact"/>
        </w:trPr>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2" w:right="-8"/>
              <w:jc w:val="both"/>
              <w:rPr>
                <w:rFonts w:ascii="宋体" w:hAnsi="宋体" w:cs="宋体" w:eastAsia="宋体" w:hint="default"/>
                <w:sz w:val="20"/>
                <w:szCs w:val="20"/>
              </w:rPr>
            </w:pPr>
            <w:r>
              <w:rPr>
                <w:rFonts w:ascii="宋体" w:hAnsi="宋体" w:cs="宋体" w:eastAsia="宋体" w:hint="default"/>
                <w:spacing w:val="10"/>
                <w:sz w:val="20"/>
                <w:szCs w:val="20"/>
              </w:rPr>
              <w:t>扣除非经常性损益后归</w:t>
            </w:r>
            <w:r>
              <w:rPr>
                <w:rFonts w:ascii="宋体" w:hAnsi="宋体" w:cs="宋体" w:eastAsia="宋体" w:hint="default"/>
                <w:spacing w:val="-96"/>
                <w:sz w:val="20"/>
                <w:szCs w:val="20"/>
              </w:rPr>
              <w:t> </w:t>
            </w:r>
            <w:r>
              <w:rPr>
                <w:rFonts w:ascii="宋体" w:hAnsi="宋体" w:cs="宋体" w:eastAsia="宋体" w:hint="default"/>
                <w:spacing w:val="10"/>
                <w:sz w:val="20"/>
                <w:szCs w:val="20"/>
              </w:rPr>
              <w:t>属于公司普通股股东的</w:t>
            </w:r>
            <w:r>
              <w:rPr>
                <w:rFonts w:ascii="宋体" w:hAnsi="宋体" w:cs="宋体" w:eastAsia="宋体" w:hint="default"/>
                <w:spacing w:val="-96"/>
                <w:sz w:val="20"/>
                <w:szCs w:val="20"/>
              </w:rPr>
              <w:t> </w:t>
            </w:r>
            <w:r>
              <w:rPr>
                <w:rFonts w:ascii="宋体" w:hAnsi="宋体" w:cs="宋体" w:eastAsia="宋体" w:hint="default"/>
                <w:sz w:val="20"/>
                <w:szCs w:val="20"/>
              </w:rPr>
              <w:t>净利润</w:t>
            </w:r>
          </w:p>
        </w:tc>
        <w:tc>
          <w:tcPr>
            <w:tcW w:w="2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-9.84</w:t>
            </w:r>
            <w:r>
              <w:rPr>
                <w:rFonts w:ascii="Times New Roman"/>
                <w:sz w:val="20"/>
              </w:rPr>
            </w:r>
          </w:p>
        </w:tc>
        <w:tc>
          <w:tcPr>
            <w:tcW w:w="2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-0.07</w:t>
            </w:r>
            <w:r>
              <w:rPr>
                <w:rFonts w:ascii="Times New Roman"/>
                <w:sz w:val="20"/>
              </w:rPr>
            </w:r>
          </w:p>
        </w:tc>
        <w:tc>
          <w:tcPr>
            <w:tcW w:w="2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-0.07</w:t>
            </w:r>
            <w:r>
              <w:rPr>
                <w:rFonts w:ascii="Times New Roman"/>
                <w:sz w:val="20"/>
              </w:rPr>
            </w:r>
          </w:p>
        </w:tc>
      </w:tr>
    </w:tbl>
    <w:p>
      <w:pPr>
        <w:spacing w:line="240" w:lineRule="auto" w:before="0"/>
        <w:rPr>
          <w:rFonts w:ascii="宋体" w:hAnsi="宋体" w:cs="宋体" w:eastAsia="宋体" w:hint="default"/>
          <w:b/>
          <w:bCs/>
          <w:sz w:val="20"/>
          <w:szCs w:val="20"/>
        </w:rPr>
      </w:pPr>
    </w:p>
    <w:p>
      <w:pPr>
        <w:spacing w:line="256" w:lineRule="auto" w:before="35"/>
        <w:ind w:left="154" w:right="799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pStyle w:val="BodyText"/>
        <w:spacing w:line="240" w:lineRule="auto" w:before="5"/>
        <w:ind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256" w:lineRule="auto" w:before="21"/>
        <w:ind w:left="153" w:right="0"/>
        <w:jc w:val="left"/>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w:t>
      </w:r>
      <w:r>
        <w:rPr>
          <w:spacing w:val="-57"/>
        </w:rPr>
        <w:t> </w:t>
      </w:r>
      <w:r>
        <w:rPr/>
        <w:t>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为报告期因公积金转增股本或股票股利分配等增加股份 </w:t>
      </w:r>
      <w:r>
        <w:rPr>
          <w:spacing w:val="-2"/>
        </w:rPr>
        <w:t>数；</w:t>
      </w:r>
      <w:r>
        <w:rPr>
          <w:rFonts w:ascii="Times New Roman" w:hAnsi="Times New Roman" w:cs="Times New Roman" w:eastAsia="Times New Roman" w:hint="default"/>
          <w:spacing w:val="-2"/>
        </w:rPr>
        <w:t>Si</w:t>
      </w:r>
      <w:r>
        <w:rPr>
          <w:spacing w:val="-2"/>
        </w:rPr>
        <w:t>为报告期因发行新股或债转股等增加股份数；</w:t>
      </w:r>
      <w:r>
        <w:rPr>
          <w:rFonts w:ascii="Times New Roman" w:hAnsi="Times New Roman" w:cs="Times New Roman" w:eastAsia="Times New Roman" w:hint="default"/>
          <w:spacing w:val="-2"/>
        </w:rPr>
        <w:t>Sj</w:t>
      </w:r>
      <w:r>
        <w:rPr>
          <w:spacing w:val="-2"/>
        </w:rPr>
        <w:t>为报告期因回购等减少股份数；</w:t>
      </w:r>
      <w:r>
        <w:rPr>
          <w:rFonts w:ascii="Times New Roman" w:hAnsi="Times New Roman" w:cs="Times New Roman" w:eastAsia="Times New Roman" w:hint="default"/>
          <w:spacing w:val="-2"/>
        </w:rPr>
        <w:t>Sk</w:t>
      </w:r>
      <w:r>
        <w:rPr>
          <w:spacing w:val="-2"/>
        </w:rPr>
        <w:t>为报告期缩股数；</w:t>
      </w:r>
      <w:r>
        <w:rPr>
          <w:spacing w:val="-77"/>
        </w:rPr>
        <w:t> </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为减少股份次月起至报告期期末的</w:t>
      </w:r>
      <w:r>
        <w:rPr>
          <w:spacing w:val="-77"/>
        </w:rPr>
        <w:t> </w:t>
      </w:r>
      <w:r>
        <w:rPr>
          <w:spacing w:val="-77"/>
        </w:rPr>
      </w:r>
      <w:r>
        <w:rPr/>
        <w:t>累计月数。</w:t>
      </w:r>
    </w:p>
    <w:p>
      <w:pPr>
        <w:spacing w:line="240" w:lineRule="auto" w:before="7"/>
        <w:rPr>
          <w:rFonts w:ascii="宋体" w:hAnsi="宋体" w:cs="宋体" w:eastAsia="宋体" w:hint="default"/>
          <w:sz w:val="25"/>
          <w:szCs w:val="25"/>
        </w:rPr>
      </w:pPr>
    </w:p>
    <w:p>
      <w:pPr>
        <w:pStyle w:val="Heading5"/>
        <w:spacing w:line="240" w:lineRule="auto"/>
        <w:ind w:left="153" w:right="0"/>
        <w:jc w:val="left"/>
        <w:rPr>
          <w:b w:val="0"/>
          <w:bCs w:val="0"/>
        </w:rPr>
      </w:pPr>
      <w:r>
        <w:rPr>
          <w:rFonts w:ascii="Times New Roman" w:hAnsi="Times New Roman" w:cs="Times New Roman" w:eastAsia="Times New Roman" w:hint="default"/>
        </w:rPr>
        <w:t>2</w:t>
      </w:r>
      <w:r>
        <w:rPr/>
        <w:t>、</w:t>
      </w:r>
      <w:r>
        <w:rPr>
          <w:spacing w:val="-5"/>
        </w:rPr>
        <w:t> </w:t>
      </w:r>
      <w:r>
        <w:rPr/>
        <w:t>稀释每股收益</w:t>
      </w:r>
      <w:r>
        <w:rPr>
          <w:b w:val="0"/>
          <w:bCs w:val="0"/>
        </w:rPr>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b/>
          <w:bCs/>
          <w:sz w:val="24"/>
          <w:szCs w:val="24"/>
        </w:rPr>
      </w:pPr>
    </w:p>
    <w:p>
      <w:pPr>
        <w:pStyle w:val="BodyText"/>
        <w:spacing w:line="264" w:lineRule="auto" w:before="35"/>
        <w:ind w:right="110"/>
        <w:jc w:val="left"/>
      </w:pP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Si×Mi÷M0–Sj×Mj÷M0–Sk+</w:t>
      </w:r>
      <w:r>
        <w:rPr>
          <w:spacing w:val="-1"/>
        </w:rPr>
        <w:t>认股权证、股份期权、可转换债券等增加的普通股</w:t>
      </w:r>
      <w:r>
        <w:rPr>
          <w:spacing w:val="-74"/>
        </w:rPr>
        <w:t> </w:t>
      </w:r>
      <w:r>
        <w:rPr>
          <w:spacing w:val="-74"/>
        </w:rPr>
      </w:r>
      <w:r>
        <w:rPr/>
        <w:t>加权平均数</w:t>
      </w:r>
      <w:r>
        <w:rPr>
          <w:rFonts w:ascii="Times New Roman" w:hAnsi="Times New Roman" w:cs="Times New Roman" w:eastAsia="Times New Roman" w:hint="default"/>
        </w:rPr>
        <w:t>) </w:t>
      </w:r>
      <w:r>
        <w:rPr>
          <w:spacing w:val="-1"/>
        </w:rPr>
        <w:t>其中，</w:t>
      </w:r>
      <w:r>
        <w:rPr>
          <w:rFonts w:ascii="Times New Roman" w:hAnsi="Times New Roman" w:cs="Times New Roman" w:eastAsia="Times New Roman" w:hint="default"/>
          <w:spacing w:val="-1"/>
        </w:rPr>
        <w:t>P1</w:t>
      </w:r>
      <w:r>
        <w:rPr>
          <w:spacing w:val="-1"/>
        </w:rPr>
        <w:t>为归属于公司普通股股东的净利润或扣除非经常性损益后归属于公司普通股股东的净利润，并考</w:t>
      </w:r>
      <w:r>
        <w:rPr>
          <w:spacing w:val="-93"/>
        </w:rPr>
        <w:t> </w:t>
      </w:r>
      <w:r>
        <w:rPr>
          <w:spacing w:val="-93"/>
        </w:rPr>
      </w:r>
      <w:r>
        <w:rPr/>
        <w:t>虑稀释性潜在普通股对其影响，按《企业会计准则》及有关规定进行调整。公司在计算稀释每股收益时， </w:t>
      </w:r>
      <w:r>
        <w:rPr>
          <w:spacing w:val="3"/>
        </w:rPr>
        <w:t>应考虑所有稀释性潜在普通股对归属于公司普通股股东的净利润或扣除非经常性损益后归属于公司普通</w:t>
      </w:r>
      <w:r>
        <w:rPr>
          <w:spacing w:val="-78"/>
        </w:rPr>
        <w:t> </w:t>
      </w:r>
      <w:r>
        <w:rPr>
          <w:spacing w:val="-78"/>
        </w:rPr>
      </w:r>
      <w:r>
        <w:rPr>
          <w:spacing w:val="-1"/>
        </w:rPr>
        <w:t>股股东的净利润和加权平均股数的影响，按照其稀释程度从大到小的顺序计入稀释每股收益，直至稀释每</w:t>
      </w:r>
      <w:r>
        <w:rPr>
          <w:spacing w:val="-81"/>
        </w:rPr>
        <w:t> </w:t>
      </w:r>
      <w:r>
        <w:rPr>
          <w:spacing w:val="-81"/>
        </w:rPr>
      </w:r>
      <w:r>
        <w:rPr/>
        <w:t>股收益达到最小值。</w:t>
      </w:r>
    </w:p>
    <w:p>
      <w:pPr>
        <w:pStyle w:val="BodyText"/>
        <w:spacing w:line="256" w:lineRule="auto" w:before="16"/>
        <w:ind w:right="320" w:hanging="1"/>
        <w:jc w:val="left"/>
      </w:pPr>
      <w:r>
        <w:rPr/>
        <w:t>（</w:t>
      </w:r>
      <w:r>
        <w:rPr>
          <w:rFonts w:ascii="Times New Roman" w:hAnsi="Times New Roman" w:cs="Times New Roman" w:eastAsia="Times New Roman" w:hint="default"/>
        </w:rPr>
        <w:t>1</w:t>
      </w:r>
      <w:r>
        <w:rPr/>
        <w:t>）基本每股收益 基本每股收益以归属于本公司普通股股东的合并净利润除以本公司发行在外普通股的加权平均数计算：</w:t>
      </w:r>
    </w:p>
    <w:p>
      <w:pPr>
        <w:spacing w:line="240" w:lineRule="auto" w:before="11"/>
        <w:rPr>
          <w:rFonts w:ascii="宋体" w:hAnsi="宋体" w:cs="宋体" w:eastAsia="宋体" w:hint="default"/>
          <w:sz w:val="2"/>
          <w:szCs w:val="2"/>
        </w:rPr>
      </w:pPr>
    </w:p>
    <w:tbl>
      <w:tblPr>
        <w:tblW w:w="0" w:type="auto"/>
        <w:jc w:val="left"/>
        <w:tblInd w:w="1422" w:type="dxa"/>
        <w:tblLayout w:type="fixed"/>
        <w:tblCellMar>
          <w:top w:w="0" w:type="dxa"/>
          <w:left w:w="0" w:type="dxa"/>
          <w:bottom w:w="0" w:type="dxa"/>
          <w:right w:w="0" w:type="dxa"/>
        </w:tblCellMar>
        <w:tblLook w:val="01E0"/>
      </w:tblPr>
      <w:tblGrid>
        <w:gridCol w:w="3546"/>
        <w:gridCol w:w="2156"/>
        <w:gridCol w:w="2149"/>
      </w:tblGrid>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670"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669"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61"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归属于本公司普通股股东的合并净利润</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6,489,233.08</w:t>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5,629,285.46</w:t>
            </w:r>
          </w:p>
        </w:tc>
      </w:tr>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本公司发行在外普通股的加权平均数</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0.03</w:t>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0.03</w:t>
            </w:r>
          </w:p>
        </w:tc>
      </w:tr>
    </w:tbl>
    <w:p>
      <w:pPr>
        <w:pStyle w:val="BodyText"/>
        <w:spacing w:line="260" w:lineRule="exact"/>
        <w:ind w:left="1414" w:right="1619"/>
        <w:jc w:val="left"/>
      </w:pPr>
      <w:r>
        <w:rPr/>
        <w:t>普通股的加权平均数计算过程如下：</w:t>
      </w:r>
    </w:p>
    <w:p>
      <w:pPr>
        <w:spacing w:line="240" w:lineRule="auto" w:before="13"/>
        <w:rPr>
          <w:rFonts w:ascii="宋体" w:hAnsi="宋体" w:cs="宋体" w:eastAsia="宋体" w:hint="default"/>
          <w:sz w:val="3"/>
          <w:szCs w:val="3"/>
        </w:rPr>
      </w:pPr>
    </w:p>
    <w:tbl>
      <w:tblPr>
        <w:tblW w:w="0" w:type="auto"/>
        <w:jc w:val="left"/>
        <w:tblInd w:w="1422" w:type="dxa"/>
        <w:tblLayout w:type="fixed"/>
        <w:tblCellMar>
          <w:top w:w="0" w:type="dxa"/>
          <w:left w:w="0" w:type="dxa"/>
          <w:bottom w:w="0" w:type="dxa"/>
          <w:right w:w="0" w:type="dxa"/>
        </w:tblCellMar>
        <w:tblLook w:val="01E0"/>
      </w:tblPr>
      <w:tblGrid>
        <w:gridCol w:w="3546"/>
        <w:gridCol w:w="2156"/>
        <w:gridCol w:w="2149"/>
      </w:tblGrid>
      <w:tr>
        <w:trPr>
          <w:trHeight w:val="361"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669"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669"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年初已发行普通股股数</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加：本期发行的普通股加权数</w:t>
            </w:r>
          </w:p>
        </w:tc>
        <w:tc>
          <w:tcPr>
            <w:tcW w:w="2156" w:type="dxa"/>
            <w:tcBorders>
              <w:top w:val="single" w:sz="12" w:space="0" w:color="000000"/>
              <w:left w:val="single" w:sz="6" w:space="0" w:color="000000"/>
              <w:bottom w:val="single" w:sz="12" w:space="0" w:color="000000"/>
              <w:right w:val="single" w:sz="6" w:space="0" w:color="000000"/>
            </w:tcBorders>
          </w:tcPr>
          <w:p>
            <w:pPr/>
          </w:p>
        </w:tc>
        <w:tc>
          <w:tcPr>
            <w:tcW w:w="214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减：本期回购的普通股加权数</w:t>
            </w:r>
          </w:p>
        </w:tc>
        <w:tc>
          <w:tcPr>
            <w:tcW w:w="2156" w:type="dxa"/>
            <w:tcBorders>
              <w:top w:val="single" w:sz="12" w:space="0" w:color="000000"/>
              <w:left w:val="single" w:sz="6" w:space="0" w:color="000000"/>
              <w:bottom w:val="single" w:sz="12" w:space="0" w:color="000000"/>
              <w:right w:val="single" w:sz="6" w:space="0" w:color="000000"/>
            </w:tcBorders>
          </w:tcPr>
          <w:p>
            <w:pPr/>
          </w:p>
        </w:tc>
        <w:tc>
          <w:tcPr>
            <w:tcW w:w="214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bl>
    <w:p>
      <w:pPr>
        <w:pStyle w:val="BodyText"/>
        <w:spacing w:line="276" w:lineRule="exact"/>
        <w:ind w:right="1619"/>
        <w:jc w:val="left"/>
      </w:pPr>
      <w:r>
        <w:rPr/>
        <w:t>（</w:t>
      </w:r>
      <w:r>
        <w:rPr>
          <w:rFonts w:ascii="Times New Roman" w:hAnsi="Times New Roman" w:cs="Times New Roman" w:eastAsia="Times New Roman" w:hint="default"/>
        </w:rPr>
        <w:t>2</w:t>
      </w:r>
      <w:r>
        <w:rPr/>
        <w:t>）稀释每股收益</w:t>
      </w:r>
    </w:p>
    <w:p>
      <w:pPr>
        <w:pStyle w:val="BodyText"/>
        <w:spacing w:line="240" w:lineRule="auto" w:before="21"/>
        <w:ind w:right="1619"/>
        <w:jc w:val="left"/>
      </w:pPr>
      <w:r>
        <w:rPr/>
        <w:t>本公司无具有稀释性的潜在普通股。故稀释每股收益即为基本每股收益。</w:t>
      </w:r>
    </w:p>
    <w:p>
      <w:pPr>
        <w:spacing w:line="240" w:lineRule="auto" w:before="11"/>
        <w:rPr>
          <w:rFonts w:ascii="宋体" w:hAnsi="宋体" w:cs="宋体" w:eastAsia="宋体" w:hint="default"/>
          <w:sz w:val="25"/>
          <w:szCs w:val="25"/>
        </w:rPr>
      </w:pPr>
    </w:p>
    <w:p>
      <w:pPr>
        <w:pStyle w:val="Heading5"/>
        <w:spacing w:line="240" w:lineRule="auto"/>
        <w:ind w:right="1619"/>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517,115.34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收往来款</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354,500.00</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871,815.74</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电视剧发行费用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1,600,941.00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943,566.77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单位、个人往来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1,586,806.61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866,040.00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11,758.53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管理费用和销售费用中的付现费用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5,100,850.84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房屋定金返还</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438.15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10,110,401.90</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5577;top:14;width:2;height:392" coordorigin="5577,14" coordsize="2,392">
              <v:shape style="position:absolute;left:5577;top:14;width:2;height:392" coordorigin="5577,14" coordsize="0,392" path="m5577,14l5577,406e" filled="false" stroked="true" strokeweight="1.140pt" strokecolor="#d3d3d3">
                <v:path arrowok="t"/>
              </v:shape>
            </v:group>
            <v:group style="position:absolute;left:37;top:14;width:5529;height:392" coordorigin="37,14" coordsize="5529,392">
              <v:shape style="position:absolute;left:37;top:14;width:5529;height:392" coordorigin="37,14" coordsize="5529,392" path="m37,406l5566,406,5566,14,37,14,37,406xe" filled="true" fillcolor="#d3d3d3" stroked="false">
                <v:path arrowok="t"/>
                <v:fill type="solid"/>
              </v:shape>
            </v:group>
            <v:group style="position:absolute;left:5610;top:14;width:2;height:392" coordorigin="5610,14" coordsize="2,392">
              <v:shape style="position:absolute;left:5610;top:14;width:2;height:392" coordorigin="5610,14" coordsize="0,392" path="m5610,14l5610,406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5622;top:14;width:3928;height:392" coordorigin="5622,14" coordsize="3928,392">
              <v:shape style="position:absolute;left:5622;top:14;width:3928;height:392" coordorigin="5622,14" coordsize="3928,392" path="m5622,406l9550,406,9550,14,5622,14,5622,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1619"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14;top:406;width:5574;height:2" coordorigin="14,406" coordsize="5574,2">
              <v:shape style="position:absolute;left:14;top:406;width:5574;height:2" coordorigin="14,406" coordsize="5574,0" path="m14,406l5588,406e" filled="false" stroked="true" strokeweight=".1pt" strokecolor="#d3d3d3">
                <v:path arrowok="t"/>
              </v:shape>
            </v:group>
            <v:group style="position:absolute;left:26;top:15;width:2;height:390" coordorigin="26,15" coordsize="2,390">
              <v:shape style="position:absolute;left:26;top:15;width:2;height:390" coordorigin="26,15" coordsize="0,390" path="m26,15l26,405e" filled="false" stroked="true" strokeweight="1.140pt" strokecolor="#d3d3d3">
                <v:path arrowok="t"/>
              </v:shape>
            </v:group>
            <v:group style="position:absolute;left:5577;top:14;width:2;height:392" coordorigin="5577,14" coordsize="2,392">
              <v:shape style="position:absolute;left:5577;top:14;width:2;height:392" coordorigin="5577,14" coordsize="0,392" path="m5577,14l5577,406e" filled="false" stroked="true" strokeweight="1.140pt" strokecolor="#d3d3d3">
                <v:path arrowok="t"/>
              </v:shape>
            </v:group>
            <v:group style="position:absolute;left:37;top:14;width:5529;height:392" coordorigin="37,14" coordsize="5529,392">
              <v:shape style="position:absolute;left:37;top:14;width:5529;height:392" coordorigin="37,14" coordsize="5529,392" path="m37,406l5566,406,5566,14,37,14,37,406xe" filled="true" fillcolor="#d3d3d3" stroked="false">
                <v:path arrowok="t"/>
                <v:fill type="solid"/>
              </v:shape>
            </v:group>
            <v:group style="position:absolute;left:5598;top:406;width:3975;height:2" coordorigin="5598,406" coordsize="3975,2">
              <v:shape style="position:absolute;left:5598;top:406;width:3975;height:2" coordorigin="5598,406" coordsize="3975,0" path="m5598,406l9572,406e" filled="false" stroked="true" strokeweight=".1pt" strokecolor="#d3d3d3">
                <v:path arrowok="t"/>
              </v:shape>
            </v:group>
            <v:group style="position:absolute;left:5610;top:15;width:2;height:390" coordorigin="5610,15" coordsize="2,390">
              <v:shape style="position:absolute;left:5610;top:15;width:2;height:390" coordorigin="5610,15" coordsize="0,390" path="m5610,15l5610,405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5622;top:14;width:3928;height:392" coordorigin="5622,14" coordsize="3928,392">
              <v:shape style="position:absolute;left:5622;top:14;width:3928;height:392" coordorigin="5622,14" coordsize="3928,392" path="m5622,406l9550,406,9550,14,5622,14,5622,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1619"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4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1619"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12,511,725.08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5,817,893.14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667,438.39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335,305.07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1,501,181.80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24,766.68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497,960.66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244,278.63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17,332.96</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-25,681,086.78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3,867,754.79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-4,855,011.34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-6,169,123.39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-524,409.93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35,535,357.11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13,285,710.64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-31,005,839.19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21,574.71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20,401,495.04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-14,929,555.80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87,510,565.68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-62,660,829.41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15,773,586.84</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465" w:right="0"/>
              <w:jc w:val="left"/>
              <w:rPr>
                <w:rFonts w:ascii="Times New Roman" w:hAnsi="Times New Roman" w:cs="Times New Roman" w:eastAsia="Times New Roman" w:hint="default"/>
                <w:sz w:val="18"/>
                <w:szCs w:val="18"/>
              </w:rPr>
            </w:pPr>
            <w:r>
              <w:rPr>
                <w:rFonts w:ascii="Times New Roman"/>
                <w:sz w:val="18"/>
              </w:rPr>
              <w:t>11,282,520.96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40,623,323.11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103,284,152.52</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40,623,323.11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103,284,152.52</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4"/>
        <w:spacing w:line="240" w:lineRule="auto" w:before="0"/>
        <w:ind w:right="1619"/>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8"/>
          <w:szCs w:val="18"/>
        </w:rPr>
      </w:pPr>
    </w:p>
    <w:p>
      <w:pPr>
        <w:pStyle w:val="Heading4"/>
        <w:spacing w:line="240" w:lineRule="auto"/>
        <w:ind w:right="1619"/>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6"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1" w:hRule="exact"/>
        </w:trPr>
        <w:tc>
          <w:tcPr>
            <w:tcW w:w="87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09572874-</w:t>
            </w:r>
          </w:p>
        </w:tc>
      </w:tr>
      <w:tr>
        <w:trPr>
          <w:trHeight w:val="625" w:hRule="exact"/>
        </w:trPr>
        <w:tc>
          <w:tcPr>
            <w:tcW w:w="87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19"/>
              <w:jc w:val="left"/>
              <w:rPr>
                <w:rFonts w:ascii="宋体" w:hAnsi="宋体" w:cs="宋体" w:eastAsia="宋体" w:hint="default"/>
                <w:sz w:val="18"/>
                <w:szCs w:val="18"/>
              </w:rPr>
            </w:pPr>
            <w:r>
              <w:rPr>
                <w:rFonts w:ascii="宋体" w:hAnsi="宋体" w:cs="宋体" w:eastAsia="宋体" w:hint="default"/>
                <w:sz w:val="18"/>
                <w:szCs w:val="18"/>
              </w:rPr>
              <w:t>物华实业 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000-03-09</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（商业登</w:t>
            </w:r>
          </w:p>
        </w:tc>
      </w:tr>
      <w:tr>
        <w:trPr>
          <w:trHeight w:val="352" w:hRule="exact"/>
        </w:trPr>
        <w:tc>
          <w:tcPr>
            <w:tcW w:w="87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记证号）</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文化及娱乐</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产品、动画</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网络游戏的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常州远东文 化产业有限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互联网络的 传播、互联 网络游戏及 娱乐的技术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78633636-5</w:t>
            </w: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开发，移动</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通信网络游</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戏及娱乐的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智能控制人</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机交互软件</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发；机电一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体化、动态</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仿真、机械</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结构以及多</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媒体产品的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深圳市艾特 凡斯智能科 技有限公司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汤芝加</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技术开发及 系统集成； 动漫设计；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1,000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58272169-1</w:t>
            </w: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计算机软硬</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件的技术开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发与销售；</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机电一体化</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设备的生产</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（仅限分支</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机构生产）</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与销售。</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986"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82"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本企业在被 投资单位表 决权比例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62"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8"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常州永东</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r>
      <w:tr>
        <w:trPr>
          <w:trHeight w:val="625"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服饰洗水 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41.57%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41.57%</w:t>
            </w:r>
          </w:p>
        </w:tc>
        <w:tc>
          <w:tcPr>
            <w:tcW w:w="958"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r>
      <w:tr>
        <w:trPr>
          <w:trHeight w:val="356"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207981pt;width:479.1pt;height:71.9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98"/>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7968pt;width:479.1pt;height:71.9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98"/>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16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9"/>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58"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57" w:firstLine="0"/>
        <w:jc w:val="right"/>
        <w:rPr>
          <w:rFonts w:ascii="宋体" w:hAnsi="宋体" w:cs="宋体" w:eastAsia="宋体" w:hint="default"/>
          <w:sz w:val="18"/>
          <w:szCs w:val="18"/>
        </w:rPr>
      </w:pPr>
      <w:r>
        <w:rPr/>
        <w:pict>
          <v:shape style="position:absolute;margin-left:56.459999pt;margin-top:-52.147976pt;width:479.1pt;height:71.9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0"/>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spacing w:line="516" w:lineRule="auto" w:before="35"/>
        <w:ind w:left="154" w:right="7557"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18"/>
          <w:szCs w:val="18"/>
        </w:rPr>
        <w:t>上市公司应收关联方款项</w:t>
      </w:r>
    </w:p>
    <w:p>
      <w:pPr>
        <w:spacing w:after="0" w:line="5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2"/>
        <w:gridCol w:w="2258"/>
        <w:gridCol w:w="2258"/>
        <w:gridCol w:w="2257"/>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4"/>
        <w:spacing w:line="240" w:lineRule="auto"/>
        <w:ind w:right="1619"/>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spacing w:before="160"/>
        <w:ind w:left="153" w:right="-2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11"/>
        <w:rPr>
          <w:rFonts w:ascii="宋体" w:hAnsi="宋体" w:cs="宋体" w:eastAsia="宋体" w:hint="default"/>
          <w:sz w:val="26"/>
          <w:szCs w:val="26"/>
        </w:rPr>
      </w:pPr>
    </w:p>
    <w:p>
      <w:pPr>
        <w:pStyle w:val="Heading5"/>
        <w:spacing w:line="240" w:lineRule="auto"/>
        <w:ind w:right="-2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0"/>
        <w:ind w:left="153" w:right="-2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10"/>
        <w:rPr>
          <w:rFonts w:ascii="宋体" w:hAnsi="宋体" w:cs="宋体" w:eastAsia="宋体" w:hint="default"/>
          <w:sz w:val="26"/>
          <w:szCs w:val="26"/>
        </w:rPr>
      </w:pPr>
    </w:p>
    <w:p>
      <w:pPr>
        <w:pStyle w:val="Heading5"/>
        <w:spacing w:line="240" w:lineRule="auto"/>
        <w:ind w:right="-2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0"/>
        <w:ind w:left="153" w:right="-19"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11"/>
        <w:rPr>
          <w:rFonts w:ascii="宋体" w:hAnsi="宋体" w:cs="宋体" w:eastAsia="宋体" w:hint="default"/>
          <w:sz w:val="26"/>
          <w:szCs w:val="26"/>
        </w:rPr>
      </w:pPr>
    </w:p>
    <w:p>
      <w:pPr>
        <w:pStyle w:val="Heading5"/>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94" w:space="6334"/>
            <w:col w:w="1122"/>
          </w:cols>
        </w:sectPr>
      </w:pPr>
    </w:p>
    <w:p>
      <w:pPr>
        <w:spacing w:line="240" w:lineRule="auto" w:before="3"/>
        <w:rPr>
          <w:rFonts w:ascii="宋体" w:hAnsi="宋体" w:cs="宋体" w:eastAsia="宋体" w:hint="default"/>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5"/>
        <w:spacing w:line="487" w:lineRule="auto" w:before="35"/>
        <w:ind w:right="5258"/>
        <w:jc w:val="left"/>
        <w:rPr>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b w:val="0"/>
          <w:bCs w:val="0"/>
        </w:rPr>
      </w:r>
    </w:p>
    <w:p>
      <w:pPr>
        <w:spacing w:before="83"/>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ind w:right="1619"/>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5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1"/>
        <w:rPr>
          <w:rFonts w:ascii="宋体" w:hAnsi="宋体" w:cs="宋体" w:eastAsia="宋体" w:hint="default"/>
          <w:b/>
          <w:bCs/>
          <w:sz w:val="32"/>
          <w:szCs w:val="32"/>
        </w:rPr>
      </w:pPr>
    </w:p>
    <w:p>
      <w:pPr>
        <w:pStyle w:val="BodyText"/>
        <w:spacing w:line="254" w:lineRule="auto"/>
        <w:ind w:left="153" w:right="3174" w:firstLine="717"/>
        <w:jc w:val="left"/>
      </w:pPr>
      <w:r>
        <w:rPr/>
        <w:t>公司本年度拟不进行利润分配，也不进行资本公积金转增股本。 本次利润分配预案需提交年度股东大会审议批准后执行。</w:t>
      </w:r>
    </w:p>
    <w:p>
      <w:pPr>
        <w:spacing w:line="240" w:lineRule="auto" w:before="12"/>
        <w:rPr>
          <w:rFonts w:ascii="宋体" w:hAnsi="宋体" w:cs="宋体" w:eastAsia="宋体" w:hint="default"/>
          <w:sz w:val="28"/>
          <w:szCs w:val="28"/>
        </w:rPr>
      </w:pPr>
    </w:p>
    <w:p>
      <w:pPr>
        <w:pStyle w:val="Heading5"/>
        <w:spacing w:line="590" w:lineRule="atLeast"/>
        <w:ind w:left="909" w:right="6714" w:hanging="756"/>
        <w:jc w:val="left"/>
        <w:rPr>
          <w:b w:val="0"/>
          <w:bCs w:val="0"/>
        </w:rPr>
      </w:pPr>
      <w:r>
        <w:rPr>
          <w:rFonts w:ascii="Times New Roman" w:hAnsi="Times New Roman" w:cs="Times New Roman" w:eastAsia="Times New Roman" w:hint="default"/>
        </w:rPr>
        <w:t>3</w:t>
      </w:r>
      <w:r>
        <w:rPr/>
        <w:t>、其他资产负债表日后事项说明</w:t>
      </w:r>
      <w:r>
        <w:rPr>
          <w:spacing w:val="1"/>
          <w:w w:val="99"/>
        </w:rPr>
        <w:t> </w:t>
      </w:r>
      <w:r>
        <w:rPr/>
        <w:t>停牌事项</w:t>
      </w:r>
      <w:r>
        <w:rPr>
          <w:b w:val="0"/>
          <w:bCs w:val="0"/>
        </w:rPr>
      </w:r>
    </w:p>
    <w:p>
      <w:pPr>
        <w:pStyle w:val="BodyText"/>
        <w:spacing w:line="240" w:lineRule="auto" w:before="145"/>
        <w:ind w:left="153" w:right="0"/>
        <w:jc w:val="left"/>
        <w:rPr>
          <w:rFonts w:ascii="Times New Roman" w:hAnsi="Times New Roman" w:cs="Times New Roman" w:eastAsia="Times New Roman" w:hint="default"/>
        </w:rPr>
      </w:pPr>
      <w:r>
        <w:rPr/>
        <w:t>因公司控股股东物华实业有限公司正在筹划可能涉及本公司的重大事项，经公司申请，公司股票于</w:t>
      </w:r>
      <w:r>
        <w:rPr>
          <w:spacing w:val="66"/>
        </w:rPr>
        <w:t> </w:t>
      </w:r>
      <w:r>
        <w:rPr>
          <w:rFonts w:ascii="Times New Roman" w:hAnsi="Times New Roman" w:cs="Times New Roman" w:eastAsia="Times New Roman" w:hint="default"/>
        </w:rPr>
        <w:t>2013</w:t>
      </w:r>
    </w:p>
    <w:p>
      <w:pPr>
        <w:pStyle w:val="BodyText"/>
        <w:spacing w:line="256" w:lineRule="auto" w:before="109"/>
        <w:ind w:right="0"/>
        <w:jc w:val="left"/>
      </w:pPr>
      <w:r>
        <w:rPr/>
        <w:t>年</w:t>
      </w:r>
      <w:r>
        <w:rPr>
          <w:spacing w:val="-53"/>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26 </w:t>
      </w:r>
      <w:r>
        <w:rPr/>
        <w:t>日起停牌。 </w:t>
      </w:r>
      <w:r>
        <w:rPr>
          <w:spacing w:val="-1"/>
        </w:rPr>
        <w:t>目前，物华实业有限公司正在就该重大事项的可行性进行论证，尚无明确结果且具有较大的不确定性，公</w:t>
      </w:r>
      <w:r>
        <w:rPr>
          <w:spacing w:val="-83"/>
        </w:rPr>
        <w:t> </w:t>
      </w:r>
      <w:r>
        <w:rPr>
          <w:spacing w:val="-83"/>
        </w:rPr>
      </w:r>
      <w:r>
        <w:rPr/>
        <w:t>司将充分关注事项进展，及时履行信息披露义务。</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ind w:right="1619"/>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3"/>
        <w:gridCol w:w="1532"/>
        <w:gridCol w:w="1516"/>
        <w:gridCol w:w="1517"/>
        <w:gridCol w:w="1527"/>
        <w:gridCol w:w="1522"/>
      </w:tblGrid>
      <w:tr>
        <w:trPr>
          <w:trHeight w:val="160" w:hRule="exact"/>
        </w:trPr>
        <w:tc>
          <w:tcPr>
            <w:tcW w:w="19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9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0" w:hRule="exact"/>
        </w:trPr>
        <w:tc>
          <w:tcPr>
            <w:tcW w:w="19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1"/>
        <w:gridCol w:w="1517"/>
        <w:gridCol w:w="1518"/>
        <w:gridCol w:w="1505"/>
      </w:tblGrid>
      <w:tr>
        <w:trPr>
          <w:trHeight w:val="160" w:hRule="exact"/>
        </w:trPr>
        <w:tc>
          <w:tcPr>
            <w:tcW w:w="19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4"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2" w:hRule="exact"/>
        </w:trPr>
        <w:tc>
          <w:tcPr>
            <w:tcW w:w="19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3"/>
        <w:ind w:right="1619"/>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3718"/>
        <w:gridCol w:w="3852"/>
      </w:tblGrid>
      <w:tr>
        <w:trPr>
          <w:trHeight w:val="396"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line="360"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line="338" w:lineRule="auto" w:before="40"/>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38" w:lineRule="auto" w:before="43"/>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396"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7"/>
        <w:ind w:left="154" w:right="1619"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29,084,652.36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695,142.62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29,084,652.36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695,142.62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2.39%</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29,084,652.36</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695,142.62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57"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6"/>
        <w:gridCol w:w="2458"/>
        <w:gridCol w:w="1594"/>
        <w:gridCol w:w="2526"/>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2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714"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84,375.00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84,375.00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12,203,952.36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41.96%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610,197.62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1,830.70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0.02%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6,007,530.70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31,893.07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29,084,652.36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695,142.62</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2"/>
        <w:ind w:left="154" w:right="16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61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6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33"/>
        <w:gridCol w:w="1296"/>
        <w:gridCol w:w="1175"/>
        <w:gridCol w:w="890"/>
        <w:gridCol w:w="2466"/>
        <w:gridCol w:w="1109"/>
      </w:tblGrid>
      <w:tr>
        <w:trPr>
          <w:trHeight w:val="355" w:hRule="exact"/>
        </w:trPr>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年限</w:t>
            </w:r>
          </w:p>
        </w:tc>
        <w:tc>
          <w:tcPr>
            <w:tcW w:w="2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c>
          <w:tcPr>
            <w:tcW w:w="11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9"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3" w:hRule="exact"/>
        </w:trPr>
        <w:tc>
          <w:tcPr>
            <w:tcW w:w="23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08" w:right="0"/>
              <w:jc w:val="left"/>
              <w:rPr>
                <w:rFonts w:ascii="Times New Roman" w:hAnsi="Times New Roman" w:cs="Times New Roman" w:eastAsia="Times New Roman" w:hint="default"/>
                <w:sz w:val="20"/>
                <w:szCs w:val="20"/>
              </w:rPr>
            </w:pPr>
            <w:r>
              <w:rPr>
                <w:rFonts w:ascii="Times New Roman"/>
                <w:sz w:val="20"/>
              </w:rPr>
              <w:t>6,000,000.00</w:t>
            </w:r>
          </w:p>
        </w:tc>
        <w:tc>
          <w:tcPr>
            <w:tcW w:w="8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4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99.87</w:t>
            </w:r>
          </w:p>
        </w:tc>
        <w:tc>
          <w:tcPr>
            <w:tcW w:w="11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资金往来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99.87%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99.87%</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1619"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3"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2"/>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常州远东 文化产业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深圳艾特 凡斯智能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31,774,77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31,774,77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31,774,77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45,092,28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12,567,67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31,774,77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44,342,44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9.58</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长期股权投资的说明</w:t>
      </w:r>
    </w:p>
    <w:p>
      <w:pPr>
        <w:pStyle w:val="BodyText"/>
        <w:spacing w:line="261" w:lineRule="auto" w:before="90"/>
        <w:ind w:left="153" w:right="148"/>
        <w:jc w:val="both"/>
      </w:pPr>
      <w:r>
        <w:rPr>
          <w:spacing w:val="-2"/>
        </w:rPr>
        <w:t>本期新增对深圳艾特凡斯智能科技有限公司长期股权投资的说明：本公司以支付现金人民币</w:t>
      </w:r>
      <w:r>
        <w:rPr>
          <w:rFonts w:ascii="Times New Roman" w:hAnsi="Times New Roman" w:cs="Times New Roman" w:eastAsia="Times New Roman" w:hint="default"/>
          <w:spacing w:val="-2"/>
        </w:rPr>
        <w:t>1,200</w:t>
      </w:r>
      <w:r>
        <w:rPr>
          <w:spacing w:val="-2"/>
        </w:rPr>
        <w:t>万元、承</w:t>
      </w:r>
      <w:r>
        <w:rPr>
          <w:spacing w:val="-85"/>
        </w:rPr>
        <w:t> </w:t>
      </w:r>
      <w:r>
        <w:rPr>
          <w:spacing w:val="-85"/>
        </w:rPr>
      </w:r>
      <w:r>
        <w:rPr>
          <w:spacing w:val="-5"/>
        </w:rPr>
        <w:t>担或有对价（公允价值）人民币 </w:t>
      </w:r>
      <w:r>
        <w:rPr>
          <w:rFonts w:ascii="Times New Roman" w:hAnsi="Times New Roman" w:cs="Times New Roman" w:eastAsia="Times New Roman" w:hint="default"/>
        </w:rPr>
        <w:t>15,184,779.29</w:t>
      </w:r>
      <w:r>
        <w:rPr>
          <w:rFonts w:ascii="Times New Roman" w:hAnsi="Times New Roman" w:cs="Times New Roman" w:eastAsia="Times New Roman" w:hint="default"/>
          <w:spacing w:val="-14"/>
        </w:rPr>
        <w:t> </w:t>
      </w:r>
      <w:r>
        <w:rPr/>
        <w:t>元作为合并成本购买深圳艾特凡斯智能科技有限公司</w:t>
      </w:r>
      <w:r>
        <w:rPr>
          <w:rFonts w:ascii="Times New Roman" w:hAnsi="Times New Roman" w:cs="Times New Roman" w:eastAsia="Times New Roman" w:hint="default"/>
        </w:rPr>
        <w:t>51% </w:t>
      </w:r>
      <w:r>
        <w:rPr>
          <w:spacing w:val="-2"/>
        </w:rPr>
        <w:t>的权益。合并成本在购买日的总额为人民币</w:t>
      </w:r>
      <w:r>
        <w:rPr>
          <w:rFonts w:ascii="Times New Roman" w:hAnsi="Times New Roman" w:cs="Times New Roman" w:eastAsia="Times New Roman" w:hint="default"/>
          <w:spacing w:val="-2"/>
        </w:rPr>
        <w:t>27,184,779.29</w:t>
      </w:r>
      <w:r>
        <w:rPr>
          <w:spacing w:val="-2"/>
        </w:rPr>
        <w:t>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日，公司第七届董事会第四次会</w:t>
      </w:r>
      <w:r>
        <w:rPr>
          <w:spacing w:val="-81"/>
        </w:rPr>
        <w:t> </w:t>
      </w:r>
      <w:r>
        <w:rPr>
          <w:spacing w:val="-81"/>
        </w:rPr>
      </w:r>
      <w:r>
        <w:rPr>
          <w:spacing w:val="-1"/>
        </w:rPr>
        <w:t>议审议通过了《关于向子公司深圳艾特凡斯智能科技有限公司增资的议案》，决定与艾特凡斯公司各股东</w:t>
      </w:r>
      <w:r>
        <w:rPr>
          <w:spacing w:val="-83"/>
        </w:rPr>
        <w:t> </w:t>
      </w:r>
      <w:r>
        <w:rPr>
          <w:spacing w:val="-83"/>
        </w:rPr>
      </w:r>
      <w:r>
        <w:rPr/>
        <w:t>共同向艾特凡斯公司按持股比例增资，将艾特凡斯公司注册资本由人民币</w:t>
      </w:r>
      <w:r>
        <w:rPr>
          <w:rFonts w:ascii="Times New Roman" w:hAnsi="Times New Roman" w:cs="Times New Roman" w:eastAsia="Times New Roman" w:hint="default"/>
        </w:rPr>
        <w:t>100</w:t>
      </w:r>
      <w:r>
        <w:rPr/>
        <w:t>万元增至</w:t>
      </w:r>
      <w:r>
        <w:rPr>
          <w:rFonts w:ascii="Times New Roman" w:hAnsi="Times New Roman" w:cs="Times New Roman" w:eastAsia="Times New Roman" w:hint="default"/>
        </w:rPr>
        <w:t>1,000</w:t>
      </w:r>
      <w:r>
        <w:rPr/>
        <w:t>万元，其中本</w:t>
      </w:r>
      <w:r>
        <w:rPr>
          <w:spacing w:val="-84"/>
        </w:rPr>
        <w:t> </w:t>
      </w:r>
      <w:r>
        <w:rPr>
          <w:spacing w:val="-84"/>
        </w:rPr>
      </w:r>
      <w:r>
        <w:rPr/>
        <w:t>公司对其增资</w:t>
      </w:r>
      <w:r>
        <w:rPr>
          <w:rFonts w:ascii="Times New Roman" w:hAnsi="Times New Roman" w:cs="Times New Roman" w:eastAsia="Times New Roman" w:hint="default"/>
        </w:rPr>
        <w:t>459</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6,445,220.37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76,677.00</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6,445,220.37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76,677.00</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21,574.71</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7"/>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3721"/>
        <w:gridCol w:w="3587"/>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5,591,220.37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资金占用费收入</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6,445,220.37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54" w:right="16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11,849,208.78</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11,849,208.78</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1727"/>
        <w:gridCol w:w="1594"/>
        <w:gridCol w:w="2922"/>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5"/>
        <w:spacing w:line="240" w:lineRule="auto" w:before="35"/>
        <w:ind w:right="161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2"/>
        <w:ind w:left="154" w:right="1619"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10"/>
        <w:rPr>
          <w:rFonts w:ascii="宋体" w:hAnsi="宋体" w:cs="宋体" w:eastAsia="宋体" w:hint="default"/>
          <w:sz w:val="26"/>
          <w:szCs w:val="26"/>
        </w:rPr>
      </w:pPr>
    </w:p>
    <w:p>
      <w:pPr>
        <w:pStyle w:val="Heading5"/>
        <w:spacing w:line="240" w:lineRule="auto"/>
        <w:ind w:right="1619"/>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4"/>
        <w:gridCol w:w="2258"/>
        <w:gridCol w:w="2263"/>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288" w:right="0"/>
              <w:jc w:val="left"/>
              <w:rPr>
                <w:rFonts w:ascii="Times New Roman" w:hAnsi="Times New Roman" w:cs="Times New Roman" w:eastAsia="Times New Roman" w:hint="default"/>
                <w:sz w:val="18"/>
                <w:szCs w:val="18"/>
              </w:rPr>
            </w:pPr>
            <w:r>
              <w:rPr>
                <w:rFonts w:ascii="Times New Roman"/>
                <w:sz w:val="18"/>
              </w:rPr>
              <w:t>1,103,876.55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5" w:right="0"/>
              <w:jc w:val="left"/>
              <w:rPr>
                <w:rFonts w:ascii="Times New Roman" w:hAnsi="Times New Roman" w:cs="Times New Roman" w:eastAsia="Times New Roman" w:hint="default"/>
                <w:sz w:val="18"/>
                <w:szCs w:val="18"/>
              </w:rPr>
            </w:pPr>
            <w:r>
              <w:rPr>
                <w:rFonts w:ascii="Times New Roman"/>
                <w:sz w:val="18"/>
              </w:rPr>
              <w:t>20,379,035.75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4"/>
        <w:gridCol w:w="2275"/>
        <w:gridCol w:w="2257"/>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-663,249.55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1,072,249.57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119,870.46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1,418,508.58</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497,960.66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5"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17,332.96</w:t>
            </w:r>
          </w:p>
        </w:tc>
      </w:tr>
      <w:tr>
        <w:trPr>
          <w:trHeight w:val="714" w:hRule="exact"/>
        </w:trPr>
        <w:tc>
          <w:tcPr>
            <w:tcW w:w="5024"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316" w:lineRule="auto" w:before="51"/>
              <w:ind w:left="11" w:right="13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5" w:type="dxa"/>
            <w:tcBorders>
              <w:top w:val="single" w:sz="4" w:space="0" w:color="000000"/>
              <w:left w:val="single" w:sz="9" w:space="0" w:color="FFFFFF"/>
              <w:bottom w:val="single" w:sz="4" w:space="0" w:color="000000"/>
              <w:right w:val="single" w:sz="4" w:space="0" w:color="000000"/>
            </w:tcBorders>
          </w:tcPr>
          <w:p>
            <w:pPr>
              <w:pStyle w:val="TableParagraph"/>
              <w:spacing w:line="216" w:lineRule="exact" w:before="51"/>
              <w:ind w:left="-15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2"/>
              <w:jc w:val="right"/>
              <w:rPr>
                <w:rFonts w:ascii="Times New Roman" w:hAnsi="Times New Roman" w:cs="Times New Roman" w:eastAsia="Times New Roman" w:hint="default"/>
                <w:sz w:val="18"/>
                <w:szCs w:val="18"/>
              </w:rPr>
            </w:pPr>
            <w:r>
              <w:rPr>
                <w:rFonts w:ascii="Times New Roman"/>
                <w:sz w:val="18"/>
              </w:rPr>
              <w:t>5,567.53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-25,277,902.49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290,573.90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-839,342.47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-11,849,208.78</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8,124,282.02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-659,379.76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-848,039.14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-14,671,077.35</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5"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21,574.71</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7,315,139.30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-29,050,906.15</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19,035,117.54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103,265,170.77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103,265,170.77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68,254,793.05</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-84,230,053.23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35,010,377.72</w:t>
            </w:r>
          </w:p>
        </w:tc>
      </w:tr>
    </w:tbl>
    <w:p>
      <w:pPr>
        <w:spacing w:line="240" w:lineRule="auto" w:before="2"/>
        <w:rPr>
          <w:rFonts w:ascii="宋体" w:hAnsi="宋体" w:cs="宋体" w:eastAsia="宋体" w:hint="default"/>
          <w:sz w:val="19"/>
          <w:szCs w:val="19"/>
        </w:rPr>
      </w:pPr>
    </w:p>
    <w:p>
      <w:pPr>
        <w:pStyle w:val="Heading5"/>
        <w:spacing w:line="240" w:lineRule="auto" w:before="35"/>
        <w:ind w:right="1619"/>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spacing w:before="44"/>
        <w:ind w:left="154" w:right="1619"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1"/>
        <w:ind w:left="154" w:right="1619"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4"/>
        <w:spacing w:line="240" w:lineRule="auto"/>
        <w:ind w:right="1619"/>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19"/>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67"/>
        <w:gridCol w:w="1925"/>
        <w:gridCol w:w="1927"/>
      </w:tblGrid>
      <w:tr>
        <w:trPr>
          <w:trHeight w:val="200"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left="1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67"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67" w:type="dxa"/>
            <w:vMerge/>
            <w:tcBorders>
              <w:left w:val="single" w:sz="4" w:space="0" w:color="000000"/>
              <w:right w:val="single" w:sz="4" w:space="0" w:color="000000"/>
            </w:tcBorders>
            <w:shd w:val="clear" w:color="auto" w:fill="D3D3D3"/>
          </w:tcPr>
          <w:p>
            <w:pP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7"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67" w:type="dxa"/>
            <w:tcBorders>
              <w:top w:val="single" w:sz="20" w:space="0" w:color="D3D3D3"/>
              <w:left w:val="single" w:sz="10" w:space="0" w:color="D3D3D3"/>
              <w:bottom w:val="single" w:sz="4" w:space="0" w:color="000000"/>
              <w:right w:val="single" w:sz="4" w:space="0" w:color="000000"/>
            </w:tcBorders>
          </w:tcPr>
          <w:p>
            <w:pPr>
              <w:pStyle w:val="TableParagraph"/>
              <w:spacing w:line="240" w:lineRule="auto" w:before="71"/>
              <w:ind w:right="9"/>
              <w:jc w:val="right"/>
              <w:rPr>
                <w:rFonts w:ascii="Times New Roman" w:hAnsi="Times New Roman" w:cs="Times New Roman" w:eastAsia="Times New Roman" w:hint="default"/>
                <w:sz w:val="18"/>
                <w:szCs w:val="18"/>
              </w:rPr>
            </w:pPr>
            <w:r>
              <w:rPr>
                <w:rFonts w:ascii="Times New Roman"/>
                <w:sz w:val="18"/>
              </w:rPr>
              <w:t>4.58%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4.12%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1619"/>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2" w:top="1060" w:bottom="1180" w:left="980" w:right="980"/>
        </w:sectPr>
      </w:pPr>
    </w:p>
    <w:p>
      <w:pPr>
        <w:spacing w:before="35"/>
        <w:ind w:left="141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金额异常或比较期间变动异常的报表项目</w:t>
      </w:r>
      <w:r>
        <w:rPr>
          <w:rFonts w:ascii="宋体" w:hAnsi="宋体" w:cs="宋体" w:eastAsia="宋体" w:hint="default"/>
          <w:sz w:val="21"/>
          <w:szCs w:val="21"/>
        </w:rPr>
      </w:r>
    </w:p>
    <w:p>
      <w:pPr>
        <w:tabs>
          <w:tab w:pos="1951" w:val="left" w:leader="none"/>
          <w:tab w:pos="3327" w:val="left" w:leader="none"/>
          <w:tab w:pos="4614" w:val="left" w:leader="none"/>
        </w:tabs>
        <w:spacing w:before="40"/>
        <w:ind w:left="522" w:right="-17" w:firstLine="0"/>
        <w:jc w:val="left"/>
        <w:rPr>
          <w:rFonts w:ascii="宋体" w:hAnsi="宋体" w:cs="宋体" w:eastAsia="宋体" w:hint="default"/>
          <w:sz w:val="20"/>
          <w:szCs w:val="20"/>
        </w:rPr>
      </w:pPr>
      <w:r>
        <w:rPr>
          <w:rFonts w:ascii="宋体" w:hAnsi="宋体" w:cs="宋体" w:eastAsia="宋体" w:hint="default"/>
          <w:sz w:val="20"/>
          <w:szCs w:val="20"/>
        </w:rPr>
        <w:t>报表项目</w:t>
        <w:tab/>
        <w:t>期末余额</w:t>
        <w:tab/>
        <w:t>年初余额</w:t>
        <w:tab/>
        <w:t>变动比率</w:t>
      </w:r>
    </w:p>
    <w:p>
      <w:pPr>
        <w:spacing w:before="50"/>
        <w:ind w:left="0" w:right="329" w:firstLine="0"/>
        <w:jc w:val="right"/>
        <w:rPr>
          <w:rFonts w:ascii="宋体" w:hAnsi="宋体" w:cs="宋体" w:eastAsia="宋体" w:hint="default"/>
          <w:sz w:val="20"/>
          <w:szCs w:val="20"/>
        </w:rPr>
      </w:pPr>
      <w:r>
        <w:rPr/>
        <w:pict>
          <v:group style="position:absolute;margin-left:56.700001pt;margin-top:19.669819pt;width:461.8pt;height:.1pt;mso-position-horizontal-relative:page;mso-position-vertical-relative:paragraph;z-index:2872" coordorigin="1134,393" coordsize="9236,2">
            <v:shape style="position:absolute;left:1134;top:393;width:9236;height:2" coordorigin="1134,393" coordsize="9236,0" path="m1134,393l10369,393e" filled="false" stroked="true" strokeweight="1.5pt" strokecolor="#000000">
              <v:path arrowok="t"/>
            </v:shape>
            <w10:wrap type="none"/>
          </v:group>
        </w:pic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line="240" w:lineRule="auto" w:before="13"/>
        <w:rPr>
          <w:rFonts w:ascii="宋体" w:hAnsi="宋体" w:cs="宋体" w:eastAsia="宋体" w:hint="default"/>
          <w:sz w:val="27"/>
          <w:szCs w:val="27"/>
        </w:rPr>
      </w:pPr>
      <w:r>
        <w:rPr/>
        <w:br w:type="column"/>
      </w:r>
      <w:r>
        <w:rPr>
          <w:rFonts w:ascii="宋体"/>
          <w:sz w:val="27"/>
        </w:rPr>
      </w:r>
    </w:p>
    <w:p>
      <w:pPr>
        <w:spacing w:before="0"/>
        <w:ind w:left="522" w:right="0" w:firstLine="0"/>
        <w:jc w:val="left"/>
        <w:rPr>
          <w:rFonts w:ascii="宋体" w:hAnsi="宋体" w:cs="宋体" w:eastAsia="宋体" w:hint="default"/>
          <w:sz w:val="20"/>
          <w:szCs w:val="20"/>
        </w:rPr>
      </w:pPr>
      <w:r>
        <w:rPr>
          <w:rFonts w:ascii="宋体" w:hAnsi="宋体" w:cs="宋体" w:eastAsia="宋体" w:hint="default"/>
          <w:sz w:val="20"/>
          <w:szCs w:val="20"/>
        </w:rPr>
        <w:t>变动原因</w:t>
      </w:r>
    </w:p>
    <w:p>
      <w:pPr>
        <w:spacing w:after="0"/>
        <w:jc w:val="left"/>
        <w:rPr>
          <w:rFonts w:ascii="宋体" w:hAnsi="宋体" w:cs="宋体" w:eastAsia="宋体" w:hint="default"/>
          <w:sz w:val="20"/>
          <w:szCs w:val="20"/>
        </w:rPr>
        <w:sectPr>
          <w:type w:val="continuous"/>
          <w:pgSz w:w="11910" w:h="16840"/>
          <w:pgMar w:top="1060" w:bottom="1180" w:left="980" w:right="980"/>
          <w:cols w:num="2" w:equalWidth="0">
            <w:col w:w="5629" w:space="936"/>
            <w:col w:w="3385"/>
          </w:cols>
        </w:sectPr>
      </w:pPr>
    </w:p>
    <w:p>
      <w:pPr>
        <w:spacing w:line="285" w:lineRule="auto" w:before="76"/>
        <w:ind w:left="2151" w:right="-14" w:hanging="300"/>
        <w:jc w:val="left"/>
        <w:rPr>
          <w:rFonts w:ascii="宋体" w:hAnsi="宋体" w:cs="宋体" w:eastAsia="宋体" w:hint="default"/>
          <w:sz w:val="20"/>
          <w:szCs w:val="20"/>
        </w:rPr>
      </w:pPr>
      <w:r>
        <w:rPr>
          <w:rFonts w:ascii="宋体" w:hAnsi="宋体" w:cs="宋体" w:eastAsia="宋体" w:hint="default"/>
          <w:spacing w:val="-1"/>
          <w:sz w:val="20"/>
          <w:szCs w:val="20"/>
        </w:rPr>
        <w:t>（或本期金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额）</w:t>
      </w:r>
    </w:p>
    <w:p>
      <w:pPr>
        <w:spacing w:before="76"/>
        <w:ind w:left="13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（或上期金额）</w:t>
      </w:r>
    </w:p>
    <w:p>
      <w:pPr>
        <w:spacing w:after="0"/>
        <w:jc w:val="left"/>
        <w:rPr>
          <w:rFonts w:ascii="宋体" w:hAnsi="宋体" w:cs="宋体" w:eastAsia="宋体" w:hint="default"/>
          <w:sz w:val="20"/>
          <w:szCs w:val="20"/>
        </w:rPr>
        <w:sectPr>
          <w:type w:val="continuous"/>
          <w:pgSz w:w="11910" w:h="16840"/>
          <w:pgMar w:top="1060" w:bottom="1180" w:left="980" w:right="980"/>
          <w:cols w:num="2" w:equalWidth="0">
            <w:col w:w="2853" w:space="40"/>
            <w:col w:w="7057"/>
          </w:cols>
        </w:sectPr>
      </w:pPr>
    </w:p>
    <w:p>
      <w:pPr>
        <w:spacing w:line="240" w:lineRule="auto" w:before="1"/>
        <w:rPr>
          <w:rFonts w:ascii="宋体" w:hAnsi="宋体" w:cs="宋体" w:eastAsia="宋体" w:hint="default"/>
          <w:sz w:val="2"/>
          <w:szCs w:val="2"/>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3.3pt;height:1.5pt;mso-position-horizontal-relative:char;mso-position-vertical-relative:line" coordorigin="0,0" coordsize="9266,30">
            <v:group style="position:absolute;left:15;top:15;width:9236;height:2" coordorigin="15,15" coordsize="9236,2">
              <v:shape style="position:absolute;left:15;top:15;width:9236;height:2" coordorigin="15,15" coordsize="9236,0" path="m15,15l9250,15e" filled="false" stroked="true" strokeweight="1.5pt" strokecolor="#000000">
                <v:path arrowok="t"/>
              </v:shape>
            </v:group>
          </v:group>
        </w:pict>
      </w:r>
      <w:r>
        <w:rPr>
          <w:rFonts w:ascii="宋体" w:hAnsi="宋体" w:cs="宋体" w:eastAsia="宋体" w:hint="default"/>
          <w:position w:val="0"/>
          <w:sz w:val="3"/>
          <w:szCs w:val="3"/>
        </w:rPr>
      </w:r>
    </w:p>
    <w:p>
      <w:pPr>
        <w:tabs>
          <w:tab w:pos="1850" w:val="left" w:leader="none"/>
          <w:tab w:pos="5052" w:val="left" w:leader="none"/>
        </w:tabs>
        <w:spacing w:before="0"/>
        <w:ind w:left="163" w:right="0" w:firstLine="0"/>
        <w:jc w:val="left"/>
        <w:rPr>
          <w:rFonts w:ascii="宋体" w:hAnsi="宋体" w:cs="宋体" w:eastAsia="宋体" w:hint="default"/>
          <w:sz w:val="20"/>
          <w:szCs w:val="20"/>
        </w:rPr>
      </w:pPr>
      <w:r>
        <w:rPr>
          <w:rFonts w:ascii="宋体" w:hAnsi="宋体" w:cs="宋体" w:eastAsia="宋体" w:hint="default"/>
          <w:sz w:val="20"/>
          <w:szCs w:val="20"/>
        </w:rPr>
        <w:t>货币资金</w:t>
        <w:tab/>
      </w:r>
      <w:r>
        <w:rPr>
          <w:rFonts w:ascii="Times New Roman" w:hAnsi="Times New Roman" w:cs="Times New Roman" w:eastAsia="Times New Roman" w:hint="default"/>
          <w:spacing w:val="-1"/>
          <w:sz w:val="20"/>
          <w:szCs w:val="20"/>
        </w:rPr>
        <w:t>40,623,323.11</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103,284,152.52</w:t>
        <w:tab/>
        <w:t>-60.67</w:t>
      </w:r>
      <w:r>
        <w:rPr>
          <w:rFonts w:ascii="Times New Roman" w:hAnsi="Times New Roman" w:cs="Times New Roman" w:eastAsia="Times New Roman" w:hint="default"/>
          <w:spacing w:val="-16"/>
          <w:sz w:val="20"/>
          <w:szCs w:val="20"/>
        </w:rPr>
        <w:t> </w:t>
      </w:r>
      <w:r>
        <w:rPr>
          <w:rFonts w:ascii="宋体" w:hAnsi="宋体" w:cs="宋体" w:eastAsia="宋体" w:hint="default"/>
          <w:spacing w:val="-1"/>
          <w:sz w:val="20"/>
          <w:szCs w:val="20"/>
        </w:rPr>
        <w:t>主要系本期购买了韩亚银行（中国）有限公</w:t>
      </w:r>
    </w:p>
    <w:p>
      <w:pPr>
        <w:spacing w:line="240" w:lineRule="auto" w:before="9"/>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1553"/>
        <w:gridCol w:w="1437"/>
        <w:gridCol w:w="1534"/>
        <w:gridCol w:w="4760"/>
      </w:tblGrid>
      <w:tr>
        <w:trPr>
          <w:trHeight w:val="343" w:hRule="exact"/>
        </w:trPr>
        <w:tc>
          <w:tcPr>
            <w:tcW w:w="4524" w:type="dxa"/>
            <w:gridSpan w:val="3"/>
            <w:tcBorders>
              <w:top w:val="nil" w:sz="6" w:space="0" w:color="auto"/>
              <w:left w:val="nil" w:sz="6" w:space="0" w:color="auto"/>
              <w:bottom w:val="nil" w:sz="6" w:space="0" w:color="auto"/>
              <w:right w:val="nil" w:sz="6" w:space="0" w:color="auto"/>
            </w:tcBorders>
          </w:tcPr>
          <w:p>
            <w:pPr/>
          </w:p>
        </w:tc>
        <w:tc>
          <w:tcPr>
            <w:tcW w:w="4760" w:type="dxa"/>
            <w:tcBorders>
              <w:top w:val="nil" w:sz="6" w:space="0" w:color="auto"/>
              <w:left w:val="nil" w:sz="6" w:space="0" w:color="auto"/>
              <w:bottom w:val="nil" w:sz="6" w:space="0" w:color="auto"/>
              <w:right w:val="nil" w:sz="6" w:space="0" w:color="auto"/>
            </w:tcBorders>
          </w:tcPr>
          <w:p>
            <w:pPr>
              <w:pStyle w:val="TableParagraph"/>
              <w:spacing w:line="240" w:lineRule="auto"/>
              <w:ind w:left="913" w:right="0"/>
              <w:jc w:val="left"/>
              <w:rPr>
                <w:rFonts w:ascii="宋体" w:hAnsi="宋体" w:cs="宋体" w:eastAsia="宋体" w:hint="default"/>
                <w:sz w:val="20"/>
                <w:szCs w:val="20"/>
              </w:rPr>
            </w:pPr>
            <w:r>
              <w:rPr>
                <w:rFonts w:ascii="宋体" w:hAnsi="宋体" w:cs="宋体" w:eastAsia="宋体" w:hint="default"/>
                <w:sz w:val="20"/>
                <w:szCs w:val="20"/>
              </w:rPr>
              <w:t>司</w:t>
            </w:r>
            <w:r>
              <w:rPr>
                <w:rFonts w:ascii="Times New Roman" w:hAnsi="Times New Roman" w:cs="Times New Roman" w:eastAsia="Times New Roman" w:hint="default"/>
                <w:sz w:val="20"/>
                <w:szCs w:val="20"/>
              </w:rPr>
              <w:t>9000</w:t>
            </w:r>
            <w:r>
              <w:rPr>
                <w:rFonts w:ascii="宋体" w:hAnsi="宋体" w:cs="宋体" w:eastAsia="宋体" w:hint="default"/>
                <w:sz w:val="20"/>
                <w:szCs w:val="20"/>
              </w:rPr>
              <w:t>万元理财产品所致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2,854,657.12</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39"/>
              <w:jc w:val="right"/>
              <w:rPr>
                <w:rFonts w:ascii="Times New Roman" w:hAnsi="Times New Roman" w:cs="Times New Roman" w:eastAsia="Times New Roman" w:hint="default"/>
                <w:sz w:val="20"/>
                <w:szCs w:val="20"/>
              </w:rPr>
            </w:pPr>
            <w:r>
              <w:rPr>
                <w:rFonts w:ascii="Times New Roman"/>
                <w:spacing w:val="-1"/>
                <w:sz w:val="20"/>
              </w:rPr>
              <w:t>73,160.36</w:t>
            </w: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48"/>
              <w:jc w:val="right"/>
              <w:rPr>
                <w:rFonts w:ascii="宋体" w:hAnsi="宋体" w:cs="宋体" w:eastAsia="宋体" w:hint="default"/>
                <w:sz w:val="20"/>
                <w:szCs w:val="20"/>
              </w:rPr>
            </w:pPr>
            <w:r>
              <w:rPr>
                <w:rFonts w:ascii="Times New Roman" w:hAnsi="Times New Roman" w:cs="Times New Roman" w:eastAsia="Times New Roman" w:hint="default"/>
                <w:sz w:val="20"/>
                <w:szCs w:val="20"/>
              </w:rPr>
              <w:t>3801.92</w:t>
            </w:r>
            <w:r>
              <w:rPr>
                <w:rFonts w:ascii="Times New Roman" w:hAnsi="Times New Roman" w:cs="Times New Roman" w:eastAsia="Times New Roman" w:hint="default"/>
                <w:spacing w:val="-8"/>
                <w:sz w:val="20"/>
                <w:szCs w:val="20"/>
              </w:rPr>
              <w:t> </w:t>
            </w:r>
            <w:r>
              <w:rPr>
                <w:rFonts w:ascii="宋体" w:hAnsi="宋体" w:cs="宋体" w:eastAsia="宋体" w:hint="default"/>
                <w:spacing w:val="9"/>
                <w:sz w:val="20"/>
                <w:szCs w:val="20"/>
              </w:rPr>
              <w:t>主要系本期收购艾特凡斯公司导致预付款</w:t>
            </w:r>
          </w:p>
        </w:tc>
      </w:tr>
      <w:tr>
        <w:trPr>
          <w:trHeight w:val="333"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项余额纳入合并报表范围内所致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20"/>
                <w:szCs w:val="20"/>
              </w:rPr>
            </w:pPr>
            <w:r>
              <w:rPr>
                <w:rFonts w:ascii="Times New Roman"/>
                <w:spacing w:val="-1"/>
                <w:sz w:val="20"/>
              </w:rPr>
              <w:t>839,342.47</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56" w:lineRule="exact"/>
              <w:ind w:right="48"/>
              <w:jc w:val="right"/>
              <w:rPr>
                <w:rFonts w:ascii="宋体" w:hAnsi="宋体" w:cs="宋体" w:eastAsia="宋体" w:hint="default"/>
                <w:sz w:val="20"/>
                <w:szCs w:val="20"/>
              </w:rPr>
            </w:pPr>
            <w:r>
              <w:rPr>
                <w:rFonts w:ascii="宋体" w:hAnsi="宋体" w:cs="宋体" w:eastAsia="宋体" w:hint="default"/>
                <w:spacing w:val="-1"/>
                <w:sz w:val="20"/>
                <w:szCs w:val="20"/>
              </w:rPr>
              <w:t>主要系本期购入的韩亚银行（中国）有限公</w:t>
            </w:r>
          </w:p>
        </w:tc>
      </w:tr>
      <w:tr>
        <w:trPr>
          <w:trHeight w:val="332"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司理财产品的应收利息所致</w:t>
            </w:r>
          </w:p>
        </w:tc>
      </w:tr>
      <w:tr>
        <w:trPr>
          <w:trHeight w:val="28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3"/>
              <w:jc w:val="right"/>
              <w:rPr>
                <w:rFonts w:ascii="Times New Roman" w:hAnsi="Times New Roman" w:cs="Times New Roman" w:eastAsia="Times New Roman" w:hint="default"/>
                <w:sz w:val="20"/>
                <w:szCs w:val="20"/>
              </w:rPr>
            </w:pPr>
            <w:r>
              <w:rPr>
                <w:rFonts w:ascii="Times New Roman"/>
                <w:spacing w:val="-1"/>
                <w:sz w:val="20"/>
              </w:rPr>
              <w:t>747,178.82</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38"/>
              <w:jc w:val="right"/>
              <w:rPr>
                <w:rFonts w:ascii="Times New Roman" w:hAnsi="Times New Roman" w:cs="Times New Roman" w:eastAsia="Times New Roman" w:hint="default"/>
                <w:sz w:val="20"/>
                <w:szCs w:val="20"/>
              </w:rPr>
            </w:pPr>
            <w:r>
              <w:rPr>
                <w:rFonts w:ascii="Times New Roman"/>
                <w:spacing w:val="-1"/>
                <w:sz w:val="20"/>
              </w:rPr>
              <w:t>14,931,869.16</w:t>
            </w:r>
            <w:r>
              <w:rPr>
                <w:rFonts w:ascii="Times New Roman"/>
                <w:sz w:val="20"/>
              </w:rPr>
            </w: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41"/>
              <w:jc w:val="right"/>
              <w:rPr>
                <w:rFonts w:ascii="宋体" w:hAnsi="宋体" w:cs="宋体" w:eastAsia="宋体" w:hint="default"/>
                <w:sz w:val="20"/>
                <w:szCs w:val="20"/>
              </w:rPr>
            </w:pPr>
            <w:r>
              <w:rPr>
                <w:rFonts w:ascii="Times New Roman" w:hAnsi="Times New Roman" w:cs="Times New Roman" w:eastAsia="Times New Roman" w:hint="default"/>
                <w:sz w:val="20"/>
                <w:szCs w:val="20"/>
              </w:rPr>
              <w:t>-95.00</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主要系收到上期土地收储尾款</w:t>
            </w:r>
            <w:r>
              <w:rPr>
                <w:rFonts w:ascii="Times New Roman" w:hAnsi="Times New Roman" w:cs="Times New Roman" w:eastAsia="Times New Roman" w:hint="default"/>
                <w:spacing w:val="3"/>
                <w:sz w:val="20"/>
                <w:szCs w:val="20"/>
              </w:rPr>
              <w:t>1,500.00</w:t>
            </w:r>
            <w:r>
              <w:rPr>
                <w:rFonts w:ascii="宋体" w:hAnsi="宋体" w:cs="宋体" w:eastAsia="宋体" w:hint="default"/>
                <w:spacing w:val="3"/>
                <w:sz w:val="20"/>
                <w:szCs w:val="20"/>
              </w:rPr>
              <w:t>万元</w:t>
            </w:r>
            <w:r>
              <w:rPr>
                <w:rFonts w:ascii="宋体" w:hAnsi="宋体" w:cs="宋体" w:eastAsia="宋体" w:hint="default"/>
                <w:sz w:val="20"/>
                <w:szCs w:val="20"/>
              </w:rPr>
            </w:r>
          </w:p>
        </w:tc>
      </w:tr>
      <w:tr>
        <w:trPr>
          <w:trHeight w:val="381" w:hRule="exact"/>
        </w:trPr>
        <w:tc>
          <w:tcPr>
            <w:tcW w:w="1553"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476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1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15,128,041.85</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38"/>
              <w:jc w:val="right"/>
              <w:rPr>
                <w:rFonts w:ascii="Times New Roman" w:hAnsi="Times New Roman" w:cs="Times New Roman" w:eastAsia="Times New Roman" w:hint="default"/>
                <w:sz w:val="20"/>
                <w:szCs w:val="20"/>
              </w:rPr>
            </w:pPr>
            <w:r>
              <w:rPr>
                <w:rFonts w:ascii="Times New Roman"/>
                <w:spacing w:val="-1"/>
                <w:sz w:val="20"/>
              </w:rPr>
              <w:t>6,169,123.39</w:t>
            </w:r>
            <w:r>
              <w:rPr>
                <w:rFonts w:ascii="Times New Roman"/>
                <w:sz w:val="20"/>
              </w:rPr>
            </w: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48"/>
              <w:jc w:val="right"/>
              <w:rPr>
                <w:rFonts w:ascii="宋体" w:hAnsi="宋体" w:cs="宋体" w:eastAsia="宋体" w:hint="default"/>
                <w:sz w:val="20"/>
                <w:szCs w:val="20"/>
              </w:rPr>
            </w:pPr>
            <w:r>
              <w:rPr>
                <w:rFonts w:ascii="Times New Roman" w:hAnsi="Times New Roman" w:cs="Times New Roman" w:eastAsia="Times New Roman" w:hint="default"/>
                <w:sz w:val="20"/>
                <w:szCs w:val="20"/>
              </w:rPr>
              <w:t>145.22</w:t>
            </w:r>
            <w:r>
              <w:rPr>
                <w:rFonts w:ascii="Times New Roman" w:hAnsi="Times New Roman" w:cs="Times New Roman" w:eastAsia="Times New Roman" w:hint="default"/>
                <w:spacing w:val="-8"/>
                <w:sz w:val="20"/>
                <w:szCs w:val="20"/>
              </w:rPr>
              <w:t> </w:t>
            </w:r>
            <w:r>
              <w:rPr>
                <w:rFonts w:ascii="宋体" w:hAnsi="宋体" w:cs="宋体" w:eastAsia="宋体" w:hint="default"/>
                <w:spacing w:val="9"/>
                <w:sz w:val="20"/>
                <w:szCs w:val="20"/>
              </w:rPr>
              <w:t>主要系本期收购艾特凡斯公司导致存货余</w:t>
            </w:r>
          </w:p>
        </w:tc>
      </w:tr>
      <w:tr>
        <w:trPr>
          <w:trHeight w:val="333"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一年内到期的非</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20"/>
                <w:szCs w:val="20"/>
              </w:rPr>
            </w:pPr>
            <w:r>
              <w:rPr>
                <w:rFonts w:ascii="Times New Roman"/>
                <w:spacing w:val="-1"/>
                <w:sz w:val="20"/>
              </w:rPr>
              <w:t>166,842.57</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56" w:lineRule="exact"/>
              <w:ind w:right="48"/>
              <w:jc w:val="right"/>
              <w:rPr>
                <w:rFonts w:ascii="宋体" w:hAnsi="宋体" w:cs="宋体" w:eastAsia="宋体" w:hint="default"/>
                <w:sz w:val="20"/>
                <w:szCs w:val="20"/>
              </w:rPr>
            </w:pPr>
            <w:r>
              <w:rPr>
                <w:rFonts w:ascii="宋体" w:hAnsi="宋体" w:cs="宋体" w:eastAsia="宋体" w:hint="default"/>
                <w:spacing w:val="9"/>
                <w:sz w:val="20"/>
                <w:szCs w:val="20"/>
              </w:rPr>
              <w:t>主要系长期待摊费用期末剩余摊销年限不</w:t>
            </w:r>
          </w:p>
        </w:tc>
      </w:tr>
      <w:tr>
        <w:trPr>
          <w:trHeight w:val="332" w:hRule="exact"/>
        </w:trPr>
        <w:tc>
          <w:tcPr>
            <w:tcW w:w="1553" w:type="dxa"/>
            <w:tcBorders>
              <w:top w:val="nil" w:sz="6" w:space="0" w:color="auto"/>
              <w:left w:val="nil" w:sz="6" w:space="0" w:color="auto"/>
              <w:bottom w:val="single" w:sz="12" w:space="0" w:color="000000"/>
              <w:right w:val="nil" w:sz="6" w:space="0" w:color="auto"/>
            </w:tcBorders>
          </w:tcPr>
          <w:p>
            <w:pPr>
              <w:pStyle w:val="TableParagraph"/>
              <w:spacing w:line="251" w:lineRule="exact"/>
              <w:ind w:left="9"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足一年调整所致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90,000,000.00</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56" w:lineRule="exact"/>
              <w:ind w:right="48"/>
              <w:jc w:val="right"/>
              <w:rPr>
                <w:rFonts w:ascii="宋体" w:hAnsi="宋体" w:cs="宋体" w:eastAsia="宋体" w:hint="default"/>
                <w:sz w:val="20"/>
                <w:szCs w:val="20"/>
              </w:rPr>
            </w:pPr>
            <w:r>
              <w:rPr>
                <w:rFonts w:ascii="宋体" w:hAnsi="宋体" w:cs="宋体" w:eastAsia="宋体" w:hint="default"/>
                <w:spacing w:val="-1"/>
                <w:sz w:val="20"/>
                <w:szCs w:val="20"/>
              </w:rPr>
              <w:t>主要系本期购买了韩亚银行（中国）有限公</w:t>
            </w:r>
          </w:p>
        </w:tc>
      </w:tr>
      <w:tr>
        <w:trPr>
          <w:trHeight w:val="332"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66" w:lineRule="exact"/>
              <w:ind w:left="913" w:right="0"/>
              <w:jc w:val="left"/>
              <w:rPr>
                <w:rFonts w:ascii="宋体" w:hAnsi="宋体" w:cs="宋体" w:eastAsia="宋体" w:hint="default"/>
                <w:sz w:val="20"/>
                <w:szCs w:val="20"/>
              </w:rPr>
            </w:pPr>
            <w:r>
              <w:rPr>
                <w:rFonts w:ascii="宋体" w:hAnsi="宋体" w:cs="宋体" w:eastAsia="宋体" w:hint="default"/>
                <w:sz w:val="20"/>
                <w:szCs w:val="20"/>
              </w:rPr>
              <w:t>司</w:t>
            </w:r>
            <w:r>
              <w:rPr>
                <w:rFonts w:ascii="Times New Roman" w:hAnsi="Times New Roman" w:cs="Times New Roman" w:eastAsia="Times New Roman" w:hint="default"/>
                <w:sz w:val="20"/>
                <w:szCs w:val="20"/>
              </w:rPr>
              <w:t>9000</w:t>
            </w:r>
            <w:r>
              <w:rPr>
                <w:rFonts w:ascii="宋体" w:hAnsi="宋体" w:cs="宋体" w:eastAsia="宋体" w:hint="default"/>
                <w:sz w:val="20"/>
                <w:szCs w:val="20"/>
              </w:rPr>
              <w:t>万元理财产品所致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2,523,537.31</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39"/>
              <w:jc w:val="right"/>
              <w:rPr>
                <w:rFonts w:ascii="Times New Roman" w:hAnsi="Times New Roman" w:cs="Times New Roman" w:eastAsia="Times New Roman" w:hint="default"/>
                <w:sz w:val="20"/>
                <w:szCs w:val="20"/>
              </w:rPr>
            </w:pPr>
            <w:r>
              <w:rPr>
                <w:rFonts w:ascii="Times New Roman"/>
                <w:spacing w:val="-1"/>
                <w:sz w:val="20"/>
              </w:rPr>
              <w:t>780,429.38</w:t>
            </w:r>
            <w:r>
              <w:rPr>
                <w:rFonts w:ascii="Times New Roman"/>
                <w:sz w:val="20"/>
              </w:rPr>
            </w: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48"/>
              <w:jc w:val="right"/>
              <w:rPr>
                <w:rFonts w:ascii="宋体" w:hAnsi="宋体" w:cs="宋体" w:eastAsia="宋体" w:hint="default"/>
                <w:sz w:val="20"/>
                <w:szCs w:val="20"/>
              </w:rPr>
            </w:pPr>
            <w:r>
              <w:rPr>
                <w:rFonts w:ascii="Times New Roman" w:hAnsi="Times New Roman" w:cs="Times New Roman" w:eastAsia="Times New Roman" w:hint="default"/>
                <w:sz w:val="20"/>
                <w:szCs w:val="20"/>
              </w:rPr>
              <w:t>223.35</w:t>
            </w:r>
            <w:r>
              <w:rPr>
                <w:rFonts w:ascii="Times New Roman" w:hAnsi="Times New Roman" w:cs="Times New Roman" w:eastAsia="Times New Roman" w:hint="default"/>
                <w:spacing w:val="-8"/>
                <w:sz w:val="20"/>
                <w:szCs w:val="20"/>
              </w:rPr>
              <w:t> </w:t>
            </w:r>
            <w:r>
              <w:rPr>
                <w:rFonts w:ascii="宋体" w:hAnsi="宋体" w:cs="宋体" w:eastAsia="宋体" w:hint="default"/>
                <w:spacing w:val="9"/>
                <w:sz w:val="20"/>
                <w:szCs w:val="20"/>
              </w:rPr>
              <w:t>主要系本期收购艾特凡斯公司导致固定资</w:t>
            </w:r>
          </w:p>
        </w:tc>
      </w:tr>
      <w:tr>
        <w:trPr>
          <w:trHeight w:val="333"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产余额纳入合并报表范围内所致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26,440,768.97</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33"/>
              <w:jc w:val="right"/>
              <w:rPr>
                <w:rFonts w:ascii="宋体" w:hAnsi="宋体" w:cs="宋体" w:eastAsia="宋体" w:hint="default"/>
                <w:sz w:val="20"/>
                <w:szCs w:val="20"/>
              </w:rPr>
            </w:pPr>
            <w:r>
              <w:rPr>
                <w:rFonts w:ascii="宋体" w:hAnsi="宋体" w:cs="宋体" w:eastAsia="宋体" w:hint="default"/>
                <w:spacing w:val="11"/>
                <w:sz w:val="20"/>
                <w:szCs w:val="20"/>
              </w:rPr>
              <w:t>主要系溢价购买艾特凡斯公司</w:t>
            </w:r>
            <w:r>
              <w:rPr>
                <w:rFonts w:ascii="Times New Roman" w:hAnsi="Times New Roman" w:cs="Times New Roman" w:eastAsia="Times New Roman" w:hint="default"/>
                <w:spacing w:val="11"/>
                <w:sz w:val="20"/>
                <w:szCs w:val="20"/>
              </w:rPr>
              <w:t>51%</w:t>
            </w:r>
            <w:r>
              <w:rPr>
                <w:rFonts w:ascii="宋体" w:hAnsi="宋体" w:cs="宋体" w:eastAsia="宋体" w:hint="default"/>
                <w:spacing w:val="11"/>
                <w:sz w:val="20"/>
                <w:szCs w:val="20"/>
              </w:rPr>
              <w:t>股权所</w:t>
            </w:r>
            <w:r>
              <w:rPr>
                <w:rFonts w:ascii="宋体" w:hAnsi="宋体" w:cs="宋体" w:eastAsia="宋体" w:hint="default"/>
                <w:sz w:val="20"/>
                <w:szCs w:val="20"/>
              </w:rPr>
            </w:r>
          </w:p>
        </w:tc>
      </w:tr>
      <w:tr>
        <w:trPr>
          <w:trHeight w:val="331"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20"/>
                <w:szCs w:val="20"/>
              </w:rPr>
            </w:pPr>
            <w:r>
              <w:rPr>
                <w:rFonts w:ascii="Times New Roman"/>
                <w:spacing w:val="-1"/>
                <w:sz w:val="20"/>
              </w:rPr>
              <w:t>287,770.37</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56" w:lineRule="exact"/>
              <w:ind w:right="48"/>
              <w:jc w:val="right"/>
              <w:rPr>
                <w:rFonts w:ascii="宋体" w:hAnsi="宋体" w:cs="宋体" w:eastAsia="宋体" w:hint="default"/>
                <w:sz w:val="20"/>
                <w:szCs w:val="20"/>
              </w:rPr>
            </w:pPr>
            <w:r>
              <w:rPr>
                <w:rFonts w:ascii="宋体" w:hAnsi="宋体" w:cs="宋体" w:eastAsia="宋体" w:hint="default"/>
                <w:spacing w:val="9"/>
                <w:sz w:val="20"/>
                <w:szCs w:val="20"/>
              </w:rPr>
              <w:t>主要系本期收购艾特凡斯公司导致长期待</w:t>
            </w:r>
          </w:p>
        </w:tc>
      </w:tr>
      <w:tr>
        <w:trPr>
          <w:trHeight w:val="332"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摊费用余额纳入合并报表范围内所致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20"/>
                <w:szCs w:val="20"/>
              </w:rPr>
            </w:pPr>
            <w:r>
              <w:rPr>
                <w:rFonts w:ascii="Times New Roman"/>
                <w:spacing w:val="-1"/>
                <w:sz w:val="20"/>
              </w:rPr>
              <w:t>133,000.00</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760" w:type="dxa"/>
            <w:tcBorders>
              <w:top w:val="single" w:sz="12" w:space="0" w:color="000000"/>
              <w:left w:val="nil" w:sz="6" w:space="0" w:color="auto"/>
              <w:bottom w:val="nil" w:sz="6" w:space="0" w:color="auto"/>
              <w:right w:val="nil" w:sz="6" w:space="0" w:color="auto"/>
            </w:tcBorders>
          </w:tcPr>
          <w:p>
            <w:pPr>
              <w:pStyle w:val="TableParagraph"/>
              <w:spacing w:line="256" w:lineRule="exact"/>
              <w:ind w:right="48"/>
              <w:jc w:val="right"/>
              <w:rPr>
                <w:rFonts w:ascii="宋体" w:hAnsi="宋体" w:cs="宋体" w:eastAsia="宋体" w:hint="default"/>
                <w:sz w:val="20"/>
                <w:szCs w:val="20"/>
              </w:rPr>
            </w:pPr>
            <w:r>
              <w:rPr>
                <w:rFonts w:ascii="宋体" w:hAnsi="宋体" w:cs="宋体" w:eastAsia="宋体" w:hint="default"/>
                <w:spacing w:val="9"/>
                <w:sz w:val="20"/>
                <w:szCs w:val="20"/>
              </w:rPr>
              <w:t>主要系本期收购艾特凡斯公司导致其他非</w:t>
            </w:r>
          </w:p>
        </w:tc>
      </w:tr>
      <w:tr>
        <w:trPr>
          <w:trHeight w:val="333" w:hRule="exact"/>
        </w:trPr>
        <w:tc>
          <w:tcPr>
            <w:tcW w:w="1553"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760" w:type="dxa"/>
            <w:tcBorders>
              <w:top w:val="nil" w:sz="6" w:space="0" w:color="auto"/>
              <w:left w:val="nil" w:sz="6" w:space="0" w:color="auto"/>
              <w:bottom w:val="single" w:sz="12" w:space="0" w:color="000000"/>
              <w:right w:val="nil" w:sz="6" w:space="0" w:color="auto"/>
            </w:tcBorders>
          </w:tcPr>
          <w:p>
            <w:pPr>
              <w:pStyle w:val="TableParagraph"/>
              <w:spacing w:line="251" w:lineRule="exact"/>
              <w:ind w:left="913" w:right="0"/>
              <w:jc w:val="left"/>
              <w:rPr>
                <w:rFonts w:ascii="宋体" w:hAnsi="宋体" w:cs="宋体" w:eastAsia="宋体" w:hint="default"/>
                <w:sz w:val="20"/>
                <w:szCs w:val="20"/>
              </w:rPr>
            </w:pPr>
            <w:r>
              <w:rPr>
                <w:rFonts w:ascii="宋体" w:hAnsi="宋体" w:cs="宋体" w:eastAsia="宋体" w:hint="default"/>
                <w:sz w:val="20"/>
                <w:szCs w:val="20"/>
              </w:rPr>
              <w:t>流动资产余额纳入合并报表范围内所致</w:t>
            </w:r>
          </w:p>
        </w:tc>
      </w:tr>
      <w:tr>
        <w:trPr>
          <w:trHeight w:val="343"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3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3,541,872.59</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39"/>
              <w:jc w:val="right"/>
              <w:rPr>
                <w:rFonts w:ascii="Times New Roman" w:hAnsi="Times New Roman" w:cs="Times New Roman" w:eastAsia="Times New Roman" w:hint="default"/>
                <w:sz w:val="20"/>
                <w:szCs w:val="20"/>
              </w:rPr>
            </w:pPr>
            <w:r>
              <w:rPr>
                <w:rFonts w:ascii="Times New Roman"/>
                <w:spacing w:val="-1"/>
                <w:sz w:val="20"/>
              </w:rPr>
              <w:t>809,919.69</w:t>
            </w:r>
            <w:r>
              <w:rPr>
                <w:rFonts w:ascii="Times New Roman"/>
                <w:sz w:val="20"/>
              </w:rPr>
            </w:r>
          </w:p>
        </w:tc>
        <w:tc>
          <w:tcPr>
            <w:tcW w:w="4760" w:type="dxa"/>
            <w:tcBorders>
              <w:top w:val="single" w:sz="12" w:space="0" w:color="000000"/>
              <w:left w:val="nil" w:sz="6" w:space="0" w:color="auto"/>
              <w:bottom w:val="nil" w:sz="6" w:space="0" w:color="auto"/>
              <w:right w:val="nil" w:sz="6" w:space="0" w:color="auto"/>
            </w:tcBorders>
          </w:tcPr>
          <w:p>
            <w:pPr>
              <w:pStyle w:val="TableParagraph"/>
              <w:spacing w:line="271" w:lineRule="exact"/>
              <w:ind w:right="48"/>
              <w:jc w:val="right"/>
              <w:rPr>
                <w:rFonts w:ascii="宋体" w:hAnsi="宋体" w:cs="宋体" w:eastAsia="宋体" w:hint="default"/>
                <w:sz w:val="20"/>
                <w:szCs w:val="20"/>
              </w:rPr>
            </w:pPr>
            <w:r>
              <w:rPr>
                <w:rFonts w:ascii="Times New Roman" w:hAnsi="Times New Roman" w:cs="Times New Roman" w:eastAsia="Times New Roman" w:hint="default"/>
                <w:sz w:val="20"/>
                <w:szCs w:val="20"/>
              </w:rPr>
              <w:t>337.31</w:t>
            </w:r>
            <w:r>
              <w:rPr>
                <w:rFonts w:ascii="Times New Roman" w:hAnsi="Times New Roman" w:cs="Times New Roman" w:eastAsia="Times New Roman" w:hint="default"/>
                <w:spacing w:val="-8"/>
                <w:sz w:val="20"/>
                <w:szCs w:val="20"/>
              </w:rPr>
              <w:t> </w:t>
            </w:r>
            <w:r>
              <w:rPr>
                <w:rFonts w:ascii="宋体" w:hAnsi="宋体" w:cs="宋体" w:eastAsia="宋体" w:hint="default"/>
                <w:spacing w:val="9"/>
                <w:sz w:val="20"/>
                <w:szCs w:val="20"/>
              </w:rPr>
              <w:t>主要系本期收购艾特凡斯公司导致应付账</w:t>
            </w:r>
          </w:p>
        </w:tc>
      </w:tr>
    </w:tbl>
    <w:p>
      <w:pPr>
        <w:spacing w:line="240" w:lineRule="exact" w:before="0"/>
        <w:ind w:left="5591" w:right="0" w:firstLine="0"/>
        <w:jc w:val="left"/>
        <w:rPr>
          <w:rFonts w:ascii="宋体" w:hAnsi="宋体" w:cs="宋体" w:eastAsia="宋体" w:hint="default"/>
          <w:sz w:val="20"/>
          <w:szCs w:val="20"/>
        </w:rPr>
      </w:pPr>
      <w:r>
        <w:rPr>
          <w:rFonts w:ascii="宋体" w:hAnsi="宋体" w:cs="宋体" w:eastAsia="宋体" w:hint="default"/>
          <w:sz w:val="20"/>
          <w:szCs w:val="20"/>
        </w:rPr>
        <w:t>款余额纳入合并报表范围内所致</w:t>
      </w:r>
    </w:p>
    <w:p>
      <w:pPr>
        <w:spacing w:line="240" w:lineRule="auto" w:before="0"/>
        <w:rPr>
          <w:rFonts w:ascii="宋体" w:hAnsi="宋体" w:cs="宋体" w:eastAsia="宋体" w:hint="default"/>
          <w:sz w:val="5"/>
          <w:szCs w:val="5"/>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3.3pt;height:1.5pt;mso-position-horizontal-relative:char;mso-position-vertical-relative:line" coordorigin="0,0" coordsize="9266,30">
            <v:group style="position:absolute;left:15;top:15;width:9236;height:2" coordorigin="15,15" coordsize="9236,2">
              <v:shape style="position:absolute;left:15;top:15;width:9236;height:2" coordorigin="15,15" coordsize="9236,0" path="m15,15l9250,15e" filled="false" stroked="true" strokeweight="1.5pt" strokecolor="#000000">
                <v:path arrowok="t"/>
              </v:shape>
            </v:group>
          </v:group>
        </w:pict>
      </w:r>
      <w:r>
        <w:rPr>
          <w:rFonts w:ascii="宋体" w:hAnsi="宋体" w:cs="宋体" w:eastAsia="宋体" w:hint="default"/>
          <w:position w:val="0"/>
          <w:sz w:val="3"/>
          <w:szCs w:val="3"/>
        </w:rPr>
      </w:r>
    </w:p>
    <w:p>
      <w:pPr>
        <w:tabs>
          <w:tab w:pos="1850" w:val="left" w:leader="none"/>
          <w:tab w:pos="3636" w:val="left" w:leader="none"/>
          <w:tab w:pos="4819" w:val="left" w:leader="none"/>
        </w:tabs>
        <w:spacing w:before="0"/>
        <w:ind w:left="163" w:right="0" w:firstLine="0"/>
        <w:jc w:val="left"/>
        <w:rPr>
          <w:rFonts w:ascii="宋体" w:hAnsi="宋体" w:cs="宋体" w:eastAsia="宋体" w:hint="default"/>
          <w:sz w:val="20"/>
          <w:szCs w:val="20"/>
        </w:rPr>
      </w:pPr>
      <w:r>
        <w:rPr>
          <w:rFonts w:ascii="宋体" w:hAnsi="宋体" w:cs="宋体" w:eastAsia="宋体" w:hint="default"/>
          <w:sz w:val="20"/>
          <w:szCs w:val="20"/>
        </w:rPr>
        <w:t>预收款项</w:t>
        <w:tab/>
      </w:r>
      <w:r>
        <w:rPr>
          <w:rFonts w:ascii="Times New Roman" w:hAnsi="Times New Roman" w:cs="Times New Roman" w:eastAsia="Times New Roman" w:hint="default"/>
          <w:spacing w:val="-1"/>
          <w:sz w:val="20"/>
          <w:szCs w:val="20"/>
        </w:rPr>
        <w:t>14,708,495.65</w:t>
        <w:tab/>
        <w:t>59,526.48</w:t>
        <w:tab/>
        <w:t>24609.16 </w:t>
      </w:r>
      <w:r>
        <w:rPr>
          <w:rFonts w:ascii="宋体" w:hAnsi="宋体" w:cs="宋体" w:eastAsia="宋体" w:hint="default"/>
          <w:spacing w:val="9"/>
          <w:sz w:val="20"/>
          <w:szCs w:val="20"/>
        </w:rPr>
        <w:t>主要系本期收购艾特凡斯公司导致预收款</w:t>
      </w:r>
    </w:p>
    <w:p>
      <w:pPr>
        <w:spacing w:before="35"/>
        <w:ind w:left="5591" w:right="0" w:firstLine="0"/>
        <w:jc w:val="left"/>
        <w:rPr>
          <w:rFonts w:ascii="宋体" w:hAnsi="宋体" w:cs="宋体" w:eastAsia="宋体" w:hint="default"/>
          <w:sz w:val="20"/>
          <w:szCs w:val="20"/>
        </w:rPr>
      </w:pPr>
      <w:r>
        <w:rPr>
          <w:rFonts w:ascii="宋体" w:hAnsi="宋体" w:cs="宋体" w:eastAsia="宋体" w:hint="default"/>
          <w:sz w:val="20"/>
          <w:szCs w:val="20"/>
        </w:rPr>
        <w:t>项余额纳入合并报表范围内所致</w:t>
      </w:r>
    </w:p>
    <w:p>
      <w:pPr>
        <w:spacing w:line="240" w:lineRule="auto" w:before="2"/>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1553"/>
        <w:gridCol w:w="1487"/>
        <w:gridCol w:w="1534"/>
        <w:gridCol w:w="4660"/>
      </w:tblGrid>
      <w:tr>
        <w:trPr>
          <w:trHeight w:val="665" w:hRule="exact"/>
        </w:trPr>
        <w:tc>
          <w:tcPr>
            <w:tcW w:w="1553"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2,610,326.83</w:t>
            </w:r>
            <w:r>
              <w:rPr>
                <w:rFonts w:ascii="Times New Roman"/>
                <w:sz w:val="20"/>
              </w:rPr>
            </w:r>
          </w:p>
        </w:tc>
        <w:tc>
          <w:tcPr>
            <w:tcW w:w="15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90"/>
              <w:jc w:val="right"/>
              <w:rPr>
                <w:rFonts w:ascii="Times New Roman" w:hAnsi="Times New Roman" w:cs="Times New Roman" w:eastAsia="Times New Roman" w:hint="default"/>
                <w:sz w:val="20"/>
                <w:szCs w:val="20"/>
              </w:rPr>
            </w:pPr>
            <w:r>
              <w:rPr>
                <w:rFonts w:ascii="Times New Roman"/>
                <w:spacing w:val="-1"/>
                <w:sz w:val="20"/>
              </w:rPr>
              <w:t>650,964.44</w:t>
            </w:r>
            <w:r>
              <w:rPr>
                <w:rFonts w:ascii="Times New Roman"/>
                <w:sz w:val="20"/>
              </w:rPr>
            </w:r>
          </w:p>
        </w:tc>
        <w:tc>
          <w:tcPr>
            <w:tcW w:w="4660" w:type="dxa"/>
            <w:tcBorders>
              <w:top w:val="single" w:sz="12" w:space="0" w:color="000000"/>
              <w:left w:val="nil" w:sz="6" w:space="0" w:color="auto"/>
              <w:bottom w:val="single" w:sz="12" w:space="0" w:color="000000"/>
              <w:right w:val="nil" w:sz="6" w:space="0" w:color="auto"/>
            </w:tcBorders>
          </w:tcPr>
          <w:p>
            <w:pPr>
              <w:pStyle w:val="TableParagraph"/>
              <w:spacing w:line="271" w:lineRule="auto"/>
              <w:ind w:left="862" w:right="0" w:hanging="572"/>
              <w:jc w:val="left"/>
              <w:rPr>
                <w:rFonts w:ascii="宋体" w:hAnsi="宋体" w:cs="宋体" w:eastAsia="宋体" w:hint="default"/>
                <w:sz w:val="20"/>
                <w:szCs w:val="20"/>
              </w:rPr>
            </w:pPr>
            <w:r>
              <w:rPr>
                <w:rFonts w:ascii="Times New Roman" w:hAnsi="Times New Roman" w:cs="Times New Roman" w:eastAsia="Times New Roman" w:hint="default"/>
                <w:sz w:val="20"/>
                <w:szCs w:val="20"/>
              </w:rPr>
              <w:t>300.99</w:t>
            </w:r>
            <w:r>
              <w:rPr>
                <w:rFonts w:ascii="Times New Roman" w:hAnsi="Times New Roman" w:cs="Times New Roman" w:eastAsia="Times New Roman" w:hint="default"/>
                <w:spacing w:val="-17"/>
                <w:sz w:val="20"/>
                <w:szCs w:val="20"/>
              </w:rPr>
              <w:t> </w:t>
            </w:r>
            <w:r>
              <w:rPr>
                <w:rFonts w:ascii="宋体" w:hAnsi="宋体" w:cs="宋体" w:eastAsia="宋体" w:hint="default"/>
                <w:spacing w:val="9"/>
                <w:sz w:val="20"/>
                <w:szCs w:val="20"/>
              </w:rPr>
              <w:t>主要系本期收购艾特凡斯公司导致应付职</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工薪酬余额纳入合并报表范围内所致</w:t>
            </w:r>
          </w:p>
        </w:tc>
      </w:tr>
      <w:tr>
        <w:trPr>
          <w:trHeight w:val="281"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48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93"/>
              <w:jc w:val="right"/>
              <w:rPr>
                <w:rFonts w:ascii="Times New Roman" w:hAnsi="Times New Roman" w:cs="Times New Roman" w:eastAsia="Times New Roman" w:hint="default"/>
                <w:sz w:val="20"/>
                <w:szCs w:val="20"/>
              </w:rPr>
            </w:pPr>
            <w:r>
              <w:rPr>
                <w:rFonts w:ascii="Times New Roman"/>
                <w:spacing w:val="-1"/>
                <w:sz w:val="20"/>
              </w:rPr>
              <w:t>540,018.77</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90"/>
              <w:jc w:val="right"/>
              <w:rPr>
                <w:rFonts w:ascii="Times New Roman" w:hAnsi="Times New Roman" w:cs="Times New Roman" w:eastAsia="Times New Roman" w:hint="default"/>
                <w:sz w:val="20"/>
                <w:szCs w:val="20"/>
              </w:rPr>
            </w:pPr>
            <w:r>
              <w:rPr>
                <w:rFonts w:ascii="Times New Roman"/>
                <w:spacing w:val="-1"/>
                <w:sz w:val="20"/>
              </w:rPr>
              <w:t>394,903.33</w:t>
            </w:r>
            <w:r>
              <w:rPr>
                <w:rFonts w:ascii="Times New Roman"/>
                <w:sz w:val="20"/>
              </w:rPr>
            </w:r>
          </w:p>
        </w:tc>
        <w:tc>
          <w:tcPr>
            <w:tcW w:w="4660" w:type="dxa"/>
            <w:tcBorders>
              <w:top w:val="single" w:sz="12" w:space="0" w:color="000000"/>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0"/>
                <w:szCs w:val="20"/>
              </w:rPr>
            </w:pPr>
            <w:r>
              <w:rPr>
                <w:rFonts w:ascii="Times New Roman" w:hAnsi="Times New Roman" w:cs="Times New Roman" w:eastAsia="Times New Roman" w:hint="default"/>
                <w:sz w:val="20"/>
                <w:szCs w:val="20"/>
              </w:rPr>
              <w:t>36.75</w:t>
            </w:r>
            <w:r>
              <w:rPr>
                <w:rFonts w:ascii="Times New Roman" w:hAnsi="Times New Roman" w:cs="Times New Roman" w:eastAsia="Times New Roman" w:hint="default"/>
                <w:spacing w:val="-8"/>
                <w:sz w:val="20"/>
                <w:szCs w:val="20"/>
              </w:rPr>
              <w:t> </w:t>
            </w:r>
            <w:r>
              <w:rPr>
                <w:rFonts w:ascii="宋体" w:hAnsi="宋体" w:cs="宋体" w:eastAsia="宋体" w:hint="default"/>
                <w:spacing w:val="9"/>
                <w:sz w:val="20"/>
                <w:szCs w:val="20"/>
              </w:rPr>
              <w:t>主要系本期收购艾特凡斯公司导致应交税</w:t>
            </w:r>
          </w:p>
        </w:tc>
      </w:tr>
      <w:tr>
        <w:trPr>
          <w:trHeight w:val="383" w:hRule="exact"/>
        </w:trPr>
        <w:tc>
          <w:tcPr>
            <w:tcW w:w="155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46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62" w:right="0"/>
              <w:jc w:val="left"/>
              <w:rPr>
                <w:rFonts w:ascii="宋体" w:hAnsi="宋体" w:cs="宋体" w:eastAsia="宋体" w:hint="default"/>
                <w:sz w:val="20"/>
                <w:szCs w:val="20"/>
              </w:rPr>
            </w:pPr>
            <w:r>
              <w:rPr>
                <w:rFonts w:ascii="宋体" w:hAnsi="宋体" w:cs="宋体" w:eastAsia="宋体" w:hint="default"/>
                <w:sz w:val="20"/>
                <w:szCs w:val="20"/>
              </w:rPr>
              <w:t>费余额纳入合并报表范围内所致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8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91"/>
              <w:jc w:val="right"/>
              <w:rPr>
                <w:rFonts w:ascii="Times New Roman" w:hAnsi="Times New Roman" w:cs="Times New Roman" w:eastAsia="Times New Roman" w:hint="default"/>
                <w:sz w:val="20"/>
                <w:szCs w:val="20"/>
              </w:rPr>
            </w:pPr>
            <w:r>
              <w:rPr>
                <w:rFonts w:ascii="Times New Roman"/>
                <w:spacing w:val="-1"/>
                <w:sz w:val="20"/>
              </w:rPr>
              <w:t>1,408,059.75</w:t>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288"/>
              <w:jc w:val="right"/>
              <w:rPr>
                <w:rFonts w:ascii="Times New Roman" w:hAnsi="Times New Roman" w:cs="Times New Roman" w:eastAsia="Times New Roman" w:hint="default"/>
                <w:sz w:val="20"/>
                <w:szCs w:val="20"/>
              </w:rPr>
            </w:pPr>
            <w:r>
              <w:rPr>
                <w:rFonts w:ascii="Times New Roman"/>
                <w:spacing w:val="-1"/>
                <w:sz w:val="20"/>
              </w:rPr>
              <w:t>1,076,261.45</w:t>
            </w:r>
          </w:p>
        </w:tc>
        <w:tc>
          <w:tcPr>
            <w:tcW w:w="4660" w:type="dxa"/>
            <w:tcBorders>
              <w:top w:val="single" w:sz="12" w:space="0" w:color="000000"/>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0"/>
                <w:szCs w:val="20"/>
              </w:rPr>
            </w:pPr>
            <w:r>
              <w:rPr>
                <w:rFonts w:ascii="Times New Roman" w:hAnsi="Times New Roman" w:cs="Times New Roman" w:eastAsia="Times New Roman" w:hint="default"/>
                <w:sz w:val="20"/>
                <w:szCs w:val="20"/>
              </w:rPr>
              <w:t>30.83</w:t>
            </w:r>
            <w:r>
              <w:rPr>
                <w:rFonts w:ascii="Times New Roman" w:hAnsi="Times New Roman" w:cs="Times New Roman" w:eastAsia="Times New Roman" w:hint="default"/>
                <w:spacing w:val="-7"/>
                <w:sz w:val="20"/>
                <w:szCs w:val="20"/>
              </w:rPr>
              <w:t> </w:t>
            </w:r>
            <w:r>
              <w:rPr>
                <w:rFonts w:ascii="宋体" w:hAnsi="宋体" w:cs="宋体" w:eastAsia="宋体" w:hint="default"/>
                <w:spacing w:val="9"/>
                <w:sz w:val="20"/>
                <w:szCs w:val="20"/>
              </w:rPr>
              <w:t>主要系本期收购艾特凡斯公司导致应交税</w:t>
            </w:r>
          </w:p>
        </w:tc>
      </w:tr>
      <w:tr>
        <w:trPr>
          <w:trHeight w:val="332" w:hRule="exact"/>
        </w:trPr>
        <w:tc>
          <w:tcPr>
            <w:tcW w:w="1553" w:type="dxa"/>
            <w:tcBorders>
              <w:top w:val="nil" w:sz="6" w:space="0" w:color="auto"/>
              <w:left w:val="nil" w:sz="6" w:space="0" w:color="auto"/>
              <w:bottom w:val="single" w:sz="12" w:space="0" w:color="000000"/>
              <w:right w:val="nil" w:sz="6" w:space="0" w:color="auto"/>
            </w:tcBorders>
          </w:tcPr>
          <w:p>
            <w:pPr/>
          </w:p>
        </w:tc>
        <w:tc>
          <w:tcPr>
            <w:tcW w:w="148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660" w:type="dxa"/>
            <w:tcBorders>
              <w:top w:val="nil" w:sz="6" w:space="0" w:color="auto"/>
              <w:left w:val="nil" w:sz="6" w:space="0" w:color="auto"/>
              <w:bottom w:val="single" w:sz="12" w:space="0" w:color="000000"/>
              <w:right w:val="nil" w:sz="6" w:space="0" w:color="auto"/>
            </w:tcBorders>
          </w:tcPr>
          <w:p>
            <w:pPr>
              <w:pStyle w:val="TableParagraph"/>
              <w:spacing w:line="251" w:lineRule="exact"/>
              <w:ind w:left="862" w:right="0"/>
              <w:jc w:val="left"/>
              <w:rPr>
                <w:rFonts w:ascii="宋体" w:hAnsi="宋体" w:cs="宋体" w:eastAsia="宋体" w:hint="default"/>
                <w:sz w:val="20"/>
                <w:szCs w:val="20"/>
              </w:rPr>
            </w:pPr>
            <w:r>
              <w:rPr>
                <w:rFonts w:ascii="宋体" w:hAnsi="宋体" w:cs="宋体" w:eastAsia="宋体" w:hint="default"/>
                <w:sz w:val="20"/>
                <w:szCs w:val="20"/>
              </w:rPr>
              <w:t>费余额纳入合并报表范围内所致</w:t>
            </w:r>
          </w:p>
        </w:tc>
      </w:tr>
      <w:tr>
        <w:trPr>
          <w:trHeight w:val="332" w:hRule="exact"/>
        </w:trPr>
        <w:tc>
          <w:tcPr>
            <w:tcW w:w="1553"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48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15,769,790.69</w:t>
            </w:r>
            <w:r>
              <w:rPr>
                <w:rFonts w:ascii="Times New Roman"/>
                <w:sz w:val="20"/>
              </w:rPr>
            </w:r>
          </w:p>
        </w:tc>
        <w:tc>
          <w:tcPr>
            <w:tcW w:w="1534" w:type="dxa"/>
            <w:tcBorders>
              <w:top w:val="single" w:sz="12" w:space="0" w:color="000000"/>
              <w:left w:val="nil" w:sz="6" w:space="0" w:color="auto"/>
              <w:bottom w:val="nil" w:sz="6" w:space="0" w:color="auto"/>
              <w:right w:val="nil" w:sz="6" w:space="0" w:color="auto"/>
            </w:tcBorders>
          </w:tcPr>
          <w:p>
            <w:pPr/>
          </w:p>
        </w:tc>
        <w:tc>
          <w:tcPr>
            <w:tcW w:w="4660" w:type="dxa"/>
            <w:tcBorders>
              <w:top w:val="single" w:sz="12" w:space="0" w:color="000000"/>
              <w:left w:val="nil" w:sz="6" w:space="0" w:color="auto"/>
              <w:bottom w:val="nil" w:sz="6" w:space="0" w:color="auto"/>
              <w:right w:val="nil" w:sz="6" w:space="0" w:color="auto"/>
            </w:tcBorders>
          </w:tcPr>
          <w:p>
            <w:pPr>
              <w:pStyle w:val="TableParagraph"/>
              <w:spacing w:line="256" w:lineRule="exact"/>
              <w:ind w:right="0"/>
              <w:jc w:val="right"/>
              <w:rPr>
                <w:rFonts w:ascii="宋体" w:hAnsi="宋体" w:cs="宋体" w:eastAsia="宋体" w:hint="default"/>
                <w:sz w:val="20"/>
                <w:szCs w:val="20"/>
              </w:rPr>
            </w:pPr>
            <w:r>
              <w:rPr>
                <w:rFonts w:ascii="宋体" w:hAnsi="宋体" w:cs="宋体" w:eastAsia="宋体" w:hint="default"/>
                <w:spacing w:val="9"/>
                <w:sz w:val="20"/>
                <w:szCs w:val="20"/>
              </w:rPr>
              <w:t>主要系本期收购艾特凡斯公司股权需根据</w:t>
            </w:r>
          </w:p>
        </w:tc>
      </w:tr>
      <w:tr>
        <w:trPr>
          <w:trHeight w:val="333" w:hRule="exact"/>
        </w:trPr>
        <w:tc>
          <w:tcPr>
            <w:tcW w:w="1553" w:type="dxa"/>
            <w:tcBorders>
              <w:top w:val="nil" w:sz="6" w:space="0" w:color="auto"/>
              <w:left w:val="nil" w:sz="6" w:space="0" w:color="auto"/>
              <w:bottom w:val="single" w:sz="12" w:space="0" w:color="000000"/>
              <w:right w:val="nil" w:sz="6" w:space="0" w:color="auto"/>
            </w:tcBorders>
          </w:tcPr>
          <w:p>
            <w:pPr/>
          </w:p>
        </w:tc>
        <w:tc>
          <w:tcPr>
            <w:tcW w:w="1487" w:type="dxa"/>
            <w:tcBorders>
              <w:top w:val="nil" w:sz="6" w:space="0" w:color="auto"/>
              <w:left w:val="nil" w:sz="6" w:space="0" w:color="auto"/>
              <w:bottom w:val="single" w:sz="12" w:space="0" w:color="000000"/>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
        </w:tc>
        <w:tc>
          <w:tcPr>
            <w:tcW w:w="4660" w:type="dxa"/>
            <w:tcBorders>
              <w:top w:val="nil" w:sz="6" w:space="0" w:color="auto"/>
              <w:left w:val="nil" w:sz="6" w:space="0" w:color="auto"/>
              <w:bottom w:val="single" w:sz="12" w:space="0" w:color="000000"/>
              <w:right w:val="nil" w:sz="6" w:space="0" w:color="auto"/>
            </w:tcBorders>
          </w:tcPr>
          <w:p>
            <w:pPr>
              <w:pStyle w:val="TableParagraph"/>
              <w:spacing w:line="251" w:lineRule="exact"/>
              <w:ind w:left="862" w:right="0"/>
              <w:jc w:val="left"/>
              <w:rPr>
                <w:rFonts w:ascii="宋体" w:hAnsi="宋体" w:cs="宋体" w:eastAsia="宋体" w:hint="default"/>
                <w:sz w:val="20"/>
                <w:szCs w:val="20"/>
              </w:rPr>
            </w:pPr>
            <w:r>
              <w:rPr>
                <w:rFonts w:ascii="宋体" w:hAnsi="宋体" w:cs="宋体" w:eastAsia="宋体" w:hint="default"/>
                <w:sz w:val="20"/>
                <w:szCs w:val="20"/>
              </w:rPr>
              <w:t>未来两年效益支付或有对价所致</w:t>
            </w:r>
          </w:p>
        </w:tc>
      </w:tr>
      <w:tr>
        <w:trPr>
          <w:trHeight w:val="352" w:hRule="exact"/>
        </w:trPr>
        <w:tc>
          <w:tcPr>
            <w:tcW w:w="1553"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4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20"/>
                <w:szCs w:val="20"/>
              </w:rPr>
            </w:pPr>
            <w:r>
              <w:rPr>
                <w:rFonts w:ascii="Times New Roman"/>
                <w:spacing w:val="-1"/>
                <w:sz w:val="20"/>
              </w:rPr>
              <w:t>11,147,325.44</w:t>
            </w:r>
            <w:r>
              <w:rPr>
                <w:rFonts w:ascii="Times New Roman"/>
                <w:sz w:val="20"/>
              </w:rPr>
            </w:r>
          </w:p>
        </w:tc>
        <w:tc>
          <w:tcPr>
            <w:tcW w:w="1534" w:type="dxa"/>
            <w:tcBorders>
              <w:top w:val="single" w:sz="12" w:space="0" w:color="000000"/>
              <w:left w:val="nil" w:sz="6" w:space="0" w:color="auto"/>
              <w:bottom w:val="single" w:sz="12" w:space="0" w:color="000000"/>
              <w:right w:val="nil" w:sz="6" w:space="0" w:color="auto"/>
            </w:tcBorders>
          </w:tcPr>
          <w:p>
            <w:pPr/>
          </w:p>
        </w:tc>
        <w:tc>
          <w:tcPr>
            <w:tcW w:w="4660" w:type="dxa"/>
            <w:tcBorders>
              <w:top w:val="single" w:sz="12" w:space="0" w:color="000000"/>
              <w:left w:val="nil" w:sz="6" w:space="0" w:color="auto"/>
              <w:bottom w:val="single" w:sz="12" w:space="0" w:color="000000"/>
              <w:right w:val="nil" w:sz="6" w:space="0" w:color="auto"/>
            </w:tcBorders>
          </w:tcPr>
          <w:p>
            <w:pPr>
              <w:pStyle w:val="TableParagraph"/>
              <w:spacing w:line="271" w:lineRule="exact"/>
              <w:ind w:right="1"/>
              <w:jc w:val="right"/>
              <w:rPr>
                <w:rFonts w:ascii="宋体" w:hAnsi="宋体" w:cs="宋体" w:eastAsia="宋体" w:hint="default"/>
                <w:sz w:val="20"/>
                <w:szCs w:val="20"/>
              </w:rPr>
            </w:pPr>
            <w:r>
              <w:rPr>
                <w:rFonts w:ascii="宋体" w:hAnsi="宋体" w:cs="宋体" w:eastAsia="宋体" w:hint="default"/>
                <w:sz w:val="20"/>
                <w:szCs w:val="20"/>
              </w:rPr>
              <w:t>主要系溢价购买艾特凡斯公司</w:t>
            </w:r>
            <w:r>
              <w:rPr>
                <w:rFonts w:ascii="Times New Roman" w:hAnsi="Times New Roman" w:cs="Times New Roman" w:eastAsia="Times New Roman" w:hint="default"/>
                <w:sz w:val="20"/>
                <w:szCs w:val="20"/>
              </w:rPr>
              <w:t>51%</w:t>
            </w:r>
            <w:r>
              <w:rPr>
                <w:rFonts w:ascii="宋体" w:hAnsi="宋体" w:cs="宋体" w:eastAsia="宋体" w:hint="default"/>
                <w:sz w:val="20"/>
                <w:szCs w:val="20"/>
              </w:rPr>
              <w:t>股权，艾</w:t>
            </w:r>
          </w:p>
        </w:tc>
      </w:tr>
    </w:tbl>
    <w:p>
      <w:pPr>
        <w:spacing w:after="0" w:line="271" w:lineRule="exact"/>
        <w:jc w:val="right"/>
        <w:rPr>
          <w:rFonts w:ascii="宋体" w:hAnsi="宋体" w:cs="宋体" w:eastAsia="宋体" w:hint="default"/>
          <w:sz w:val="20"/>
          <w:szCs w:val="20"/>
        </w:rPr>
        <w:sectPr>
          <w:type w:val="continuous"/>
          <w:pgSz w:w="11910" w:h="16840"/>
          <w:pgMar w:top="1060" w:bottom="1180" w:left="980" w:right="980"/>
        </w:sectPr>
      </w:pPr>
    </w:p>
    <w:p>
      <w:pPr>
        <w:spacing w:line="240" w:lineRule="auto" w:before="11"/>
        <w:rPr>
          <w:rFonts w:ascii="宋体" w:hAnsi="宋体" w:cs="宋体" w:eastAsia="宋体" w:hint="default"/>
          <w:sz w:val="25"/>
          <w:szCs w:val="25"/>
        </w:rPr>
      </w:pPr>
    </w:p>
    <w:p>
      <w:pPr>
        <w:spacing w:line="271" w:lineRule="auto" w:before="38"/>
        <w:ind w:left="5591" w:right="215" w:firstLine="0"/>
        <w:jc w:val="left"/>
        <w:rPr>
          <w:rFonts w:ascii="宋体" w:hAnsi="宋体" w:cs="宋体" w:eastAsia="宋体" w:hint="default"/>
          <w:sz w:val="20"/>
          <w:szCs w:val="20"/>
        </w:rPr>
      </w:pPr>
      <w:r>
        <w:rPr>
          <w:rFonts w:ascii="宋体" w:hAnsi="宋体" w:cs="宋体" w:eastAsia="宋体" w:hint="default"/>
          <w:spacing w:val="11"/>
          <w:sz w:val="20"/>
          <w:szCs w:val="20"/>
        </w:rPr>
        <w:t>特凡斯公司其他股东仍然持有</w:t>
      </w:r>
      <w:r>
        <w:rPr>
          <w:rFonts w:ascii="Times New Roman" w:hAnsi="Times New Roman" w:cs="Times New Roman" w:eastAsia="Times New Roman" w:hint="default"/>
          <w:spacing w:val="11"/>
          <w:sz w:val="20"/>
          <w:szCs w:val="20"/>
        </w:rPr>
        <w:t>49%</w:t>
      </w:r>
      <w:r>
        <w:rPr>
          <w:rFonts w:ascii="宋体" w:hAnsi="宋体" w:cs="宋体" w:eastAsia="宋体" w:hint="default"/>
          <w:spacing w:val="11"/>
          <w:sz w:val="20"/>
          <w:szCs w:val="20"/>
        </w:rPr>
        <w:t>股权所</w:t>
      </w:r>
      <w:r>
        <w:rPr>
          <w:rFonts w:ascii="宋体" w:hAnsi="宋体" w:cs="宋体" w:eastAsia="宋体" w:hint="default"/>
          <w:spacing w:val="-72"/>
          <w:sz w:val="20"/>
          <w:szCs w:val="20"/>
        </w:rPr>
        <w:t> </w:t>
      </w:r>
      <w:r>
        <w:rPr>
          <w:rFonts w:ascii="宋体" w:hAnsi="宋体" w:cs="宋体" w:eastAsia="宋体" w:hint="default"/>
          <w:sz w:val="20"/>
          <w:szCs w:val="20"/>
        </w:rPr>
        <w:t>致。</w:t>
      </w:r>
    </w:p>
    <w:p>
      <w:pPr>
        <w:spacing w:line="240" w:lineRule="auto" w:before="3"/>
        <w:rPr>
          <w:rFonts w:ascii="宋体" w:hAnsi="宋体" w:cs="宋体" w:eastAsia="宋体" w:hint="default"/>
          <w:sz w:val="4"/>
          <w:szCs w:val="4"/>
        </w:rPr>
      </w:pPr>
    </w:p>
    <w:tbl>
      <w:tblPr>
        <w:tblW w:w="0" w:type="auto"/>
        <w:jc w:val="left"/>
        <w:tblInd w:w="153" w:type="dxa"/>
        <w:tblLayout w:type="fixed"/>
        <w:tblCellMar>
          <w:top w:w="0" w:type="dxa"/>
          <w:left w:w="0" w:type="dxa"/>
          <w:bottom w:w="0" w:type="dxa"/>
          <w:right w:w="0" w:type="dxa"/>
        </w:tblCellMar>
        <w:tblLook w:val="01E0"/>
      </w:tblPr>
      <w:tblGrid>
        <w:gridCol w:w="1254"/>
        <w:gridCol w:w="1736"/>
        <w:gridCol w:w="6245"/>
      </w:tblGrid>
      <w:tr>
        <w:trPr>
          <w:trHeight w:val="1288" w:hRule="exact"/>
        </w:trPr>
        <w:tc>
          <w:tcPr>
            <w:tcW w:w="125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36,083,823.45</w:t>
            </w:r>
            <w:r>
              <w:rPr>
                <w:rFonts w:ascii="Times New Roman"/>
                <w:sz w:val="20"/>
              </w:rPr>
            </w:r>
          </w:p>
        </w:tc>
        <w:tc>
          <w:tcPr>
            <w:tcW w:w="6245" w:type="dxa"/>
            <w:tcBorders>
              <w:top w:val="single" w:sz="12" w:space="0" w:color="000000"/>
              <w:left w:val="nil" w:sz="6" w:space="0" w:color="auto"/>
              <w:bottom w:val="single" w:sz="12" w:space="0" w:color="000000"/>
              <w:right w:val="nil" w:sz="6" w:space="0" w:color="auto"/>
            </w:tcBorders>
          </w:tcPr>
          <w:p>
            <w:pPr>
              <w:pStyle w:val="TableParagraph"/>
              <w:tabs>
                <w:tab w:pos="1975" w:val="left" w:leader="none"/>
              </w:tabs>
              <w:spacing w:line="271" w:lineRule="exact"/>
              <w:ind w:left="144" w:right="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18,849,467.00</w:t>
              <w:tab/>
              <w:t>91.43</w:t>
            </w:r>
            <w:r>
              <w:rPr>
                <w:rFonts w:ascii="Times New Roman" w:hAnsi="Times New Roman" w:cs="Times New Roman" w:eastAsia="Times New Roman" w:hint="default"/>
                <w:spacing w:val="-17"/>
                <w:sz w:val="20"/>
                <w:szCs w:val="20"/>
              </w:rPr>
              <w:t> </w:t>
            </w:r>
            <w:r>
              <w:rPr>
                <w:rFonts w:ascii="宋体" w:hAnsi="宋体" w:cs="宋体" w:eastAsia="宋体" w:hint="default"/>
                <w:spacing w:val="-1"/>
                <w:sz w:val="20"/>
                <w:szCs w:val="20"/>
              </w:rPr>
              <w:t>主要系联合摄制电视剧已投放市场，结转了</w:t>
            </w:r>
          </w:p>
          <w:p>
            <w:pPr>
              <w:pStyle w:val="TableParagraph"/>
              <w:spacing w:line="285" w:lineRule="auto" w:before="35"/>
              <w:ind w:left="2447" w:right="0"/>
              <w:jc w:val="both"/>
              <w:rPr>
                <w:rFonts w:ascii="宋体" w:hAnsi="宋体" w:cs="宋体" w:eastAsia="宋体" w:hint="default"/>
                <w:sz w:val="20"/>
                <w:szCs w:val="20"/>
              </w:rPr>
            </w:pPr>
            <w:r>
              <w:rPr>
                <w:rFonts w:ascii="宋体" w:hAnsi="宋体" w:cs="宋体" w:eastAsia="宋体" w:hint="default"/>
                <w:spacing w:val="9"/>
                <w:sz w:val="20"/>
                <w:szCs w:val="20"/>
              </w:rPr>
              <w:t>相关的收入与本期收购艾特凡斯公司导致</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9"/>
                <w:sz w:val="20"/>
                <w:szCs w:val="20"/>
              </w:rPr>
              <w:t>其购买日后的营业收入纳入合并报表范围</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内所致</w:t>
            </w:r>
          </w:p>
        </w:tc>
      </w:tr>
      <w:tr>
        <w:trPr>
          <w:trHeight w:val="343" w:hRule="exact"/>
        </w:trPr>
        <w:tc>
          <w:tcPr>
            <w:tcW w:w="1254"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736"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9,039,774.17</w:t>
            </w:r>
            <w:r>
              <w:rPr>
                <w:rFonts w:ascii="Times New Roman"/>
                <w:sz w:val="20"/>
              </w:rPr>
            </w:r>
          </w:p>
        </w:tc>
        <w:tc>
          <w:tcPr>
            <w:tcW w:w="6245" w:type="dxa"/>
            <w:tcBorders>
              <w:top w:val="single" w:sz="12" w:space="0" w:color="000000"/>
              <w:left w:val="nil" w:sz="6" w:space="0" w:color="auto"/>
              <w:bottom w:val="nil" w:sz="6" w:space="0" w:color="auto"/>
              <w:right w:val="nil" w:sz="6" w:space="0" w:color="auto"/>
            </w:tcBorders>
          </w:tcPr>
          <w:p>
            <w:pPr>
              <w:pStyle w:val="TableParagraph"/>
              <w:tabs>
                <w:tab w:pos="1908" w:val="left" w:leader="none"/>
              </w:tabs>
              <w:spacing w:line="271"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15,140,874.94</w:t>
              <w:tab/>
              <w:t>-40.30</w:t>
            </w:r>
            <w:r>
              <w:rPr>
                <w:rFonts w:ascii="Times New Roman" w:hAnsi="Times New Roman" w:cs="Times New Roman" w:eastAsia="Times New Roman" w:hint="default"/>
                <w:spacing w:val="-16"/>
                <w:sz w:val="20"/>
                <w:szCs w:val="20"/>
              </w:rPr>
              <w:t> </w:t>
            </w:r>
            <w:r>
              <w:rPr>
                <w:rFonts w:ascii="宋体" w:hAnsi="宋体" w:cs="宋体" w:eastAsia="宋体" w:hint="default"/>
                <w:spacing w:val="-1"/>
                <w:sz w:val="20"/>
                <w:szCs w:val="20"/>
              </w:rPr>
              <w:t>主要系联合摄制电视剧已投放市场，结转了</w:t>
            </w:r>
          </w:p>
        </w:tc>
      </w:tr>
    </w:tbl>
    <w:p>
      <w:pPr>
        <w:spacing w:line="240" w:lineRule="exact" w:before="0"/>
        <w:ind w:left="5591" w:right="0" w:firstLine="0"/>
        <w:jc w:val="both"/>
        <w:rPr>
          <w:rFonts w:ascii="宋体" w:hAnsi="宋体" w:cs="宋体" w:eastAsia="宋体" w:hint="default"/>
          <w:sz w:val="20"/>
          <w:szCs w:val="20"/>
        </w:rPr>
      </w:pPr>
      <w:r>
        <w:rPr>
          <w:rFonts w:ascii="宋体" w:hAnsi="宋体" w:cs="宋体" w:eastAsia="宋体" w:hint="default"/>
          <w:spacing w:val="9"/>
          <w:sz w:val="20"/>
          <w:szCs w:val="20"/>
        </w:rPr>
        <w:t>相关的成本与本期收购艾特凡斯公司导致</w:t>
      </w:r>
    </w:p>
    <w:p>
      <w:pPr>
        <w:spacing w:line="285" w:lineRule="auto" w:before="50"/>
        <w:ind w:left="5591" w:right="555" w:firstLine="0"/>
        <w:jc w:val="both"/>
        <w:rPr>
          <w:rFonts w:ascii="宋体" w:hAnsi="宋体" w:cs="宋体" w:eastAsia="宋体" w:hint="default"/>
          <w:sz w:val="20"/>
          <w:szCs w:val="20"/>
        </w:rPr>
      </w:pPr>
      <w:r>
        <w:rPr>
          <w:rFonts w:ascii="宋体" w:hAnsi="宋体" w:cs="宋体" w:eastAsia="宋体" w:hint="default"/>
          <w:spacing w:val="9"/>
          <w:sz w:val="20"/>
          <w:szCs w:val="20"/>
        </w:rPr>
        <w:t>其购买日后的营业成本金额纳入合并报表</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范围内所致</w:t>
      </w:r>
    </w:p>
    <w:p>
      <w:pPr>
        <w:spacing w:line="240" w:lineRule="auto" w:before="1"/>
        <w:rPr>
          <w:rFonts w:ascii="宋体" w:hAnsi="宋体" w:cs="宋体" w:eastAsia="宋体" w:hint="default"/>
          <w:sz w:val="2"/>
          <w:szCs w:val="2"/>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3.3pt;height:1.5pt;mso-position-horizontal-relative:char;mso-position-vertical-relative:line" coordorigin="0,0" coordsize="9266,30">
            <v:group style="position:absolute;left:15;top:15;width:9236;height:2" coordorigin="15,15" coordsize="9236,2">
              <v:shape style="position:absolute;left:15;top:15;width:9236;height:2" coordorigin="15,15" coordsize="9236,0" path="m15,15l9250,15e" filled="false" stroked="true" strokeweight="1.5pt" strokecolor="#000000">
                <v:path arrowok="t"/>
              </v:shape>
            </v:group>
          </v:group>
        </w:pict>
      </w:r>
      <w:r>
        <w:rPr>
          <w:rFonts w:ascii="宋体" w:hAnsi="宋体" w:cs="宋体" w:eastAsia="宋体" w:hint="default"/>
          <w:position w:val="0"/>
          <w:sz w:val="3"/>
          <w:szCs w:val="3"/>
        </w:rPr>
      </w:r>
    </w:p>
    <w:p>
      <w:pPr>
        <w:tabs>
          <w:tab w:pos="1950" w:val="left" w:leader="none"/>
          <w:tab w:pos="3387" w:val="left" w:leader="none"/>
          <w:tab w:pos="5119" w:val="left" w:leader="none"/>
        </w:tabs>
        <w:spacing w:before="0"/>
        <w:ind w:left="163" w:right="0" w:firstLine="0"/>
        <w:jc w:val="left"/>
        <w:rPr>
          <w:rFonts w:ascii="宋体" w:hAnsi="宋体" w:cs="宋体" w:eastAsia="宋体" w:hint="default"/>
          <w:sz w:val="20"/>
          <w:szCs w:val="20"/>
        </w:rPr>
      </w:pPr>
      <w:r>
        <w:rPr>
          <w:rFonts w:ascii="宋体" w:hAnsi="宋体" w:cs="宋体" w:eastAsia="宋体" w:hint="default"/>
          <w:spacing w:val="-1"/>
          <w:sz w:val="20"/>
          <w:szCs w:val="20"/>
        </w:rPr>
        <w:t>营业税金及附加</w:t>
        <w:tab/>
      </w:r>
      <w:r>
        <w:rPr>
          <w:rFonts w:ascii="Times New Roman" w:hAnsi="Times New Roman" w:cs="Times New Roman" w:eastAsia="Times New Roman" w:hint="default"/>
          <w:spacing w:val="-1"/>
          <w:sz w:val="20"/>
          <w:szCs w:val="20"/>
        </w:rPr>
        <w:t>1,330,479.32</w:t>
        <w:tab/>
        <w:t>1,084,336.50</w:t>
        <w:tab/>
        <w:t>22.70</w:t>
      </w:r>
      <w:r>
        <w:rPr>
          <w:rFonts w:ascii="Times New Roman" w:hAnsi="Times New Roman" w:cs="Times New Roman" w:eastAsia="Times New Roman" w:hint="default"/>
          <w:spacing w:val="-16"/>
          <w:sz w:val="20"/>
          <w:szCs w:val="20"/>
        </w:rPr>
        <w:t> </w:t>
      </w:r>
      <w:r>
        <w:rPr>
          <w:rFonts w:ascii="宋体" w:hAnsi="宋体" w:cs="宋体" w:eastAsia="宋体" w:hint="default"/>
          <w:spacing w:val="-1"/>
          <w:sz w:val="20"/>
          <w:szCs w:val="20"/>
        </w:rPr>
        <w:t>主要系联合摄制电视剧已投放市场，结转了</w:t>
      </w:r>
    </w:p>
    <w:p>
      <w:pPr>
        <w:spacing w:line="285" w:lineRule="auto" w:before="35"/>
        <w:ind w:left="5591" w:right="555" w:firstLine="0"/>
        <w:jc w:val="both"/>
        <w:rPr>
          <w:rFonts w:ascii="宋体" w:hAnsi="宋体" w:cs="宋体" w:eastAsia="宋体" w:hint="default"/>
          <w:sz w:val="20"/>
          <w:szCs w:val="20"/>
        </w:rPr>
      </w:pPr>
      <w:r>
        <w:rPr>
          <w:rFonts w:ascii="宋体" w:hAnsi="宋体" w:cs="宋体" w:eastAsia="宋体" w:hint="default"/>
          <w:spacing w:val="9"/>
          <w:sz w:val="20"/>
          <w:szCs w:val="20"/>
        </w:rPr>
        <w:t>相关收入的税金及发行费用与本期收购艾</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9"/>
          <w:sz w:val="20"/>
          <w:szCs w:val="20"/>
        </w:rPr>
        <w:t>特凡斯公司导致其购买日后的营业税金及</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附加金额纳入合并报表范围内所致</w:t>
      </w:r>
    </w:p>
    <w:p>
      <w:pPr>
        <w:spacing w:line="240" w:lineRule="auto" w:before="4"/>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254"/>
        <w:gridCol w:w="1736"/>
        <w:gridCol w:w="1601"/>
        <w:gridCol w:w="4644"/>
      </w:tblGrid>
      <w:tr>
        <w:trPr>
          <w:trHeight w:val="951" w:hRule="exact"/>
        </w:trPr>
        <w:tc>
          <w:tcPr>
            <w:tcW w:w="1254"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736"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3"/>
              <w:jc w:val="right"/>
              <w:rPr>
                <w:rFonts w:ascii="Times New Roman" w:hAnsi="Times New Roman" w:cs="Times New Roman" w:eastAsia="Times New Roman" w:hint="default"/>
                <w:sz w:val="20"/>
                <w:szCs w:val="20"/>
              </w:rPr>
            </w:pPr>
            <w:r>
              <w:rPr>
                <w:rFonts w:ascii="Times New Roman"/>
                <w:spacing w:val="-1"/>
                <w:sz w:val="20"/>
              </w:rPr>
              <w:t>2,396,899.10</w:t>
            </w:r>
            <w:r>
              <w:rPr>
                <w:rFonts w:ascii="Times New Roman"/>
                <w:sz w:val="20"/>
              </w:rPr>
            </w: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06"/>
              <w:jc w:val="right"/>
              <w:rPr>
                <w:rFonts w:ascii="Times New Roman" w:hAnsi="Times New Roman" w:cs="Times New Roman" w:eastAsia="Times New Roman" w:hint="default"/>
                <w:sz w:val="20"/>
                <w:szCs w:val="20"/>
              </w:rPr>
            </w:pPr>
            <w:r>
              <w:rPr>
                <w:rFonts w:ascii="Times New Roman"/>
                <w:spacing w:val="-1"/>
                <w:sz w:val="20"/>
              </w:rPr>
              <w:t>1,877,279.00</w:t>
            </w:r>
          </w:p>
        </w:tc>
        <w:tc>
          <w:tcPr>
            <w:tcW w:w="4644" w:type="dxa"/>
            <w:tcBorders>
              <w:top w:val="single" w:sz="12" w:space="0" w:color="000000"/>
              <w:left w:val="nil" w:sz="6" w:space="0" w:color="auto"/>
              <w:bottom w:val="nil" w:sz="6" w:space="0" w:color="auto"/>
              <w:right w:val="nil" w:sz="6" w:space="0" w:color="auto"/>
            </w:tcBorders>
          </w:tcPr>
          <w:p>
            <w:pPr>
              <w:pStyle w:val="TableParagraph"/>
              <w:spacing w:line="278" w:lineRule="auto"/>
              <w:ind w:left="845" w:right="0" w:hanging="472"/>
              <w:jc w:val="both"/>
              <w:rPr>
                <w:rFonts w:ascii="宋体" w:hAnsi="宋体" w:cs="宋体" w:eastAsia="宋体" w:hint="default"/>
                <w:sz w:val="20"/>
                <w:szCs w:val="20"/>
              </w:rPr>
            </w:pPr>
            <w:r>
              <w:rPr>
                <w:rFonts w:ascii="Times New Roman" w:hAnsi="Times New Roman" w:cs="Times New Roman" w:eastAsia="Times New Roman" w:hint="default"/>
                <w:sz w:val="20"/>
                <w:szCs w:val="20"/>
              </w:rPr>
              <w:t>27.68</w:t>
            </w:r>
            <w:r>
              <w:rPr>
                <w:rFonts w:ascii="Times New Roman" w:hAnsi="Times New Roman" w:cs="Times New Roman" w:eastAsia="Times New Roman" w:hint="default"/>
                <w:spacing w:val="-37"/>
                <w:sz w:val="20"/>
                <w:szCs w:val="20"/>
              </w:rPr>
              <w:t> </w:t>
            </w:r>
            <w:r>
              <w:rPr>
                <w:rFonts w:ascii="宋体" w:hAnsi="宋体" w:cs="宋体" w:eastAsia="宋体" w:hint="default"/>
                <w:sz w:val="20"/>
                <w:szCs w:val="20"/>
              </w:rPr>
              <w:t>主要系联合摄制电视剧已投放市场，结转了</w:t>
            </w:r>
            <w:r>
              <w:rPr>
                <w:rFonts w:ascii="宋体" w:hAnsi="宋体" w:cs="宋体" w:eastAsia="宋体" w:hint="default"/>
                <w:w w:val="100"/>
                <w:sz w:val="20"/>
                <w:szCs w:val="20"/>
              </w:rPr>
              <w:t> </w:t>
            </w:r>
            <w:r>
              <w:rPr>
                <w:rFonts w:ascii="宋体" w:hAnsi="宋体" w:cs="宋体" w:eastAsia="宋体" w:hint="default"/>
                <w:spacing w:val="9"/>
                <w:sz w:val="20"/>
                <w:szCs w:val="20"/>
              </w:rPr>
              <w:t>相关收入的税金及发行费用与本期收购艾</w:t>
            </w:r>
            <w:r>
              <w:rPr>
                <w:rFonts w:ascii="宋体" w:hAnsi="宋体" w:cs="宋体" w:eastAsia="宋体" w:hint="default"/>
                <w:w w:val="100"/>
                <w:sz w:val="20"/>
                <w:szCs w:val="20"/>
              </w:rPr>
              <w:t> </w:t>
            </w:r>
            <w:r>
              <w:rPr>
                <w:rFonts w:ascii="宋体" w:hAnsi="宋体" w:cs="宋体" w:eastAsia="宋体" w:hint="default"/>
                <w:spacing w:val="9"/>
                <w:sz w:val="20"/>
                <w:szCs w:val="20"/>
              </w:rPr>
              <w:t>特凡斯公司导致其购买日后的销售费用金</w:t>
            </w:r>
          </w:p>
        </w:tc>
      </w:tr>
      <w:tr>
        <w:trPr>
          <w:trHeight w:val="337" w:hRule="exact"/>
        </w:trPr>
        <w:tc>
          <w:tcPr>
            <w:tcW w:w="1254" w:type="dxa"/>
            <w:tcBorders>
              <w:top w:val="nil" w:sz="6" w:space="0" w:color="auto"/>
              <w:left w:val="nil" w:sz="6" w:space="0" w:color="auto"/>
              <w:bottom w:val="single" w:sz="12" w:space="0" w:color="000000"/>
              <w:right w:val="nil" w:sz="6" w:space="0" w:color="auto"/>
            </w:tcBorders>
          </w:tcPr>
          <w:p>
            <w:pPr/>
          </w:p>
        </w:tc>
        <w:tc>
          <w:tcPr>
            <w:tcW w:w="1736" w:type="dxa"/>
            <w:tcBorders>
              <w:top w:val="nil" w:sz="6" w:space="0" w:color="auto"/>
              <w:left w:val="nil" w:sz="6" w:space="0" w:color="auto"/>
              <w:bottom w:val="single" w:sz="12" w:space="0" w:color="000000"/>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
        </w:tc>
        <w:tc>
          <w:tcPr>
            <w:tcW w:w="4644" w:type="dxa"/>
            <w:tcBorders>
              <w:top w:val="nil" w:sz="6" w:space="0" w:color="auto"/>
              <w:left w:val="nil" w:sz="6" w:space="0" w:color="auto"/>
              <w:bottom w:val="single" w:sz="12" w:space="0" w:color="000000"/>
              <w:right w:val="nil" w:sz="6" w:space="0" w:color="auto"/>
            </w:tcBorders>
          </w:tcPr>
          <w:p>
            <w:pPr>
              <w:pStyle w:val="TableParagraph"/>
              <w:spacing w:line="256" w:lineRule="exact"/>
              <w:ind w:left="845" w:right="0"/>
              <w:jc w:val="left"/>
              <w:rPr>
                <w:rFonts w:ascii="宋体" w:hAnsi="宋体" w:cs="宋体" w:eastAsia="宋体" w:hint="default"/>
                <w:sz w:val="20"/>
                <w:szCs w:val="20"/>
              </w:rPr>
            </w:pPr>
            <w:r>
              <w:rPr>
                <w:rFonts w:ascii="宋体" w:hAnsi="宋体" w:cs="宋体" w:eastAsia="宋体" w:hint="default"/>
                <w:sz w:val="20"/>
                <w:szCs w:val="20"/>
              </w:rPr>
              <w:t>额纳入合并报表范围内所致</w:t>
            </w:r>
          </w:p>
        </w:tc>
      </w:tr>
      <w:tr>
        <w:trPr>
          <w:trHeight w:val="343" w:hRule="exact"/>
        </w:trPr>
        <w:tc>
          <w:tcPr>
            <w:tcW w:w="1254"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736"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43"/>
              <w:jc w:val="right"/>
              <w:rPr>
                <w:rFonts w:ascii="Times New Roman" w:hAnsi="Times New Roman" w:cs="Times New Roman" w:eastAsia="Times New Roman" w:hint="default"/>
                <w:sz w:val="20"/>
                <w:szCs w:val="20"/>
              </w:rPr>
            </w:pPr>
            <w:r>
              <w:rPr>
                <w:rFonts w:ascii="Times New Roman"/>
                <w:spacing w:val="-1"/>
                <w:sz w:val="20"/>
              </w:rPr>
              <w:t>12,140,027.96</w:t>
            </w:r>
            <w:r>
              <w:rPr>
                <w:rFonts w:ascii="Times New Roman"/>
                <w:sz w:val="20"/>
              </w:rPr>
            </w: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305"/>
              <w:jc w:val="right"/>
              <w:rPr>
                <w:rFonts w:ascii="Times New Roman" w:hAnsi="Times New Roman" w:cs="Times New Roman" w:eastAsia="Times New Roman" w:hint="default"/>
                <w:sz w:val="20"/>
                <w:szCs w:val="20"/>
              </w:rPr>
            </w:pPr>
            <w:r>
              <w:rPr>
                <w:rFonts w:ascii="Times New Roman"/>
                <w:spacing w:val="-1"/>
                <w:sz w:val="20"/>
              </w:rPr>
              <w:t>15,704,367.91</w:t>
            </w:r>
          </w:p>
        </w:tc>
        <w:tc>
          <w:tcPr>
            <w:tcW w:w="4644" w:type="dxa"/>
            <w:tcBorders>
              <w:top w:val="single" w:sz="12" w:space="0" w:color="000000"/>
              <w:left w:val="nil" w:sz="6" w:space="0" w:color="auto"/>
              <w:bottom w:val="nil" w:sz="6" w:space="0" w:color="auto"/>
              <w:right w:val="nil" w:sz="6" w:space="0" w:color="auto"/>
            </w:tcBorders>
          </w:tcPr>
          <w:p>
            <w:pPr>
              <w:pStyle w:val="TableParagraph"/>
              <w:spacing w:line="271" w:lineRule="exact"/>
              <w:ind w:left="307" w:right="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-22.70</w:t>
            </w:r>
            <w:r>
              <w:rPr>
                <w:rFonts w:ascii="Times New Roman" w:hAnsi="Times New Roman" w:cs="Times New Roman" w:eastAsia="Times New Roman" w:hint="default"/>
                <w:spacing w:val="-16"/>
                <w:sz w:val="20"/>
                <w:szCs w:val="20"/>
              </w:rPr>
              <w:t> </w:t>
            </w:r>
            <w:r>
              <w:rPr>
                <w:rFonts w:ascii="宋体" w:hAnsi="宋体" w:cs="宋体" w:eastAsia="宋体" w:hint="default"/>
                <w:spacing w:val="-1"/>
                <w:sz w:val="20"/>
                <w:szCs w:val="20"/>
              </w:rPr>
              <w:t>主要系上期支付了重组费用，职工补偿费用</w:t>
            </w:r>
          </w:p>
        </w:tc>
      </w:tr>
    </w:tbl>
    <w:p>
      <w:pPr>
        <w:spacing w:line="240" w:lineRule="exact" w:before="0"/>
        <w:ind w:left="5591" w:right="1619" w:firstLine="0"/>
        <w:jc w:val="left"/>
        <w:rPr>
          <w:rFonts w:ascii="宋体" w:hAnsi="宋体" w:cs="宋体" w:eastAsia="宋体" w:hint="default"/>
          <w:sz w:val="20"/>
          <w:szCs w:val="20"/>
        </w:rPr>
      </w:pPr>
      <w:r>
        <w:rPr>
          <w:rFonts w:ascii="宋体" w:hAnsi="宋体" w:cs="宋体" w:eastAsia="宋体" w:hint="default"/>
          <w:sz w:val="20"/>
          <w:szCs w:val="20"/>
        </w:rPr>
        <w:t>及本期员工工资总额减少所致</w:t>
      </w:r>
    </w:p>
    <w:p>
      <w:pPr>
        <w:spacing w:line="240" w:lineRule="auto" w:before="0"/>
        <w:rPr>
          <w:rFonts w:ascii="宋体" w:hAnsi="宋体" w:cs="宋体" w:eastAsia="宋体" w:hint="default"/>
          <w:sz w:val="5"/>
          <w:szCs w:val="5"/>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3.3pt;height:1.5pt;mso-position-horizontal-relative:char;mso-position-vertical-relative:line" coordorigin="0,0" coordsize="9266,30">
            <v:group style="position:absolute;left:15;top:15;width:9236;height:2" coordorigin="15,15" coordsize="9236,2">
              <v:shape style="position:absolute;left:15;top:15;width:9236;height:2" coordorigin="15,15" coordsize="9236,0" path="m15,15l9250,15e" filled="false" stroked="true" strokeweight="1.5pt" strokecolor="#000000">
                <v:path arrowok="t"/>
              </v:shape>
            </v:group>
          </v:group>
        </w:pict>
      </w:r>
      <w:r>
        <w:rPr>
          <w:rFonts w:ascii="宋体" w:hAnsi="宋体" w:cs="宋体" w:eastAsia="宋体" w:hint="default"/>
          <w:position w:val="0"/>
          <w:sz w:val="3"/>
          <w:szCs w:val="3"/>
        </w:rPr>
      </w:r>
    </w:p>
    <w:p>
      <w:pPr>
        <w:tabs>
          <w:tab w:pos="2033" w:val="left" w:leader="none"/>
          <w:tab w:pos="3471" w:val="left" w:leader="none"/>
          <w:tab w:pos="5120" w:val="left" w:leader="none"/>
        </w:tabs>
        <w:spacing w:before="0"/>
        <w:ind w:left="163" w:right="0" w:firstLine="0"/>
        <w:jc w:val="left"/>
        <w:rPr>
          <w:rFonts w:ascii="宋体" w:hAnsi="宋体" w:cs="宋体" w:eastAsia="宋体" w:hint="default"/>
          <w:sz w:val="20"/>
          <w:szCs w:val="20"/>
        </w:rPr>
      </w:pPr>
      <w:r>
        <w:rPr>
          <w:rFonts w:ascii="宋体" w:hAnsi="宋体" w:cs="宋体" w:eastAsia="宋体" w:hint="default"/>
          <w:sz w:val="20"/>
          <w:szCs w:val="20"/>
        </w:rPr>
        <w:t>财务费用</w:t>
        <w:tab/>
      </w:r>
      <w:r>
        <w:rPr>
          <w:rFonts w:ascii="Times New Roman" w:hAnsi="Times New Roman" w:cs="Times New Roman" w:eastAsia="Times New Roman" w:hint="default"/>
          <w:spacing w:val="-1"/>
          <w:sz w:val="20"/>
          <w:szCs w:val="20"/>
        </w:rPr>
        <w:t>-507,949.49</w:t>
        <w:tab/>
        <w:t>-390,849.84</w:t>
        <w:tab/>
        <w:t>29.96</w:t>
      </w:r>
      <w:r>
        <w:rPr>
          <w:rFonts w:ascii="Times New Roman" w:hAnsi="Times New Roman" w:cs="Times New Roman" w:eastAsia="Times New Roman" w:hint="default"/>
          <w:spacing w:val="-3"/>
          <w:sz w:val="20"/>
          <w:szCs w:val="20"/>
        </w:rPr>
        <w:t> </w:t>
      </w:r>
      <w:r>
        <w:rPr>
          <w:rFonts w:ascii="宋体" w:hAnsi="宋体" w:cs="宋体" w:eastAsia="宋体" w:hint="default"/>
          <w:spacing w:val="9"/>
          <w:sz w:val="20"/>
          <w:szCs w:val="20"/>
        </w:rPr>
        <w:t>主要系本期收购艾特凡斯公司导致其购买</w:t>
      </w:r>
    </w:p>
    <w:p>
      <w:pPr>
        <w:spacing w:line="285" w:lineRule="auto" w:before="35"/>
        <w:ind w:left="5591" w:right="215" w:firstLine="0"/>
        <w:jc w:val="left"/>
        <w:rPr>
          <w:rFonts w:ascii="宋体" w:hAnsi="宋体" w:cs="宋体" w:eastAsia="宋体" w:hint="default"/>
          <w:sz w:val="20"/>
          <w:szCs w:val="20"/>
        </w:rPr>
      </w:pPr>
      <w:r>
        <w:rPr>
          <w:rFonts w:ascii="宋体" w:hAnsi="宋体" w:cs="宋体" w:eastAsia="宋体" w:hint="default"/>
          <w:spacing w:val="9"/>
          <w:sz w:val="20"/>
          <w:szCs w:val="20"/>
        </w:rPr>
        <w:t>日后的财务费用金额纳入合并报表范围内</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所致</w:t>
      </w:r>
    </w:p>
    <w:p>
      <w:pPr>
        <w:spacing w:line="240" w:lineRule="auto" w:before="4"/>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705"/>
        <w:gridCol w:w="1257"/>
        <w:gridCol w:w="1580"/>
        <w:gridCol w:w="4701"/>
      </w:tblGrid>
      <w:tr>
        <w:trPr>
          <w:trHeight w:val="664" w:hRule="exact"/>
        </w:trPr>
        <w:tc>
          <w:tcPr>
            <w:tcW w:w="170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2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0"/>
                <w:szCs w:val="20"/>
              </w:rPr>
            </w:pPr>
            <w:r>
              <w:rPr>
                <w:rFonts w:ascii="Times New Roman"/>
                <w:spacing w:val="-1"/>
                <w:sz w:val="20"/>
              </w:rPr>
              <w:t>-77,668.75</w:t>
            </w:r>
            <w:r>
              <w:rPr>
                <w:rFonts w:ascii="Times New Roman"/>
                <w:sz w:val="20"/>
              </w:rPr>
            </w:r>
          </w:p>
        </w:tc>
        <w:tc>
          <w:tcPr>
            <w:tcW w:w="1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57"/>
              <w:jc w:val="right"/>
              <w:rPr>
                <w:rFonts w:ascii="Times New Roman" w:hAnsi="Times New Roman" w:cs="Times New Roman" w:eastAsia="Times New Roman" w:hint="default"/>
                <w:sz w:val="20"/>
                <w:szCs w:val="20"/>
              </w:rPr>
            </w:pPr>
            <w:r>
              <w:rPr>
                <w:rFonts w:ascii="Times New Roman"/>
                <w:spacing w:val="-1"/>
                <w:sz w:val="20"/>
              </w:rPr>
              <w:t>667,438.39</w:t>
            </w:r>
            <w:r>
              <w:rPr>
                <w:rFonts w:ascii="Times New Roman"/>
                <w:sz w:val="20"/>
              </w:rPr>
            </w:r>
          </w:p>
        </w:tc>
        <w:tc>
          <w:tcPr>
            <w:tcW w:w="4701" w:type="dxa"/>
            <w:tcBorders>
              <w:top w:val="single" w:sz="12" w:space="0" w:color="000000"/>
              <w:left w:val="nil" w:sz="6" w:space="0" w:color="auto"/>
              <w:bottom w:val="single" w:sz="12" w:space="0" w:color="000000"/>
              <w:right w:val="nil" w:sz="6" w:space="0" w:color="auto"/>
            </w:tcBorders>
          </w:tcPr>
          <w:p>
            <w:pPr>
              <w:pStyle w:val="TableParagraph"/>
              <w:spacing w:line="271" w:lineRule="auto"/>
              <w:ind w:left="895" w:right="0" w:hanging="640"/>
              <w:jc w:val="left"/>
              <w:rPr>
                <w:rFonts w:ascii="宋体" w:hAnsi="宋体" w:cs="宋体" w:eastAsia="宋体" w:hint="default"/>
                <w:sz w:val="20"/>
                <w:szCs w:val="20"/>
              </w:rPr>
            </w:pPr>
            <w:r>
              <w:rPr>
                <w:rFonts w:ascii="Times New Roman" w:hAnsi="Times New Roman" w:cs="Times New Roman" w:eastAsia="Times New Roman" w:hint="default"/>
                <w:sz w:val="20"/>
                <w:szCs w:val="20"/>
              </w:rPr>
              <w:t>-111.64</w:t>
            </w:r>
            <w:r>
              <w:rPr>
                <w:rFonts w:ascii="Times New Roman" w:hAnsi="Times New Roman" w:cs="Times New Roman" w:eastAsia="Times New Roman" w:hint="default"/>
                <w:spacing w:val="-10"/>
                <w:sz w:val="20"/>
                <w:szCs w:val="20"/>
              </w:rPr>
              <w:t> </w:t>
            </w:r>
            <w:r>
              <w:rPr>
                <w:rFonts w:ascii="宋体" w:hAnsi="宋体" w:cs="宋体" w:eastAsia="宋体" w:hint="default"/>
                <w:spacing w:val="6"/>
                <w:sz w:val="20"/>
                <w:szCs w:val="20"/>
              </w:rPr>
              <w:t>主要是本期其他应收款收回</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故计提的坏账</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准备转回</w:t>
            </w:r>
          </w:p>
        </w:tc>
      </w:tr>
      <w:tr>
        <w:trPr>
          <w:trHeight w:val="639" w:hRule="exact"/>
        </w:trPr>
        <w:tc>
          <w:tcPr>
            <w:tcW w:w="1705" w:type="dxa"/>
            <w:tcBorders>
              <w:top w:val="single" w:sz="12" w:space="0" w:color="000000"/>
              <w:left w:val="nil" w:sz="6" w:space="0" w:color="auto"/>
              <w:bottom w:val="nil" w:sz="6" w:space="0" w:color="auto"/>
              <w:right w:val="nil" w:sz="6" w:space="0" w:color="auto"/>
            </w:tcBorders>
          </w:tcPr>
          <w:p>
            <w:pPr>
              <w:pStyle w:val="TableParagraph"/>
              <w:spacing w:line="285" w:lineRule="auto"/>
              <w:ind w:left="9" w:right="172"/>
              <w:jc w:val="left"/>
              <w:rPr>
                <w:rFonts w:ascii="宋体" w:hAnsi="宋体" w:cs="宋体" w:eastAsia="宋体" w:hint="default"/>
                <w:sz w:val="20"/>
                <w:szCs w:val="20"/>
              </w:rPr>
            </w:pPr>
            <w:r>
              <w:rPr>
                <w:rFonts w:ascii="宋体" w:hAnsi="宋体" w:cs="宋体" w:eastAsia="宋体" w:hint="default"/>
                <w:spacing w:val="-11"/>
                <w:w w:val="100"/>
                <w:sz w:val="20"/>
                <w:szCs w:val="20"/>
              </w:rPr>
              <w:t>加：公允价值变动</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收益</w:t>
            </w:r>
          </w:p>
        </w:tc>
        <w:tc>
          <w:tcPr>
            <w:tcW w:w="1257" w:type="dxa"/>
            <w:tcBorders>
              <w:top w:val="single" w:sz="12" w:space="0" w:color="000000"/>
              <w:left w:val="nil" w:sz="6" w:space="0" w:color="auto"/>
              <w:bottom w:val="nil" w:sz="6" w:space="0" w:color="auto"/>
              <w:right w:val="nil" w:sz="6" w:space="0" w:color="auto"/>
            </w:tcBorders>
          </w:tcPr>
          <w:p>
            <w:pPr>
              <w:pStyle w:val="TableParagraph"/>
              <w:spacing w:line="240" w:lineRule="auto" w:before="40"/>
              <w:ind w:right="114"/>
              <w:jc w:val="right"/>
              <w:rPr>
                <w:rFonts w:ascii="Times New Roman" w:hAnsi="Times New Roman" w:cs="Times New Roman" w:eastAsia="Times New Roman" w:hint="default"/>
                <w:sz w:val="20"/>
                <w:szCs w:val="20"/>
              </w:rPr>
            </w:pPr>
            <w:r>
              <w:rPr>
                <w:rFonts w:ascii="Times New Roman"/>
                <w:spacing w:val="-1"/>
                <w:sz w:val="20"/>
              </w:rPr>
              <w:t>-290,573.90</w:t>
            </w:r>
            <w:r>
              <w:rPr>
                <w:rFonts w:ascii="Times New Roman"/>
                <w:sz w:val="20"/>
              </w:rPr>
            </w:r>
          </w:p>
        </w:tc>
        <w:tc>
          <w:tcPr>
            <w:tcW w:w="1580" w:type="dxa"/>
            <w:tcBorders>
              <w:top w:val="single" w:sz="12" w:space="0" w:color="000000"/>
              <w:left w:val="nil" w:sz="6" w:space="0" w:color="auto"/>
              <w:bottom w:val="nil" w:sz="6" w:space="0" w:color="auto"/>
              <w:right w:val="nil" w:sz="6" w:space="0" w:color="auto"/>
            </w:tcBorders>
          </w:tcPr>
          <w:p>
            <w:pPr/>
          </w:p>
        </w:tc>
        <w:tc>
          <w:tcPr>
            <w:tcW w:w="4701" w:type="dxa"/>
            <w:tcBorders>
              <w:top w:val="single" w:sz="12" w:space="0" w:color="000000"/>
              <w:left w:val="nil" w:sz="6" w:space="0" w:color="auto"/>
              <w:bottom w:val="nil" w:sz="6" w:space="0" w:color="auto"/>
              <w:right w:val="nil" w:sz="6" w:space="0" w:color="auto"/>
            </w:tcBorders>
          </w:tcPr>
          <w:p>
            <w:pPr>
              <w:pStyle w:val="TableParagraph"/>
              <w:spacing w:line="285" w:lineRule="auto"/>
              <w:ind w:left="895" w:right="7"/>
              <w:jc w:val="left"/>
              <w:rPr>
                <w:rFonts w:ascii="宋体" w:hAnsi="宋体" w:cs="宋体" w:eastAsia="宋体" w:hint="default"/>
                <w:sz w:val="20"/>
                <w:szCs w:val="20"/>
              </w:rPr>
            </w:pPr>
            <w:r>
              <w:rPr>
                <w:rFonts w:ascii="宋体" w:hAnsi="宋体" w:cs="宋体" w:eastAsia="宋体" w:hint="default"/>
                <w:spacing w:val="9"/>
                <w:sz w:val="20"/>
                <w:szCs w:val="20"/>
              </w:rPr>
              <w:t>主要系本期收购艾特凡斯公司股权需根据</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9"/>
                <w:sz w:val="20"/>
                <w:szCs w:val="20"/>
              </w:rPr>
              <w:t>未来两年效益支付或有对价的现值与终值</w:t>
            </w:r>
          </w:p>
        </w:tc>
      </w:tr>
      <w:tr>
        <w:trPr>
          <w:trHeight w:val="337" w:hRule="exact"/>
        </w:trPr>
        <w:tc>
          <w:tcPr>
            <w:tcW w:w="1705" w:type="dxa"/>
            <w:tcBorders>
              <w:top w:val="nil" w:sz="6" w:space="0" w:color="auto"/>
              <w:left w:val="nil" w:sz="6" w:space="0" w:color="auto"/>
              <w:bottom w:val="single" w:sz="12" w:space="0" w:color="000000"/>
              <w:right w:val="nil" w:sz="6" w:space="0" w:color="auto"/>
            </w:tcBorders>
          </w:tcPr>
          <w:p>
            <w:pPr/>
          </w:p>
        </w:tc>
        <w:tc>
          <w:tcPr>
            <w:tcW w:w="1257" w:type="dxa"/>
            <w:tcBorders>
              <w:top w:val="nil" w:sz="6" w:space="0" w:color="auto"/>
              <w:left w:val="nil" w:sz="6" w:space="0" w:color="auto"/>
              <w:bottom w:val="single" w:sz="12" w:space="0" w:color="000000"/>
              <w:right w:val="nil" w:sz="6" w:space="0" w:color="auto"/>
            </w:tcBorders>
          </w:tcPr>
          <w:p>
            <w:pPr/>
          </w:p>
        </w:tc>
        <w:tc>
          <w:tcPr>
            <w:tcW w:w="1580" w:type="dxa"/>
            <w:tcBorders>
              <w:top w:val="nil" w:sz="6" w:space="0" w:color="auto"/>
              <w:left w:val="nil" w:sz="6" w:space="0" w:color="auto"/>
              <w:bottom w:val="single" w:sz="12" w:space="0" w:color="000000"/>
              <w:right w:val="nil" w:sz="6" w:space="0" w:color="auto"/>
            </w:tcBorders>
          </w:tcPr>
          <w:p>
            <w:pPr/>
          </w:p>
        </w:tc>
        <w:tc>
          <w:tcPr>
            <w:tcW w:w="4701" w:type="dxa"/>
            <w:tcBorders>
              <w:top w:val="nil" w:sz="6" w:space="0" w:color="auto"/>
              <w:left w:val="nil" w:sz="6" w:space="0" w:color="auto"/>
              <w:bottom w:val="single" w:sz="12" w:space="0" w:color="000000"/>
              <w:right w:val="nil" w:sz="6" w:space="0" w:color="auto"/>
            </w:tcBorders>
          </w:tcPr>
          <w:p>
            <w:pPr>
              <w:pStyle w:val="TableParagraph"/>
              <w:spacing w:line="256" w:lineRule="exact"/>
              <w:ind w:left="895" w:right="0"/>
              <w:jc w:val="left"/>
              <w:rPr>
                <w:rFonts w:ascii="宋体" w:hAnsi="宋体" w:cs="宋体" w:eastAsia="宋体" w:hint="default"/>
                <w:sz w:val="20"/>
                <w:szCs w:val="20"/>
              </w:rPr>
            </w:pPr>
            <w:r>
              <w:rPr>
                <w:rFonts w:ascii="宋体" w:hAnsi="宋体" w:cs="宋体" w:eastAsia="宋体" w:hint="default"/>
                <w:sz w:val="20"/>
                <w:szCs w:val="20"/>
              </w:rPr>
              <w:t>的差异所致</w:t>
            </w:r>
          </w:p>
        </w:tc>
      </w:tr>
      <w:tr>
        <w:trPr>
          <w:trHeight w:val="353" w:hRule="exact"/>
        </w:trPr>
        <w:tc>
          <w:tcPr>
            <w:tcW w:w="170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2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15"/>
              <w:jc w:val="right"/>
              <w:rPr>
                <w:rFonts w:ascii="Times New Roman" w:hAnsi="Times New Roman" w:cs="Times New Roman" w:eastAsia="Times New Roman" w:hint="default"/>
                <w:sz w:val="20"/>
                <w:szCs w:val="20"/>
              </w:rPr>
            </w:pPr>
            <w:r>
              <w:rPr>
                <w:rFonts w:ascii="Times New Roman"/>
                <w:spacing w:val="-1"/>
                <w:sz w:val="20"/>
              </w:rPr>
              <w:t>839,342.47</w:t>
            </w:r>
            <w:r>
              <w:rPr>
                <w:rFonts w:ascii="Times New Roman"/>
                <w:sz w:val="20"/>
              </w:rPr>
            </w:r>
          </w:p>
        </w:tc>
        <w:tc>
          <w:tcPr>
            <w:tcW w:w="1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256"/>
              <w:jc w:val="right"/>
              <w:rPr>
                <w:rFonts w:ascii="Times New Roman" w:hAnsi="Times New Roman" w:cs="Times New Roman" w:eastAsia="Times New Roman" w:hint="default"/>
                <w:sz w:val="20"/>
                <w:szCs w:val="20"/>
              </w:rPr>
            </w:pPr>
            <w:r>
              <w:rPr>
                <w:rFonts w:ascii="Times New Roman"/>
                <w:spacing w:val="-1"/>
                <w:sz w:val="20"/>
              </w:rPr>
              <w:t>-3,867,754.79</w:t>
            </w:r>
            <w:r>
              <w:rPr>
                <w:rFonts w:ascii="Times New Roman"/>
                <w:sz w:val="20"/>
              </w:rPr>
            </w:r>
          </w:p>
        </w:tc>
        <w:tc>
          <w:tcPr>
            <w:tcW w:w="4701"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25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-121.70</w:t>
            </w:r>
            <w:r>
              <w:rPr>
                <w:rFonts w:ascii="Times New Roman" w:hAnsi="Times New Roman" w:cs="Times New Roman" w:eastAsia="Times New Roman" w:hint="default"/>
                <w:spacing w:val="-32"/>
                <w:sz w:val="20"/>
                <w:szCs w:val="20"/>
              </w:rPr>
              <w:t> </w:t>
            </w:r>
            <w:r>
              <w:rPr>
                <w:rFonts w:ascii="宋体" w:hAnsi="宋体" w:cs="宋体" w:eastAsia="宋体" w:hint="default"/>
                <w:sz w:val="20"/>
                <w:szCs w:val="20"/>
              </w:rPr>
              <w:t>主要是上期处置了</w:t>
            </w:r>
            <w:r>
              <w:rPr>
                <w:rFonts w:ascii="Times New Roman" w:hAnsi="Times New Roman" w:cs="Times New Roman" w:eastAsia="Times New Roman" w:hint="default"/>
                <w:sz w:val="20"/>
                <w:szCs w:val="20"/>
              </w:rPr>
              <w:t>3</w:t>
            </w:r>
            <w:r>
              <w:rPr>
                <w:rFonts w:ascii="宋体" w:hAnsi="宋体" w:cs="宋体" w:eastAsia="宋体" w:hint="default"/>
                <w:sz w:val="20"/>
                <w:szCs w:val="20"/>
              </w:rPr>
              <w:t>家子公司所致</w:t>
            </w:r>
          </w:p>
        </w:tc>
      </w:tr>
      <w:tr>
        <w:trPr>
          <w:trHeight w:val="335" w:hRule="exact"/>
        </w:trPr>
        <w:tc>
          <w:tcPr>
            <w:tcW w:w="1705" w:type="dxa"/>
            <w:tcBorders>
              <w:top w:val="single" w:sz="12" w:space="0" w:color="000000"/>
              <w:left w:val="nil" w:sz="6" w:space="0" w:color="auto"/>
              <w:bottom w:val="nil" w:sz="6" w:space="0" w:color="auto"/>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257" w:type="dxa"/>
            <w:tcBorders>
              <w:top w:val="single" w:sz="12" w:space="0" w:color="000000"/>
              <w:left w:val="nil" w:sz="6" w:space="0" w:color="auto"/>
              <w:bottom w:val="nil" w:sz="6" w:space="0" w:color="auto"/>
              <w:right w:val="nil" w:sz="6" w:space="0" w:color="auto"/>
            </w:tcBorders>
          </w:tcPr>
          <w:p>
            <w:pPr/>
          </w:p>
        </w:tc>
        <w:tc>
          <w:tcPr>
            <w:tcW w:w="1580" w:type="dxa"/>
            <w:tcBorders>
              <w:top w:val="single" w:sz="12" w:space="0" w:color="000000"/>
              <w:left w:val="nil" w:sz="6" w:space="0" w:color="auto"/>
              <w:bottom w:val="nil" w:sz="6" w:space="0" w:color="auto"/>
              <w:right w:val="nil" w:sz="6" w:space="0" w:color="auto"/>
            </w:tcBorders>
          </w:tcPr>
          <w:p>
            <w:pPr/>
          </w:p>
        </w:tc>
        <w:tc>
          <w:tcPr>
            <w:tcW w:w="4701" w:type="dxa"/>
            <w:tcBorders>
              <w:top w:val="single" w:sz="12" w:space="0" w:color="000000"/>
              <w:left w:val="nil" w:sz="6" w:space="0" w:color="auto"/>
              <w:bottom w:val="nil" w:sz="6" w:space="0" w:color="auto"/>
              <w:right w:val="nil" w:sz="6" w:space="0" w:color="auto"/>
            </w:tcBorders>
          </w:tcPr>
          <w:p>
            <w:pPr>
              <w:pStyle w:val="TableParagraph"/>
              <w:spacing w:line="271" w:lineRule="exact"/>
              <w:ind w:left="35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-99.20</w:t>
            </w:r>
            <w:r>
              <w:rPr>
                <w:rFonts w:ascii="Times New Roman" w:hAnsi="Times New Roman" w:cs="Times New Roman" w:eastAsia="Times New Roman" w:hint="default"/>
                <w:spacing w:val="-34"/>
                <w:sz w:val="20"/>
                <w:szCs w:val="20"/>
              </w:rPr>
              <w:t> </w:t>
            </w:r>
            <w:r>
              <w:rPr>
                <w:rFonts w:ascii="宋体" w:hAnsi="宋体" w:cs="宋体" w:eastAsia="宋体" w:hint="default"/>
                <w:sz w:val="20"/>
                <w:szCs w:val="20"/>
              </w:rPr>
              <w:t>主要系上期处置固定资产取得的收入所致</w:t>
            </w:r>
          </w:p>
        </w:tc>
      </w:tr>
      <w:tr>
        <w:trPr>
          <w:trHeight w:val="329" w:hRule="exact"/>
        </w:trPr>
        <w:tc>
          <w:tcPr>
            <w:tcW w:w="1705" w:type="dxa"/>
            <w:tcBorders>
              <w:top w:val="nil" w:sz="6" w:space="0" w:color="auto"/>
              <w:left w:val="nil" w:sz="6" w:space="0" w:color="auto"/>
              <w:bottom w:val="single" w:sz="12" w:space="0" w:color="000000"/>
              <w:right w:val="nil" w:sz="6" w:space="0" w:color="auto"/>
            </w:tcBorders>
          </w:tcPr>
          <w:p>
            <w:pPr/>
          </w:p>
        </w:tc>
        <w:tc>
          <w:tcPr>
            <w:tcW w:w="1257"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113"/>
              <w:jc w:val="right"/>
              <w:rPr>
                <w:rFonts w:ascii="Times New Roman" w:hAnsi="Times New Roman" w:cs="Times New Roman" w:eastAsia="Times New Roman" w:hint="default"/>
                <w:sz w:val="21"/>
                <w:szCs w:val="21"/>
              </w:rPr>
            </w:pPr>
            <w:r>
              <w:rPr>
                <w:rFonts w:ascii="Times New Roman"/>
                <w:spacing w:val="-1"/>
                <w:sz w:val="21"/>
              </w:rPr>
              <w:t>206,262.90</w:t>
            </w:r>
          </w:p>
        </w:tc>
        <w:tc>
          <w:tcPr>
            <w:tcW w:w="1580"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21"/>
                <w:szCs w:val="21"/>
              </w:rPr>
            </w:pPr>
            <w:r>
              <w:rPr>
                <w:rFonts w:ascii="Times New Roman"/>
                <w:spacing w:val="-1"/>
                <w:sz w:val="21"/>
              </w:rPr>
              <w:t>25,779,535.86</w:t>
            </w:r>
          </w:p>
        </w:tc>
        <w:tc>
          <w:tcPr>
            <w:tcW w:w="4701" w:type="dxa"/>
            <w:tcBorders>
              <w:top w:val="nil" w:sz="6" w:space="0" w:color="auto"/>
              <w:left w:val="nil" w:sz="6" w:space="0" w:color="auto"/>
              <w:bottom w:val="single" w:sz="12" w:space="0" w:color="000000"/>
              <w:right w:val="nil" w:sz="6" w:space="0" w:color="auto"/>
            </w:tcBorders>
          </w:tcPr>
          <w:p>
            <w:pPr/>
          </w:p>
        </w:tc>
      </w:tr>
      <w:tr>
        <w:trPr>
          <w:trHeight w:val="664" w:hRule="exact"/>
        </w:trPr>
        <w:tc>
          <w:tcPr>
            <w:tcW w:w="170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2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5,567.53</w:t>
            </w:r>
            <w:r>
              <w:rPr>
                <w:rFonts w:ascii="Times New Roman"/>
                <w:sz w:val="21"/>
              </w:rPr>
            </w:r>
          </w:p>
        </w:tc>
        <w:tc>
          <w:tcPr>
            <w:tcW w:w="1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56"/>
              <w:jc w:val="right"/>
              <w:rPr>
                <w:rFonts w:ascii="Times New Roman" w:hAnsi="Times New Roman" w:cs="Times New Roman" w:eastAsia="Times New Roman" w:hint="default"/>
                <w:sz w:val="21"/>
                <w:szCs w:val="21"/>
              </w:rPr>
            </w:pPr>
            <w:r>
              <w:rPr>
                <w:rFonts w:ascii="Times New Roman"/>
                <w:spacing w:val="-1"/>
                <w:sz w:val="21"/>
              </w:rPr>
              <w:t>859,908.03</w:t>
            </w:r>
            <w:r>
              <w:rPr>
                <w:rFonts w:ascii="Times New Roman"/>
                <w:sz w:val="21"/>
              </w:rPr>
            </w:r>
          </w:p>
        </w:tc>
        <w:tc>
          <w:tcPr>
            <w:tcW w:w="4701" w:type="dxa"/>
            <w:tcBorders>
              <w:top w:val="single" w:sz="12" w:space="0" w:color="000000"/>
              <w:left w:val="nil" w:sz="6" w:space="0" w:color="auto"/>
              <w:bottom w:val="single" w:sz="12" w:space="0" w:color="000000"/>
              <w:right w:val="nil" w:sz="6" w:space="0" w:color="auto"/>
            </w:tcBorders>
          </w:tcPr>
          <w:p>
            <w:pPr>
              <w:pStyle w:val="TableParagraph"/>
              <w:spacing w:line="271" w:lineRule="auto"/>
              <w:ind w:left="895" w:right="7" w:hanging="538"/>
              <w:jc w:val="left"/>
              <w:rPr>
                <w:rFonts w:ascii="宋体" w:hAnsi="宋体" w:cs="宋体" w:eastAsia="宋体" w:hint="default"/>
                <w:sz w:val="20"/>
                <w:szCs w:val="20"/>
              </w:rPr>
            </w:pPr>
            <w:r>
              <w:rPr>
                <w:rFonts w:ascii="Times New Roman" w:hAnsi="Times New Roman" w:cs="Times New Roman" w:eastAsia="Times New Roman" w:hint="default"/>
                <w:sz w:val="20"/>
                <w:szCs w:val="20"/>
              </w:rPr>
              <w:t>-99.35</w:t>
            </w:r>
            <w:r>
              <w:rPr>
                <w:rFonts w:ascii="Times New Roman" w:hAnsi="Times New Roman" w:cs="Times New Roman" w:eastAsia="Times New Roman" w:hint="default"/>
                <w:spacing w:val="-18"/>
                <w:sz w:val="20"/>
                <w:szCs w:val="20"/>
              </w:rPr>
              <w:t> </w:t>
            </w:r>
            <w:r>
              <w:rPr>
                <w:rFonts w:ascii="宋体" w:hAnsi="宋体" w:cs="宋体" w:eastAsia="宋体" w:hint="default"/>
                <w:spacing w:val="9"/>
                <w:sz w:val="20"/>
                <w:szCs w:val="20"/>
              </w:rPr>
              <w:t>主要系上期发生宿舍楼转让补交税金及滞</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纳金所致</w:t>
            </w:r>
          </w:p>
        </w:tc>
      </w:tr>
    </w:tbl>
    <w:p>
      <w:pPr>
        <w:spacing w:after="0" w:line="271" w:lineRule="auto"/>
        <w:jc w:val="lef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1"/>
        <w:ind w:left="3286" w:right="1619" w:firstLine="0"/>
        <w:jc w:val="left"/>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9"/>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7"/>
        <w:rPr>
          <w:rFonts w:ascii="宋体" w:hAnsi="宋体" w:cs="宋体" w:eastAsia="宋体" w:hint="default"/>
          <w:b/>
          <w:bCs/>
          <w:sz w:val="46"/>
          <w:szCs w:val="46"/>
        </w:rPr>
      </w:pPr>
    </w:p>
    <w:p>
      <w:pPr>
        <w:pStyle w:val="BodyText"/>
        <w:spacing w:line="240" w:lineRule="auto"/>
        <w:ind w:right="1619"/>
        <w:jc w:val="left"/>
      </w:pPr>
      <w:r>
        <w:rPr/>
        <w:t>1、载有法定代表人、主管会计工作负责人、会计机构负责人签字并盖章的会计报表。</w:t>
      </w:r>
    </w:p>
    <w:p>
      <w:pPr>
        <w:spacing w:line="240" w:lineRule="auto" w:before="10"/>
        <w:rPr>
          <w:rFonts w:ascii="宋体" w:hAnsi="宋体" w:cs="宋体" w:eastAsia="宋体" w:hint="default"/>
          <w:sz w:val="14"/>
          <w:szCs w:val="14"/>
        </w:rPr>
      </w:pPr>
    </w:p>
    <w:p>
      <w:pPr>
        <w:pStyle w:val="BodyText"/>
        <w:spacing w:line="240" w:lineRule="auto"/>
        <w:ind w:right="1619"/>
        <w:jc w:val="left"/>
      </w:pPr>
      <w:r>
        <w:rPr/>
        <w:t>2、载有会计师事务所盖章、注册会计师签名并盖章的审计报告原件。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right="1619"/>
        <w:jc w:val="left"/>
      </w:pPr>
      <w:r>
        <w:rPr/>
        <w:t>3、报告期内在中国证监会指定报纸上公开披露过的所有公司文件的正本及公告的原稿。</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62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62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62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62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62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19995pt;margin-top:36.325325pt;width:177.5pt;height:11.5pt;mso-position-horizontal-relative:page;mso-position-vertical-relative:page;z-index:-762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ind w:left="2141"/>
      <w:outlineLvl w:val="1"/>
    </w:pPr>
    <w:rPr>
      <w:rFonts w:ascii="宋体" w:hAnsi="宋体" w:eastAsia="宋体"/>
      <w:b/>
      <w:bCs/>
      <w:sz w:val="36"/>
      <w:szCs w:val="36"/>
    </w:rPr>
  </w:style>
  <w:style w:styleId="Heading2" w:type="paragraph">
    <w:name w:val="Heading 2"/>
    <w:basedOn w:val="Normal"/>
    <w:uiPriority w:val="1"/>
    <w:qFormat/>
    <w:pPr>
      <w:spacing w:before="1"/>
      <w:ind w:left="2141"/>
      <w:outlineLvl w:val="2"/>
    </w:pPr>
    <w:rPr>
      <w:rFonts w:ascii="宋体" w:hAnsi="宋体" w:eastAsia="宋体"/>
      <w:b/>
      <w:bCs/>
      <w:sz w:val="32"/>
      <w:szCs w:val="32"/>
    </w:rPr>
  </w:style>
  <w:style w:styleId="Heading3" w:type="paragraph">
    <w:name w:val="Heading 3"/>
    <w:basedOn w:val="Normal"/>
    <w:uiPriority w:val="1"/>
    <w:qFormat/>
    <w:pPr>
      <w:ind w:left="153"/>
      <w:outlineLvl w:val="3"/>
    </w:pPr>
    <w:rPr>
      <w:rFonts w:ascii="宋体" w:hAnsi="宋体" w:eastAsia="宋体"/>
      <w:b/>
      <w:bCs/>
      <w:sz w:val="28"/>
      <w:szCs w:val="28"/>
    </w:rPr>
  </w:style>
  <w:style w:styleId="Heading4" w:type="paragraph">
    <w:name w:val="Heading 4"/>
    <w:basedOn w:val="Normal"/>
    <w:uiPriority w:val="1"/>
    <w:qFormat/>
    <w:pPr>
      <w:spacing w:before="26"/>
      <w:ind w:left="154"/>
      <w:outlineLvl w:val="4"/>
    </w:pPr>
    <w:rPr>
      <w:rFonts w:ascii="宋体" w:hAnsi="宋体" w:eastAsia="宋体"/>
      <w:b/>
      <w:bCs/>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inafareast.com/" TargetMode="External"/><Relationship Id="rId10" Type="http://schemas.openxmlformats.org/officeDocument/2006/relationships/hyperlink" Target="mailto:ss000681@163.com" TargetMode="External"/><Relationship Id="rId11" Type="http://schemas.openxmlformats.org/officeDocument/2006/relationships/hyperlink" Target="http://www.cninfo.com.cn/" TargetMode="External"/><Relationship Id="rId12" Type="http://schemas.openxmlformats.org/officeDocument/2006/relationships/hyperlink" Target="http://ww/"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年报全文.doc</dc:title>
  <dcterms:created xsi:type="dcterms:W3CDTF">2020-05-03T23:21:05Z</dcterms:created>
  <dcterms:modified xsi:type="dcterms:W3CDTF">2020-05-03T23:21:05Z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PScript5.dll Version 5.2.2</vt:lpwstr>
  </property>
  <property fmtid="{D5CDD505-2E9C-101B-9397-08002B2CF9AE}" pid="4" name="LastSaved">
    <vt:filetime>2020-05-03T00:00:00Z</vt:filetime>
  </property>
</Properties>
</file>